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7D53A4" w14:textId="0B8A2DAB" w:rsidR="008473BD" w:rsidRDefault="00C274E4" w:rsidP="00EA2966">
      <w:pPr>
        <w:tabs>
          <w:tab w:val="left" w:pos="1016"/>
          <w:tab w:val="left" w:pos="1586"/>
          <w:tab w:val="center" w:pos="4513"/>
        </w:tabs>
        <w:bidi/>
        <w:spacing w:line="240" w:lineRule="auto"/>
        <w:rPr>
          <w:rFonts w:asciiTheme="minorBidi" w:hAnsiTheme="minorBidi" w:cs="PT Bold Broken"/>
          <w:b/>
          <w:bCs/>
          <w:noProof/>
          <w:sz w:val="36"/>
          <w:szCs w:val="36"/>
          <w:rtl/>
          <w:lang w:bidi="ar-EG"/>
        </w:rPr>
      </w:pPr>
      <w:r>
        <w:rPr>
          <w:rFonts w:ascii="Times New Roman"/>
          <w:b/>
          <w:noProof/>
          <w:sz w:val="20"/>
        </w:rPr>
        <w:drawing>
          <wp:anchor distT="0" distB="0" distL="114300" distR="114300" simplePos="0" relativeHeight="251659264" behindDoc="0" locked="0" layoutInCell="1" allowOverlap="1" wp14:anchorId="1EC37CE8" wp14:editId="5748B5E7">
            <wp:simplePos x="0" y="0"/>
            <wp:positionH relativeFrom="margin">
              <wp:posOffset>1895302</wp:posOffset>
            </wp:positionH>
            <wp:positionV relativeFrom="margin">
              <wp:posOffset>-138026</wp:posOffset>
            </wp:positionV>
            <wp:extent cx="1897380" cy="976630"/>
            <wp:effectExtent l="0" t="0" r="7620"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97380" cy="976630"/>
                    </a:xfrm>
                    <a:prstGeom prst="rect">
                      <a:avLst/>
                    </a:prstGeom>
                  </pic:spPr>
                </pic:pic>
              </a:graphicData>
            </a:graphic>
            <wp14:sizeRelH relativeFrom="margin">
              <wp14:pctWidth>0</wp14:pctWidth>
            </wp14:sizeRelH>
            <wp14:sizeRelV relativeFrom="margin">
              <wp14:pctHeight>0</wp14:pctHeight>
            </wp14:sizeRelV>
          </wp:anchor>
        </w:drawing>
      </w:r>
      <w:r w:rsidR="00AC6725">
        <w:rPr>
          <w:rFonts w:asciiTheme="minorBidi" w:hAnsiTheme="minorBidi" w:cs="PT Bold Broken" w:hint="cs"/>
          <w:b/>
          <w:bCs/>
          <w:noProof/>
          <w:sz w:val="36"/>
          <w:szCs w:val="36"/>
          <w:rtl/>
          <w:lang w:bidi="ar-EG"/>
        </w:rPr>
        <w:t xml:space="preserve">    </w:t>
      </w:r>
      <w:r w:rsidR="00EA2966">
        <w:rPr>
          <w:rFonts w:asciiTheme="minorBidi" w:hAnsiTheme="minorBidi" w:cs="PT Bold Broken" w:hint="cs"/>
          <w:b/>
          <w:bCs/>
          <w:noProof/>
          <w:sz w:val="36"/>
          <w:szCs w:val="36"/>
          <w:rtl/>
          <w:lang w:bidi="ar-EG"/>
        </w:rPr>
        <w:t xml:space="preserve"> </w:t>
      </w:r>
      <w:r w:rsidR="00AC6725">
        <w:rPr>
          <w:rFonts w:asciiTheme="minorBidi" w:hAnsiTheme="minorBidi" w:cs="PT Bold Broken" w:hint="cs"/>
          <w:b/>
          <w:bCs/>
          <w:noProof/>
          <w:sz w:val="36"/>
          <w:szCs w:val="36"/>
          <w:rtl/>
          <w:lang w:bidi="ar-EG"/>
        </w:rPr>
        <w:t xml:space="preserve"> </w:t>
      </w:r>
    </w:p>
    <w:p w14:paraId="02134A7B" w14:textId="3374310A" w:rsidR="008473BD" w:rsidRDefault="008473BD" w:rsidP="008473BD">
      <w:pPr>
        <w:tabs>
          <w:tab w:val="left" w:pos="1016"/>
          <w:tab w:val="left" w:pos="1586"/>
          <w:tab w:val="center" w:pos="4513"/>
        </w:tabs>
        <w:bidi/>
        <w:spacing w:line="240" w:lineRule="auto"/>
        <w:rPr>
          <w:rFonts w:asciiTheme="minorBidi" w:hAnsiTheme="minorBidi" w:cs="PT Bold Broken"/>
          <w:b/>
          <w:bCs/>
          <w:noProof/>
          <w:sz w:val="36"/>
          <w:szCs w:val="36"/>
          <w:rtl/>
          <w:lang w:bidi="ar-EG"/>
        </w:rPr>
      </w:pPr>
    </w:p>
    <w:p w14:paraId="65F0B726" w14:textId="77777777" w:rsidR="00B40D1C" w:rsidRDefault="00B40D1C" w:rsidP="002156AB">
      <w:pPr>
        <w:tabs>
          <w:tab w:val="left" w:pos="1016"/>
          <w:tab w:val="left" w:pos="1586"/>
          <w:tab w:val="center" w:pos="4513"/>
        </w:tabs>
        <w:bidi/>
        <w:spacing w:line="240" w:lineRule="auto"/>
        <w:jc w:val="center"/>
        <w:rPr>
          <w:rFonts w:asciiTheme="minorBidi" w:hAnsiTheme="minorBidi" w:cs="PT Bold Broken"/>
          <w:b/>
          <w:bCs/>
          <w:noProof/>
          <w:sz w:val="40"/>
          <w:szCs w:val="40"/>
          <w:lang w:bidi="ar-EG"/>
        </w:rPr>
      </w:pPr>
    </w:p>
    <w:p w14:paraId="1475D59C" w14:textId="5185F499" w:rsidR="0087037B" w:rsidRPr="00923041" w:rsidRDefault="008473BD" w:rsidP="00733102">
      <w:pPr>
        <w:tabs>
          <w:tab w:val="left" w:pos="1016"/>
          <w:tab w:val="left" w:pos="1586"/>
          <w:tab w:val="center" w:pos="4513"/>
        </w:tabs>
        <w:bidi/>
        <w:spacing w:line="240" w:lineRule="auto"/>
        <w:jc w:val="center"/>
        <w:rPr>
          <w:rFonts w:asciiTheme="majorBidi" w:hAnsiTheme="majorBidi" w:cstheme="majorBidi"/>
          <w:b/>
          <w:bCs/>
          <w:color w:val="002060"/>
          <w:sz w:val="36"/>
          <w:szCs w:val="36"/>
        </w:rPr>
      </w:pPr>
      <w:r w:rsidRPr="00923041">
        <w:rPr>
          <w:rFonts w:asciiTheme="majorBidi" w:hAnsiTheme="majorBidi" w:cstheme="majorBidi"/>
          <w:b/>
          <w:bCs/>
          <w:color w:val="002060"/>
          <w:sz w:val="36"/>
          <w:szCs w:val="36"/>
          <w:rtl/>
        </w:rPr>
        <w:t>"</w:t>
      </w:r>
      <w:r w:rsidR="00D976D0" w:rsidRPr="00923041">
        <w:rPr>
          <w:rFonts w:asciiTheme="majorBidi" w:hAnsiTheme="majorBidi" w:cstheme="majorBidi"/>
          <w:b/>
          <w:bCs/>
          <w:color w:val="002060"/>
          <w:sz w:val="36"/>
          <w:szCs w:val="36"/>
          <w:rtl/>
        </w:rPr>
        <w:t>دور التحول الرقمي في تعزيز الأمن وت</w:t>
      </w:r>
      <w:r w:rsidR="00A9676E" w:rsidRPr="00923041">
        <w:rPr>
          <w:rFonts w:asciiTheme="majorBidi" w:hAnsiTheme="majorBidi" w:cstheme="majorBidi"/>
          <w:b/>
          <w:bCs/>
          <w:color w:val="002060"/>
          <w:sz w:val="36"/>
          <w:szCs w:val="36"/>
          <w:rtl/>
        </w:rPr>
        <w:t xml:space="preserve">يسير </w:t>
      </w:r>
      <w:r w:rsidR="00D976D0" w:rsidRPr="00923041">
        <w:rPr>
          <w:rFonts w:asciiTheme="majorBidi" w:hAnsiTheme="majorBidi" w:cstheme="majorBidi"/>
          <w:b/>
          <w:bCs/>
          <w:color w:val="002060"/>
          <w:sz w:val="36"/>
          <w:szCs w:val="36"/>
          <w:rtl/>
        </w:rPr>
        <w:t>التجارة</w:t>
      </w:r>
      <w:r w:rsidR="0087037B" w:rsidRPr="00923041">
        <w:rPr>
          <w:rFonts w:asciiTheme="majorBidi" w:hAnsiTheme="majorBidi" w:cstheme="majorBidi"/>
          <w:b/>
          <w:bCs/>
          <w:color w:val="002060"/>
          <w:sz w:val="36"/>
          <w:szCs w:val="36"/>
          <w:rtl/>
        </w:rPr>
        <w:t>"</w:t>
      </w:r>
    </w:p>
    <w:p w14:paraId="322036FF" w14:textId="2FA63501" w:rsidR="00733102" w:rsidRPr="00923041" w:rsidRDefault="00733102" w:rsidP="00E53C12">
      <w:pPr>
        <w:tabs>
          <w:tab w:val="left" w:pos="1016"/>
          <w:tab w:val="left" w:pos="1586"/>
          <w:tab w:val="center" w:pos="4513"/>
        </w:tabs>
        <w:bidi/>
        <w:spacing w:line="240" w:lineRule="auto"/>
        <w:jc w:val="center"/>
        <w:rPr>
          <w:rFonts w:asciiTheme="majorBidi" w:hAnsiTheme="majorBidi" w:cstheme="majorBidi"/>
          <w:b/>
          <w:bCs/>
          <w:color w:val="002060"/>
          <w:sz w:val="28"/>
          <w:szCs w:val="28"/>
          <w:u w:val="single"/>
          <w:lang w:bidi="ar-EG"/>
        </w:rPr>
      </w:pPr>
      <w:r w:rsidRPr="00923041">
        <w:rPr>
          <w:rFonts w:asciiTheme="majorBidi" w:hAnsiTheme="majorBidi" w:cstheme="majorBidi"/>
          <w:b/>
          <w:bCs/>
          <w:color w:val="002060"/>
          <w:sz w:val="28"/>
          <w:szCs w:val="28"/>
          <w:u w:val="single"/>
          <w:rtl/>
          <w:lang w:bidi="ar-EG"/>
        </w:rPr>
        <w:t xml:space="preserve">دراسة على هيئة الزكاة والضريبة </w:t>
      </w:r>
      <w:r w:rsidR="00E53C12" w:rsidRPr="00923041">
        <w:rPr>
          <w:rFonts w:asciiTheme="majorBidi" w:hAnsiTheme="majorBidi" w:cstheme="majorBidi"/>
          <w:b/>
          <w:bCs/>
          <w:color w:val="002060"/>
          <w:sz w:val="28"/>
          <w:szCs w:val="28"/>
          <w:u w:val="single"/>
          <w:rtl/>
          <w:lang w:bidi="ar-EG"/>
        </w:rPr>
        <w:t>والجمارك</w:t>
      </w:r>
      <w:r w:rsidR="00E53C12" w:rsidRPr="00923041">
        <w:rPr>
          <w:rFonts w:asciiTheme="majorBidi" w:hAnsiTheme="majorBidi" w:cstheme="majorBidi"/>
          <w:b/>
          <w:bCs/>
          <w:color w:val="002060"/>
          <w:sz w:val="28"/>
          <w:szCs w:val="28"/>
          <w:u w:val="single"/>
          <w:lang w:bidi="ar-EG"/>
        </w:rPr>
        <w:t xml:space="preserve"> </w:t>
      </w:r>
    </w:p>
    <w:p w14:paraId="1816C7D4" w14:textId="08D40E66" w:rsidR="00E2033B" w:rsidRPr="00923041" w:rsidRDefault="008473BD" w:rsidP="00733102">
      <w:pPr>
        <w:spacing w:line="240" w:lineRule="auto"/>
        <w:ind w:left="360"/>
        <w:jc w:val="center"/>
        <w:outlineLvl w:val="0"/>
        <w:rPr>
          <w:rFonts w:asciiTheme="majorBidi" w:hAnsiTheme="majorBidi" w:cstheme="majorBidi"/>
          <w:b/>
          <w:bCs/>
          <w:sz w:val="36"/>
          <w:szCs w:val="36"/>
          <w:rtl/>
        </w:rPr>
      </w:pPr>
      <w:r w:rsidRPr="00923041">
        <w:rPr>
          <w:rFonts w:asciiTheme="majorBidi" w:hAnsiTheme="majorBidi" w:cstheme="majorBidi"/>
          <w:b/>
          <w:bCs/>
          <w:sz w:val="36"/>
          <w:szCs w:val="36"/>
        </w:rPr>
        <w:t>"</w:t>
      </w:r>
      <w:r w:rsidR="00A9676E" w:rsidRPr="00923041">
        <w:rPr>
          <w:rFonts w:asciiTheme="majorBidi" w:hAnsiTheme="majorBidi" w:cstheme="majorBidi"/>
          <w:sz w:val="36"/>
          <w:szCs w:val="36"/>
        </w:rPr>
        <w:t xml:space="preserve"> </w:t>
      </w:r>
      <w:r w:rsidR="00A9676E" w:rsidRPr="00923041">
        <w:rPr>
          <w:rFonts w:asciiTheme="majorBidi" w:hAnsiTheme="majorBidi" w:cstheme="majorBidi"/>
          <w:b/>
          <w:bCs/>
          <w:sz w:val="36"/>
          <w:szCs w:val="36"/>
        </w:rPr>
        <w:t xml:space="preserve">The Role of Digital Transformation in Enhancing Security and Facilitating Trade </w:t>
      </w:r>
      <w:r w:rsidR="00EA2966" w:rsidRPr="00923041">
        <w:rPr>
          <w:rFonts w:asciiTheme="majorBidi" w:hAnsiTheme="majorBidi" w:cstheme="majorBidi"/>
          <w:b/>
          <w:bCs/>
          <w:sz w:val="36"/>
          <w:szCs w:val="36"/>
        </w:rPr>
        <w:t>"</w:t>
      </w:r>
    </w:p>
    <w:p w14:paraId="0F0A9B8A" w14:textId="164C43FA" w:rsidR="00787591" w:rsidRPr="00923041" w:rsidRDefault="00787591" w:rsidP="00787591">
      <w:pPr>
        <w:bidi/>
        <w:jc w:val="center"/>
        <w:rPr>
          <w:rFonts w:asciiTheme="majorBidi" w:hAnsiTheme="majorBidi" w:cstheme="majorBidi"/>
          <w:b/>
          <w:bCs/>
          <w:sz w:val="28"/>
          <w:szCs w:val="28"/>
          <w:u w:val="single"/>
        </w:rPr>
      </w:pPr>
      <w:r w:rsidRPr="00923041">
        <w:rPr>
          <w:rFonts w:asciiTheme="majorBidi" w:hAnsiTheme="majorBidi" w:cstheme="majorBidi"/>
          <w:b/>
          <w:bCs/>
          <w:sz w:val="28"/>
          <w:szCs w:val="28"/>
          <w:u w:val="single"/>
        </w:rPr>
        <w:t xml:space="preserve">A Study on the Zakat, Tax and Customs Authority </w:t>
      </w:r>
    </w:p>
    <w:p w14:paraId="1B5B616F" w14:textId="77777777" w:rsidR="00923041" w:rsidRDefault="00923041" w:rsidP="00CC6D2A">
      <w:pPr>
        <w:bidi/>
        <w:spacing w:line="240" w:lineRule="auto"/>
        <w:ind w:left="360"/>
        <w:outlineLvl w:val="0"/>
        <w:rPr>
          <w:rFonts w:asciiTheme="majorBidi" w:hAnsiTheme="majorBidi" w:cstheme="majorBidi"/>
          <w:b/>
          <w:bCs/>
          <w:sz w:val="36"/>
          <w:szCs w:val="36"/>
          <w:rtl/>
          <w:lang w:bidi="ar-EG"/>
        </w:rPr>
      </w:pPr>
    </w:p>
    <w:p w14:paraId="6F6E9662" w14:textId="4A14CF23" w:rsidR="00E2033B" w:rsidRPr="00923041" w:rsidRDefault="00E2033B" w:rsidP="00923041">
      <w:pPr>
        <w:bidi/>
        <w:spacing w:line="240" w:lineRule="auto"/>
        <w:ind w:left="360"/>
        <w:outlineLvl w:val="0"/>
        <w:rPr>
          <w:rFonts w:asciiTheme="majorBidi" w:hAnsiTheme="majorBidi" w:cstheme="majorBidi"/>
          <w:b/>
          <w:bCs/>
          <w:sz w:val="28"/>
          <w:szCs w:val="28"/>
          <w:rtl/>
        </w:rPr>
      </w:pPr>
      <w:r w:rsidRPr="00923041">
        <w:rPr>
          <w:rFonts w:asciiTheme="majorBidi" w:hAnsiTheme="majorBidi" w:cstheme="majorBidi"/>
          <w:b/>
          <w:bCs/>
          <w:sz w:val="28"/>
          <w:szCs w:val="28"/>
          <w:rtl/>
          <w:lang w:bidi="ar-EG"/>
        </w:rPr>
        <w:t xml:space="preserve">أسم </w:t>
      </w:r>
      <w:r w:rsidR="004E1F96" w:rsidRPr="00923041">
        <w:rPr>
          <w:rFonts w:asciiTheme="majorBidi" w:hAnsiTheme="majorBidi" w:cstheme="majorBidi"/>
          <w:b/>
          <w:bCs/>
          <w:sz w:val="28"/>
          <w:szCs w:val="28"/>
          <w:rtl/>
          <w:lang w:bidi="ar-EG"/>
        </w:rPr>
        <w:t>الباحث:</w:t>
      </w:r>
      <w:r w:rsidRPr="00923041">
        <w:rPr>
          <w:rFonts w:asciiTheme="majorBidi" w:hAnsiTheme="majorBidi" w:cstheme="majorBidi"/>
          <w:b/>
          <w:bCs/>
          <w:sz w:val="28"/>
          <w:szCs w:val="28"/>
          <w:rtl/>
          <w:lang w:bidi="ar-EG"/>
        </w:rPr>
        <w:t xml:space="preserve"> </w:t>
      </w:r>
      <w:r w:rsidRPr="00923041">
        <w:rPr>
          <w:rFonts w:asciiTheme="majorBidi" w:hAnsiTheme="majorBidi" w:cstheme="majorBidi"/>
          <w:b/>
          <w:bCs/>
          <w:sz w:val="28"/>
          <w:szCs w:val="28"/>
          <w:rtl/>
        </w:rPr>
        <w:t>عبد الإله سعيد آل محيا</w:t>
      </w:r>
    </w:p>
    <w:p w14:paraId="5F0C637B" w14:textId="536D46F9" w:rsidR="00E2033B" w:rsidRPr="00923041" w:rsidRDefault="00E2033B" w:rsidP="004E40F6">
      <w:pPr>
        <w:bidi/>
        <w:spacing w:line="240" w:lineRule="auto"/>
        <w:ind w:left="360"/>
        <w:outlineLvl w:val="0"/>
        <w:rPr>
          <w:rFonts w:asciiTheme="majorBidi" w:hAnsiTheme="majorBidi" w:cstheme="majorBidi"/>
          <w:b/>
          <w:bCs/>
          <w:color w:val="000000" w:themeColor="text1"/>
          <w:sz w:val="28"/>
          <w:szCs w:val="28"/>
          <w:rtl/>
          <w:lang w:bidi="ar-EG"/>
        </w:rPr>
      </w:pPr>
      <w:r w:rsidRPr="00923041">
        <w:rPr>
          <w:rFonts w:asciiTheme="majorBidi" w:hAnsiTheme="majorBidi" w:cstheme="majorBidi"/>
          <w:b/>
          <w:bCs/>
          <w:color w:val="000000" w:themeColor="text1"/>
          <w:sz w:val="28"/>
          <w:szCs w:val="28"/>
          <w:rtl/>
        </w:rPr>
        <w:t xml:space="preserve">الرقم </w:t>
      </w:r>
      <w:r w:rsidR="004E1F96" w:rsidRPr="00923041">
        <w:rPr>
          <w:rFonts w:asciiTheme="majorBidi" w:hAnsiTheme="majorBidi" w:cstheme="majorBidi"/>
          <w:b/>
          <w:bCs/>
          <w:color w:val="000000" w:themeColor="text1"/>
          <w:sz w:val="28"/>
          <w:szCs w:val="28"/>
          <w:rtl/>
        </w:rPr>
        <w:t>الأكاديمي:</w:t>
      </w:r>
      <w:r w:rsidR="004E40F6" w:rsidRPr="00923041">
        <w:rPr>
          <w:rFonts w:asciiTheme="majorBidi" w:hAnsiTheme="majorBidi" w:cstheme="majorBidi"/>
          <w:b/>
          <w:bCs/>
          <w:color w:val="000000" w:themeColor="text1"/>
          <w:sz w:val="28"/>
          <w:szCs w:val="28"/>
        </w:rPr>
        <w:t xml:space="preserve"> </w:t>
      </w:r>
      <w:r w:rsidR="004E40F6" w:rsidRPr="00923041">
        <w:rPr>
          <w:rFonts w:asciiTheme="majorBidi" w:hAnsiTheme="majorBidi" w:cstheme="majorBidi"/>
          <w:b/>
          <w:bCs/>
          <w:color w:val="000000" w:themeColor="text1"/>
          <w:sz w:val="28"/>
          <w:szCs w:val="28"/>
          <w:rtl/>
          <w:lang w:bidi="ar-EG"/>
        </w:rPr>
        <w:t xml:space="preserve"> </w:t>
      </w:r>
      <w:r w:rsidR="00810178" w:rsidRPr="00923041">
        <w:rPr>
          <w:rFonts w:asciiTheme="majorBidi" w:hAnsiTheme="majorBidi" w:cstheme="majorBidi"/>
          <w:b/>
          <w:bCs/>
          <w:color w:val="000000" w:themeColor="text1"/>
          <w:sz w:val="28"/>
          <w:szCs w:val="28"/>
          <w:lang w:bidi="ar-EG"/>
        </w:rPr>
        <w:t>222001144</w:t>
      </w:r>
    </w:p>
    <w:p w14:paraId="6DF88A1C" w14:textId="6A8935B1" w:rsidR="00E2033B" w:rsidRDefault="00E2033B" w:rsidP="00E2033B">
      <w:pPr>
        <w:bidi/>
        <w:spacing w:line="240" w:lineRule="auto"/>
        <w:ind w:left="360"/>
        <w:outlineLvl w:val="0"/>
        <w:rPr>
          <w:rFonts w:asciiTheme="majorBidi" w:hAnsiTheme="majorBidi" w:cstheme="majorBidi"/>
          <w:b/>
          <w:bCs/>
          <w:color w:val="000000" w:themeColor="text1"/>
          <w:sz w:val="28"/>
          <w:szCs w:val="28"/>
          <w:rtl/>
        </w:rPr>
      </w:pPr>
      <w:r w:rsidRPr="00923041">
        <w:rPr>
          <w:rFonts w:asciiTheme="majorBidi" w:hAnsiTheme="majorBidi" w:cstheme="majorBidi"/>
          <w:b/>
          <w:bCs/>
          <w:color w:val="000000" w:themeColor="text1"/>
          <w:sz w:val="28"/>
          <w:szCs w:val="28"/>
          <w:rtl/>
        </w:rPr>
        <w:t>الكلية:</w:t>
      </w:r>
      <w:r w:rsidR="00CF3429" w:rsidRPr="00923041">
        <w:rPr>
          <w:rFonts w:asciiTheme="majorBidi" w:hAnsiTheme="majorBidi" w:cstheme="majorBidi"/>
          <w:b/>
          <w:bCs/>
          <w:color w:val="000000" w:themeColor="text1"/>
          <w:sz w:val="28"/>
          <w:szCs w:val="28"/>
          <w:rtl/>
        </w:rPr>
        <w:t xml:space="preserve"> الإدارة</w:t>
      </w:r>
      <w:r w:rsidR="00923041">
        <w:rPr>
          <w:rFonts w:asciiTheme="majorBidi" w:hAnsiTheme="majorBidi" w:cstheme="majorBidi" w:hint="cs"/>
          <w:b/>
          <w:bCs/>
          <w:color w:val="000000" w:themeColor="text1"/>
          <w:sz w:val="28"/>
          <w:szCs w:val="28"/>
          <w:rtl/>
        </w:rPr>
        <w:t xml:space="preserve"> الأعمال</w:t>
      </w:r>
    </w:p>
    <w:p w14:paraId="52AE97DF" w14:textId="76B7CC89" w:rsidR="00923041" w:rsidRPr="00923041" w:rsidRDefault="00923041" w:rsidP="00923041">
      <w:pPr>
        <w:bidi/>
        <w:spacing w:line="240" w:lineRule="auto"/>
        <w:ind w:left="360"/>
        <w:outlineLvl w:val="0"/>
        <w:rPr>
          <w:rFonts w:asciiTheme="majorBidi" w:hAnsiTheme="majorBidi" w:cstheme="majorBidi"/>
          <w:b/>
          <w:bCs/>
          <w:sz w:val="28"/>
          <w:szCs w:val="28"/>
          <w:rtl/>
          <w:lang w:bidi="ar-EG"/>
        </w:rPr>
      </w:pPr>
      <w:r>
        <w:rPr>
          <w:rFonts w:asciiTheme="majorBidi" w:hAnsiTheme="majorBidi" w:cstheme="majorBidi" w:hint="cs"/>
          <w:b/>
          <w:bCs/>
          <w:color w:val="000000" w:themeColor="text1"/>
          <w:sz w:val="28"/>
          <w:szCs w:val="28"/>
          <w:rtl/>
        </w:rPr>
        <w:t>الجامعة: جامعة ميدأوشن</w:t>
      </w:r>
    </w:p>
    <w:p w14:paraId="38CE693F" w14:textId="77777777" w:rsidR="00E2033B" w:rsidRPr="00923041" w:rsidRDefault="00E2033B" w:rsidP="00E2033B">
      <w:pPr>
        <w:spacing w:line="240" w:lineRule="auto"/>
        <w:rPr>
          <w:rFonts w:asciiTheme="majorBidi" w:hAnsiTheme="majorBidi" w:cstheme="majorBidi"/>
          <w:noProof/>
          <w:rtl/>
          <w:lang w:bidi="ar-JO"/>
        </w:rPr>
      </w:pPr>
    </w:p>
    <w:p w14:paraId="61A866A8" w14:textId="3310E241" w:rsidR="00E2033B" w:rsidRPr="00923041" w:rsidRDefault="00E2033B" w:rsidP="00E2033B">
      <w:pPr>
        <w:jc w:val="center"/>
        <w:rPr>
          <w:rFonts w:asciiTheme="majorBidi" w:hAnsiTheme="majorBidi" w:cstheme="majorBidi"/>
          <w:b/>
          <w:bCs/>
          <w:sz w:val="24"/>
          <w:szCs w:val="24"/>
          <w:rtl/>
        </w:rPr>
      </w:pPr>
      <w:r w:rsidRPr="00923041">
        <w:rPr>
          <w:rFonts w:asciiTheme="majorBidi" w:hAnsiTheme="majorBidi" w:cstheme="majorBidi"/>
          <w:b/>
          <w:bCs/>
          <w:sz w:val="24"/>
          <w:szCs w:val="24"/>
          <w:rtl/>
        </w:rPr>
        <w:t xml:space="preserve"> </w:t>
      </w:r>
      <w:r w:rsidR="001A6BFB" w:rsidRPr="00923041">
        <w:rPr>
          <w:rFonts w:asciiTheme="majorBidi" w:hAnsiTheme="majorBidi" w:cstheme="majorBidi"/>
          <w:b/>
          <w:bCs/>
          <w:sz w:val="24"/>
          <w:szCs w:val="24"/>
          <w:rtl/>
          <w:lang w:bidi="ar-EG"/>
        </w:rPr>
        <w:t>ه</w:t>
      </w:r>
      <w:r w:rsidRPr="00923041">
        <w:rPr>
          <w:rFonts w:asciiTheme="majorBidi" w:hAnsiTheme="majorBidi" w:cstheme="majorBidi"/>
          <w:b/>
          <w:bCs/>
          <w:sz w:val="24"/>
          <w:szCs w:val="24"/>
          <w:rtl/>
        </w:rPr>
        <w:t xml:space="preserve">       </w:t>
      </w:r>
      <w:r w:rsidR="001A6BFB" w:rsidRPr="00923041">
        <w:rPr>
          <w:rFonts w:asciiTheme="majorBidi" w:hAnsiTheme="majorBidi" w:cstheme="majorBidi"/>
          <w:b/>
          <w:bCs/>
          <w:sz w:val="24"/>
          <w:szCs w:val="24"/>
        </w:rPr>
        <w:t xml:space="preserve">1446 </w:t>
      </w:r>
      <w:r w:rsidR="001A6BFB" w:rsidRPr="00923041">
        <w:rPr>
          <w:rFonts w:asciiTheme="majorBidi" w:hAnsiTheme="majorBidi" w:cstheme="majorBidi"/>
          <w:b/>
          <w:bCs/>
          <w:sz w:val="24"/>
          <w:szCs w:val="24"/>
          <w:rtl/>
        </w:rPr>
        <w:t xml:space="preserve"> م</w:t>
      </w:r>
      <w:r w:rsidRPr="00923041">
        <w:rPr>
          <w:rFonts w:asciiTheme="majorBidi" w:hAnsiTheme="majorBidi" w:cstheme="majorBidi"/>
          <w:b/>
          <w:bCs/>
          <w:sz w:val="24"/>
          <w:szCs w:val="24"/>
          <w:rtl/>
        </w:rPr>
        <w:t xml:space="preserve">   </w:t>
      </w:r>
      <w:r w:rsidR="00E439A9" w:rsidRPr="00923041">
        <w:rPr>
          <w:rFonts w:asciiTheme="majorBidi" w:hAnsiTheme="majorBidi" w:cstheme="majorBidi"/>
          <w:b/>
          <w:bCs/>
          <w:sz w:val="24"/>
          <w:szCs w:val="24"/>
          <w:rtl/>
        </w:rPr>
        <w:t xml:space="preserve">- </w:t>
      </w:r>
      <w:r w:rsidR="001A6BFB" w:rsidRPr="00923041">
        <w:rPr>
          <w:rFonts w:asciiTheme="majorBidi" w:hAnsiTheme="majorBidi" w:cstheme="majorBidi"/>
          <w:b/>
          <w:bCs/>
          <w:sz w:val="24"/>
          <w:szCs w:val="24"/>
        </w:rPr>
        <w:t xml:space="preserve">2025 </w:t>
      </w:r>
      <w:r w:rsidRPr="00923041">
        <w:rPr>
          <w:rFonts w:asciiTheme="majorBidi" w:hAnsiTheme="majorBidi" w:cstheme="majorBidi"/>
          <w:b/>
          <w:bCs/>
          <w:sz w:val="24"/>
          <w:szCs w:val="24"/>
          <w:rtl/>
        </w:rPr>
        <w:br/>
      </w:r>
    </w:p>
    <w:p w14:paraId="0D953E3E" w14:textId="59E98A61" w:rsidR="008A25E1" w:rsidRPr="00923041" w:rsidRDefault="008A25E1" w:rsidP="008473BD">
      <w:pPr>
        <w:bidi/>
        <w:spacing w:line="240" w:lineRule="auto"/>
        <w:outlineLvl w:val="0"/>
        <w:rPr>
          <w:rFonts w:asciiTheme="majorBidi" w:hAnsiTheme="majorBidi" w:cstheme="majorBidi"/>
          <w:b/>
          <w:bCs/>
          <w:sz w:val="36"/>
          <w:szCs w:val="36"/>
        </w:rPr>
      </w:pPr>
    </w:p>
    <w:p w14:paraId="6CF91175" w14:textId="77777777" w:rsidR="00B40D1C" w:rsidRPr="00923041" w:rsidRDefault="00B40D1C" w:rsidP="00B40D1C">
      <w:pPr>
        <w:bidi/>
        <w:spacing w:line="240" w:lineRule="auto"/>
        <w:outlineLvl w:val="0"/>
        <w:rPr>
          <w:rFonts w:asciiTheme="majorBidi" w:hAnsiTheme="majorBidi" w:cstheme="majorBidi"/>
          <w:b/>
          <w:bCs/>
          <w:sz w:val="36"/>
          <w:szCs w:val="36"/>
          <w:rtl/>
        </w:rPr>
      </w:pPr>
    </w:p>
    <w:p w14:paraId="3DD070A8" w14:textId="77777777" w:rsidR="00B531E8" w:rsidRDefault="00B531E8" w:rsidP="00B531E8">
      <w:pPr>
        <w:bidi/>
        <w:spacing w:line="240" w:lineRule="auto"/>
        <w:outlineLvl w:val="0"/>
        <w:rPr>
          <w:rFonts w:asciiTheme="majorBidi" w:hAnsiTheme="majorBidi" w:cstheme="majorBidi"/>
          <w:b/>
          <w:bCs/>
          <w:sz w:val="36"/>
          <w:szCs w:val="36"/>
          <w:rtl/>
        </w:rPr>
      </w:pPr>
    </w:p>
    <w:p w14:paraId="0C489B6C" w14:textId="77777777" w:rsidR="00923041" w:rsidRPr="00923041" w:rsidRDefault="00923041" w:rsidP="00923041">
      <w:pPr>
        <w:bidi/>
        <w:spacing w:line="240" w:lineRule="auto"/>
        <w:outlineLvl w:val="0"/>
        <w:rPr>
          <w:rFonts w:asciiTheme="majorBidi" w:hAnsiTheme="majorBidi" w:cstheme="majorBidi"/>
          <w:b/>
          <w:bCs/>
          <w:sz w:val="36"/>
          <w:szCs w:val="36"/>
          <w:rtl/>
        </w:rPr>
      </w:pPr>
    </w:p>
    <w:p w14:paraId="189096CE" w14:textId="77777777" w:rsidR="00B531E8" w:rsidRDefault="00B531E8" w:rsidP="00B531E8">
      <w:pPr>
        <w:bidi/>
        <w:spacing w:line="240" w:lineRule="auto"/>
        <w:outlineLvl w:val="0"/>
        <w:rPr>
          <w:rFonts w:ascii="Sakkal Majalla" w:hAnsi="Sakkal Majalla" w:cs="Sakkal Majalla"/>
          <w:b/>
          <w:bCs/>
          <w:sz w:val="36"/>
          <w:szCs w:val="36"/>
          <w:rtl/>
        </w:rPr>
      </w:pPr>
    </w:p>
    <w:p w14:paraId="6843778A" w14:textId="77777777" w:rsidR="00B531E8" w:rsidRDefault="00B531E8" w:rsidP="00B531E8">
      <w:pPr>
        <w:bidi/>
        <w:spacing w:line="240" w:lineRule="auto"/>
        <w:outlineLvl w:val="0"/>
        <w:rPr>
          <w:rFonts w:ascii="Sakkal Majalla" w:hAnsi="Sakkal Majalla" w:cs="Sakkal Majalla"/>
          <w:b/>
          <w:bCs/>
          <w:sz w:val="36"/>
          <w:szCs w:val="36"/>
          <w:rtl/>
        </w:rPr>
      </w:pPr>
    </w:p>
    <w:p w14:paraId="2D808A0B" w14:textId="77777777" w:rsidR="0019590B" w:rsidRDefault="0019590B" w:rsidP="0019590B">
      <w:pPr>
        <w:bidi/>
        <w:spacing w:line="240" w:lineRule="auto"/>
        <w:outlineLvl w:val="0"/>
        <w:rPr>
          <w:rFonts w:ascii="Sakkal Majalla" w:hAnsi="Sakkal Majalla" w:cs="Sakkal Majalla"/>
          <w:b/>
          <w:bCs/>
          <w:sz w:val="36"/>
          <w:szCs w:val="36"/>
        </w:rPr>
      </w:pPr>
    </w:p>
    <w:p w14:paraId="21583184" w14:textId="77777777" w:rsidR="00A315C6" w:rsidRPr="00D04085" w:rsidRDefault="006F31BE" w:rsidP="007C444D">
      <w:pPr>
        <w:bidi/>
        <w:spacing w:line="240" w:lineRule="auto"/>
        <w:ind w:firstLine="720"/>
        <w:jc w:val="center"/>
        <w:rPr>
          <w:rFonts w:asciiTheme="majorBidi" w:hAnsiTheme="majorBidi" w:cs="PT Bold Heading"/>
          <w:b/>
          <w:bCs/>
          <w:color w:val="002060"/>
          <w:sz w:val="36"/>
          <w:szCs w:val="36"/>
          <w:rtl/>
          <w:lang w:bidi="ar-EG"/>
        </w:rPr>
      </w:pPr>
      <w:r w:rsidRPr="00D04085">
        <w:rPr>
          <w:rFonts w:asciiTheme="majorBidi" w:hAnsiTheme="majorBidi" w:cs="PT Bold Heading"/>
          <w:b/>
          <w:bCs/>
          <w:color w:val="002060"/>
          <w:sz w:val="36"/>
          <w:szCs w:val="36"/>
          <w:rtl/>
          <w:lang w:bidi="ar-EG"/>
        </w:rPr>
        <w:lastRenderedPageBreak/>
        <w:t>الإطار العام للدراسة</w:t>
      </w:r>
    </w:p>
    <w:p w14:paraId="27051C13" w14:textId="5A6D4704" w:rsidR="0051001C" w:rsidRPr="00D04085" w:rsidRDefault="00202E2A" w:rsidP="00D04085">
      <w:pPr>
        <w:bidi/>
        <w:spacing w:line="240" w:lineRule="auto"/>
        <w:rPr>
          <w:rFonts w:asciiTheme="majorBidi" w:hAnsiTheme="majorBidi" w:cs="PT Bold Heading"/>
          <w:b/>
          <w:bCs/>
          <w:color w:val="000000" w:themeColor="text1"/>
          <w:sz w:val="28"/>
          <w:szCs w:val="28"/>
          <w:rtl/>
          <w:lang w:bidi="ar-EG"/>
        </w:rPr>
      </w:pPr>
      <w:r w:rsidRPr="00D04085">
        <w:rPr>
          <w:rFonts w:asciiTheme="majorBidi" w:hAnsiTheme="majorBidi" w:cs="PT Bold Heading" w:hint="cs"/>
          <w:b/>
          <w:bCs/>
          <w:color w:val="000000" w:themeColor="text1"/>
          <w:sz w:val="28"/>
          <w:szCs w:val="28"/>
          <w:rtl/>
          <w:lang w:bidi="ar-EG"/>
        </w:rPr>
        <w:t>الفصل الأول</w:t>
      </w:r>
    </w:p>
    <w:p w14:paraId="0E6D1B30" w14:textId="77E2CF08" w:rsidR="006F31BE" w:rsidRPr="00202E2A" w:rsidRDefault="00202E2A" w:rsidP="007C444D">
      <w:pPr>
        <w:bidi/>
        <w:spacing w:line="240" w:lineRule="auto"/>
        <w:ind w:left="720"/>
        <w:jc w:val="lowKashida"/>
        <w:rPr>
          <w:rFonts w:asciiTheme="majorBidi" w:hAnsiTheme="majorBidi" w:cstheme="majorBidi"/>
          <w:color w:val="000000" w:themeColor="text1"/>
          <w:sz w:val="26"/>
          <w:szCs w:val="26"/>
          <w:lang w:bidi="ar-EG"/>
        </w:rPr>
      </w:pPr>
      <w:r w:rsidRPr="00202E2A">
        <w:rPr>
          <w:rFonts w:asciiTheme="majorBidi" w:hAnsiTheme="majorBidi" w:cstheme="majorBidi" w:hint="cs"/>
          <w:color w:val="000000" w:themeColor="text1"/>
          <w:sz w:val="26"/>
          <w:szCs w:val="26"/>
          <w:rtl/>
          <w:lang w:bidi="ar-EG"/>
        </w:rPr>
        <w:t>1</w:t>
      </w:r>
      <w:r w:rsidRPr="00202E2A">
        <w:rPr>
          <w:rFonts w:asciiTheme="majorBidi" w:hAnsiTheme="majorBidi" w:cstheme="majorBidi"/>
          <w:color w:val="000000" w:themeColor="text1"/>
          <w:sz w:val="26"/>
          <w:szCs w:val="26"/>
          <w:lang w:bidi="ar-EG"/>
        </w:rPr>
        <w:t>,</w:t>
      </w:r>
      <w:r w:rsidRPr="00202E2A">
        <w:rPr>
          <w:rFonts w:asciiTheme="majorBidi" w:hAnsiTheme="majorBidi" w:cstheme="majorBidi" w:hint="cs"/>
          <w:color w:val="000000" w:themeColor="text1"/>
          <w:sz w:val="26"/>
          <w:szCs w:val="26"/>
          <w:rtl/>
          <w:lang w:bidi="ar-EG"/>
        </w:rPr>
        <w:t>1</w:t>
      </w:r>
      <w:r w:rsidR="001C78BA" w:rsidRPr="00202E2A">
        <w:rPr>
          <w:rFonts w:asciiTheme="majorBidi" w:hAnsiTheme="majorBidi" w:cstheme="majorBidi"/>
          <w:color w:val="000000" w:themeColor="text1"/>
          <w:sz w:val="26"/>
          <w:szCs w:val="26"/>
          <w:rtl/>
          <w:lang w:bidi="ar-EG"/>
        </w:rPr>
        <w:t xml:space="preserve"> </w:t>
      </w:r>
      <w:r w:rsidR="006F31BE" w:rsidRPr="00202E2A">
        <w:rPr>
          <w:rFonts w:asciiTheme="majorBidi" w:hAnsiTheme="majorBidi" w:cstheme="majorBidi"/>
          <w:color w:val="000000" w:themeColor="text1"/>
          <w:sz w:val="26"/>
          <w:szCs w:val="26"/>
          <w:rtl/>
          <w:lang w:bidi="ar-EG"/>
        </w:rPr>
        <w:t xml:space="preserve">المقدمة </w:t>
      </w:r>
    </w:p>
    <w:p w14:paraId="3132801C" w14:textId="10B5C648" w:rsidR="001C78BA" w:rsidRPr="00202E2A" w:rsidRDefault="00202E2A" w:rsidP="007C444D">
      <w:pPr>
        <w:bidi/>
        <w:spacing w:line="240" w:lineRule="auto"/>
        <w:ind w:left="720"/>
        <w:jc w:val="lowKashida"/>
        <w:rPr>
          <w:rFonts w:asciiTheme="majorBidi" w:hAnsiTheme="majorBidi" w:cstheme="majorBidi"/>
          <w:color w:val="000000" w:themeColor="text1"/>
          <w:sz w:val="26"/>
          <w:szCs w:val="26"/>
          <w:lang w:bidi="ar-EG"/>
        </w:rPr>
      </w:pPr>
      <w:r w:rsidRPr="00202E2A">
        <w:rPr>
          <w:rFonts w:asciiTheme="majorBidi" w:hAnsiTheme="majorBidi" w:cstheme="majorBidi" w:hint="cs"/>
          <w:color w:val="000000" w:themeColor="text1"/>
          <w:sz w:val="26"/>
          <w:szCs w:val="26"/>
          <w:rtl/>
          <w:lang w:bidi="ar-EG"/>
        </w:rPr>
        <w:t>2</w:t>
      </w:r>
      <w:r w:rsidRPr="00202E2A">
        <w:rPr>
          <w:rFonts w:asciiTheme="majorBidi" w:hAnsiTheme="majorBidi" w:cstheme="majorBidi"/>
          <w:color w:val="000000" w:themeColor="text1"/>
          <w:sz w:val="26"/>
          <w:szCs w:val="26"/>
          <w:lang w:bidi="ar-EG"/>
        </w:rPr>
        <w:t>,</w:t>
      </w:r>
      <w:r w:rsidRPr="00202E2A">
        <w:rPr>
          <w:rFonts w:asciiTheme="majorBidi" w:hAnsiTheme="majorBidi" w:cstheme="majorBidi" w:hint="cs"/>
          <w:color w:val="000000" w:themeColor="text1"/>
          <w:sz w:val="26"/>
          <w:szCs w:val="26"/>
          <w:rtl/>
          <w:lang w:bidi="ar-EG"/>
        </w:rPr>
        <w:t>1</w:t>
      </w:r>
      <w:r w:rsidRPr="00202E2A">
        <w:rPr>
          <w:rFonts w:asciiTheme="majorBidi" w:hAnsiTheme="majorBidi" w:cstheme="majorBidi"/>
          <w:color w:val="000000" w:themeColor="text1"/>
          <w:sz w:val="26"/>
          <w:szCs w:val="26"/>
          <w:rtl/>
          <w:lang w:bidi="ar-EG"/>
        </w:rPr>
        <w:t xml:space="preserve"> </w:t>
      </w:r>
      <w:r w:rsidR="001C78BA" w:rsidRPr="00202E2A">
        <w:rPr>
          <w:rFonts w:asciiTheme="majorBidi" w:hAnsiTheme="majorBidi" w:cstheme="majorBidi"/>
          <w:color w:val="000000" w:themeColor="text1"/>
          <w:sz w:val="26"/>
          <w:szCs w:val="26"/>
          <w:rtl/>
          <w:lang w:bidi="ar-EG"/>
        </w:rPr>
        <w:t>مشكلة الدراسة</w:t>
      </w:r>
      <w:r w:rsidR="001C78BA" w:rsidRPr="00202E2A">
        <w:rPr>
          <w:rFonts w:asciiTheme="majorBidi" w:hAnsiTheme="majorBidi" w:cstheme="majorBidi"/>
          <w:color w:val="000000" w:themeColor="text1"/>
          <w:sz w:val="26"/>
          <w:szCs w:val="26"/>
          <w:lang w:bidi="ar-EG"/>
        </w:rPr>
        <w:t xml:space="preserve"> </w:t>
      </w:r>
    </w:p>
    <w:p w14:paraId="5ED17BEB" w14:textId="7E04B648" w:rsidR="001C78BA" w:rsidRPr="00202E2A" w:rsidRDefault="00202E2A" w:rsidP="007C444D">
      <w:pPr>
        <w:bidi/>
        <w:spacing w:line="240" w:lineRule="auto"/>
        <w:ind w:left="720"/>
        <w:jc w:val="lowKashida"/>
        <w:rPr>
          <w:rFonts w:asciiTheme="majorBidi" w:hAnsiTheme="majorBidi" w:cstheme="majorBidi"/>
          <w:color w:val="000000" w:themeColor="text1"/>
          <w:sz w:val="26"/>
          <w:szCs w:val="26"/>
          <w:lang w:bidi="ar-EG"/>
        </w:rPr>
      </w:pPr>
      <w:r w:rsidRPr="00202E2A">
        <w:rPr>
          <w:rFonts w:asciiTheme="majorBidi" w:hAnsiTheme="majorBidi" w:cstheme="majorBidi" w:hint="cs"/>
          <w:color w:val="000000" w:themeColor="text1"/>
          <w:sz w:val="26"/>
          <w:szCs w:val="26"/>
          <w:rtl/>
          <w:lang w:bidi="ar-EG"/>
        </w:rPr>
        <w:t>3</w:t>
      </w:r>
      <w:r w:rsidRPr="00202E2A">
        <w:rPr>
          <w:rFonts w:asciiTheme="majorBidi" w:hAnsiTheme="majorBidi" w:cstheme="majorBidi"/>
          <w:color w:val="000000" w:themeColor="text1"/>
          <w:sz w:val="26"/>
          <w:szCs w:val="26"/>
          <w:lang w:bidi="ar-EG"/>
        </w:rPr>
        <w:t>,</w:t>
      </w:r>
      <w:r w:rsidRPr="00202E2A">
        <w:rPr>
          <w:rFonts w:asciiTheme="majorBidi" w:hAnsiTheme="majorBidi" w:cstheme="majorBidi" w:hint="cs"/>
          <w:color w:val="000000" w:themeColor="text1"/>
          <w:sz w:val="26"/>
          <w:szCs w:val="26"/>
          <w:rtl/>
          <w:lang w:bidi="ar-EG"/>
        </w:rPr>
        <w:t>1</w:t>
      </w:r>
      <w:r w:rsidRPr="00202E2A">
        <w:rPr>
          <w:rFonts w:asciiTheme="majorBidi" w:hAnsiTheme="majorBidi" w:cstheme="majorBidi"/>
          <w:color w:val="000000" w:themeColor="text1"/>
          <w:sz w:val="26"/>
          <w:szCs w:val="26"/>
          <w:rtl/>
          <w:lang w:bidi="ar-EG"/>
        </w:rPr>
        <w:t xml:space="preserve"> </w:t>
      </w:r>
      <w:r w:rsidR="001C78BA" w:rsidRPr="00202E2A">
        <w:rPr>
          <w:rFonts w:asciiTheme="majorBidi" w:hAnsiTheme="majorBidi" w:cstheme="majorBidi"/>
          <w:color w:val="000000" w:themeColor="text1"/>
          <w:sz w:val="26"/>
          <w:szCs w:val="26"/>
          <w:rtl/>
          <w:lang w:bidi="ar-EG"/>
        </w:rPr>
        <w:t xml:space="preserve">أهمية الدراسة </w:t>
      </w:r>
    </w:p>
    <w:p w14:paraId="73E21C61" w14:textId="32FC6A07" w:rsidR="001C78BA" w:rsidRPr="00202E2A" w:rsidRDefault="00202E2A" w:rsidP="007C444D">
      <w:pPr>
        <w:bidi/>
        <w:spacing w:line="240" w:lineRule="auto"/>
        <w:ind w:left="720"/>
        <w:jc w:val="lowKashida"/>
        <w:rPr>
          <w:rFonts w:asciiTheme="majorBidi" w:hAnsiTheme="majorBidi" w:cstheme="majorBidi"/>
          <w:color w:val="000000" w:themeColor="text1"/>
          <w:sz w:val="26"/>
          <w:szCs w:val="26"/>
          <w:lang w:bidi="ar-EG"/>
        </w:rPr>
      </w:pPr>
      <w:r w:rsidRPr="00202E2A">
        <w:rPr>
          <w:rFonts w:asciiTheme="majorBidi" w:hAnsiTheme="majorBidi" w:cstheme="majorBidi" w:hint="cs"/>
          <w:color w:val="000000" w:themeColor="text1"/>
          <w:sz w:val="26"/>
          <w:szCs w:val="26"/>
          <w:rtl/>
          <w:lang w:bidi="ar-EG"/>
        </w:rPr>
        <w:t>4</w:t>
      </w:r>
      <w:r w:rsidRPr="00202E2A">
        <w:rPr>
          <w:rFonts w:asciiTheme="majorBidi" w:hAnsiTheme="majorBidi" w:cstheme="majorBidi"/>
          <w:color w:val="000000" w:themeColor="text1"/>
          <w:sz w:val="26"/>
          <w:szCs w:val="26"/>
          <w:lang w:bidi="ar-EG"/>
        </w:rPr>
        <w:t>,</w:t>
      </w:r>
      <w:r w:rsidRPr="00202E2A">
        <w:rPr>
          <w:rFonts w:asciiTheme="majorBidi" w:hAnsiTheme="majorBidi" w:cstheme="majorBidi" w:hint="cs"/>
          <w:color w:val="000000" w:themeColor="text1"/>
          <w:sz w:val="26"/>
          <w:szCs w:val="26"/>
          <w:rtl/>
          <w:lang w:bidi="ar-EG"/>
        </w:rPr>
        <w:t>1</w:t>
      </w:r>
      <w:r w:rsidRPr="00202E2A">
        <w:rPr>
          <w:rFonts w:asciiTheme="majorBidi" w:hAnsiTheme="majorBidi" w:cstheme="majorBidi"/>
          <w:color w:val="000000" w:themeColor="text1"/>
          <w:sz w:val="26"/>
          <w:szCs w:val="26"/>
          <w:rtl/>
          <w:lang w:bidi="ar-EG"/>
        </w:rPr>
        <w:t xml:space="preserve"> </w:t>
      </w:r>
      <w:r w:rsidR="001C78BA" w:rsidRPr="00202E2A">
        <w:rPr>
          <w:rFonts w:asciiTheme="majorBidi" w:hAnsiTheme="majorBidi" w:cstheme="majorBidi"/>
          <w:color w:val="000000" w:themeColor="text1"/>
          <w:sz w:val="26"/>
          <w:szCs w:val="26"/>
          <w:rtl/>
          <w:lang w:bidi="ar-EG"/>
        </w:rPr>
        <w:t xml:space="preserve">أهداف الدراسة </w:t>
      </w:r>
    </w:p>
    <w:p w14:paraId="5B915834" w14:textId="745090B7" w:rsidR="004B4A0D" w:rsidRPr="00202E2A" w:rsidRDefault="00202E2A" w:rsidP="007C444D">
      <w:pPr>
        <w:bidi/>
        <w:spacing w:line="240" w:lineRule="auto"/>
        <w:ind w:left="720"/>
        <w:jc w:val="lowKashida"/>
        <w:rPr>
          <w:rFonts w:asciiTheme="majorBidi" w:hAnsiTheme="majorBidi" w:cstheme="majorBidi"/>
          <w:color w:val="000000" w:themeColor="text1"/>
          <w:sz w:val="26"/>
          <w:szCs w:val="26"/>
          <w:lang w:bidi="ar-EG"/>
        </w:rPr>
      </w:pPr>
      <w:r w:rsidRPr="00202E2A">
        <w:rPr>
          <w:rFonts w:asciiTheme="majorBidi" w:hAnsiTheme="majorBidi" w:cstheme="majorBidi" w:hint="cs"/>
          <w:color w:val="000000" w:themeColor="text1"/>
          <w:sz w:val="26"/>
          <w:szCs w:val="26"/>
          <w:rtl/>
          <w:lang w:bidi="ar-EG"/>
        </w:rPr>
        <w:t>5</w:t>
      </w:r>
      <w:r w:rsidRPr="00202E2A">
        <w:rPr>
          <w:rFonts w:asciiTheme="majorBidi" w:hAnsiTheme="majorBidi" w:cstheme="majorBidi"/>
          <w:color w:val="000000" w:themeColor="text1"/>
          <w:sz w:val="26"/>
          <w:szCs w:val="26"/>
          <w:lang w:bidi="ar-EG"/>
        </w:rPr>
        <w:t>,</w:t>
      </w:r>
      <w:r w:rsidRPr="00202E2A">
        <w:rPr>
          <w:rFonts w:asciiTheme="majorBidi" w:hAnsiTheme="majorBidi" w:cstheme="majorBidi" w:hint="cs"/>
          <w:color w:val="000000" w:themeColor="text1"/>
          <w:sz w:val="26"/>
          <w:szCs w:val="26"/>
          <w:rtl/>
          <w:lang w:bidi="ar-EG"/>
        </w:rPr>
        <w:t>1</w:t>
      </w:r>
      <w:r w:rsidRPr="00202E2A">
        <w:rPr>
          <w:rFonts w:asciiTheme="majorBidi" w:hAnsiTheme="majorBidi" w:cstheme="majorBidi"/>
          <w:color w:val="000000" w:themeColor="text1"/>
          <w:sz w:val="26"/>
          <w:szCs w:val="26"/>
          <w:rtl/>
          <w:lang w:bidi="ar-EG"/>
        </w:rPr>
        <w:t xml:space="preserve"> </w:t>
      </w:r>
      <w:r w:rsidR="004B4A0D" w:rsidRPr="00202E2A">
        <w:rPr>
          <w:rFonts w:asciiTheme="majorBidi" w:hAnsiTheme="majorBidi" w:cstheme="majorBidi"/>
          <w:color w:val="000000" w:themeColor="text1"/>
          <w:sz w:val="26"/>
          <w:szCs w:val="26"/>
          <w:rtl/>
          <w:lang w:bidi="ar-EG"/>
        </w:rPr>
        <w:t xml:space="preserve">فروض الدراسة </w:t>
      </w:r>
    </w:p>
    <w:p w14:paraId="749E16B5" w14:textId="350247AC" w:rsidR="004B4A0D" w:rsidRPr="00202E2A" w:rsidRDefault="00202E2A" w:rsidP="007C444D">
      <w:pPr>
        <w:bidi/>
        <w:spacing w:line="240" w:lineRule="auto"/>
        <w:ind w:left="720"/>
        <w:jc w:val="lowKashida"/>
        <w:rPr>
          <w:rFonts w:asciiTheme="majorBidi" w:hAnsiTheme="majorBidi" w:cstheme="majorBidi"/>
          <w:color w:val="000000" w:themeColor="text1"/>
          <w:sz w:val="26"/>
          <w:szCs w:val="26"/>
          <w:lang w:bidi="ar-EG"/>
        </w:rPr>
      </w:pPr>
      <w:r w:rsidRPr="00202E2A">
        <w:rPr>
          <w:rFonts w:asciiTheme="majorBidi" w:hAnsiTheme="majorBidi" w:cstheme="majorBidi" w:hint="cs"/>
          <w:color w:val="000000" w:themeColor="text1"/>
          <w:sz w:val="26"/>
          <w:szCs w:val="26"/>
          <w:rtl/>
          <w:lang w:bidi="ar-EG"/>
        </w:rPr>
        <w:t>6</w:t>
      </w:r>
      <w:r w:rsidRPr="00202E2A">
        <w:rPr>
          <w:rFonts w:asciiTheme="majorBidi" w:hAnsiTheme="majorBidi" w:cstheme="majorBidi"/>
          <w:color w:val="000000" w:themeColor="text1"/>
          <w:sz w:val="26"/>
          <w:szCs w:val="26"/>
          <w:lang w:bidi="ar-EG"/>
        </w:rPr>
        <w:t>,</w:t>
      </w:r>
      <w:r w:rsidRPr="00202E2A">
        <w:rPr>
          <w:rFonts w:asciiTheme="majorBidi" w:hAnsiTheme="majorBidi" w:cstheme="majorBidi" w:hint="cs"/>
          <w:color w:val="000000" w:themeColor="text1"/>
          <w:sz w:val="26"/>
          <w:szCs w:val="26"/>
          <w:rtl/>
          <w:lang w:bidi="ar-EG"/>
        </w:rPr>
        <w:t>1</w:t>
      </w:r>
      <w:r w:rsidRPr="00202E2A">
        <w:rPr>
          <w:rFonts w:asciiTheme="majorBidi" w:hAnsiTheme="majorBidi" w:cstheme="majorBidi"/>
          <w:color w:val="000000" w:themeColor="text1"/>
          <w:sz w:val="26"/>
          <w:szCs w:val="26"/>
          <w:rtl/>
          <w:lang w:bidi="ar-EG"/>
        </w:rPr>
        <w:t xml:space="preserve"> </w:t>
      </w:r>
      <w:r w:rsidR="004B4A0D" w:rsidRPr="00202E2A">
        <w:rPr>
          <w:rFonts w:asciiTheme="majorBidi" w:hAnsiTheme="majorBidi" w:cstheme="majorBidi"/>
          <w:color w:val="000000" w:themeColor="text1"/>
          <w:sz w:val="26"/>
          <w:szCs w:val="26"/>
          <w:rtl/>
          <w:lang w:bidi="ar-EG"/>
        </w:rPr>
        <w:t xml:space="preserve">مفاهيم الدراسة </w:t>
      </w:r>
    </w:p>
    <w:p w14:paraId="6EE0B4CC" w14:textId="35ADF5E6" w:rsidR="004B4A0D" w:rsidRPr="00202E2A" w:rsidRDefault="00202E2A" w:rsidP="007C444D">
      <w:pPr>
        <w:bidi/>
        <w:spacing w:line="240" w:lineRule="auto"/>
        <w:ind w:left="720"/>
        <w:jc w:val="lowKashida"/>
        <w:rPr>
          <w:rFonts w:asciiTheme="majorBidi" w:hAnsiTheme="majorBidi" w:cstheme="majorBidi"/>
          <w:color w:val="000000" w:themeColor="text1"/>
          <w:sz w:val="26"/>
          <w:szCs w:val="26"/>
          <w:lang w:bidi="ar-EG"/>
        </w:rPr>
      </w:pPr>
      <w:r w:rsidRPr="00202E2A">
        <w:rPr>
          <w:rFonts w:asciiTheme="majorBidi" w:hAnsiTheme="majorBidi" w:cstheme="majorBidi" w:hint="cs"/>
          <w:color w:val="000000" w:themeColor="text1"/>
          <w:sz w:val="26"/>
          <w:szCs w:val="26"/>
          <w:rtl/>
          <w:lang w:bidi="ar-EG"/>
        </w:rPr>
        <w:t>7</w:t>
      </w:r>
      <w:r w:rsidRPr="00202E2A">
        <w:rPr>
          <w:rFonts w:asciiTheme="majorBidi" w:hAnsiTheme="majorBidi" w:cstheme="majorBidi"/>
          <w:color w:val="000000" w:themeColor="text1"/>
          <w:sz w:val="26"/>
          <w:szCs w:val="26"/>
          <w:lang w:bidi="ar-EG"/>
        </w:rPr>
        <w:t>,</w:t>
      </w:r>
      <w:r w:rsidRPr="00202E2A">
        <w:rPr>
          <w:rFonts w:asciiTheme="majorBidi" w:hAnsiTheme="majorBidi" w:cstheme="majorBidi" w:hint="cs"/>
          <w:color w:val="000000" w:themeColor="text1"/>
          <w:sz w:val="26"/>
          <w:szCs w:val="26"/>
          <w:rtl/>
          <w:lang w:bidi="ar-EG"/>
        </w:rPr>
        <w:t>1</w:t>
      </w:r>
      <w:r w:rsidRPr="00202E2A">
        <w:rPr>
          <w:rFonts w:asciiTheme="majorBidi" w:hAnsiTheme="majorBidi" w:cstheme="majorBidi"/>
          <w:color w:val="000000" w:themeColor="text1"/>
          <w:sz w:val="26"/>
          <w:szCs w:val="26"/>
          <w:rtl/>
          <w:lang w:bidi="ar-EG"/>
        </w:rPr>
        <w:t xml:space="preserve"> </w:t>
      </w:r>
      <w:r w:rsidR="004B4A0D" w:rsidRPr="00202E2A">
        <w:rPr>
          <w:rFonts w:asciiTheme="majorBidi" w:hAnsiTheme="majorBidi" w:cstheme="majorBidi"/>
          <w:color w:val="000000" w:themeColor="text1"/>
          <w:sz w:val="26"/>
          <w:szCs w:val="26"/>
          <w:rtl/>
          <w:lang w:bidi="ar-EG"/>
        </w:rPr>
        <w:t xml:space="preserve">الإجراءات </w:t>
      </w:r>
      <w:r w:rsidR="004B4A0D" w:rsidRPr="00202E2A">
        <w:rPr>
          <w:rFonts w:asciiTheme="majorBidi" w:hAnsiTheme="majorBidi" w:cstheme="majorBidi" w:hint="cs"/>
          <w:color w:val="000000" w:themeColor="text1"/>
          <w:sz w:val="26"/>
          <w:szCs w:val="26"/>
          <w:rtl/>
          <w:lang w:bidi="ar-EG"/>
        </w:rPr>
        <w:t>و</w:t>
      </w:r>
      <w:r w:rsidR="004B4A0D" w:rsidRPr="00202E2A">
        <w:rPr>
          <w:rFonts w:asciiTheme="majorBidi" w:hAnsiTheme="majorBidi" w:cstheme="majorBidi"/>
          <w:color w:val="000000" w:themeColor="text1"/>
          <w:sz w:val="26"/>
          <w:szCs w:val="26"/>
          <w:rtl/>
          <w:lang w:bidi="ar-EG"/>
        </w:rPr>
        <w:t xml:space="preserve">منهجية </w:t>
      </w:r>
      <w:r w:rsidR="004B4A0D" w:rsidRPr="00202E2A">
        <w:rPr>
          <w:rFonts w:asciiTheme="majorBidi" w:hAnsiTheme="majorBidi" w:cstheme="majorBidi" w:hint="cs"/>
          <w:color w:val="000000" w:themeColor="text1"/>
          <w:sz w:val="26"/>
          <w:szCs w:val="26"/>
          <w:rtl/>
          <w:lang w:bidi="ar-EG"/>
        </w:rPr>
        <w:t>ا</w:t>
      </w:r>
      <w:r w:rsidR="004B4A0D" w:rsidRPr="00202E2A">
        <w:rPr>
          <w:rFonts w:asciiTheme="majorBidi" w:hAnsiTheme="majorBidi" w:cstheme="majorBidi"/>
          <w:color w:val="000000" w:themeColor="text1"/>
          <w:sz w:val="26"/>
          <w:szCs w:val="26"/>
          <w:rtl/>
          <w:lang w:bidi="ar-EG"/>
        </w:rPr>
        <w:t xml:space="preserve">لدراسة </w:t>
      </w:r>
    </w:p>
    <w:p w14:paraId="5A971676" w14:textId="7ADBCD9E" w:rsidR="004B4A0D" w:rsidRPr="00202E2A" w:rsidRDefault="00202E2A" w:rsidP="007C444D">
      <w:pPr>
        <w:bidi/>
        <w:spacing w:line="240" w:lineRule="auto"/>
        <w:ind w:left="720"/>
        <w:jc w:val="lowKashida"/>
        <w:rPr>
          <w:rFonts w:asciiTheme="majorBidi" w:hAnsiTheme="majorBidi" w:cstheme="majorBidi"/>
          <w:color w:val="000000" w:themeColor="text1"/>
          <w:sz w:val="26"/>
          <w:szCs w:val="26"/>
          <w:rtl/>
          <w:lang w:bidi="ar-EG"/>
        </w:rPr>
      </w:pPr>
      <w:r w:rsidRPr="00202E2A">
        <w:rPr>
          <w:rFonts w:asciiTheme="majorBidi" w:hAnsiTheme="majorBidi" w:cstheme="majorBidi" w:hint="cs"/>
          <w:color w:val="000000" w:themeColor="text1"/>
          <w:sz w:val="26"/>
          <w:szCs w:val="26"/>
          <w:rtl/>
          <w:lang w:bidi="ar-EG"/>
        </w:rPr>
        <w:t>8</w:t>
      </w:r>
      <w:r w:rsidRPr="00202E2A">
        <w:rPr>
          <w:rFonts w:asciiTheme="majorBidi" w:hAnsiTheme="majorBidi" w:cstheme="majorBidi"/>
          <w:color w:val="000000" w:themeColor="text1"/>
          <w:sz w:val="26"/>
          <w:szCs w:val="26"/>
          <w:lang w:bidi="ar-EG"/>
        </w:rPr>
        <w:t>,</w:t>
      </w:r>
      <w:r w:rsidRPr="00202E2A">
        <w:rPr>
          <w:rFonts w:asciiTheme="majorBidi" w:hAnsiTheme="majorBidi" w:cstheme="majorBidi" w:hint="cs"/>
          <w:color w:val="000000" w:themeColor="text1"/>
          <w:sz w:val="26"/>
          <w:szCs w:val="26"/>
          <w:rtl/>
          <w:lang w:bidi="ar-EG"/>
        </w:rPr>
        <w:t>1</w:t>
      </w:r>
      <w:r w:rsidRPr="00202E2A">
        <w:rPr>
          <w:rFonts w:asciiTheme="majorBidi" w:hAnsiTheme="majorBidi" w:cstheme="majorBidi"/>
          <w:color w:val="000000" w:themeColor="text1"/>
          <w:sz w:val="26"/>
          <w:szCs w:val="26"/>
          <w:rtl/>
          <w:lang w:bidi="ar-EG"/>
        </w:rPr>
        <w:t xml:space="preserve"> </w:t>
      </w:r>
      <w:r w:rsidR="004B4A0D" w:rsidRPr="00202E2A">
        <w:rPr>
          <w:rFonts w:asciiTheme="majorBidi" w:hAnsiTheme="majorBidi" w:cstheme="majorBidi"/>
          <w:color w:val="000000" w:themeColor="text1"/>
          <w:sz w:val="26"/>
          <w:szCs w:val="26"/>
          <w:rtl/>
          <w:lang w:bidi="ar-EG"/>
        </w:rPr>
        <w:t xml:space="preserve">حدود الدراسة </w:t>
      </w:r>
    </w:p>
    <w:p w14:paraId="165EC55F" w14:textId="52C2163C" w:rsidR="00750E60" w:rsidRPr="00202E2A" w:rsidRDefault="00202E2A" w:rsidP="007C444D">
      <w:pPr>
        <w:bidi/>
        <w:spacing w:line="240" w:lineRule="auto"/>
        <w:ind w:left="720"/>
        <w:jc w:val="lowKashida"/>
        <w:rPr>
          <w:rFonts w:asciiTheme="majorBidi" w:hAnsiTheme="majorBidi" w:cstheme="majorBidi"/>
          <w:color w:val="000000" w:themeColor="text1"/>
          <w:sz w:val="26"/>
          <w:szCs w:val="26"/>
          <w:lang w:bidi="ar-EG"/>
        </w:rPr>
      </w:pPr>
      <w:r w:rsidRPr="00202E2A">
        <w:rPr>
          <w:rFonts w:asciiTheme="majorBidi" w:hAnsiTheme="majorBidi" w:cstheme="majorBidi" w:hint="cs"/>
          <w:color w:val="000000" w:themeColor="text1"/>
          <w:sz w:val="26"/>
          <w:szCs w:val="26"/>
          <w:rtl/>
          <w:lang w:bidi="ar-EG"/>
        </w:rPr>
        <w:t>9</w:t>
      </w:r>
      <w:r w:rsidRPr="00202E2A">
        <w:rPr>
          <w:rFonts w:asciiTheme="majorBidi" w:hAnsiTheme="majorBidi" w:cstheme="majorBidi"/>
          <w:color w:val="000000" w:themeColor="text1"/>
          <w:sz w:val="26"/>
          <w:szCs w:val="26"/>
          <w:lang w:bidi="ar-EG"/>
        </w:rPr>
        <w:t>,</w:t>
      </w:r>
      <w:r w:rsidRPr="00202E2A">
        <w:rPr>
          <w:rFonts w:asciiTheme="majorBidi" w:hAnsiTheme="majorBidi" w:cstheme="majorBidi" w:hint="cs"/>
          <w:color w:val="000000" w:themeColor="text1"/>
          <w:sz w:val="26"/>
          <w:szCs w:val="26"/>
          <w:rtl/>
          <w:lang w:bidi="ar-EG"/>
        </w:rPr>
        <w:t>1</w:t>
      </w:r>
      <w:r w:rsidRPr="00202E2A">
        <w:rPr>
          <w:rFonts w:asciiTheme="majorBidi" w:hAnsiTheme="majorBidi" w:cstheme="majorBidi"/>
          <w:color w:val="000000" w:themeColor="text1"/>
          <w:sz w:val="26"/>
          <w:szCs w:val="26"/>
          <w:rtl/>
          <w:lang w:bidi="ar-EG"/>
        </w:rPr>
        <w:t xml:space="preserve"> </w:t>
      </w:r>
      <w:r w:rsidR="004B4A0D" w:rsidRPr="00202E2A">
        <w:rPr>
          <w:rFonts w:asciiTheme="majorBidi" w:hAnsiTheme="majorBidi" w:cstheme="majorBidi" w:hint="cs"/>
          <w:color w:val="000000" w:themeColor="text1"/>
          <w:sz w:val="26"/>
          <w:szCs w:val="26"/>
          <w:rtl/>
          <w:lang w:bidi="ar-EG"/>
        </w:rPr>
        <w:t xml:space="preserve">نموذج الدراسة </w:t>
      </w:r>
    </w:p>
    <w:p w14:paraId="2DD68E3C" w14:textId="58AC05F4" w:rsidR="003804AC" w:rsidRPr="00D04085" w:rsidRDefault="00202E2A" w:rsidP="00D04085">
      <w:pPr>
        <w:bidi/>
        <w:spacing w:line="240" w:lineRule="auto"/>
        <w:rPr>
          <w:rFonts w:asciiTheme="majorBidi" w:hAnsiTheme="majorBidi" w:cs="PT Bold Heading"/>
          <w:b/>
          <w:bCs/>
          <w:sz w:val="28"/>
          <w:szCs w:val="28"/>
          <w:rtl/>
          <w:lang w:bidi="ar-EG"/>
        </w:rPr>
      </w:pPr>
      <w:r w:rsidRPr="00D04085">
        <w:rPr>
          <w:rFonts w:asciiTheme="majorBidi" w:hAnsiTheme="majorBidi" w:cs="PT Bold Heading" w:hint="cs"/>
          <w:b/>
          <w:bCs/>
          <w:sz w:val="28"/>
          <w:szCs w:val="28"/>
          <w:rtl/>
          <w:lang w:bidi="ar-EG"/>
        </w:rPr>
        <w:t>الفصل الثاني</w:t>
      </w:r>
    </w:p>
    <w:p w14:paraId="2022B39F" w14:textId="7A5153A1" w:rsidR="00202E2A" w:rsidRPr="00202E2A" w:rsidRDefault="00FF0F6B" w:rsidP="007C444D">
      <w:pPr>
        <w:bidi/>
        <w:spacing w:line="240" w:lineRule="auto"/>
        <w:rPr>
          <w:rFonts w:asciiTheme="majorBidi" w:hAnsiTheme="majorBidi" w:cstheme="majorBidi"/>
          <w:b/>
          <w:bCs/>
          <w:sz w:val="26"/>
          <w:szCs w:val="26"/>
          <w:lang w:bidi="ar-EG"/>
        </w:rPr>
      </w:pPr>
      <w:r>
        <w:rPr>
          <w:rFonts w:asciiTheme="majorBidi" w:hAnsiTheme="majorBidi" w:cstheme="majorBidi" w:hint="cs"/>
          <w:b/>
          <w:bCs/>
          <w:sz w:val="26"/>
          <w:szCs w:val="26"/>
          <w:rtl/>
          <w:lang w:bidi="ar-EG"/>
        </w:rPr>
        <w:t>الباب</w:t>
      </w:r>
      <w:r w:rsidR="00202E2A" w:rsidRPr="00202E2A">
        <w:rPr>
          <w:rFonts w:asciiTheme="majorBidi" w:hAnsiTheme="majorBidi" w:cstheme="majorBidi"/>
          <w:b/>
          <w:bCs/>
          <w:sz w:val="26"/>
          <w:szCs w:val="26"/>
          <w:rtl/>
          <w:lang w:bidi="ar-EG"/>
        </w:rPr>
        <w:t xml:space="preserve"> الأول: الإطار المفاهيمي والمنهجي للتحول الرقمي</w:t>
      </w:r>
    </w:p>
    <w:p w14:paraId="6E518C23" w14:textId="77777777" w:rsidR="00202E2A" w:rsidRPr="00202E2A" w:rsidRDefault="00202E2A" w:rsidP="007C444D">
      <w:pPr>
        <w:bidi/>
        <w:spacing w:line="240" w:lineRule="auto"/>
        <w:ind w:firstLine="720"/>
        <w:rPr>
          <w:rFonts w:asciiTheme="majorBidi" w:hAnsiTheme="majorBidi" w:cstheme="majorBidi"/>
          <w:sz w:val="26"/>
          <w:szCs w:val="26"/>
          <w:lang w:bidi="ar-EG"/>
        </w:rPr>
      </w:pPr>
      <w:r w:rsidRPr="00202E2A">
        <w:rPr>
          <w:rFonts w:asciiTheme="majorBidi" w:hAnsiTheme="majorBidi" w:cstheme="majorBidi"/>
          <w:sz w:val="26"/>
          <w:szCs w:val="26"/>
          <w:rtl/>
          <w:lang w:bidi="ar-EG"/>
        </w:rPr>
        <w:t>2.1.1 تطور مفهوم التحول الرقمي من الحكومة الإلكترونية إلى الاقتصاد الذكي</w:t>
      </w:r>
    </w:p>
    <w:p w14:paraId="497A0F74" w14:textId="77777777" w:rsidR="00202E2A" w:rsidRPr="00202E2A" w:rsidRDefault="00202E2A" w:rsidP="007C444D">
      <w:pPr>
        <w:bidi/>
        <w:spacing w:line="240" w:lineRule="auto"/>
        <w:ind w:firstLine="720"/>
        <w:rPr>
          <w:rFonts w:asciiTheme="majorBidi" w:hAnsiTheme="majorBidi" w:cstheme="majorBidi"/>
          <w:sz w:val="26"/>
          <w:szCs w:val="26"/>
          <w:lang w:bidi="ar-EG"/>
        </w:rPr>
      </w:pPr>
      <w:r w:rsidRPr="00202E2A">
        <w:rPr>
          <w:rFonts w:asciiTheme="majorBidi" w:hAnsiTheme="majorBidi" w:cstheme="majorBidi"/>
          <w:sz w:val="26"/>
          <w:szCs w:val="26"/>
          <w:rtl/>
          <w:lang w:bidi="ar-EG"/>
        </w:rPr>
        <w:t>2.1.2 الفروق المفاهيمية بين التحول الرقمي، التحول التقني، والابتكار المؤسسي</w:t>
      </w:r>
    </w:p>
    <w:p w14:paraId="6AAFAEFA" w14:textId="77777777" w:rsidR="00202E2A" w:rsidRPr="00202E2A" w:rsidRDefault="00202E2A" w:rsidP="007C444D">
      <w:pPr>
        <w:bidi/>
        <w:spacing w:line="240" w:lineRule="auto"/>
        <w:ind w:firstLine="720"/>
        <w:rPr>
          <w:rFonts w:asciiTheme="majorBidi" w:hAnsiTheme="majorBidi" w:cstheme="majorBidi"/>
          <w:sz w:val="26"/>
          <w:szCs w:val="26"/>
          <w:lang w:bidi="ar-EG"/>
        </w:rPr>
      </w:pPr>
      <w:r w:rsidRPr="00202E2A">
        <w:rPr>
          <w:rFonts w:asciiTheme="majorBidi" w:hAnsiTheme="majorBidi" w:cstheme="majorBidi"/>
          <w:sz w:val="26"/>
          <w:szCs w:val="26"/>
          <w:rtl/>
          <w:lang w:bidi="ar-EG"/>
        </w:rPr>
        <w:t>2.1.3 الأسس النظرية الداعمة للتحول الرقمي (النظرية المؤسسية – نظرية النظم – نظرية الكفاءة الديناميكية)</w:t>
      </w:r>
    </w:p>
    <w:p w14:paraId="70D8A4DA" w14:textId="77777777" w:rsidR="00202E2A" w:rsidRPr="00202E2A" w:rsidRDefault="00202E2A" w:rsidP="007C444D">
      <w:pPr>
        <w:bidi/>
        <w:spacing w:line="240" w:lineRule="auto"/>
        <w:ind w:firstLine="720"/>
        <w:rPr>
          <w:rFonts w:asciiTheme="majorBidi" w:hAnsiTheme="majorBidi" w:cstheme="majorBidi"/>
          <w:sz w:val="26"/>
          <w:szCs w:val="26"/>
          <w:lang w:bidi="ar-EG"/>
        </w:rPr>
      </w:pPr>
      <w:r w:rsidRPr="00202E2A">
        <w:rPr>
          <w:rFonts w:asciiTheme="majorBidi" w:hAnsiTheme="majorBidi" w:cstheme="majorBidi"/>
          <w:sz w:val="26"/>
          <w:szCs w:val="26"/>
          <w:rtl/>
          <w:lang w:bidi="ar-EG"/>
        </w:rPr>
        <w:t>2.1.4</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 xml:space="preserve">النماذج العالمية للتحول الرقمي (نموذج </w:t>
      </w:r>
      <w:r w:rsidRPr="00202E2A">
        <w:rPr>
          <w:rFonts w:asciiTheme="majorBidi" w:hAnsiTheme="majorBidi" w:cstheme="majorBidi"/>
          <w:sz w:val="26"/>
          <w:szCs w:val="26"/>
          <w:lang w:bidi="ar-EG"/>
        </w:rPr>
        <w:t>Westerman &amp; Bonnet</w:t>
      </w:r>
      <w:r w:rsidRPr="00202E2A">
        <w:rPr>
          <w:rFonts w:asciiTheme="majorBidi" w:hAnsiTheme="majorBidi" w:cstheme="majorBidi"/>
          <w:sz w:val="26"/>
          <w:szCs w:val="26"/>
          <w:rtl/>
          <w:lang w:bidi="ar-EG"/>
        </w:rPr>
        <w:t xml:space="preserve">، نموذج </w:t>
      </w:r>
      <w:r w:rsidRPr="00202E2A">
        <w:rPr>
          <w:rFonts w:asciiTheme="majorBidi" w:hAnsiTheme="majorBidi" w:cstheme="majorBidi"/>
          <w:sz w:val="26"/>
          <w:szCs w:val="26"/>
          <w:lang w:bidi="ar-EG"/>
        </w:rPr>
        <w:t>Gartner</w:t>
      </w:r>
      <w:r w:rsidRPr="00202E2A">
        <w:rPr>
          <w:rFonts w:asciiTheme="majorBidi" w:hAnsiTheme="majorBidi" w:cstheme="majorBidi"/>
          <w:sz w:val="26"/>
          <w:szCs w:val="26"/>
          <w:rtl/>
          <w:lang w:bidi="ar-EG"/>
        </w:rPr>
        <w:t xml:space="preserve">، نموذج </w:t>
      </w:r>
      <w:r w:rsidRPr="00202E2A">
        <w:rPr>
          <w:rFonts w:asciiTheme="majorBidi" w:hAnsiTheme="majorBidi" w:cstheme="majorBidi"/>
          <w:sz w:val="26"/>
          <w:szCs w:val="26"/>
          <w:lang w:bidi="ar-EG"/>
        </w:rPr>
        <w:t>OECD</w:t>
      </w:r>
      <w:r w:rsidRPr="00202E2A">
        <w:rPr>
          <w:rFonts w:asciiTheme="majorBidi" w:hAnsiTheme="majorBidi" w:cstheme="majorBidi"/>
          <w:sz w:val="26"/>
          <w:szCs w:val="26"/>
          <w:rtl/>
          <w:lang w:bidi="ar-EG"/>
        </w:rPr>
        <w:t>)</w:t>
      </w:r>
    </w:p>
    <w:p w14:paraId="42393EF3" w14:textId="77777777" w:rsidR="00202E2A" w:rsidRPr="00202E2A" w:rsidRDefault="00202E2A" w:rsidP="007C444D">
      <w:pPr>
        <w:bidi/>
        <w:spacing w:line="240" w:lineRule="auto"/>
        <w:ind w:firstLine="720"/>
        <w:rPr>
          <w:rFonts w:asciiTheme="majorBidi" w:hAnsiTheme="majorBidi" w:cstheme="majorBidi"/>
          <w:sz w:val="26"/>
          <w:szCs w:val="26"/>
          <w:lang w:bidi="ar-EG"/>
        </w:rPr>
      </w:pPr>
      <w:r w:rsidRPr="00202E2A">
        <w:rPr>
          <w:rFonts w:asciiTheme="majorBidi" w:hAnsiTheme="majorBidi" w:cstheme="majorBidi"/>
          <w:sz w:val="26"/>
          <w:szCs w:val="26"/>
          <w:rtl/>
          <w:lang w:bidi="ar-EG"/>
        </w:rPr>
        <w:t>2.1.5 محددات نجاح التحول الرقمي في القطاع العام (البنية التحتية، رأس المال البشري، الثقافة التنظيمية)</w:t>
      </w:r>
    </w:p>
    <w:p w14:paraId="2930BE94" w14:textId="77777777" w:rsidR="00202E2A" w:rsidRPr="00202E2A" w:rsidRDefault="00202E2A" w:rsidP="007C444D">
      <w:pPr>
        <w:bidi/>
        <w:spacing w:line="240" w:lineRule="auto"/>
        <w:ind w:firstLine="720"/>
        <w:rPr>
          <w:rFonts w:asciiTheme="majorBidi" w:hAnsiTheme="majorBidi" w:cstheme="majorBidi"/>
          <w:sz w:val="26"/>
          <w:szCs w:val="26"/>
          <w:lang w:bidi="ar-EG"/>
        </w:rPr>
      </w:pPr>
      <w:r w:rsidRPr="00202E2A">
        <w:rPr>
          <w:rFonts w:asciiTheme="majorBidi" w:hAnsiTheme="majorBidi" w:cstheme="majorBidi"/>
          <w:sz w:val="26"/>
          <w:szCs w:val="26"/>
          <w:rtl/>
          <w:lang w:bidi="ar-EG"/>
        </w:rPr>
        <w:t>2.1.6 التحول الرقمي في السياق السعودي: من الرؤية الوطنية 2030 إلى المبادرات الحكومية الرقمية</w:t>
      </w:r>
    </w:p>
    <w:p w14:paraId="4E0C067C" w14:textId="77777777" w:rsidR="00202E2A" w:rsidRPr="00202E2A" w:rsidRDefault="00202E2A" w:rsidP="007C444D">
      <w:pPr>
        <w:bidi/>
        <w:spacing w:line="240" w:lineRule="auto"/>
        <w:ind w:firstLine="720"/>
        <w:rPr>
          <w:rFonts w:asciiTheme="majorBidi" w:hAnsiTheme="majorBidi" w:cstheme="majorBidi"/>
          <w:sz w:val="26"/>
          <w:szCs w:val="26"/>
          <w:lang w:bidi="ar-EG"/>
        </w:rPr>
      </w:pPr>
      <w:r w:rsidRPr="00202E2A">
        <w:rPr>
          <w:rFonts w:asciiTheme="majorBidi" w:hAnsiTheme="majorBidi" w:cstheme="majorBidi"/>
          <w:sz w:val="26"/>
          <w:szCs w:val="26"/>
          <w:rtl/>
          <w:lang w:bidi="ar-EG"/>
        </w:rPr>
        <w:t>2.1.7</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التجارب الدولية المقارنة (كوريا الجنوبية، إستونيا، الصين، سنغافورة)</w:t>
      </w:r>
    </w:p>
    <w:p w14:paraId="3E61B144" w14:textId="77777777" w:rsidR="00202E2A" w:rsidRPr="00202E2A" w:rsidRDefault="00202E2A" w:rsidP="007C444D">
      <w:pPr>
        <w:bidi/>
        <w:spacing w:line="240" w:lineRule="auto"/>
        <w:ind w:firstLine="720"/>
        <w:rPr>
          <w:rFonts w:asciiTheme="majorBidi" w:hAnsiTheme="majorBidi" w:cstheme="majorBidi"/>
          <w:sz w:val="26"/>
          <w:szCs w:val="26"/>
          <w:lang w:bidi="ar-EG"/>
        </w:rPr>
      </w:pPr>
      <w:r w:rsidRPr="00202E2A">
        <w:rPr>
          <w:rFonts w:asciiTheme="majorBidi" w:hAnsiTheme="majorBidi" w:cstheme="majorBidi"/>
          <w:sz w:val="26"/>
          <w:szCs w:val="26"/>
          <w:rtl/>
          <w:lang w:bidi="ar-EG"/>
        </w:rPr>
        <w:t>2.1.8 تقييم جاهزية المملكة للتحول الرقمي وفق مؤشرات الأمم المتحدة (</w:t>
      </w:r>
      <w:r w:rsidRPr="00202E2A">
        <w:rPr>
          <w:rFonts w:asciiTheme="majorBidi" w:hAnsiTheme="majorBidi" w:cstheme="majorBidi"/>
          <w:sz w:val="26"/>
          <w:szCs w:val="26"/>
          <w:lang w:bidi="ar-EG"/>
        </w:rPr>
        <w:t>EGDI</w:t>
      </w:r>
      <w:r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lang w:bidi="ar-EG"/>
        </w:rPr>
        <w:t>LPI</w:t>
      </w:r>
      <w:r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lang w:bidi="ar-EG"/>
        </w:rPr>
        <w:t>NRI</w:t>
      </w:r>
      <w:r w:rsidRPr="00202E2A">
        <w:rPr>
          <w:rFonts w:asciiTheme="majorBidi" w:hAnsiTheme="majorBidi" w:cstheme="majorBidi"/>
          <w:sz w:val="26"/>
          <w:szCs w:val="26"/>
          <w:rtl/>
          <w:lang w:bidi="ar-EG"/>
        </w:rPr>
        <w:t>)</w:t>
      </w:r>
    </w:p>
    <w:p w14:paraId="44DA5EF6" w14:textId="0704CF50" w:rsidR="00202E2A" w:rsidRPr="00202E2A" w:rsidRDefault="00FF0F6B" w:rsidP="007C444D">
      <w:pPr>
        <w:bidi/>
        <w:spacing w:line="240" w:lineRule="auto"/>
        <w:rPr>
          <w:rFonts w:asciiTheme="majorBidi" w:hAnsiTheme="majorBidi" w:cstheme="majorBidi"/>
          <w:b/>
          <w:bCs/>
          <w:sz w:val="26"/>
          <w:szCs w:val="26"/>
          <w:lang w:bidi="ar-EG"/>
        </w:rPr>
      </w:pPr>
      <w:r>
        <w:rPr>
          <w:rFonts w:asciiTheme="majorBidi" w:hAnsiTheme="majorBidi" w:cstheme="majorBidi" w:hint="cs"/>
          <w:b/>
          <w:bCs/>
          <w:sz w:val="26"/>
          <w:szCs w:val="26"/>
          <w:rtl/>
          <w:lang w:bidi="ar-EG"/>
        </w:rPr>
        <w:t>الباب</w:t>
      </w:r>
      <w:r w:rsidRPr="00202E2A">
        <w:rPr>
          <w:rFonts w:asciiTheme="majorBidi" w:hAnsiTheme="majorBidi" w:cstheme="majorBidi"/>
          <w:b/>
          <w:bCs/>
          <w:sz w:val="26"/>
          <w:szCs w:val="26"/>
          <w:rtl/>
          <w:lang w:bidi="ar-EG"/>
        </w:rPr>
        <w:t xml:space="preserve"> </w:t>
      </w:r>
      <w:r w:rsidR="00202E2A" w:rsidRPr="00202E2A">
        <w:rPr>
          <w:rFonts w:asciiTheme="majorBidi" w:hAnsiTheme="majorBidi" w:cstheme="majorBidi"/>
          <w:b/>
          <w:bCs/>
          <w:sz w:val="26"/>
          <w:szCs w:val="26"/>
          <w:rtl/>
          <w:lang w:bidi="ar-EG"/>
        </w:rPr>
        <w:t>الثاني: الأبعاد المكونة للتحول الرقمي في المؤسسات الحكومية</w:t>
      </w:r>
    </w:p>
    <w:p w14:paraId="0879D45E" w14:textId="77777777" w:rsidR="00202E2A" w:rsidRPr="00202E2A" w:rsidRDefault="00202E2A" w:rsidP="007C444D">
      <w:pPr>
        <w:bidi/>
        <w:spacing w:line="240" w:lineRule="auto"/>
        <w:ind w:firstLine="720"/>
        <w:rPr>
          <w:rFonts w:asciiTheme="majorBidi" w:hAnsiTheme="majorBidi" w:cstheme="majorBidi"/>
          <w:sz w:val="26"/>
          <w:szCs w:val="26"/>
          <w:lang w:bidi="ar-EG"/>
        </w:rPr>
      </w:pPr>
      <w:r w:rsidRPr="00202E2A">
        <w:rPr>
          <w:rFonts w:asciiTheme="majorBidi" w:hAnsiTheme="majorBidi" w:cstheme="majorBidi"/>
          <w:sz w:val="26"/>
          <w:szCs w:val="26"/>
          <w:rtl/>
          <w:lang w:bidi="ar-EG"/>
        </w:rPr>
        <w:t>2.2.1 البعد الأول: الأسس الرقمية</w:t>
      </w:r>
    </w:p>
    <w:p w14:paraId="44D4DB30" w14:textId="77777777" w:rsidR="00202E2A" w:rsidRPr="00202E2A" w:rsidRDefault="00202E2A" w:rsidP="007C444D">
      <w:pPr>
        <w:bidi/>
        <w:spacing w:line="240" w:lineRule="auto"/>
        <w:ind w:left="720" w:firstLine="720"/>
        <w:rPr>
          <w:rFonts w:asciiTheme="majorBidi" w:hAnsiTheme="majorBidi" w:cstheme="majorBidi"/>
          <w:sz w:val="26"/>
          <w:szCs w:val="26"/>
          <w:lang w:bidi="ar-EG"/>
        </w:rPr>
      </w:pPr>
      <w:r w:rsidRPr="00202E2A">
        <w:rPr>
          <w:rFonts w:asciiTheme="majorBidi" w:hAnsiTheme="majorBidi" w:cstheme="majorBidi"/>
          <w:sz w:val="26"/>
          <w:szCs w:val="26"/>
          <w:rtl/>
          <w:lang w:bidi="ar-EG"/>
        </w:rPr>
        <w:t>2.2.1.1 البنية التحتية التكنولوجية والأمن السيبراني</w:t>
      </w:r>
    </w:p>
    <w:p w14:paraId="34E98D64" w14:textId="77777777" w:rsidR="00202E2A" w:rsidRPr="00202E2A" w:rsidRDefault="00202E2A" w:rsidP="007C444D">
      <w:pPr>
        <w:bidi/>
        <w:spacing w:line="240" w:lineRule="auto"/>
        <w:ind w:left="720" w:firstLine="720"/>
        <w:rPr>
          <w:rFonts w:asciiTheme="majorBidi" w:hAnsiTheme="majorBidi" w:cstheme="majorBidi"/>
          <w:sz w:val="26"/>
          <w:szCs w:val="26"/>
          <w:lang w:bidi="ar-EG"/>
        </w:rPr>
      </w:pPr>
      <w:r w:rsidRPr="00202E2A">
        <w:rPr>
          <w:rFonts w:asciiTheme="majorBidi" w:hAnsiTheme="majorBidi" w:cstheme="majorBidi"/>
          <w:sz w:val="26"/>
          <w:szCs w:val="26"/>
          <w:rtl/>
          <w:lang w:bidi="ar-EG"/>
        </w:rPr>
        <w:t>2.2.1.2 إدارة البيانات الضخمة والتحليلات المتقدمة</w:t>
      </w:r>
    </w:p>
    <w:p w14:paraId="7EE1FDB5" w14:textId="77777777" w:rsidR="00202E2A" w:rsidRPr="00202E2A" w:rsidRDefault="00202E2A" w:rsidP="007C444D">
      <w:pPr>
        <w:bidi/>
        <w:spacing w:line="240" w:lineRule="auto"/>
        <w:ind w:left="720" w:firstLine="720"/>
        <w:rPr>
          <w:rFonts w:asciiTheme="majorBidi" w:hAnsiTheme="majorBidi" w:cstheme="majorBidi"/>
          <w:sz w:val="26"/>
          <w:szCs w:val="26"/>
          <w:lang w:bidi="ar-EG"/>
        </w:rPr>
      </w:pPr>
      <w:r w:rsidRPr="00202E2A">
        <w:rPr>
          <w:rFonts w:asciiTheme="majorBidi" w:hAnsiTheme="majorBidi" w:cstheme="majorBidi"/>
          <w:sz w:val="26"/>
          <w:szCs w:val="26"/>
          <w:rtl/>
          <w:lang w:bidi="ar-EG"/>
        </w:rPr>
        <w:lastRenderedPageBreak/>
        <w:t>2.2.1.3 تطوير الكفاءات الرقمية للموظفين</w:t>
      </w:r>
    </w:p>
    <w:p w14:paraId="3ECEF46D" w14:textId="77777777" w:rsidR="00202E2A" w:rsidRPr="00202E2A" w:rsidRDefault="00202E2A" w:rsidP="007C444D">
      <w:pPr>
        <w:bidi/>
        <w:spacing w:line="240" w:lineRule="auto"/>
        <w:ind w:firstLine="720"/>
        <w:rPr>
          <w:rFonts w:asciiTheme="majorBidi" w:hAnsiTheme="majorBidi" w:cstheme="majorBidi"/>
          <w:sz w:val="26"/>
          <w:szCs w:val="26"/>
          <w:lang w:bidi="ar-EG"/>
        </w:rPr>
      </w:pPr>
      <w:r w:rsidRPr="00202E2A">
        <w:rPr>
          <w:rFonts w:asciiTheme="majorBidi" w:hAnsiTheme="majorBidi" w:cstheme="majorBidi"/>
          <w:sz w:val="26"/>
          <w:szCs w:val="26"/>
          <w:rtl/>
          <w:lang w:bidi="ar-EG"/>
        </w:rPr>
        <w:t>2.2.2 البعد الثاني: الابتكار الرقمي</w:t>
      </w:r>
    </w:p>
    <w:p w14:paraId="2483D430" w14:textId="77777777" w:rsidR="00202E2A" w:rsidRPr="00202E2A" w:rsidRDefault="00202E2A" w:rsidP="007C444D">
      <w:pPr>
        <w:bidi/>
        <w:spacing w:line="240" w:lineRule="auto"/>
        <w:ind w:left="1440"/>
        <w:rPr>
          <w:rFonts w:asciiTheme="majorBidi" w:hAnsiTheme="majorBidi" w:cstheme="majorBidi"/>
          <w:sz w:val="26"/>
          <w:szCs w:val="26"/>
          <w:lang w:bidi="ar-EG"/>
        </w:rPr>
      </w:pPr>
      <w:r w:rsidRPr="00202E2A">
        <w:rPr>
          <w:rFonts w:asciiTheme="majorBidi" w:hAnsiTheme="majorBidi" w:cstheme="majorBidi"/>
          <w:sz w:val="26"/>
          <w:szCs w:val="26"/>
          <w:rtl/>
          <w:lang w:bidi="ar-EG"/>
        </w:rPr>
        <w:t>2.2.2.1 الذكاء الاصطناعي وإنترنت الأشياء في العمل الحكومي</w:t>
      </w:r>
    </w:p>
    <w:p w14:paraId="70700010" w14:textId="77777777" w:rsidR="00202E2A" w:rsidRPr="00202E2A" w:rsidRDefault="00202E2A" w:rsidP="007C444D">
      <w:pPr>
        <w:bidi/>
        <w:spacing w:line="240" w:lineRule="auto"/>
        <w:ind w:left="1440"/>
        <w:rPr>
          <w:rFonts w:asciiTheme="majorBidi" w:hAnsiTheme="majorBidi" w:cstheme="majorBidi"/>
          <w:sz w:val="26"/>
          <w:szCs w:val="26"/>
          <w:lang w:bidi="ar-EG"/>
        </w:rPr>
      </w:pPr>
      <w:r w:rsidRPr="00202E2A">
        <w:rPr>
          <w:rFonts w:asciiTheme="majorBidi" w:hAnsiTheme="majorBidi" w:cstheme="majorBidi"/>
          <w:sz w:val="26"/>
          <w:szCs w:val="26"/>
          <w:rtl/>
          <w:lang w:bidi="ar-EG"/>
        </w:rPr>
        <w:t>2.2.2.2 المنصات الرقمية والتفاعل مع المستفيدين</w:t>
      </w:r>
    </w:p>
    <w:p w14:paraId="13BF62B9" w14:textId="77777777" w:rsidR="00202E2A" w:rsidRPr="00202E2A" w:rsidRDefault="00202E2A" w:rsidP="007C444D">
      <w:pPr>
        <w:bidi/>
        <w:spacing w:line="240" w:lineRule="auto"/>
        <w:ind w:left="1440"/>
        <w:rPr>
          <w:rFonts w:asciiTheme="majorBidi" w:hAnsiTheme="majorBidi" w:cstheme="majorBidi"/>
          <w:sz w:val="26"/>
          <w:szCs w:val="26"/>
          <w:lang w:bidi="ar-EG"/>
        </w:rPr>
      </w:pPr>
      <w:r w:rsidRPr="00202E2A">
        <w:rPr>
          <w:rFonts w:asciiTheme="majorBidi" w:hAnsiTheme="majorBidi" w:cstheme="majorBidi"/>
          <w:sz w:val="26"/>
          <w:szCs w:val="26"/>
          <w:rtl/>
          <w:lang w:bidi="ar-EG"/>
        </w:rPr>
        <w:t>2.2.2.3 الابتكار المفتوح والتكامل مع القطاع الخاص</w:t>
      </w:r>
    </w:p>
    <w:p w14:paraId="303AFEE4" w14:textId="77777777" w:rsidR="00202E2A" w:rsidRPr="00202E2A" w:rsidRDefault="00202E2A" w:rsidP="007C444D">
      <w:pPr>
        <w:bidi/>
        <w:spacing w:line="240" w:lineRule="auto"/>
        <w:ind w:firstLine="720"/>
        <w:rPr>
          <w:rFonts w:asciiTheme="majorBidi" w:hAnsiTheme="majorBidi" w:cstheme="majorBidi"/>
          <w:sz w:val="26"/>
          <w:szCs w:val="26"/>
          <w:lang w:bidi="ar-EG"/>
        </w:rPr>
      </w:pPr>
      <w:r w:rsidRPr="00202E2A">
        <w:rPr>
          <w:rFonts w:asciiTheme="majorBidi" w:hAnsiTheme="majorBidi" w:cstheme="majorBidi"/>
          <w:sz w:val="26"/>
          <w:szCs w:val="26"/>
          <w:rtl/>
          <w:lang w:bidi="ar-EG"/>
        </w:rPr>
        <w:t>2.2.3 البعد الثالث: الحوكمة الرقمية</w:t>
      </w:r>
    </w:p>
    <w:p w14:paraId="625146B2" w14:textId="77777777" w:rsidR="00202E2A" w:rsidRPr="00202E2A" w:rsidRDefault="00202E2A" w:rsidP="007C444D">
      <w:pPr>
        <w:bidi/>
        <w:spacing w:line="240" w:lineRule="auto"/>
        <w:ind w:left="1440"/>
        <w:rPr>
          <w:rFonts w:asciiTheme="majorBidi" w:hAnsiTheme="majorBidi" w:cstheme="majorBidi"/>
          <w:sz w:val="26"/>
          <w:szCs w:val="26"/>
          <w:lang w:bidi="ar-EG"/>
        </w:rPr>
      </w:pPr>
      <w:r w:rsidRPr="00202E2A">
        <w:rPr>
          <w:rFonts w:asciiTheme="majorBidi" w:hAnsiTheme="majorBidi" w:cstheme="majorBidi"/>
          <w:sz w:val="26"/>
          <w:szCs w:val="26"/>
          <w:rtl/>
          <w:lang w:bidi="ar-EG"/>
        </w:rPr>
        <w:t>2.2.3.1 السياسات الوطنية للتنظيم الرقمي</w:t>
      </w:r>
    </w:p>
    <w:p w14:paraId="6311FAA5" w14:textId="77777777" w:rsidR="00202E2A" w:rsidRPr="00202E2A" w:rsidRDefault="00202E2A" w:rsidP="007C444D">
      <w:pPr>
        <w:bidi/>
        <w:spacing w:line="240" w:lineRule="auto"/>
        <w:ind w:left="1440"/>
        <w:rPr>
          <w:rFonts w:asciiTheme="majorBidi" w:hAnsiTheme="majorBidi" w:cstheme="majorBidi"/>
          <w:sz w:val="26"/>
          <w:szCs w:val="26"/>
          <w:lang w:bidi="ar-EG"/>
        </w:rPr>
      </w:pPr>
      <w:r w:rsidRPr="00202E2A">
        <w:rPr>
          <w:rFonts w:asciiTheme="majorBidi" w:hAnsiTheme="majorBidi" w:cstheme="majorBidi"/>
          <w:sz w:val="26"/>
          <w:szCs w:val="26"/>
          <w:rtl/>
          <w:lang w:bidi="ar-EG"/>
        </w:rPr>
        <w:t>2.2.3.2 معايير الجودة والشفافية والمساءلة</w:t>
      </w:r>
    </w:p>
    <w:p w14:paraId="43C97FEE" w14:textId="77777777" w:rsidR="00202E2A" w:rsidRPr="00202E2A" w:rsidRDefault="00202E2A" w:rsidP="007C444D">
      <w:pPr>
        <w:bidi/>
        <w:spacing w:line="240" w:lineRule="auto"/>
        <w:ind w:left="1440"/>
        <w:rPr>
          <w:rFonts w:asciiTheme="majorBidi" w:hAnsiTheme="majorBidi" w:cstheme="majorBidi"/>
          <w:sz w:val="26"/>
          <w:szCs w:val="26"/>
          <w:lang w:bidi="ar-EG"/>
        </w:rPr>
      </w:pPr>
      <w:r w:rsidRPr="00202E2A">
        <w:rPr>
          <w:rFonts w:asciiTheme="majorBidi" w:hAnsiTheme="majorBidi" w:cstheme="majorBidi"/>
          <w:sz w:val="26"/>
          <w:szCs w:val="26"/>
          <w:rtl/>
          <w:lang w:bidi="ar-EG"/>
        </w:rPr>
        <w:t>2.2.3.3 أخلاقيات البيانات والتشريعات الرقمية</w:t>
      </w:r>
    </w:p>
    <w:p w14:paraId="243DAE32" w14:textId="77777777" w:rsidR="00202E2A" w:rsidRPr="00202E2A" w:rsidRDefault="00202E2A" w:rsidP="007C444D">
      <w:pPr>
        <w:bidi/>
        <w:spacing w:line="240" w:lineRule="auto"/>
        <w:ind w:firstLine="720"/>
        <w:rPr>
          <w:rFonts w:asciiTheme="majorBidi" w:hAnsiTheme="majorBidi" w:cstheme="majorBidi"/>
          <w:sz w:val="26"/>
          <w:szCs w:val="26"/>
          <w:lang w:bidi="ar-EG"/>
        </w:rPr>
      </w:pPr>
      <w:r w:rsidRPr="00202E2A">
        <w:rPr>
          <w:rFonts w:asciiTheme="majorBidi" w:hAnsiTheme="majorBidi" w:cstheme="majorBidi"/>
          <w:sz w:val="26"/>
          <w:szCs w:val="26"/>
          <w:rtl/>
          <w:lang w:bidi="ar-EG"/>
        </w:rPr>
        <w:t>2.2.4 التفاعل بين الأبعاد الثلاثة وتأثيرها في الأداء الحكومي</w:t>
      </w:r>
    </w:p>
    <w:p w14:paraId="6D507ABE" w14:textId="1BA54FE5" w:rsidR="00202E2A" w:rsidRPr="00202E2A" w:rsidRDefault="00FF0F6B" w:rsidP="007C444D">
      <w:pPr>
        <w:bidi/>
        <w:spacing w:line="240" w:lineRule="auto"/>
        <w:rPr>
          <w:rFonts w:asciiTheme="majorBidi" w:hAnsiTheme="majorBidi" w:cstheme="majorBidi"/>
          <w:b/>
          <w:bCs/>
          <w:sz w:val="26"/>
          <w:szCs w:val="26"/>
          <w:lang w:bidi="ar-EG"/>
        </w:rPr>
      </w:pPr>
      <w:r>
        <w:rPr>
          <w:rFonts w:asciiTheme="majorBidi" w:hAnsiTheme="majorBidi" w:cstheme="majorBidi" w:hint="cs"/>
          <w:b/>
          <w:bCs/>
          <w:sz w:val="26"/>
          <w:szCs w:val="26"/>
          <w:rtl/>
          <w:lang w:bidi="ar-EG"/>
        </w:rPr>
        <w:t>الباب</w:t>
      </w:r>
      <w:r w:rsidRPr="00202E2A">
        <w:rPr>
          <w:rFonts w:asciiTheme="majorBidi" w:hAnsiTheme="majorBidi" w:cstheme="majorBidi"/>
          <w:b/>
          <w:bCs/>
          <w:sz w:val="26"/>
          <w:szCs w:val="26"/>
          <w:rtl/>
          <w:lang w:bidi="ar-EG"/>
        </w:rPr>
        <w:t xml:space="preserve"> </w:t>
      </w:r>
      <w:r w:rsidR="00202E2A" w:rsidRPr="00202E2A">
        <w:rPr>
          <w:rFonts w:asciiTheme="majorBidi" w:hAnsiTheme="majorBidi" w:cstheme="majorBidi"/>
          <w:b/>
          <w:bCs/>
          <w:sz w:val="26"/>
          <w:szCs w:val="26"/>
          <w:rtl/>
          <w:lang w:bidi="ar-EG"/>
        </w:rPr>
        <w:t>الثالث: تعزيز الأمن في بيئة التحول الرقمي</w:t>
      </w:r>
    </w:p>
    <w:p w14:paraId="4381CF46"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2.3.1 الإطار النظري للأمن السيبراني في المؤسسات العامة</w:t>
      </w:r>
    </w:p>
    <w:p w14:paraId="65F97AD5"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2.3.2 العلاقة بين الأمن الرقمي واستدامة العمليات الحكومية</w:t>
      </w:r>
    </w:p>
    <w:p w14:paraId="2EEA2561"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2.3.3 نماذج تقييم النضج الأمني (</w:t>
      </w:r>
      <w:r w:rsidRPr="00202E2A">
        <w:rPr>
          <w:rFonts w:asciiTheme="majorBidi" w:hAnsiTheme="majorBidi" w:cstheme="majorBidi"/>
          <w:sz w:val="26"/>
          <w:szCs w:val="26"/>
          <w:lang w:bidi="ar-EG"/>
        </w:rPr>
        <w:t>NIST</w:t>
      </w:r>
      <w:r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lang w:bidi="ar-EG"/>
        </w:rPr>
        <w:t>ISO 27001</w:t>
      </w:r>
      <w:r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lang w:bidi="ar-EG"/>
        </w:rPr>
        <w:t>Cyber Maturity Models</w:t>
      </w:r>
      <w:r w:rsidRPr="00202E2A">
        <w:rPr>
          <w:rFonts w:asciiTheme="majorBidi" w:hAnsiTheme="majorBidi" w:cstheme="majorBidi"/>
          <w:sz w:val="26"/>
          <w:szCs w:val="26"/>
          <w:rtl/>
          <w:lang w:bidi="ar-EG"/>
        </w:rPr>
        <w:t>)</w:t>
      </w:r>
    </w:p>
    <w:p w14:paraId="67A8D892"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2.3.4 البنية الدفاعية المتعددة الطبقات: من التشفير إلى الذكاء الاصطناعي الوقائي</w:t>
      </w:r>
    </w:p>
    <w:p w14:paraId="53894D2D"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2.3.5 الأمن المعلوماتي وحماية الخصوصية في المنصات الجمركية والضريبية</w:t>
      </w:r>
    </w:p>
    <w:p w14:paraId="5562A604"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2.3.6 بناء ثقافة الوعي الأمني لدى العاملين والمستفيدين</w:t>
      </w:r>
    </w:p>
    <w:p w14:paraId="4487CC28"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2.3.7 التحديات السيبرانية في المملكة (الاختراقات، الفدية الرقمية، التجسس الصناعي)</w:t>
      </w:r>
    </w:p>
    <w:p w14:paraId="28AFF92B"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2.3.8 التعاون الدولي والإقليمي في مواجهة التهديدات السيبرانية</w:t>
      </w:r>
    </w:p>
    <w:p w14:paraId="01F6A9E9"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2.3.9 التكامل بين الأمن الاقتصادي والأمن الرقمي في تحقيق التنمية المستدامة</w:t>
      </w:r>
    </w:p>
    <w:p w14:paraId="6EE10777" w14:textId="2BB3B5F6" w:rsidR="00202E2A" w:rsidRPr="00202E2A" w:rsidRDefault="00FF0F6B" w:rsidP="007C444D">
      <w:pPr>
        <w:bidi/>
        <w:spacing w:line="240" w:lineRule="auto"/>
        <w:rPr>
          <w:rFonts w:asciiTheme="majorBidi" w:hAnsiTheme="majorBidi" w:cstheme="majorBidi"/>
          <w:b/>
          <w:bCs/>
          <w:sz w:val="26"/>
          <w:szCs w:val="26"/>
          <w:lang w:bidi="ar-EG"/>
        </w:rPr>
      </w:pPr>
      <w:r>
        <w:rPr>
          <w:rFonts w:asciiTheme="majorBidi" w:hAnsiTheme="majorBidi" w:cstheme="majorBidi" w:hint="cs"/>
          <w:b/>
          <w:bCs/>
          <w:sz w:val="26"/>
          <w:szCs w:val="26"/>
          <w:rtl/>
          <w:lang w:bidi="ar-EG"/>
        </w:rPr>
        <w:t>الباب</w:t>
      </w:r>
      <w:r w:rsidRPr="00202E2A">
        <w:rPr>
          <w:rFonts w:asciiTheme="majorBidi" w:hAnsiTheme="majorBidi" w:cstheme="majorBidi"/>
          <w:b/>
          <w:bCs/>
          <w:sz w:val="26"/>
          <w:szCs w:val="26"/>
          <w:rtl/>
          <w:lang w:bidi="ar-EG"/>
        </w:rPr>
        <w:t xml:space="preserve"> </w:t>
      </w:r>
      <w:r w:rsidR="00202E2A" w:rsidRPr="00202E2A">
        <w:rPr>
          <w:rFonts w:asciiTheme="majorBidi" w:hAnsiTheme="majorBidi" w:cstheme="majorBidi"/>
          <w:b/>
          <w:bCs/>
          <w:sz w:val="26"/>
          <w:szCs w:val="26"/>
          <w:rtl/>
          <w:lang w:bidi="ar-EG"/>
        </w:rPr>
        <w:t>الرابع: تيسير التجارة والتحول الرقمي في الاقتصاد العالمي</w:t>
      </w:r>
    </w:p>
    <w:p w14:paraId="49E8466F"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2.4.1 الإطار المفاهيمي لتيسير التجارة وأبعاده المتعددة</w:t>
      </w:r>
    </w:p>
    <w:p w14:paraId="6EE2F7F3"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2.4.2 اتفاقية منظمة التجارة العالمية (</w:t>
      </w:r>
      <w:r w:rsidRPr="00202E2A">
        <w:rPr>
          <w:rFonts w:asciiTheme="majorBidi" w:hAnsiTheme="majorBidi" w:cstheme="majorBidi"/>
          <w:sz w:val="26"/>
          <w:szCs w:val="26"/>
          <w:lang w:bidi="ar-EG"/>
        </w:rPr>
        <w:t>TFA</w:t>
      </w:r>
      <w:r w:rsidRPr="00202E2A">
        <w:rPr>
          <w:rFonts w:asciiTheme="majorBidi" w:hAnsiTheme="majorBidi" w:cstheme="majorBidi"/>
          <w:sz w:val="26"/>
          <w:szCs w:val="26"/>
          <w:rtl/>
          <w:lang w:bidi="ar-EG"/>
        </w:rPr>
        <w:t>) كأساس قانوني عالمي لتيسير التجارة</w:t>
      </w:r>
    </w:p>
    <w:p w14:paraId="144F0723"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2.4.3 التحول من الجمرك الورقي إلى الجمرك الذكي</w:t>
      </w:r>
    </w:p>
    <w:p w14:paraId="36D185E2"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2.4.4 التحول الرقمي في سلاسل التوريد العالمية (اللوجستيات الذكية، </w:t>
      </w:r>
      <w:r w:rsidRPr="00202E2A">
        <w:rPr>
          <w:rFonts w:asciiTheme="majorBidi" w:hAnsiTheme="majorBidi" w:cstheme="majorBidi"/>
          <w:sz w:val="26"/>
          <w:szCs w:val="26"/>
          <w:lang w:bidi="ar-EG"/>
        </w:rPr>
        <w:t>Blockchain</w:t>
      </w:r>
      <w:r w:rsidRPr="00202E2A">
        <w:rPr>
          <w:rFonts w:asciiTheme="majorBidi" w:hAnsiTheme="majorBidi" w:cstheme="majorBidi"/>
          <w:sz w:val="26"/>
          <w:szCs w:val="26"/>
          <w:rtl/>
          <w:lang w:bidi="ar-EG"/>
        </w:rPr>
        <w:t>)</w:t>
      </w:r>
    </w:p>
    <w:p w14:paraId="1F0A0379"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2.4.5 الأبعاد الاقتصادية لتيسير التجارة (خفض التكاليف – تسريع التدفقات التجارية – رفع الكفاءة الإنتاجية)</w:t>
      </w:r>
    </w:p>
    <w:p w14:paraId="5E3400A9"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2.4.6 الأبعاد القانونية والسياسية لتيسير التجارة الرقمية</w:t>
      </w:r>
    </w:p>
    <w:p w14:paraId="0C0A4D15"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lastRenderedPageBreak/>
        <w:t>2.4.7 الأبعاد البيئية والاجتماعية للتجارة الخضراء</w:t>
      </w:r>
    </w:p>
    <w:p w14:paraId="023BD182"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2.4.8 أثر التحول الرقمي في تعزيز التنافسية التجارية للمملكة</w:t>
      </w:r>
    </w:p>
    <w:p w14:paraId="4BE12884"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2.4.9 نماذج دولية لتيسير التجارة الرقمية (سنغافورة، الإمارات، الاتحاد الأوروبي)</w:t>
      </w:r>
    </w:p>
    <w:p w14:paraId="17DC23F4" w14:textId="61D23FE9" w:rsidR="00202E2A" w:rsidRPr="00202E2A" w:rsidRDefault="00FF0F6B" w:rsidP="007C444D">
      <w:pPr>
        <w:bidi/>
        <w:spacing w:line="240" w:lineRule="auto"/>
        <w:rPr>
          <w:rFonts w:asciiTheme="majorBidi" w:hAnsiTheme="majorBidi" w:cstheme="majorBidi"/>
          <w:b/>
          <w:bCs/>
          <w:sz w:val="26"/>
          <w:szCs w:val="26"/>
          <w:lang w:bidi="ar-EG"/>
        </w:rPr>
      </w:pPr>
      <w:r>
        <w:rPr>
          <w:rFonts w:asciiTheme="majorBidi" w:hAnsiTheme="majorBidi" w:cstheme="majorBidi" w:hint="cs"/>
          <w:b/>
          <w:bCs/>
          <w:sz w:val="26"/>
          <w:szCs w:val="26"/>
          <w:rtl/>
          <w:lang w:bidi="ar-EG"/>
        </w:rPr>
        <w:t>الباب</w:t>
      </w:r>
      <w:r w:rsidRPr="00202E2A">
        <w:rPr>
          <w:rFonts w:asciiTheme="majorBidi" w:hAnsiTheme="majorBidi" w:cstheme="majorBidi"/>
          <w:b/>
          <w:bCs/>
          <w:sz w:val="26"/>
          <w:szCs w:val="26"/>
          <w:rtl/>
          <w:lang w:bidi="ar-EG"/>
        </w:rPr>
        <w:t xml:space="preserve"> </w:t>
      </w:r>
      <w:r w:rsidR="00202E2A" w:rsidRPr="00202E2A">
        <w:rPr>
          <w:rFonts w:asciiTheme="majorBidi" w:hAnsiTheme="majorBidi" w:cstheme="majorBidi"/>
          <w:b/>
          <w:bCs/>
          <w:sz w:val="26"/>
          <w:szCs w:val="26"/>
          <w:rtl/>
          <w:lang w:bidi="ar-EG"/>
        </w:rPr>
        <w:t>الخامس: التكامل بين التحول الرقمي وتعزيز الأمن وتيسير التجارة</w:t>
      </w:r>
    </w:p>
    <w:p w14:paraId="735C0381"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2.5.1 الإطار النظري للتكامل الثلاثي بين الأمن – الرقمنة – التجارة</w:t>
      </w:r>
    </w:p>
    <w:p w14:paraId="2BFF7116"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2.5.2 الترابط الديناميكي بين الأبعاد التكنولوجية والأمنية والاقتصادية</w:t>
      </w:r>
    </w:p>
    <w:p w14:paraId="01A23156"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2.5.3 دور التحول الرقمي في إدارة المخاطر التجارية والأمنية</w:t>
      </w:r>
    </w:p>
    <w:p w14:paraId="464B69A3"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2.5.4 التوازن بين أمن المعلومات وسرعة انسياب البضائع والخدمات</w:t>
      </w:r>
    </w:p>
    <w:p w14:paraId="5620714D"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2.5.5 نماذج الربط المؤسسي بين الجهات الأمنية والجمركية والاقتصادية</w:t>
      </w:r>
    </w:p>
    <w:p w14:paraId="35A7692C"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2.5.6 أثر التكامل على تحقيق أهداف رؤية 2030 ومحاور الاقتصاد المزدهر</w:t>
      </w:r>
    </w:p>
    <w:p w14:paraId="727A7A6C"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2.5.7 دور الذكاء الاصطناعي التحليلي في الكشف المبكر عن الأنشطة التجارية غير المشروعة</w:t>
      </w:r>
    </w:p>
    <w:p w14:paraId="5FB77F56"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2.5.8 تطبيقات هيئة الزكاة والضريبة والجمارك في الدمج بين الأمن والتجارة الرقمية</w:t>
      </w:r>
    </w:p>
    <w:p w14:paraId="1D9CFB0F" w14:textId="1E3E62A6" w:rsidR="00202E2A" w:rsidRPr="00202E2A" w:rsidRDefault="00FF0F6B" w:rsidP="007C444D">
      <w:pPr>
        <w:bidi/>
        <w:spacing w:line="240" w:lineRule="auto"/>
        <w:rPr>
          <w:rFonts w:asciiTheme="majorBidi" w:hAnsiTheme="majorBidi" w:cstheme="majorBidi"/>
          <w:b/>
          <w:bCs/>
          <w:sz w:val="26"/>
          <w:szCs w:val="26"/>
          <w:lang w:bidi="ar-EG"/>
        </w:rPr>
      </w:pPr>
      <w:r>
        <w:rPr>
          <w:rFonts w:asciiTheme="majorBidi" w:hAnsiTheme="majorBidi" w:cstheme="majorBidi" w:hint="cs"/>
          <w:b/>
          <w:bCs/>
          <w:sz w:val="26"/>
          <w:szCs w:val="26"/>
          <w:rtl/>
          <w:lang w:bidi="ar-EG"/>
        </w:rPr>
        <w:t>الباب</w:t>
      </w:r>
      <w:r w:rsidRPr="00202E2A">
        <w:rPr>
          <w:rFonts w:asciiTheme="majorBidi" w:hAnsiTheme="majorBidi" w:cstheme="majorBidi"/>
          <w:b/>
          <w:bCs/>
          <w:sz w:val="26"/>
          <w:szCs w:val="26"/>
          <w:rtl/>
          <w:lang w:bidi="ar-EG"/>
        </w:rPr>
        <w:t xml:space="preserve"> </w:t>
      </w:r>
      <w:r w:rsidR="00202E2A" w:rsidRPr="00202E2A">
        <w:rPr>
          <w:rFonts w:asciiTheme="majorBidi" w:hAnsiTheme="majorBidi" w:cstheme="majorBidi"/>
          <w:b/>
          <w:bCs/>
          <w:sz w:val="26"/>
          <w:szCs w:val="26"/>
          <w:rtl/>
          <w:lang w:bidi="ar-EG"/>
        </w:rPr>
        <w:t>السادس: التحديات والفرص في تطبيق التحول الرقمي</w:t>
      </w:r>
    </w:p>
    <w:p w14:paraId="2A5828BF"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2.6.1 التحديات التقنية (التكامل، الصيانة، الفجوة التكنولوجية)</w:t>
      </w:r>
    </w:p>
    <w:p w14:paraId="131FE701"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2.6.2 التحديات البشرية (ضعف المهارات الرقمية، مقاومة التغيير)</w:t>
      </w:r>
    </w:p>
    <w:p w14:paraId="49EDCD02"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2.6.3 التحديات التشريعية والتنظيمية (القوانين، حماية البيانات، التوافق الدولي)</w:t>
      </w:r>
    </w:p>
    <w:p w14:paraId="42DE8FAE"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2.6.4 التحديات الاقتصادية والمالية (تكلفة البنية الرقمية، عائد الاستثمار)</w:t>
      </w:r>
    </w:p>
    <w:p w14:paraId="6F3AEAC3"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2.6.5 الفرص الناشئة (الذكاء الاصطناعي، التحليل التنبئي، السحابة الحكومية)</w:t>
      </w:r>
    </w:p>
    <w:p w14:paraId="424D31E7"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2.6.6 مبادرات التحول الرقمي في رؤية السعودية 2030 كفرص استراتيجية</w:t>
      </w:r>
    </w:p>
    <w:p w14:paraId="26803686"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2.6.7 مقاربة </w:t>
      </w:r>
      <w:r w:rsidRPr="00202E2A">
        <w:rPr>
          <w:rFonts w:asciiTheme="majorBidi" w:hAnsiTheme="majorBidi" w:cstheme="majorBidi"/>
          <w:sz w:val="26"/>
          <w:szCs w:val="26"/>
          <w:lang w:bidi="ar-EG"/>
        </w:rPr>
        <w:t>SWOT</w:t>
      </w:r>
      <w:r w:rsidRPr="00202E2A">
        <w:rPr>
          <w:rFonts w:asciiTheme="majorBidi" w:hAnsiTheme="majorBidi" w:cstheme="majorBidi"/>
          <w:sz w:val="26"/>
          <w:szCs w:val="26"/>
          <w:rtl/>
          <w:lang w:bidi="ar-EG"/>
        </w:rPr>
        <w:t xml:space="preserve"> لتقييم الواقع الرقمي في هيئة الزكاة والضريبة والجمارك</w:t>
      </w:r>
    </w:p>
    <w:p w14:paraId="1FB870B9" w14:textId="76516AD3" w:rsidR="00202E2A" w:rsidRPr="00202E2A" w:rsidRDefault="00FF0F6B" w:rsidP="007C444D">
      <w:pPr>
        <w:bidi/>
        <w:spacing w:line="240" w:lineRule="auto"/>
        <w:rPr>
          <w:rFonts w:asciiTheme="majorBidi" w:hAnsiTheme="majorBidi" w:cstheme="majorBidi"/>
          <w:b/>
          <w:bCs/>
          <w:sz w:val="26"/>
          <w:szCs w:val="26"/>
          <w:lang w:bidi="ar-EG"/>
        </w:rPr>
      </w:pPr>
      <w:r>
        <w:rPr>
          <w:rFonts w:asciiTheme="majorBidi" w:hAnsiTheme="majorBidi" w:cstheme="majorBidi" w:hint="cs"/>
          <w:b/>
          <w:bCs/>
          <w:sz w:val="26"/>
          <w:szCs w:val="26"/>
          <w:rtl/>
          <w:lang w:bidi="ar-EG"/>
        </w:rPr>
        <w:t>الباب</w:t>
      </w:r>
      <w:r w:rsidRPr="00202E2A">
        <w:rPr>
          <w:rFonts w:asciiTheme="majorBidi" w:hAnsiTheme="majorBidi" w:cstheme="majorBidi"/>
          <w:b/>
          <w:bCs/>
          <w:sz w:val="26"/>
          <w:szCs w:val="26"/>
          <w:rtl/>
          <w:lang w:bidi="ar-EG"/>
        </w:rPr>
        <w:t xml:space="preserve"> </w:t>
      </w:r>
      <w:r w:rsidR="00202E2A" w:rsidRPr="00202E2A">
        <w:rPr>
          <w:rFonts w:asciiTheme="majorBidi" w:hAnsiTheme="majorBidi" w:cstheme="majorBidi"/>
          <w:b/>
          <w:bCs/>
          <w:sz w:val="26"/>
          <w:szCs w:val="26"/>
          <w:rtl/>
          <w:lang w:bidi="ar-EG"/>
        </w:rPr>
        <w:t>السابع: المخاطر المستقبلية للتحول الرقمي وإدارة الأزمات</w:t>
      </w:r>
    </w:p>
    <w:p w14:paraId="01C92BF9"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2.7.1 تصنيف المخاطر الرقمية (تقنية، قانونية، اجتماعية، بيئية)</w:t>
      </w:r>
    </w:p>
    <w:p w14:paraId="1DA89CDE"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2.7.2 الأمن السيبراني كعنصر لإدارة الأزمات الاقتصادية والتجارية</w:t>
      </w:r>
    </w:p>
    <w:p w14:paraId="6896A6F9"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2.7.3 المخاطر المرتبطة بالذكاء الاصطناعي والأنظمة ذاتية القرار</w:t>
      </w:r>
    </w:p>
    <w:p w14:paraId="76908362"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2.7.4 الفجوة الرقمية العالمية وتأثيرها على التنافسية التجارية</w:t>
      </w:r>
    </w:p>
    <w:p w14:paraId="210D3A25"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2.7.5</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آليات التكيف المؤسسي مع التحولات التكنولوجية المفاجئة</w:t>
      </w:r>
    </w:p>
    <w:p w14:paraId="137C5484"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2.7.6 بناء نظام استشراف رقمي للتنبؤ بالمخاطر المستقبلية</w:t>
      </w:r>
    </w:p>
    <w:p w14:paraId="23C312D6" w14:textId="324734D2" w:rsidR="00202E2A" w:rsidRPr="00202E2A" w:rsidRDefault="00FF0F6B" w:rsidP="007C444D">
      <w:pPr>
        <w:bidi/>
        <w:spacing w:line="240" w:lineRule="auto"/>
        <w:rPr>
          <w:rFonts w:asciiTheme="majorBidi" w:hAnsiTheme="majorBidi" w:cstheme="majorBidi"/>
          <w:b/>
          <w:bCs/>
          <w:sz w:val="26"/>
          <w:szCs w:val="26"/>
          <w:lang w:bidi="ar-EG"/>
        </w:rPr>
      </w:pPr>
      <w:r>
        <w:rPr>
          <w:rFonts w:asciiTheme="majorBidi" w:hAnsiTheme="majorBidi" w:cstheme="majorBidi" w:hint="cs"/>
          <w:b/>
          <w:bCs/>
          <w:sz w:val="26"/>
          <w:szCs w:val="26"/>
          <w:rtl/>
          <w:lang w:bidi="ar-EG"/>
        </w:rPr>
        <w:t>الباب</w:t>
      </w:r>
      <w:r w:rsidRPr="00202E2A">
        <w:rPr>
          <w:rFonts w:asciiTheme="majorBidi" w:hAnsiTheme="majorBidi" w:cstheme="majorBidi"/>
          <w:b/>
          <w:bCs/>
          <w:sz w:val="26"/>
          <w:szCs w:val="26"/>
          <w:rtl/>
          <w:lang w:bidi="ar-EG"/>
        </w:rPr>
        <w:t xml:space="preserve"> </w:t>
      </w:r>
      <w:r w:rsidR="00202E2A" w:rsidRPr="00202E2A">
        <w:rPr>
          <w:rFonts w:asciiTheme="majorBidi" w:hAnsiTheme="majorBidi" w:cstheme="majorBidi"/>
          <w:b/>
          <w:bCs/>
          <w:sz w:val="26"/>
          <w:szCs w:val="26"/>
          <w:rtl/>
          <w:lang w:bidi="ar-EG"/>
        </w:rPr>
        <w:t xml:space="preserve">الثامن: </w:t>
      </w:r>
      <w:r w:rsidR="00202E2A" w:rsidRPr="00202E2A">
        <w:rPr>
          <w:rFonts w:asciiTheme="majorBidi" w:hAnsiTheme="majorBidi" w:cs="Times New Roman"/>
          <w:b/>
          <w:bCs/>
          <w:sz w:val="26"/>
          <w:szCs w:val="26"/>
          <w:rtl/>
          <w:lang w:bidi="ar-EG"/>
        </w:rPr>
        <w:t xml:space="preserve">مراجعة الدراسات السابقة واستخلاص الفجوة البحثية النظرية  </w:t>
      </w:r>
    </w:p>
    <w:p w14:paraId="0DB66F24"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imes New Roman"/>
          <w:sz w:val="26"/>
          <w:szCs w:val="26"/>
          <w:rtl/>
          <w:lang w:bidi="ar-EG"/>
        </w:rPr>
        <w:lastRenderedPageBreak/>
        <w:t xml:space="preserve">2.8.1 الدراسات السابقة المتعلقة بـ </w:t>
      </w:r>
      <w:r w:rsidRPr="00202E2A">
        <w:rPr>
          <w:rFonts w:asciiTheme="majorBidi" w:hAnsiTheme="majorBidi" w:cstheme="majorBidi"/>
          <w:sz w:val="26"/>
          <w:szCs w:val="26"/>
          <w:lang w:bidi="ar-EG"/>
        </w:rPr>
        <w:t>ZATCA</w:t>
      </w:r>
      <w:r w:rsidRPr="00202E2A">
        <w:rPr>
          <w:rFonts w:asciiTheme="majorBidi" w:hAnsiTheme="majorBidi" w:cs="Times New Roman"/>
          <w:sz w:val="26"/>
          <w:szCs w:val="26"/>
          <w:rtl/>
          <w:lang w:bidi="ar-EG"/>
        </w:rPr>
        <w:t xml:space="preserve"> والتحول الرقمي في تيسير التجارة وتعزيز الأمن  </w:t>
      </w:r>
    </w:p>
    <w:p w14:paraId="2AD271ED"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imes New Roman"/>
          <w:sz w:val="26"/>
          <w:szCs w:val="26"/>
          <w:rtl/>
          <w:lang w:bidi="ar-EG"/>
        </w:rPr>
        <w:t xml:space="preserve">2.8.2 التعليق على الدراسات السابقة  </w:t>
      </w:r>
    </w:p>
    <w:p w14:paraId="66694D43" w14:textId="77777777" w:rsidR="00202E2A" w:rsidRPr="00202E2A" w:rsidRDefault="00202E2A" w:rsidP="007C444D">
      <w:pPr>
        <w:bidi/>
        <w:spacing w:line="240" w:lineRule="auto"/>
        <w:ind w:left="1440"/>
        <w:rPr>
          <w:rFonts w:asciiTheme="majorBidi" w:hAnsiTheme="majorBidi" w:cstheme="majorBidi"/>
          <w:sz w:val="26"/>
          <w:szCs w:val="26"/>
          <w:lang w:bidi="ar-EG"/>
        </w:rPr>
      </w:pPr>
      <w:r w:rsidRPr="00202E2A">
        <w:rPr>
          <w:rFonts w:asciiTheme="majorBidi" w:hAnsiTheme="majorBidi" w:cs="Times New Roman"/>
          <w:sz w:val="26"/>
          <w:szCs w:val="26"/>
          <w:rtl/>
          <w:lang w:bidi="ar-EG"/>
        </w:rPr>
        <w:t xml:space="preserve">2.8.2.1 أوجه التشابه  </w:t>
      </w:r>
    </w:p>
    <w:p w14:paraId="70C5FE12" w14:textId="77777777" w:rsidR="00202E2A" w:rsidRPr="00202E2A" w:rsidRDefault="00202E2A" w:rsidP="007C444D">
      <w:pPr>
        <w:bidi/>
        <w:spacing w:line="240" w:lineRule="auto"/>
        <w:ind w:left="1440"/>
        <w:rPr>
          <w:rFonts w:asciiTheme="majorBidi" w:hAnsiTheme="majorBidi" w:cstheme="majorBidi"/>
          <w:sz w:val="26"/>
          <w:szCs w:val="26"/>
          <w:lang w:bidi="ar-EG"/>
        </w:rPr>
      </w:pPr>
      <w:r w:rsidRPr="00202E2A">
        <w:rPr>
          <w:rFonts w:asciiTheme="majorBidi" w:hAnsiTheme="majorBidi" w:cs="Times New Roman"/>
          <w:sz w:val="26"/>
          <w:szCs w:val="26"/>
          <w:rtl/>
          <w:lang w:bidi="ar-EG"/>
        </w:rPr>
        <w:t xml:space="preserve">2.8.2.2 أوجه الاختلاف والمقارنات الدولية المباشرة  </w:t>
      </w:r>
    </w:p>
    <w:p w14:paraId="76B0E69B"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imes New Roman"/>
          <w:sz w:val="26"/>
          <w:szCs w:val="26"/>
          <w:rtl/>
          <w:lang w:bidi="ar-EG"/>
        </w:rPr>
        <w:t>2.8.3 مقارنة بين هيئة الزكاة والضريبة والجمارك بالمملكة العربية السعودية (</w:t>
      </w:r>
      <w:r w:rsidRPr="00202E2A">
        <w:rPr>
          <w:rFonts w:asciiTheme="majorBidi" w:hAnsiTheme="majorBidi" w:cstheme="majorBidi"/>
          <w:sz w:val="26"/>
          <w:szCs w:val="26"/>
          <w:lang w:bidi="ar-EG"/>
        </w:rPr>
        <w:t>ZATCA</w:t>
      </w:r>
      <w:r w:rsidRPr="00202E2A">
        <w:rPr>
          <w:rFonts w:asciiTheme="majorBidi" w:hAnsiTheme="majorBidi" w:cs="Times New Roman"/>
          <w:sz w:val="26"/>
          <w:szCs w:val="26"/>
          <w:rtl/>
          <w:lang w:bidi="ar-EG"/>
        </w:rPr>
        <w:t>) والهيئة الاتحادية للضرائب بالإمارات العربية المتحدة (</w:t>
      </w:r>
      <w:r w:rsidRPr="00202E2A">
        <w:rPr>
          <w:rFonts w:asciiTheme="majorBidi" w:hAnsiTheme="majorBidi" w:cstheme="majorBidi"/>
          <w:sz w:val="26"/>
          <w:szCs w:val="26"/>
          <w:lang w:bidi="ar-EG"/>
        </w:rPr>
        <w:t>FTA</w:t>
      </w:r>
      <w:r w:rsidRPr="00202E2A">
        <w:rPr>
          <w:rFonts w:asciiTheme="majorBidi" w:hAnsiTheme="majorBidi" w:cs="Times New Roman"/>
          <w:sz w:val="26"/>
          <w:szCs w:val="26"/>
          <w:rtl/>
          <w:lang w:bidi="ar-EG"/>
        </w:rPr>
        <w:t xml:space="preserve">) في تطبيق التحول الرقمي على تعزيز الأمن وتيسير التجارة  </w:t>
      </w:r>
    </w:p>
    <w:p w14:paraId="7B8BC210" w14:textId="77777777" w:rsidR="00202E2A" w:rsidRPr="00202E2A" w:rsidRDefault="00202E2A" w:rsidP="007C444D">
      <w:pPr>
        <w:bidi/>
        <w:spacing w:line="240" w:lineRule="auto"/>
        <w:ind w:left="1440"/>
        <w:rPr>
          <w:rFonts w:asciiTheme="majorBidi" w:hAnsiTheme="majorBidi" w:cstheme="majorBidi"/>
          <w:sz w:val="26"/>
          <w:szCs w:val="26"/>
          <w:lang w:bidi="ar-EG"/>
        </w:rPr>
      </w:pPr>
      <w:r w:rsidRPr="00202E2A">
        <w:rPr>
          <w:rFonts w:asciiTheme="majorBidi" w:hAnsiTheme="majorBidi" w:cs="Times New Roman"/>
          <w:sz w:val="26"/>
          <w:szCs w:val="26"/>
          <w:rtl/>
          <w:lang w:bidi="ar-EG"/>
        </w:rPr>
        <w:t xml:space="preserve">2.8.3.1 التشابهات  </w:t>
      </w:r>
    </w:p>
    <w:p w14:paraId="3BA0E676" w14:textId="77777777" w:rsidR="00202E2A" w:rsidRPr="00202E2A" w:rsidRDefault="00202E2A" w:rsidP="007C444D">
      <w:pPr>
        <w:bidi/>
        <w:spacing w:line="240" w:lineRule="auto"/>
        <w:ind w:left="1440"/>
        <w:rPr>
          <w:rFonts w:asciiTheme="majorBidi" w:hAnsiTheme="majorBidi" w:cstheme="majorBidi"/>
          <w:sz w:val="26"/>
          <w:szCs w:val="26"/>
          <w:lang w:bidi="ar-EG"/>
        </w:rPr>
      </w:pPr>
      <w:r w:rsidRPr="00202E2A">
        <w:rPr>
          <w:rFonts w:asciiTheme="majorBidi" w:hAnsiTheme="majorBidi" w:cs="Times New Roman"/>
          <w:sz w:val="26"/>
          <w:szCs w:val="26"/>
          <w:rtl/>
          <w:lang w:bidi="ar-EG"/>
        </w:rPr>
        <w:t xml:space="preserve">2.8.3.2 الاختلافات في تعزيز الأمن  </w:t>
      </w:r>
    </w:p>
    <w:p w14:paraId="26B60014" w14:textId="77777777" w:rsidR="00202E2A" w:rsidRPr="00202E2A" w:rsidRDefault="00202E2A" w:rsidP="007C444D">
      <w:pPr>
        <w:bidi/>
        <w:spacing w:line="240" w:lineRule="auto"/>
        <w:ind w:left="1440"/>
        <w:rPr>
          <w:rFonts w:asciiTheme="majorBidi" w:hAnsiTheme="majorBidi" w:cstheme="majorBidi"/>
          <w:sz w:val="26"/>
          <w:szCs w:val="26"/>
          <w:lang w:bidi="ar-EG"/>
        </w:rPr>
      </w:pPr>
      <w:r w:rsidRPr="00202E2A">
        <w:rPr>
          <w:rFonts w:asciiTheme="majorBidi" w:hAnsiTheme="majorBidi" w:cs="Times New Roman"/>
          <w:sz w:val="26"/>
          <w:szCs w:val="26"/>
          <w:rtl/>
          <w:lang w:bidi="ar-EG"/>
        </w:rPr>
        <w:t xml:space="preserve">2.8.3.3 الاختلافات في تيسير التجارة  </w:t>
      </w:r>
    </w:p>
    <w:p w14:paraId="2F2DD67C" w14:textId="77777777" w:rsidR="00202E2A" w:rsidRPr="00202E2A" w:rsidRDefault="00202E2A" w:rsidP="007C444D">
      <w:pPr>
        <w:bidi/>
        <w:spacing w:line="240" w:lineRule="auto"/>
        <w:ind w:left="1440"/>
        <w:rPr>
          <w:rFonts w:asciiTheme="majorBidi" w:hAnsiTheme="majorBidi" w:cstheme="majorBidi"/>
          <w:sz w:val="26"/>
          <w:szCs w:val="26"/>
          <w:lang w:bidi="ar-EG"/>
        </w:rPr>
      </w:pPr>
      <w:r w:rsidRPr="00202E2A">
        <w:rPr>
          <w:rFonts w:asciiTheme="majorBidi" w:hAnsiTheme="majorBidi" w:cs="Times New Roman"/>
          <w:sz w:val="26"/>
          <w:szCs w:val="26"/>
          <w:rtl/>
          <w:lang w:bidi="ar-EG"/>
        </w:rPr>
        <w:t xml:space="preserve">2.8.3.4 التقييم العام والمقارنة الاستراتيجية </w:t>
      </w:r>
    </w:p>
    <w:p w14:paraId="0C8A1703" w14:textId="77777777" w:rsidR="00202E2A" w:rsidRPr="00202E2A" w:rsidRDefault="00202E2A" w:rsidP="007C444D">
      <w:pPr>
        <w:bidi/>
        <w:spacing w:line="240" w:lineRule="auto"/>
        <w:ind w:firstLine="720"/>
        <w:rPr>
          <w:rFonts w:asciiTheme="majorBidi" w:hAnsiTheme="majorBidi" w:cstheme="majorBidi"/>
          <w:sz w:val="26"/>
          <w:szCs w:val="26"/>
          <w:lang w:bidi="ar-EG"/>
        </w:rPr>
      </w:pPr>
      <w:r w:rsidRPr="00202E2A">
        <w:rPr>
          <w:rFonts w:asciiTheme="majorBidi" w:hAnsiTheme="majorBidi" w:cs="Times New Roman"/>
          <w:sz w:val="26"/>
          <w:szCs w:val="26"/>
          <w:rtl/>
          <w:lang w:bidi="ar-EG"/>
        </w:rPr>
        <w:t xml:space="preserve">2.8.4 الفجوة البحثية  </w:t>
      </w:r>
    </w:p>
    <w:p w14:paraId="28A177E7" w14:textId="77777777" w:rsidR="00202E2A" w:rsidRPr="00202E2A" w:rsidRDefault="00202E2A" w:rsidP="007C444D">
      <w:pPr>
        <w:bidi/>
        <w:spacing w:line="240" w:lineRule="auto"/>
        <w:rPr>
          <w:rFonts w:asciiTheme="majorBidi" w:hAnsiTheme="majorBidi" w:cstheme="majorBidi"/>
          <w:sz w:val="26"/>
          <w:szCs w:val="26"/>
          <w:rtl/>
        </w:rPr>
      </w:pPr>
    </w:p>
    <w:p w14:paraId="04640DBF" w14:textId="77777777" w:rsidR="003804AC" w:rsidRPr="0019590B" w:rsidRDefault="003804AC" w:rsidP="007C444D">
      <w:pPr>
        <w:bidi/>
        <w:spacing w:line="240" w:lineRule="auto"/>
        <w:jc w:val="lowKashida"/>
        <w:rPr>
          <w:rFonts w:asciiTheme="majorBidi" w:hAnsiTheme="majorBidi" w:cstheme="majorBidi"/>
          <w:b/>
          <w:bCs/>
          <w:color w:val="002060"/>
          <w:sz w:val="28"/>
          <w:szCs w:val="28"/>
          <w:rtl/>
        </w:rPr>
      </w:pPr>
    </w:p>
    <w:p w14:paraId="1F55C585" w14:textId="77777777" w:rsidR="003804AC" w:rsidRPr="0019590B" w:rsidRDefault="003804AC" w:rsidP="0019590B">
      <w:pPr>
        <w:bidi/>
        <w:spacing w:line="276" w:lineRule="auto"/>
        <w:jc w:val="lowKashida"/>
        <w:rPr>
          <w:rFonts w:asciiTheme="majorBidi" w:hAnsiTheme="majorBidi" w:cstheme="majorBidi"/>
          <w:b/>
          <w:bCs/>
          <w:color w:val="002060"/>
          <w:sz w:val="28"/>
          <w:szCs w:val="28"/>
          <w:lang w:bidi="ar-EG"/>
        </w:rPr>
      </w:pPr>
    </w:p>
    <w:p w14:paraId="1D4C21C3" w14:textId="77777777" w:rsidR="00B40D1C" w:rsidRDefault="00B40D1C" w:rsidP="0019590B">
      <w:pPr>
        <w:bidi/>
        <w:spacing w:line="276" w:lineRule="auto"/>
        <w:jc w:val="lowKashida"/>
        <w:rPr>
          <w:rFonts w:asciiTheme="majorBidi" w:hAnsiTheme="majorBidi" w:cstheme="majorBidi"/>
          <w:b/>
          <w:bCs/>
          <w:color w:val="002060"/>
          <w:sz w:val="28"/>
          <w:szCs w:val="28"/>
          <w:rtl/>
          <w:lang w:bidi="ar-EG"/>
        </w:rPr>
      </w:pPr>
    </w:p>
    <w:p w14:paraId="1588CCB1" w14:textId="77777777" w:rsidR="0019590B" w:rsidRDefault="0019590B" w:rsidP="0019590B">
      <w:pPr>
        <w:bidi/>
        <w:spacing w:line="276" w:lineRule="auto"/>
        <w:jc w:val="lowKashida"/>
        <w:rPr>
          <w:rFonts w:asciiTheme="majorBidi" w:hAnsiTheme="majorBidi" w:cstheme="majorBidi"/>
          <w:b/>
          <w:bCs/>
          <w:color w:val="002060"/>
          <w:sz w:val="28"/>
          <w:szCs w:val="28"/>
          <w:rtl/>
          <w:lang w:bidi="ar-EG"/>
        </w:rPr>
      </w:pPr>
    </w:p>
    <w:p w14:paraId="6914EE9A" w14:textId="77777777" w:rsidR="0019590B" w:rsidRDefault="0019590B" w:rsidP="0019590B">
      <w:pPr>
        <w:bidi/>
        <w:spacing w:line="276" w:lineRule="auto"/>
        <w:jc w:val="lowKashida"/>
        <w:rPr>
          <w:rFonts w:asciiTheme="majorBidi" w:hAnsiTheme="majorBidi" w:cstheme="majorBidi"/>
          <w:b/>
          <w:bCs/>
          <w:color w:val="002060"/>
          <w:sz w:val="28"/>
          <w:szCs w:val="28"/>
          <w:lang w:bidi="ar-EG"/>
        </w:rPr>
      </w:pPr>
    </w:p>
    <w:p w14:paraId="0D60E1D5" w14:textId="77777777" w:rsidR="007C444D" w:rsidRDefault="007C444D" w:rsidP="007C444D">
      <w:pPr>
        <w:bidi/>
        <w:spacing w:line="276" w:lineRule="auto"/>
        <w:jc w:val="lowKashida"/>
        <w:rPr>
          <w:rFonts w:asciiTheme="majorBidi" w:hAnsiTheme="majorBidi" w:cstheme="majorBidi"/>
          <w:b/>
          <w:bCs/>
          <w:color w:val="002060"/>
          <w:sz w:val="28"/>
          <w:szCs w:val="28"/>
          <w:lang w:bidi="ar-EG"/>
        </w:rPr>
      </w:pPr>
    </w:p>
    <w:p w14:paraId="038E297F" w14:textId="77777777" w:rsidR="007C444D" w:rsidRDefault="007C444D" w:rsidP="007C444D">
      <w:pPr>
        <w:bidi/>
        <w:spacing w:line="276" w:lineRule="auto"/>
        <w:jc w:val="lowKashida"/>
        <w:rPr>
          <w:rFonts w:asciiTheme="majorBidi" w:hAnsiTheme="majorBidi" w:cstheme="majorBidi"/>
          <w:b/>
          <w:bCs/>
          <w:color w:val="002060"/>
          <w:sz w:val="28"/>
          <w:szCs w:val="28"/>
          <w:lang w:bidi="ar-EG"/>
        </w:rPr>
      </w:pPr>
    </w:p>
    <w:p w14:paraId="022DCEC1" w14:textId="77777777" w:rsidR="007C444D" w:rsidRDefault="007C444D" w:rsidP="007C444D">
      <w:pPr>
        <w:bidi/>
        <w:spacing w:line="276" w:lineRule="auto"/>
        <w:jc w:val="lowKashida"/>
        <w:rPr>
          <w:rFonts w:asciiTheme="majorBidi" w:hAnsiTheme="majorBidi" w:cstheme="majorBidi"/>
          <w:b/>
          <w:bCs/>
          <w:color w:val="002060"/>
          <w:sz w:val="28"/>
          <w:szCs w:val="28"/>
          <w:lang w:bidi="ar-EG"/>
        </w:rPr>
      </w:pPr>
    </w:p>
    <w:p w14:paraId="5E4B0627" w14:textId="77777777" w:rsidR="007C444D" w:rsidRDefault="007C444D" w:rsidP="007C444D">
      <w:pPr>
        <w:bidi/>
        <w:spacing w:line="276" w:lineRule="auto"/>
        <w:jc w:val="lowKashida"/>
        <w:rPr>
          <w:rFonts w:asciiTheme="majorBidi" w:hAnsiTheme="majorBidi" w:cstheme="majorBidi"/>
          <w:b/>
          <w:bCs/>
          <w:color w:val="002060"/>
          <w:sz w:val="28"/>
          <w:szCs w:val="28"/>
          <w:lang w:bidi="ar-EG"/>
        </w:rPr>
      </w:pPr>
    </w:p>
    <w:p w14:paraId="1DECDAA6" w14:textId="77777777" w:rsidR="007C444D" w:rsidRDefault="007C444D" w:rsidP="007C444D">
      <w:pPr>
        <w:bidi/>
        <w:spacing w:line="276" w:lineRule="auto"/>
        <w:jc w:val="lowKashida"/>
        <w:rPr>
          <w:rFonts w:asciiTheme="majorBidi" w:hAnsiTheme="majorBidi" w:cstheme="majorBidi"/>
          <w:b/>
          <w:bCs/>
          <w:color w:val="002060"/>
          <w:sz w:val="28"/>
          <w:szCs w:val="28"/>
          <w:lang w:bidi="ar-EG"/>
        </w:rPr>
      </w:pPr>
    </w:p>
    <w:p w14:paraId="12942165" w14:textId="77777777" w:rsidR="007C444D" w:rsidRDefault="007C444D" w:rsidP="007C444D">
      <w:pPr>
        <w:bidi/>
        <w:spacing w:line="276" w:lineRule="auto"/>
        <w:jc w:val="lowKashida"/>
        <w:rPr>
          <w:rFonts w:asciiTheme="majorBidi" w:hAnsiTheme="majorBidi" w:cstheme="majorBidi"/>
          <w:b/>
          <w:bCs/>
          <w:color w:val="002060"/>
          <w:sz w:val="28"/>
          <w:szCs w:val="28"/>
          <w:lang w:bidi="ar-EG"/>
        </w:rPr>
      </w:pPr>
    </w:p>
    <w:p w14:paraId="26D5B359" w14:textId="77777777" w:rsidR="007C444D" w:rsidRDefault="007C444D" w:rsidP="007C444D">
      <w:pPr>
        <w:bidi/>
        <w:spacing w:line="276" w:lineRule="auto"/>
        <w:jc w:val="lowKashida"/>
        <w:rPr>
          <w:rFonts w:asciiTheme="majorBidi" w:hAnsiTheme="majorBidi" w:cstheme="majorBidi"/>
          <w:b/>
          <w:bCs/>
          <w:color w:val="002060"/>
          <w:sz w:val="28"/>
          <w:szCs w:val="28"/>
          <w:lang w:bidi="ar-EG"/>
        </w:rPr>
      </w:pPr>
    </w:p>
    <w:p w14:paraId="23D30540" w14:textId="77777777" w:rsidR="007C444D" w:rsidRDefault="007C444D" w:rsidP="007C444D">
      <w:pPr>
        <w:bidi/>
        <w:spacing w:line="276" w:lineRule="auto"/>
        <w:jc w:val="lowKashida"/>
        <w:rPr>
          <w:rFonts w:asciiTheme="majorBidi" w:hAnsiTheme="majorBidi" w:cstheme="majorBidi"/>
          <w:b/>
          <w:bCs/>
          <w:color w:val="002060"/>
          <w:sz w:val="28"/>
          <w:szCs w:val="28"/>
          <w:lang w:bidi="ar-EG"/>
        </w:rPr>
      </w:pPr>
    </w:p>
    <w:p w14:paraId="67F97C1A" w14:textId="77777777" w:rsidR="007C444D" w:rsidRDefault="007C444D" w:rsidP="007C444D">
      <w:pPr>
        <w:bidi/>
        <w:spacing w:line="276" w:lineRule="auto"/>
        <w:jc w:val="lowKashida"/>
        <w:rPr>
          <w:rFonts w:asciiTheme="majorBidi" w:hAnsiTheme="majorBidi" w:cstheme="majorBidi"/>
          <w:b/>
          <w:bCs/>
          <w:color w:val="002060"/>
          <w:sz w:val="28"/>
          <w:szCs w:val="28"/>
          <w:lang w:bidi="ar-EG"/>
        </w:rPr>
      </w:pPr>
    </w:p>
    <w:p w14:paraId="4725DC76" w14:textId="77777777" w:rsidR="007C444D" w:rsidRDefault="007C444D" w:rsidP="007C444D">
      <w:pPr>
        <w:bidi/>
        <w:spacing w:line="276" w:lineRule="auto"/>
        <w:jc w:val="lowKashida"/>
        <w:rPr>
          <w:rFonts w:asciiTheme="majorBidi" w:hAnsiTheme="majorBidi" w:cstheme="majorBidi"/>
          <w:b/>
          <w:bCs/>
          <w:color w:val="002060"/>
          <w:sz w:val="28"/>
          <w:szCs w:val="28"/>
          <w:lang w:bidi="ar-EG"/>
        </w:rPr>
      </w:pPr>
    </w:p>
    <w:p w14:paraId="7458359C" w14:textId="77777777" w:rsidR="007C444D" w:rsidRDefault="007C444D" w:rsidP="007C444D">
      <w:pPr>
        <w:bidi/>
        <w:spacing w:line="276" w:lineRule="auto"/>
        <w:jc w:val="lowKashida"/>
        <w:rPr>
          <w:rFonts w:asciiTheme="majorBidi" w:hAnsiTheme="majorBidi" w:cstheme="majorBidi"/>
          <w:b/>
          <w:bCs/>
          <w:color w:val="002060"/>
          <w:sz w:val="28"/>
          <w:szCs w:val="28"/>
          <w:lang w:bidi="ar-EG"/>
        </w:rPr>
      </w:pPr>
    </w:p>
    <w:p w14:paraId="0FCF77B2" w14:textId="77777777" w:rsidR="007C444D" w:rsidRDefault="007C444D" w:rsidP="007C444D">
      <w:pPr>
        <w:bidi/>
        <w:spacing w:line="276" w:lineRule="auto"/>
        <w:jc w:val="center"/>
        <w:rPr>
          <w:rFonts w:asciiTheme="majorBidi" w:hAnsiTheme="majorBidi" w:cstheme="majorBidi"/>
          <w:b/>
          <w:bCs/>
          <w:sz w:val="144"/>
          <w:szCs w:val="144"/>
          <w:rtl/>
          <w:lang w:bidi="ar-EG"/>
        </w:rPr>
      </w:pPr>
    </w:p>
    <w:p w14:paraId="5E83FD17" w14:textId="60469BAF" w:rsidR="007C444D" w:rsidRPr="007C444D" w:rsidRDefault="007C444D" w:rsidP="007C444D">
      <w:pPr>
        <w:bidi/>
        <w:spacing w:line="276" w:lineRule="auto"/>
        <w:jc w:val="center"/>
        <w:rPr>
          <w:rFonts w:asciiTheme="majorBidi" w:hAnsiTheme="majorBidi" w:cstheme="majorBidi"/>
          <w:b/>
          <w:bCs/>
          <w:sz w:val="144"/>
          <w:szCs w:val="144"/>
          <w:rtl/>
          <w:lang w:bidi="ar-EG"/>
        </w:rPr>
      </w:pPr>
      <w:r w:rsidRPr="007C444D">
        <w:rPr>
          <w:rFonts w:asciiTheme="majorBidi" w:hAnsiTheme="majorBidi" w:cstheme="majorBidi" w:hint="cs"/>
          <w:b/>
          <w:bCs/>
          <w:sz w:val="144"/>
          <w:szCs w:val="144"/>
          <w:rtl/>
          <w:lang w:bidi="ar-EG"/>
        </w:rPr>
        <w:t>الفصل الأول:</w:t>
      </w:r>
      <w:r w:rsidRPr="007C444D">
        <w:rPr>
          <w:rFonts w:asciiTheme="majorBidi" w:hAnsiTheme="majorBidi" w:cstheme="majorBidi"/>
          <w:b/>
          <w:bCs/>
          <w:sz w:val="144"/>
          <w:szCs w:val="144"/>
          <w:rtl/>
          <w:lang w:bidi="ar-EG"/>
        </w:rPr>
        <w:br/>
      </w:r>
      <w:r w:rsidRPr="007C444D">
        <w:rPr>
          <w:rFonts w:asciiTheme="majorBidi" w:hAnsiTheme="majorBidi" w:cstheme="majorBidi" w:hint="cs"/>
          <w:b/>
          <w:bCs/>
          <w:sz w:val="144"/>
          <w:szCs w:val="144"/>
          <w:rtl/>
          <w:lang w:bidi="ar-EG"/>
        </w:rPr>
        <w:t>الإطار الفكري للدراسة</w:t>
      </w:r>
    </w:p>
    <w:p w14:paraId="265AAE9B" w14:textId="77777777" w:rsidR="004B4A0D" w:rsidRDefault="004B4A0D" w:rsidP="004B4A0D">
      <w:pPr>
        <w:bidi/>
        <w:spacing w:line="276" w:lineRule="auto"/>
        <w:jc w:val="lowKashida"/>
        <w:rPr>
          <w:rFonts w:asciiTheme="majorBidi" w:hAnsiTheme="majorBidi" w:cstheme="majorBidi"/>
          <w:b/>
          <w:bCs/>
          <w:color w:val="002060"/>
          <w:sz w:val="28"/>
          <w:szCs w:val="28"/>
          <w:lang w:bidi="ar-EG"/>
        </w:rPr>
      </w:pPr>
    </w:p>
    <w:p w14:paraId="30928AB9" w14:textId="77777777" w:rsidR="004B4A0D" w:rsidRDefault="004B4A0D" w:rsidP="004B4A0D">
      <w:pPr>
        <w:bidi/>
        <w:spacing w:line="276" w:lineRule="auto"/>
        <w:jc w:val="lowKashida"/>
        <w:rPr>
          <w:rFonts w:asciiTheme="majorBidi" w:hAnsiTheme="majorBidi" w:cstheme="majorBidi"/>
          <w:b/>
          <w:bCs/>
          <w:color w:val="002060"/>
          <w:sz w:val="28"/>
          <w:szCs w:val="28"/>
          <w:rtl/>
          <w:lang w:bidi="ar-EG"/>
        </w:rPr>
      </w:pPr>
    </w:p>
    <w:p w14:paraId="645554DE" w14:textId="77777777" w:rsidR="007C444D" w:rsidRDefault="007C444D" w:rsidP="007C444D">
      <w:pPr>
        <w:bidi/>
        <w:spacing w:line="276" w:lineRule="auto"/>
        <w:jc w:val="lowKashida"/>
        <w:rPr>
          <w:rFonts w:asciiTheme="majorBidi" w:hAnsiTheme="majorBidi" w:cstheme="majorBidi"/>
          <w:b/>
          <w:bCs/>
          <w:color w:val="002060"/>
          <w:sz w:val="28"/>
          <w:szCs w:val="28"/>
          <w:rtl/>
          <w:lang w:bidi="ar-EG"/>
        </w:rPr>
      </w:pPr>
    </w:p>
    <w:p w14:paraId="46099F10" w14:textId="77777777" w:rsidR="007C444D" w:rsidRDefault="007C444D" w:rsidP="007C444D">
      <w:pPr>
        <w:bidi/>
        <w:spacing w:line="276" w:lineRule="auto"/>
        <w:jc w:val="lowKashida"/>
        <w:rPr>
          <w:rFonts w:asciiTheme="majorBidi" w:hAnsiTheme="majorBidi" w:cstheme="majorBidi"/>
          <w:b/>
          <w:bCs/>
          <w:color w:val="002060"/>
          <w:sz w:val="28"/>
          <w:szCs w:val="28"/>
          <w:rtl/>
          <w:lang w:bidi="ar-EG"/>
        </w:rPr>
      </w:pPr>
    </w:p>
    <w:p w14:paraId="6DDD7C9C" w14:textId="77777777" w:rsidR="007C444D" w:rsidRDefault="007C444D" w:rsidP="007C444D">
      <w:pPr>
        <w:bidi/>
        <w:spacing w:line="276" w:lineRule="auto"/>
        <w:jc w:val="lowKashida"/>
        <w:rPr>
          <w:rFonts w:asciiTheme="majorBidi" w:hAnsiTheme="majorBidi" w:cstheme="majorBidi"/>
          <w:b/>
          <w:bCs/>
          <w:color w:val="002060"/>
          <w:sz w:val="28"/>
          <w:szCs w:val="28"/>
          <w:rtl/>
          <w:lang w:bidi="ar-EG"/>
        </w:rPr>
      </w:pPr>
    </w:p>
    <w:p w14:paraId="28C722BF" w14:textId="77777777" w:rsidR="007C444D" w:rsidRDefault="007C444D" w:rsidP="007C444D">
      <w:pPr>
        <w:bidi/>
        <w:spacing w:line="276" w:lineRule="auto"/>
        <w:jc w:val="lowKashida"/>
        <w:rPr>
          <w:rFonts w:asciiTheme="majorBidi" w:hAnsiTheme="majorBidi" w:cstheme="majorBidi"/>
          <w:b/>
          <w:bCs/>
          <w:color w:val="002060"/>
          <w:sz w:val="28"/>
          <w:szCs w:val="28"/>
          <w:rtl/>
          <w:lang w:bidi="ar-EG"/>
        </w:rPr>
      </w:pPr>
    </w:p>
    <w:p w14:paraId="02D60031" w14:textId="77777777" w:rsidR="007C444D" w:rsidRDefault="007C444D" w:rsidP="007C444D">
      <w:pPr>
        <w:bidi/>
        <w:spacing w:line="276" w:lineRule="auto"/>
        <w:jc w:val="lowKashida"/>
        <w:rPr>
          <w:rFonts w:asciiTheme="majorBidi" w:hAnsiTheme="majorBidi" w:cstheme="majorBidi"/>
          <w:b/>
          <w:bCs/>
          <w:color w:val="002060"/>
          <w:sz w:val="28"/>
          <w:szCs w:val="28"/>
          <w:rtl/>
          <w:lang w:bidi="ar-EG"/>
        </w:rPr>
      </w:pPr>
    </w:p>
    <w:p w14:paraId="7E0ED3AA" w14:textId="3304A15C" w:rsidR="003A6425" w:rsidRPr="00202E2A" w:rsidRDefault="00AC7FA4" w:rsidP="0019590B">
      <w:pPr>
        <w:bidi/>
        <w:spacing w:line="276" w:lineRule="auto"/>
        <w:rPr>
          <w:rFonts w:asciiTheme="majorBidi" w:hAnsiTheme="majorBidi" w:cstheme="majorBidi"/>
          <w:b/>
          <w:bCs/>
          <w:color w:val="002060"/>
          <w:sz w:val="26"/>
          <w:szCs w:val="26"/>
          <w:rtl/>
          <w:lang w:bidi="ar-EG"/>
        </w:rPr>
      </w:pPr>
      <w:r w:rsidRPr="00202E2A">
        <w:rPr>
          <w:rFonts w:asciiTheme="majorBidi" w:hAnsiTheme="majorBidi" w:cstheme="majorBidi"/>
          <w:b/>
          <w:bCs/>
          <w:color w:val="002060"/>
          <w:sz w:val="26"/>
          <w:szCs w:val="26"/>
          <w:rtl/>
          <w:lang w:bidi="ar-EG"/>
        </w:rPr>
        <w:lastRenderedPageBreak/>
        <w:t xml:space="preserve">أولاً: </w:t>
      </w:r>
      <w:r w:rsidR="0000289E" w:rsidRPr="00202E2A">
        <w:rPr>
          <w:rFonts w:asciiTheme="majorBidi" w:hAnsiTheme="majorBidi" w:cstheme="majorBidi"/>
          <w:b/>
          <w:bCs/>
          <w:color w:val="002060"/>
          <w:sz w:val="26"/>
          <w:szCs w:val="26"/>
          <w:rtl/>
          <w:lang w:bidi="ar-EG"/>
        </w:rPr>
        <w:t>المقدمة</w:t>
      </w:r>
    </w:p>
    <w:p w14:paraId="662AC8E1" w14:textId="461E9CD0" w:rsidR="00E3655D" w:rsidRPr="00202E2A" w:rsidRDefault="00E3655D"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تشكل الظروف المحيطة بالجهات الحكومية في المملكة العربية السعودية عنصراً محورياً في نجاح مبادرات التحول الرقمي، خاصةً في ظل رؤية </w:t>
      </w:r>
      <w:r w:rsidR="001A6BFB" w:rsidRPr="00202E2A">
        <w:rPr>
          <w:rFonts w:asciiTheme="majorBidi" w:hAnsiTheme="majorBidi" w:cstheme="majorBidi"/>
          <w:sz w:val="26"/>
          <w:szCs w:val="26"/>
          <w:lang w:bidi="ar-EG"/>
        </w:rPr>
        <w:t>2030</w:t>
      </w:r>
      <w:r w:rsidRPr="00202E2A">
        <w:rPr>
          <w:rFonts w:asciiTheme="majorBidi" w:hAnsiTheme="majorBidi" w:cstheme="majorBidi"/>
          <w:sz w:val="26"/>
          <w:szCs w:val="26"/>
          <w:rtl/>
          <w:lang w:bidi="ar-EG"/>
        </w:rPr>
        <w:t xml:space="preserve"> التي تهدف إلى تحقيق تحول شامل يواكب التطورات التكنولوجية العالمية، ويتضمن هذا الإطار الخارجي مجموعة من العوامل السياسية والثقافية والاجتماعية التي تؤثر على تبني التقنيات الحديثة واستخدامها في تحسين الخدمات الحكومية، حيث يُعتبر الارتفاع المتزايد في معدلات استخدام تكنولوجيا المعلومات والاتصالات من قبل الشركات والأفراد والجهات الحكومية دافعاً أساسياً نحو تعزيز التفاعل الرقمي وتبادل المعرفة، وفي هذا السياق تُعد حملات التوعية الرقمية خطوة استراتيجية لتعزيز الوعي بأهمية الرقمنة وتشجيع المجتمع على اعتماد الخدمات الإلكترونية، مما يسهم في بناء ثقافة مؤسسية قائمة على الابتكار والتجديد</w:t>
      </w:r>
      <w:r w:rsidR="00373C73" w:rsidRPr="00202E2A">
        <w:rPr>
          <w:rFonts w:asciiTheme="majorBidi" w:hAnsiTheme="majorBidi" w:cstheme="majorBidi" w:hint="cs"/>
          <w:sz w:val="26"/>
          <w:szCs w:val="26"/>
          <w:rtl/>
          <w:lang w:bidi="ar-EG"/>
        </w:rPr>
        <w:t xml:space="preserve"> </w:t>
      </w:r>
      <w:r w:rsidR="00373C73" w:rsidRPr="00202E2A">
        <w:rPr>
          <w:rFonts w:hint="cs"/>
          <w:sz w:val="26"/>
          <w:szCs w:val="26"/>
          <w:rtl/>
        </w:rPr>
        <w:t>(</w:t>
      </w:r>
      <w:r w:rsidR="00680C4A" w:rsidRPr="00202E2A">
        <w:rPr>
          <w:rFonts w:asciiTheme="majorBidi" w:hAnsiTheme="majorBidi" w:cs="Times New Roman"/>
          <w:sz w:val="26"/>
          <w:szCs w:val="26"/>
          <w:lang w:bidi="ar-EG"/>
        </w:rPr>
        <w:t>SDAIA</w:t>
      </w:r>
      <w:r w:rsidR="00680C4A" w:rsidRPr="00202E2A">
        <w:rPr>
          <w:rFonts w:asciiTheme="majorBidi" w:hAnsiTheme="majorBidi" w:cs="Times New Roman" w:hint="cs"/>
          <w:sz w:val="26"/>
          <w:szCs w:val="26"/>
          <w:rtl/>
          <w:lang w:bidi="ar-EG"/>
        </w:rPr>
        <w:t xml:space="preserve"> </w:t>
      </w:r>
      <w:r w:rsidR="00373C73" w:rsidRPr="00202E2A">
        <w:rPr>
          <w:rFonts w:asciiTheme="majorBidi" w:hAnsiTheme="majorBidi" w:cs="Times New Roman" w:hint="cs"/>
          <w:sz w:val="26"/>
          <w:szCs w:val="26"/>
          <w:rtl/>
          <w:lang w:bidi="ar-EG"/>
        </w:rPr>
        <w:t>،</w:t>
      </w:r>
      <w:r w:rsidR="00373C73" w:rsidRPr="00202E2A">
        <w:rPr>
          <w:rFonts w:asciiTheme="majorBidi" w:hAnsiTheme="majorBidi" w:cs="Times New Roman"/>
          <w:sz w:val="26"/>
          <w:szCs w:val="26"/>
          <w:rtl/>
          <w:lang w:bidi="ar-EG"/>
        </w:rPr>
        <w:t xml:space="preserve"> </w:t>
      </w:r>
      <w:r w:rsidR="00373C73" w:rsidRPr="00202E2A">
        <w:rPr>
          <w:rFonts w:asciiTheme="majorBidi" w:hAnsiTheme="majorBidi" w:cs="Times New Roman"/>
          <w:sz w:val="26"/>
          <w:szCs w:val="26"/>
          <w:lang w:bidi="ar-EG"/>
        </w:rPr>
        <w:t>2023</w:t>
      </w:r>
      <w:r w:rsidR="00373C73" w:rsidRPr="00202E2A">
        <w:rPr>
          <w:rFonts w:asciiTheme="majorBidi" w:hAnsiTheme="majorBidi" w:cs="Times New Roman"/>
          <w:sz w:val="26"/>
          <w:szCs w:val="26"/>
          <w:rtl/>
          <w:lang w:bidi="ar-EG"/>
        </w:rPr>
        <w:t>)</w:t>
      </w:r>
      <w:r w:rsidR="00373C73" w:rsidRPr="00202E2A">
        <w:rPr>
          <w:rFonts w:asciiTheme="majorBidi" w:hAnsiTheme="majorBidi" w:cs="Times New Roman" w:hint="cs"/>
          <w:sz w:val="26"/>
          <w:szCs w:val="26"/>
          <w:rtl/>
          <w:lang w:bidi="ar-EG"/>
        </w:rPr>
        <w:t>.</w:t>
      </w:r>
    </w:p>
    <w:p w14:paraId="189FC952" w14:textId="58BA9AA5" w:rsidR="00E3655D" w:rsidRPr="00202E2A" w:rsidRDefault="00400D65"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ويوضح</w:t>
      </w:r>
      <w:r w:rsidR="009876CD" w:rsidRPr="00202E2A">
        <w:rPr>
          <w:rFonts w:asciiTheme="majorBidi" w:hAnsiTheme="majorBidi" w:cstheme="majorBidi"/>
          <w:sz w:val="26"/>
          <w:szCs w:val="26"/>
          <w:rtl/>
          <w:lang w:bidi="ar-EG"/>
        </w:rPr>
        <w:t xml:space="preserve"> تقرير</w:t>
      </w:r>
      <w:r w:rsidR="009876CD" w:rsidRPr="00202E2A">
        <w:rPr>
          <w:rFonts w:asciiTheme="majorBidi" w:hAnsiTheme="majorBidi" w:cstheme="majorBidi"/>
          <w:sz w:val="26"/>
          <w:szCs w:val="26"/>
          <w:lang w:bidi="ar-EG"/>
        </w:rPr>
        <w:t xml:space="preserve"> (United Nations. ,</w:t>
      </w:r>
      <w:r w:rsidR="0087067E" w:rsidRPr="00202E2A">
        <w:rPr>
          <w:rFonts w:asciiTheme="majorBidi" w:hAnsiTheme="majorBidi" w:cstheme="majorBidi"/>
          <w:sz w:val="26"/>
          <w:szCs w:val="26"/>
          <w:lang w:bidi="ar-EG"/>
        </w:rPr>
        <w:t>2021</w:t>
      </w:r>
      <w:r w:rsidR="00C441F9" w:rsidRPr="00202E2A">
        <w:rPr>
          <w:rFonts w:asciiTheme="majorBidi" w:hAnsiTheme="majorBidi" w:cstheme="majorBidi"/>
          <w:sz w:val="26"/>
          <w:szCs w:val="26"/>
          <w:lang w:bidi="ar-EG"/>
        </w:rPr>
        <w:t>)</w:t>
      </w:r>
      <w:r w:rsidR="00C441F9" w:rsidRPr="00202E2A">
        <w:rPr>
          <w:rFonts w:asciiTheme="majorBidi" w:hAnsiTheme="majorBidi" w:cstheme="majorBidi"/>
          <w:sz w:val="26"/>
          <w:szCs w:val="26"/>
          <w:rtl/>
          <w:lang w:bidi="ar-EG"/>
        </w:rPr>
        <w:t xml:space="preserve"> حيث</w:t>
      </w:r>
      <w:r w:rsidR="009876CD" w:rsidRPr="00202E2A">
        <w:rPr>
          <w:rFonts w:asciiTheme="majorBidi" w:hAnsiTheme="majorBidi" w:cstheme="majorBidi"/>
          <w:sz w:val="26"/>
          <w:szCs w:val="26"/>
          <w:rtl/>
          <w:lang w:bidi="ar-EG"/>
        </w:rPr>
        <w:t xml:space="preserve"> يُظهر الجهود العالمية لتحقيق التنمية الشاملة والرقمية ضمن إطار رؤية الأمم المتحدة لعام </w:t>
      </w:r>
      <w:r w:rsidR="009876CD" w:rsidRPr="00202E2A">
        <w:rPr>
          <w:rFonts w:asciiTheme="majorBidi" w:hAnsiTheme="majorBidi" w:cstheme="majorBidi"/>
          <w:sz w:val="26"/>
          <w:szCs w:val="26"/>
          <w:lang w:bidi="ar-EG"/>
        </w:rPr>
        <w:t>2030</w:t>
      </w:r>
      <w:r w:rsidR="009876CD" w:rsidRPr="00202E2A">
        <w:rPr>
          <w:rFonts w:asciiTheme="majorBidi" w:hAnsiTheme="majorBidi" w:cstheme="majorBidi"/>
          <w:sz w:val="26"/>
          <w:szCs w:val="26"/>
          <w:rtl/>
          <w:lang w:bidi="ar-EG"/>
        </w:rPr>
        <w:t xml:space="preserve">، مما يعكس أهمية الإطار الخارجي في دعم التحول الرقمي وتعزيز الأمن وتيسير التجارة وتقديم الخدمات الحكومية المبتكرة، حيث </w:t>
      </w:r>
      <w:r w:rsidR="00E3655D" w:rsidRPr="00202E2A">
        <w:rPr>
          <w:rFonts w:asciiTheme="majorBidi" w:hAnsiTheme="majorBidi" w:cstheme="majorBidi"/>
          <w:sz w:val="26"/>
          <w:szCs w:val="26"/>
          <w:rtl/>
          <w:lang w:bidi="ar-EG"/>
        </w:rPr>
        <w:t>يتطلب تحقيق التحول الرقمي منح الهيئات الحكومية السلطة الكاملة لإعداد القوانين واللوائح التنظيمية الداعمة لتطبيق الخدمات الإلكترونية، مع ضمان حماية البيانات والخصوصية والأمن السيبراني، وهو ما يساهم في تقديم الخدمات عبر قنوات متعددة وبشكل دائم</w:t>
      </w:r>
      <w:r w:rsidR="000C25AB" w:rsidRPr="00202E2A">
        <w:rPr>
          <w:rFonts w:asciiTheme="majorBidi" w:hAnsiTheme="majorBidi" w:cstheme="majorBidi"/>
          <w:sz w:val="26"/>
          <w:szCs w:val="26"/>
          <w:rtl/>
          <w:lang w:bidi="ar-EG"/>
        </w:rPr>
        <w:t>، حيث</w:t>
      </w:r>
      <w:r w:rsidR="00E3655D" w:rsidRPr="00202E2A">
        <w:rPr>
          <w:rFonts w:asciiTheme="majorBidi" w:hAnsiTheme="majorBidi" w:cstheme="majorBidi"/>
          <w:sz w:val="26"/>
          <w:szCs w:val="26"/>
          <w:rtl/>
          <w:lang w:bidi="ar-EG"/>
        </w:rPr>
        <w:t xml:space="preserve"> يعمل التكامل بين السياسات الحكومية والتقنيات الحديثة على تحسين الكفاءة التشغيلية وتقليل الإجراءات الإدارية التقليدية، مما يعزز من القدرة التنافسية الوطنية ويسهم في جذب الاستثمارات الأجنبية وتحفيز النمو الاقتصادي</w:t>
      </w:r>
      <w:r w:rsidR="000C25AB" w:rsidRPr="00202E2A">
        <w:rPr>
          <w:rFonts w:asciiTheme="majorBidi" w:hAnsiTheme="majorBidi" w:cstheme="majorBidi"/>
          <w:sz w:val="26"/>
          <w:szCs w:val="26"/>
          <w:rtl/>
          <w:lang w:bidi="ar-EG"/>
        </w:rPr>
        <w:t>،</w:t>
      </w:r>
      <w:r w:rsidR="00E3655D" w:rsidRPr="00202E2A">
        <w:rPr>
          <w:rFonts w:asciiTheme="majorBidi" w:hAnsiTheme="majorBidi" w:cstheme="majorBidi"/>
          <w:sz w:val="26"/>
          <w:szCs w:val="26"/>
          <w:rtl/>
          <w:lang w:bidi="ar-EG"/>
        </w:rPr>
        <w:t xml:space="preserve"> وفي الختام، يُعتبر الإطار الخارجي المحيط عاملاً رئيسياً يضمن تحقيق التحول الرقمي الشامل بما يتماشى مع أهداف رؤية</w:t>
      </w:r>
      <w:r w:rsidR="002C0D21" w:rsidRPr="00202E2A">
        <w:rPr>
          <w:rFonts w:asciiTheme="majorBidi" w:hAnsiTheme="majorBidi" w:cstheme="majorBidi"/>
          <w:sz w:val="26"/>
          <w:szCs w:val="26"/>
          <w:rtl/>
          <w:lang w:bidi="ar-EG"/>
        </w:rPr>
        <w:t xml:space="preserve"> الأمم المتحدة</w:t>
      </w:r>
      <w:r w:rsidR="00E3655D" w:rsidRPr="00202E2A">
        <w:rPr>
          <w:rFonts w:asciiTheme="majorBidi" w:hAnsiTheme="majorBidi" w:cstheme="majorBidi"/>
          <w:sz w:val="26"/>
          <w:szCs w:val="26"/>
          <w:rtl/>
          <w:lang w:bidi="ar-EG"/>
        </w:rPr>
        <w:t xml:space="preserve"> </w:t>
      </w:r>
      <w:r w:rsidR="001A6BFB" w:rsidRPr="00202E2A">
        <w:rPr>
          <w:rFonts w:asciiTheme="majorBidi" w:hAnsiTheme="majorBidi" w:cstheme="majorBidi"/>
          <w:sz w:val="26"/>
          <w:szCs w:val="26"/>
          <w:lang w:bidi="ar-EG"/>
        </w:rPr>
        <w:t>2030</w:t>
      </w:r>
      <w:r w:rsidR="00E3655D" w:rsidRPr="00202E2A">
        <w:rPr>
          <w:rFonts w:asciiTheme="majorBidi" w:hAnsiTheme="majorBidi" w:cstheme="majorBidi"/>
          <w:sz w:val="26"/>
          <w:szCs w:val="26"/>
          <w:rtl/>
          <w:lang w:bidi="ar-EG"/>
        </w:rPr>
        <w:t>، مما يؤدي إلى تعزيز الأمن، ت</w:t>
      </w:r>
      <w:r w:rsidR="004B4A0D" w:rsidRPr="00202E2A">
        <w:rPr>
          <w:rFonts w:asciiTheme="majorBidi" w:hAnsiTheme="majorBidi" w:cstheme="majorBidi" w:hint="cs"/>
          <w:sz w:val="26"/>
          <w:szCs w:val="26"/>
          <w:rtl/>
          <w:lang w:bidi="ar-EG"/>
        </w:rPr>
        <w:t>ي</w:t>
      </w:r>
      <w:r w:rsidR="00E3655D" w:rsidRPr="00202E2A">
        <w:rPr>
          <w:rFonts w:asciiTheme="majorBidi" w:hAnsiTheme="majorBidi" w:cstheme="majorBidi"/>
          <w:sz w:val="26"/>
          <w:szCs w:val="26"/>
          <w:rtl/>
          <w:lang w:bidi="ar-EG"/>
        </w:rPr>
        <w:t>سي</w:t>
      </w:r>
      <w:r w:rsidR="004B4A0D" w:rsidRPr="00202E2A">
        <w:rPr>
          <w:rFonts w:asciiTheme="majorBidi" w:hAnsiTheme="majorBidi" w:cstheme="majorBidi" w:hint="cs"/>
          <w:sz w:val="26"/>
          <w:szCs w:val="26"/>
          <w:rtl/>
          <w:lang w:bidi="ar-EG"/>
        </w:rPr>
        <w:t>ر</w:t>
      </w:r>
      <w:r w:rsidR="00E3655D" w:rsidRPr="00202E2A">
        <w:rPr>
          <w:rFonts w:asciiTheme="majorBidi" w:hAnsiTheme="majorBidi" w:cstheme="majorBidi"/>
          <w:sz w:val="26"/>
          <w:szCs w:val="26"/>
          <w:rtl/>
          <w:lang w:bidi="ar-EG"/>
        </w:rPr>
        <w:t xml:space="preserve"> التجارة، وتقديم خدمات حكومية مبتكرة وفعالة على مستوى الدولة.</w:t>
      </w:r>
    </w:p>
    <w:p w14:paraId="0CFB7997" w14:textId="450F85C0" w:rsidR="0044433A" w:rsidRPr="00202E2A" w:rsidRDefault="00E44380"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ويشير تقرير (</w:t>
      </w:r>
      <w:r w:rsidRPr="00202E2A">
        <w:rPr>
          <w:rFonts w:asciiTheme="majorBidi" w:hAnsiTheme="majorBidi" w:cstheme="majorBidi"/>
          <w:sz w:val="26"/>
          <w:szCs w:val="26"/>
          <w:lang w:bidi="ar-EG"/>
        </w:rPr>
        <w:t>World Development Report,2020</w:t>
      </w:r>
      <w:r w:rsidRPr="00202E2A">
        <w:rPr>
          <w:rFonts w:asciiTheme="majorBidi" w:hAnsiTheme="majorBidi" w:cstheme="majorBidi"/>
          <w:sz w:val="26"/>
          <w:szCs w:val="26"/>
          <w:rtl/>
          <w:lang w:bidi="ar-EG"/>
        </w:rPr>
        <w:t xml:space="preserve">) </w:t>
      </w:r>
      <w:r w:rsidR="0029518D" w:rsidRPr="00202E2A">
        <w:rPr>
          <w:rFonts w:asciiTheme="majorBidi" w:hAnsiTheme="majorBidi" w:cstheme="majorBidi"/>
          <w:sz w:val="26"/>
          <w:szCs w:val="26"/>
          <w:rtl/>
          <w:lang w:bidi="ar-EG"/>
        </w:rPr>
        <w:t xml:space="preserve">أنه </w:t>
      </w:r>
      <w:r w:rsidR="00660D6E" w:rsidRPr="00202E2A">
        <w:rPr>
          <w:rFonts w:asciiTheme="majorBidi" w:hAnsiTheme="majorBidi" w:cstheme="majorBidi"/>
          <w:sz w:val="26"/>
          <w:szCs w:val="26"/>
          <w:rtl/>
          <w:lang w:bidi="ar-EG"/>
        </w:rPr>
        <w:t>ي</w:t>
      </w:r>
      <w:r w:rsidR="0044433A" w:rsidRPr="00202E2A">
        <w:rPr>
          <w:rFonts w:asciiTheme="majorBidi" w:hAnsiTheme="majorBidi" w:cstheme="majorBidi"/>
          <w:sz w:val="26"/>
          <w:szCs w:val="26"/>
          <w:rtl/>
          <w:lang w:bidi="ar-EG"/>
        </w:rPr>
        <w:t xml:space="preserve">عتبر </w:t>
      </w:r>
      <w:r w:rsidR="00660D6E" w:rsidRPr="00202E2A">
        <w:rPr>
          <w:rFonts w:asciiTheme="majorBidi" w:hAnsiTheme="majorBidi" w:cstheme="majorBidi"/>
          <w:sz w:val="26"/>
          <w:szCs w:val="26"/>
          <w:rtl/>
          <w:lang w:bidi="ar-EG"/>
        </w:rPr>
        <w:t>التحول الرقمي ل</w:t>
      </w:r>
      <w:r w:rsidR="0044433A" w:rsidRPr="00202E2A">
        <w:rPr>
          <w:rFonts w:asciiTheme="majorBidi" w:hAnsiTheme="majorBidi" w:cstheme="majorBidi"/>
          <w:sz w:val="26"/>
          <w:szCs w:val="26"/>
          <w:rtl/>
          <w:lang w:bidi="ar-EG"/>
        </w:rPr>
        <w:t xml:space="preserve">تكنولوجيا الاتصالات والمعلومات </w:t>
      </w:r>
      <w:r w:rsidR="00660D6E" w:rsidRPr="00202E2A">
        <w:rPr>
          <w:rFonts w:asciiTheme="majorBidi" w:hAnsiTheme="majorBidi" w:cstheme="majorBidi"/>
          <w:sz w:val="26"/>
          <w:szCs w:val="26"/>
          <w:rtl/>
          <w:lang w:bidi="ar-EG"/>
        </w:rPr>
        <w:t xml:space="preserve">هو </w:t>
      </w:r>
      <w:r w:rsidR="0044433A" w:rsidRPr="00202E2A">
        <w:rPr>
          <w:rFonts w:asciiTheme="majorBidi" w:hAnsiTheme="majorBidi" w:cstheme="majorBidi"/>
          <w:sz w:val="26"/>
          <w:szCs w:val="26"/>
          <w:rtl/>
          <w:lang w:bidi="ar-EG"/>
        </w:rPr>
        <w:t>المحرك الرئيسي للتغيير في المجتمعات في العصر الحاضر؛ حيث أن تطور تكنولوجيا الاتصالات والمعلومات وتعزيز استخدامها يُعتبر من أهم أهداف تحقيق التنمية المستدامة</w:t>
      </w:r>
      <w:r w:rsidR="00660D6E" w:rsidRPr="00202E2A">
        <w:rPr>
          <w:rFonts w:asciiTheme="majorBidi" w:hAnsiTheme="majorBidi" w:cstheme="majorBidi"/>
          <w:sz w:val="26"/>
          <w:szCs w:val="26"/>
          <w:rtl/>
          <w:lang w:bidi="ar-EG"/>
        </w:rPr>
        <w:t xml:space="preserve"> و</w:t>
      </w:r>
      <w:r w:rsidR="0044433A" w:rsidRPr="00202E2A">
        <w:rPr>
          <w:rFonts w:asciiTheme="majorBidi" w:hAnsiTheme="majorBidi" w:cstheme="majorBidi"/>
          <w:sz w:val="26"/>
          <w:szCs w:val="26"/>
          <w:rtl/>
          <w:lang w:bidi="ar-EG"/>
        </w:rPr>
        <w:t>تقنية المعلومات والاتصالات والخدمات الإلكترونية تلعب دوراً بارزاً في مفهوم التحول الرقمي، لكونها تعزز من أنشطة البحث والتطوير لتحسين أداء المؤسسات الحكومية والخاصة، وتقودهم إلى استحداث أنماط قيادية ومؤسسية جديدة</w:t>
      </w:r>
      <w:r w:rsidR="00660D6E" w:rsidRPr="00202E2A">
        <w:rPr>
          <w:rFonts w:asciiTheme="majorBidi" w:hAnsiTheme="majorBidi" w:cstheme="majorBidi"/>
          <w:sz w:val="26"/>
          <w:szCs w:val="26"/>
          <w:rtl/>
          <w:lang w:bidi="ar-EG"/>
        </w:rPr>
        <w:t>،</w:t>
      </w:r>
      <w:r w:rsidR="0044433A" w:rsidRPr="00202E2A">
        <w:rPr>
          <w:rFonts w:asciiTheme="majorBidi" w:hAnsiTheme="majorBidi" w:cstheme="majorBidi"/>
          <w:sz w:val="26"/>
          <w:szCs w:val="26"/>
          <w:rtl/>
          <w:lang w:bidi="ar-EG"/>
        </w:rPr>
        <w:t xml:space="preserve"> </w:t>
      </w:r>
      <w:r w:rsidR="00660D6E" w:rsidRPr="00202E2A">
        <w:rPr>
          <w:rFonts w:asciiTheme="majorBidi" w:hAnsiTheme="majorBidi" w:cstheme="majorBidi"/>
          <w:sz w:val="26"/>
          <w:szCs w:val="26"/>
          <w:rtl/>
          <w:lang w:bidi="ar-EG"/>
        </w:rPr>
        <w:t>و</w:t>
      </w:r>
      <w:r w:rsidR="0044433A" w:rsidRPr="00202E2A">
        <w:rPr>
          <w:rFonts w:asciiTheme="majorBidi" w:hAnsiTheme="majorBidi" w:cstheme="majorBidi"/>
          <w:sz w:val="26"/>
          <w:szCs w:val="26"/>
          <w:rtl/>
          <w:lang w:bidi="ar-EG"/>
        </w:rPr>
        <w:t xml:space="preserve">كما تسهم في وضع الخطط والبرامج التي تهدف إلى تحسين </w:t>
      </w:r>
      <w:r w:rsidR="00660D6E" w:rsidRPr="00202E2A">
        <w:rPr>
          <w:rFonts w:asciiTheme="majorBidi" w:hAnsiTheme="majorBidi" w:cstheme="majorBidi"/>
          <w:sz w:val="26"/>
          <w:szCs w:val="26"/>
          <w:rtl/>
          <w:lang w:bidi="ar-EG"/>
        </w:rPr>
        <w:t>أبعاد تعزيز الأمن</w:t>
      </w:r>
      <w:r w:rsidR="0044433A" w:rsidRPr="00202E2A">
        <w:rPr>
          <w:rFonts w:asciiTheme="majorBidi" w:hAnsiTheme="majorBidi" w:cstheme="majorBidi"/>
          <w:sz w:val="26"/>
          <w:szCs w:val="26"/>
          <w:rtl/>
          <w:lang w:bidi="ar-EG"/>
        </w:rPr>
        <w:t xml:space="preserve"> وأثرها على </w:t>
      </w:r>
      <w:r w:rsidR="00660D6E" w:rsidRPr="00202E2A">
        <w:rPr>
          <w:rFonts w:asciiTheme="majorBidi" w:hAnsiTheme="majorBidi" w:cstheme="majorBidi"/>
          <w:sz w:val="26"/>
          <w:szCs w:val="26"/>
          <w:rtl/>
          <w:lang w:bidi="ar-EG"/>
        </w:rPr>
        <w:t>تيسير التجارة</w:t>
      </w:r>
      <w:r w:rsidR="0044433A" w:rsidRPr="00202E2A">
        <w:rPr>
          <w:rFonts w:asciiTheme="majorBidi" w:hAnsiTheme="majorBidi" w:cstheme="majorBidi"/>
          <w:sz w:val="26"/>
          <w:szCs w:val="26"/>
          <w:rtl/>
          <w:lang w:bidi="ar-EG"/>
        </w:rPr>
        <w:t xml:space="preserve"> نحو إعداد مجتمع معلوماتي جيد، والعمل على تحقيق أهداف التحول الرقمي</w:t>
      </w:r>
      <w:r w:rsidR="00AA0DC5" w:rsidRPr="00202E2A">
        <w:rPr>
          <w:rFonts w:asciiTheme="majorBidi" w:hAnsiTheme="majorBidi" w:cstheme="majorBidi"/>
          <w:sz w:val="26"/>
          <w:szCs w:val="26"/>
          <w:rtl/>
          <w:lang w:bidi="ar-EG"/>
        </w:rPr>
        <w:t xml:space="preserve">.  </w:t>
      </w:r>
    </w:p>
    <w:p w14:paraId="377475C8" w14:textId="0B2F22E1" w:rsidR="009B6A68" w:rsidRPr="00202E2A" w:rsidRDefault="00E44380"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ويؤكد</w:t>
      </w:r>
      <w:r w:rsidRPr="00202E2A">
        <w:rPr>
          <w:rFonts w:asciiTheme="majorBidi" w:hAnsiTheme="majorBidi" w:cstheme="majorBidi"/>
          <w:sz w:val="26"/>
          <w:szCs w:val="26"/>
          <w:lang w:bidi="ar-EG"/>
        </w:rPr>
        <w:t xml:space="preserve">2016) </w:t>
      </w:r>
      <w:r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lang w:bidi="ar-EG"/>
        </w:rPr>
        <w:t>(Schwab, K. ,.</w:t>
      </w:r>
      <w:r w:rsidRPr="00202E2A">
        <w:rPr>
          <w:rFonts w:asciiTheme="majorBidi" w:hAnsiTheme="majorBidi" w:cstheme="majorBidi"/>
          <w:sz w:val="26"/>
          <w:szCs w:val="26"/>
          <w:rtl/>
          <w:lang w:bidi="ar-EG"/>
        </w:rPr>
        <w:t xml:space="preserve"> </w:t>
      </w:r>
      <w:r w:rsidR="009B6A68" w:rsidRPr="00202E2A">
        <w:rPr>
          <w:rFonts w:asciiTheme="majorBidi" w:hAnsiTheme="majorBidi" w:cstheme="majorBidi"/>
          <w:sz w:val="26"/>
          <w:szCs w:val="26"/>
          <w:rtl/>
          <w:lang w:bidi="ar-EG"/>
        </w:rPr>
        <w:t>تيسير التجارة أصبح ضرورةً تفرضها تطورات تكنولوجيا المعلومات على المؤسسات الحكومية لتحسين كفاءة العمليات التجارية، مما يحقق مزايا عديدة، أبرزها تبسيط الإجراءات عبر أنظمة رقمية ذكية، وزيادة الشفافية في المعاملات، وتقليل التعقيدات البيروقراطية التي تعوق تدفق السلع والخدمات، ويُعرف تيسير التجارة هنا بالتحول الجذري في تطبيق التكنولوجيا الرقمية لدمج القطاعات التجارية واللوجستية، وهو ضرورةٌ حتمية لمواكبة التسارع العالمي في تحسين البنى التحتية التجارية. كما يُسهم هذا التيسير في الانتقال من التعاملات الورقية المُعقدة إلى أنظمة رقمية متكاملة، مما يجعله محركاً رئيسياً لتنمية الاقتصاد عبر تمكين الدول من تبني حلول مبتكرة مثل المنصات الإلكترونية الموحدة، وآليات الدفع الذكية، وتقنيات تتبع الشحنات</w:t>
      </w:r>
      <w:r w:rsidR="009B6A68" w:rsidRPr="00202E2A">
        <w:rPr>
          <w:rFonts w:asciiTheme="majorBidi" w:hAnsiTheme="majorBidi" w:cstheme="majorBidi"/>
          <w:sz w:val="26"/>
          <w:szCs w:val="26"/>
          <w:lang w:bidi="ar-EG"/>
        </w:rPr>
        <w:t>.</w:t>
      </w:r>
    </w:p>
    <w:p w14:paraId="09D74DA8" w14:textId="77777777" w:rsidR="009B6A68" w:rsidRPr="00202E2A" w:rsidRDefault="009B6A68"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ولا شك أن تبسيط الإجراءات التجارية يعزز التنافسية الاقتصادية من خلال خفض التكاليف والوقت، ويدعم التكامل بين الأسواق المحلية والعالمية، مع تعزيز الأمن السيبراني لحماية البيانات المالية وضمان سلامة المعاملات. </w:t>
      </w:r>
      <w:r w:rsidRPr="00202E2A">
        <w:rPr>
          <w:rFonts w:asciiTheme="majorBidi" w:hAnsiTheme="majorBidi" w:cstheme="majorBidi"/>
          <w:sz w:val="26"/>
          <w:szCs w:val="26"/>
          <w:rtl/>
          <w:lang w:bidi="ar-EG"/>
        </w:rPr>
        <w:lastRenderedPageBreak/>
        <w:t>كما أن تطبيق هذه التقنيات يحد من الفساد المرتبط بالإجراءات اليدوية، ويفتح آفاقاً جديدةً لتحفيز الاستثمارات وبناء شراكات دولية فاعلة</w:t>
      </w:r>
      <w:r w:rsidRPr="00202E2A">
        <w:rPr>
          <w:rFonts w:asciiTheme="majorBidi" w:hAnsiTheme="majorBidi" w:cstheme="majorBidi"/>
          <w:sz w:val="26"/>
          <w:szCs w:val="26"/>
          <w:lang w:bidi="ar-EG"/>
        </w:rPr>
        <w:t xml:space="preserve"> Across All Sectors</w:t>
      </w:r>
      <w:r w:rsidRPr="00202E2A">
        <w:rPr>
          <w:rFonts w:asciiTheme="majorBidi" w:hAnsiTheme="majorBidi" w:cstheme="majorBidi"/>
          <w:sz w:val="26"/>
          <w:szCs w:val="26"/>
          <w:rtl/>
          <w:lang w:bidi="ar-EG"/>
        </w:rPr>
        <w:t>، مما يخلق تحولاتٍ استثنائية في بيئة الأعمال العالمية</w:t>
      </w:r>
      <w:r w:rsidRPr="00202E2A">
        <w:rPr>
          <w:rFonts w:asciiTheme="majorBidi" w:hAnsiTheme="majorBidi" w:cstheme="majorBidi"/>
          <w:sz w:val="26"/>
          <w:szCs w:val="26"/>
          <w:lang w:bidi="ar-EG"/>
        </w:rPr>
        <w:t>.</w:t>
      </w:r>
    </w:p>
    <w:p w14:paraId="511EBB60" w14:textId="4B5A80B2" w:rsidR="0087067E" w:rsidRPr="00202E2A" w:rsidRDefault="0044433A"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في حين </w:t>
      </w:r>
      <w:r w:rsidR="0021505E" w:rsidRPr="00202E2A">
        <w:rPr>
          <w:rFonts w:asciiTheme="majorBidi" w:hAnsiTheme="majorBidi" w:cstheme="majorBidi"/>
          <w:sz w:val="26"/>
          <w:szCs w:val="26"/>
          <w:rtl/>
          <w:lang w:bidi="ar-EG"/>
        </w:rPr>
        <w:t xml:space="preserve">يناقش </w:t>
      </w:r>
      <w:r w:rsidR="0021505E" w:rsidRPr="00202E2A">
        <w:rPr>
          <w:rFonts w:asciiTheme="majorBidi" w:hAnsiTheme="majorBidi" w:cstheme="majorBidi"/>
          <w:sz w:val="26"/>
          <w:szCs w:val="26"/>
          <w:lang w:bidi="ar-EG"/>
        </w:rPr>
        <w:t>Smith, A. ,2020)</w:t>
      </w:r>
      <w:r w:rsidR="0021505E" w:rsidRPr="00202E2A">
        <w:rPr>
          <w:rFonts w:asciiTheme="majorBidi" w:hAnsiTheme="majorBidi" w:cstheme="majorBidi"/>
          <w:sz w:val="26"/>
          <w:szCs w:val="26"/>
          <w:rtl/>
          <w:lang w:bidi="ar-EG"/>
        </w:rPr>
        <w:t xml:space="preserve">) </w:t>
      </w:r>
      <w:r w:rsidR="0087067E" w:rsidRPr="00202E2A">
        <w:rPr>
          <w:rFonts w:asciiTheme="majorBidi" w:hAnsiTheme="majorBidi" w:cstheme="majorBidi"/>
          <w:sz w:val="26"/>
          <w:szCs w:val="26"/>
          <w:rtl/>
          <w:lang w:bidi="ar-EG"/>
        </w:rPr>
        <w:t>دور تعزيز الأمن السيبراني وتيسير التجارة في دعم الكفاءة التشغيلية والعلاقات الدولية بالمؤسسات الحكومية، يُعدّ تعزيز الأمن السيبراني وتيسير التجارة ركيزتين حاسمتين لبناء بيئة تجارية آمنة وفعّالة، حيث يساهمان معًا في تمكين التبادلات الدولية وتعزيز الثقة بين الشركاء العالميين. ففي ظل التهديدات الإلكترونية المتزايدة التي تستهدف سلاسل التوريد والأنظمة المالية، أصبح اعتماد تقنيات حماية متطورة مثل أنظمة التشفير المُحكمة، وبرامج الكشف عن الاختراقات باستخدام الذكاء الاصطناعي، وآليات المراقبة الوقائية، ضرورةً لضمان سلامة البيانات التجارية الحساسة وحماية البنى التحتية اللوجستية</w:t>
      </w:r>
      <w:r w:rsidR="0087067E" w:rsidRPr="00202E2A">
        <w:rPr>
          <w:rFonts w:asciiTheme="majorBidi" w:hAnsiTheme="majorBidi" w:cstheme="majorBidi"/>
          <w:sz w:val="26"/>
          <w:szCs w:val="26"/>
          <w:lang w:bidi="ar-EG"/>
        </w:rPr>
        <w:t>.</w:t>
      </w:r>
    </w:p>
    <w:p w14:paraId="64056A15" w14:textId="6D0FFF17" w:rsidR="0087067E" w:rsidRPr="00202E2A" w:rsidRDefault="0087067E"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من ناحية أخرى، يُسهم تيسير التجارة في تبسيط الإجراءات الجمركية وتقليل الحواجز البيروقراطية عبر منصات رقمية موحدة، مما يعزز انسيابية حركة السلع والخدمات عبر الحدود. ويتجلى هذا في اعتماد أنظمة التخليص الجمركي الآلي، وتقنيات تتبع الشحنات الذكية، وآليات الدفع الإلكتروني الموثوقة، والتي تسرع العمليات التجارية وتخفض التكاليف. كما أن تعزيز الأمن السيبراني يُقلل من مخاطر القرصنة الإلكترونية على المعاملات المالية، مما يعزّك ثقة المستثمرين ويدعم الشراكات الدولية</w:t>
      </w:r>
      <w:r w:rsidRPr="00202E2A">
        <w:rPr>
          <w:rFonts w:asciiTheme="majorBidi" w:hAnsiTheme="majorBidi" w:cstheme="majorBidi"/>
          <w:sz w:val="26"/>
          <w:szCs w:val="26"/>
          <w:lang w:bidi="ar-EG"/>
        </w:rPr>
        <w:t>.</w:t>
      </w:r>
    </w:p>
    <w:p w14:paraId="7F2E9438" w14:textId="42F0CFE6" w:rsidR="0087067E" w:rsidRPr="00202E2A" w:rsidRDefault="0087067E"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ولا تنفصل هذه الجهود عن تعزيز العلاقات التجارية الدولية، حيث تتبنى الحكومات معايير موحدة للتوافق مع الاتفاقيات العالمية مثل اتفاقية منظمة التجارة العالمية لتيسير التجارة (</w:t>
      </w:r>
      <w:r w:rsidRPr="00202E2A">
        <w:rPr>
          <w:rFonts w:asciiTheme="majorBidi" w:hAnsiTheme="majorBidi" w:cstheme="majorBidi"/>
          <w:sz w:val="26"/>
          <w:szCs w:val="26"/>
          <w:lang w:bidi="ar-EG"/>
        </w:rPr>
        <w:t>TFA</w:t>
      </w:r>
      <w:r w:rsidRPr="00202E2A">
        <w:rPr>
          <w:rFonts w:asciiTheme="majorBidi" w:hAnsiTheme="majorBidi" w:cstheme="majorBidi"/>
          <w:sz w:val="26"/>
          <w:szCs w:val="26"/>
          <w:rtl/>
          <w:lang w:bidi="ar-EG"/>
        </w:rPr>
        <w:t>)، وتعمل على بناء شبكات تعاون مع المنظمات الدولية لمواءمة التشريعات وتبادل الخبرات الأمنية. هذه التكاملية بين الأمن السيبراني وتيسير التجارة تُرسي أساسًا متينًا لاقتصادٍ عالميٍ أكثر شمولية وقدرة على مواجهة التحديات المشتركة، مما يُحفز النمو الاقتصادي ويُعزز مكانة الدول في الأسواق العالمية.</w:t>
      </w:r>
    </w:p>
    <w:p w14:paraId="48C02A57" w14:textId="217DA1F2" w:rsidR="0087067E" w:rsidRPr="00202E2A" w:rsidRDefault="0087067E"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 </w:t>
      </w:r>
      <w:r w:rsidR="00A62CCB" w:rsidRPr="00202E2A">
        <w:rPr>
          <w:rFonts w:asciiTheme="majorBidi" w:hAnsiTheme="majorBidi" w:cstheme="majorBidi"/>
          <w:sz w:val="26"/>
          <w:szCs w:val="26"/>
          <w:rtl/>
          <w:lang w:bidi="ar-EG"/>
        </w:rPr>
        <w:t>وعلى صعيد آخر</w:t>
      </w:r>
      <w:r w:rsidR="000A6B81" w:rsidRPr="00202E2A">
        <w:rPr>
          <w:rFonts w:asciiTheme="majorBidi" w:hAnsiTheme="majorBidi" w:cstheme="majorBidi"/>
          <w:sz w:val="26"/>
          <w:szCs w:val="26"/>
          <w:rtl/>
          <w:lang w:bidi="ar-EG"/>
        </w:rPr>
        <w:t>،</w:t>
      </w:r>
      <w:r w:rsidR="00A62CCB" w:rsidRPr="00202E2A">
        <w:rPr>
          <w:rFonts w:asciiTheme="majorBidi" w:hAnsiTheme="majorBidi" w:cstheme="majorBidi"/>
          <w:sz w:val="26"/>
          <w:szCs w:val="26"/>
          <w:rtl/>
          <w:lang w:bidi="ar-EG"/>
        </w:rPr>
        <w:t xml:space="preserve"> </w:t>
      </w:r>
      <w:r w:rsidR="000A6B81" w:rsidRPr="00202E2A">
        <w:rPr>
          <w:rFonts w:asciiTheme="majorBidi" w:hAnsiTheme="majorBidi" w:cstheme="majorBidi"/>
          <w:sz w:val="26"/>
          <w:szCs w:val="26"/>
          <w:rtl/>
          <w:lang w:bidi="ar-EG"/>
        </w:rPr>
        <w:t>يتناول</w:t>
      </w:r>
      <w:r w:rsidR="00A62CCB" w:rsidRPr="00202E2A">
        <w:rPr>
          <w:rFonts w:asciiTheme="majorBidi" w:hAnsiTheme="majorBidi" w:cstheme="majorBidi"/>
          <w:sz w:val="26"/>
          <w:szCs w:val="26"/>
          <w:rtl/>
          <w:lang w:bidi="ar-EG"/>
        </w:rPr>
        <w:t xml:space="preserve"> </w:t>
      </w:r>
      <w:r w:rsidR="000A6B81" w:rsidRPr="00202E2A">
        <w:rPr>
          <w:rFonts w:asciiTheme="majorBidi" w:hAnsiTheme="majorBidi" w:cstheme="majorBidi"/>
          <w:sz w:val="26"/>
          <w:szCs w:val="26"/>
          <w:rtl/>
          <w:lang w:bidi="ar-EG"/>
        </w:rPr>
        <w:t xml:space="preserve">تقرير </w:t>
      </w:r>
      <w:r w:rsidR="0037744D" w:rsidRPr="00202E2A">
        <w:rPr>
          <w:rFonts w:asciiTheme="majorBidi" w:hAnsiTheme="majorBidi" w:cstheme="majorBidi"/>
          <w:sz w:val="26"/>
          <w:szCs w:val="26"/>
          <w:rtl/>
          <w:lang w:bidi="ar-EG"/>
        </w:rPr>
        <w:t xml:space="preserve">(هيئة </w:t>
      </w:r>
      <w:r w:rsidR="00A47741" w:rsidRPr="00202E2A">
        <w:rPr>
          <w:rFonts w:asciiTheme="majorBidi" w:hAnsiTheme="majorBidi" w:cstheme="majorBidi"/>
          <w:sz w:val="26"/>
          <w:szCs w:val="26"/>
          <w:rtl/>
          <w:lang w:bidi="ar-EG"/>
        </w:rPr>
        <w:t>الزكاة والضريبية والجمارك</w:t>
      </w:r>
      <w:r w:rsidR="0037744D" w:rsidRPr="00202E2A">
        <w:rPr>
          <w:rFonts w:asciiTheme="majorBidi" w:hAnsiTheme="majorBidi" w:cstheme="majorBidi"/>
          <w:sz w:val="26"/>
          <w:szCs w:val="26"/>
          <w:rtl/>
          <w:lang w:bidi="ar-EG"/>
        </w:rPr>
        <w:t>،</w:t>
      </w:r>
      <w:r w:rsidR="00810178" w:rsidRPr="00202E2A">
        <w:rPr>
          <w:rFonts w:asciiTheme="majorBidi" w:hAnsiTheme="majorBidi" w:cstheme="majorBidi"/>
          <w:sz w:val="26"/>
          <w:szCs w:val="26"/>
          <w:lang w:bidi="ar-EG"/>
        </w:rPr>
        <w:t>2023</w:t>
      </w:r>
      <w:r w:rsidR="0037744D" w:rsidRPr="00202E2A">
        <w:rPr>
          <w:rFonts w:asciiTheme="majorBidi" w:hAnsiTheme="majorBidi" w:cstheme="majorBidi"/>
          <w:sz w:val="26"/>
          <w:szCs w:val="26"/>
          <w:rtl/>
          <w:lang w:bidi="ar-EG"/>
        </w:rPr>
        <w:t>)</w:t>
      </w:r>
      <w:r w:rsidR="00A62CCB"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rtl/>
          <w:lang w:bidi="ar-EG"/>
        </w:rPr>
        <w:t>دور تعزيز الأمن السيبراني وتيسير التجارة في تعزيز الاقتصاد الوطني للمملكة العربية السعودية، حيث تسهم مبادرات تعزيز الأمن السيبراني في حماية الركائز الاقتصادية الحيوية للمملكة العربية السعودية، مثل قطاعات الطاقة والتمويل والخدمات اللوجستية. فمن خلال اعتماد تقنيات متطورة كأنظمة التشفير الآمنة، وبرامج الكشف المبكر عن التهديدات باستخدام الذكاء الاصطناعي، تُصان سلامة البيانات المالية والتجارية من الاختراقات، مما يُعزز ثقة المستثمرين المحليين والدوليين. وتُشير تقديرات محلية إلى أن هذه الإجراءات تساهم في توفير مليارات الريالات سنويًّا كانت تُهدر جراء الهجمات الإلكترونية، مما ينعكس إيجابًا على استقرار البيئة الاستثمارية وجاذبيتها</w:t>
      </w:r>
      <w:r w:rsidRPr="00202E2A">
        <w:rPr>
          <w:rFonts w:asciiTheme="majorBidi" w:hAnsiTheme="majorBidi" w:cstheme="majorBidi"/>
          <w:sz w:val="26"/>
          <w:szCs w:val="26"/>
          <w:lang w:bidi="ar-EG"/>
        </w:rPr>
        <w:t xml:space="preserve">.  </w:t>
      </w:r>
    </w:p>
    <w:p w14:paraId="208487CB" w14:textId="4D1E7A0F" w:rsidR="0087067E" w:rsidRPr="00202E2A" w:rsidRDefault="0037744D"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ومن ناحية أخري</w:t>
      </w:r>
      <w:r w:rsidR="0087067E"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rtl/>
          <w:lang w:bidi="ar-EG"/>
        </w:rPr>
        <w:t xml:space="preserve">يشير تقرير </w:t>
      </w:r>
      <w:r w:rsidR="004237DD" w:rsidRPr="00202E2A">
        <w:rPr>
          <w:rFonts w:asciiTheme="majorBidi" w:hAnsiTheme="majorBidi" w:cstheme="majorBidi"/>
          <w:sz w:val="26"/>
          <w:szCs w:val="26"/>
          <w:rtl/>
          <w:lang w:bidi="ar-EG"/>
        </w:rPr>
        <w:t xml:space="preserve">(الهيئة العامة للإحصاء، </w:t>
      </w:r>
      <w:r w:rsidR="00810178" w:rsidRPr="00202E2A">
        <w:rPr>
          <w:rFonts w:asciiTheme="majorBidi" w:hAnsiTheme="majorBidi" w:cstheme="majorBidi"/>
          <w:sz w:val="26"/>
          <w:szCs w:val="26"/>
          <w:lang w:bidi="ar-EG"/>
        </w:rPr>
        <w:t>2023</w:t>
      </w:r>
      <w:r w:rsidR="004237DD" w:rsidRPr="00202E2A">
        <w:rPr>
          <w:rFonts w:asciiTheme="majorBidi" w:hAnsiTheme="majorBidi" w:cstheme="majorBidi"/>
          <w:sz w:val="26"/>
          <w:szCs w:val="26"/>
          <w:rtl/>
          <w:lang w:bidi="ar-EG"/>
        </w:rPr>
        <w:t>) أن</w:t>
      </w:r>
      <w:r w:rsidRPr="00202E2A">
        <w:rPr>
          <w:rFonts w:asciiTheme="majorBidi" w:hAnsiTheme="majorBidi" w:cstheme="majorBidi"/>
          <w:sz w:val="26"/>
          <w:szCs w:val="26"/>
          <w:rtl/>
          <w:lang w:bidi="ar-EG"/>
        </w:rPr>
        <w:t xml:space="preserve"> </w:t>
      </w:r>
      <w:r w:rsidR="0087067E" w:rsidRPr="00202E2A">
        <w:rPr>
          <w:rFonts w:asciiTheme="majorBidi" w:hAnsiTheme="majorBidi" w:cstheme="majorBidi"/>
          <w:sz w:val="26"/>
          <w:szCs w:val="26"/>
          <w:rtl/>
          <w:lang w:bidi="ar-EG"/>
        </w:rPr>
        <w:t xml:space="preserve">المملكة </w:t>
      </w:r>
      <w:r w:rsidRPr="00202E2A">
        <w:rPr>
          <w:rFonts w:asciiTheme="majorBidi" w:hAnsiTheme="majorBidi" w:cstheme="majorBidi"/>
          <w:sz w:val="26"/>
          <w:szCs w:val="26"/>
          <w:rtl/>
          <w:lang w:bidi="ar-EG"/>
        </w:rPr>
        <w:t xml:space="preserve">تمثل </w:t>
      </w:r>
      <w:r w:rsidR="0087067E" w:rsidRPr="00202E2A">
        <w:rPr>
          <w:rFonts w:asciiTheme="majorBidi" w:hAnsiTheme="majorBidi" w:cstheme="majorBidi"/>
          <w:sz w:val="26"/>
          <w:szCs w:val="26"/>
          <w:rtl/>
          <w:lang w:bidi="ar-EG"/>
        </w:rPr>
        <w:t xml:space="preserve">نموذجًا رائدًا في تبسيط الإجراءات الجمركية وتقليل التعقيدات البيروقراطية عبر منصات إلكترونية متكاملة، مثل النافذة الجمركية الموحدة التي تربط أكثر من </w:t>
      </w:r>
      <w:r w:rsidR="00810178" w:rsidRPr="00202E2A">
        <w:rPr>
          <w:rFonts w:asciiTheme="majorBidi" w:hAnsiTheme="majorBidi" w:cstheme="majorBidi"/>
          <w:sz w:val="26"/>
          <w:szCs w:val="26"/>
          <w:lang w:bidi="ar-EG"/>
        </w:rPr>
        <w:t>70</w:t>
      </w:r>
      <w:r w:rsidR="0087067E" w:rsidRPr="00202E2A">
        <w:rPr>
          <w:rFonts w:asciiTheme="majorBidi" w:hAnsiTheme="majorBidi" w:cstheme="majorBidi"/>
          <w:sz w:val="26"/>
          <w:szCs w:val="26"/>
          <w:rtl/>
          <w:lang w:bidi="ar-EG"/>
        </w:rPr>
        <w:t xml:space="preserve"> جهة حكومية، مما يختصر الوقت المطلوب للإفراج عن البضائع بنسبة تصل إلى </w:t>
      </w:r>
      <w:r w:rsidR="00810178" w:rsidRPr="00202E2A">
        <w:rPr>
          <w:rFonts w:asciiTheme="majorBidi" w:hAnsiTheme="majorBidi" w:cstheme="majorBidi"/>
          <w:sz w:val="26"/>
          <w:szCs w:val="26"/>
          <w:lang w:bidi="ar-EG"/>
        </w:rPr>
        <w:t>70</w:t>
      </w:r>
      <w:r w:rsidR="0087067E" w:rsidRPr="00202E2A">
        <w:rPr>
          <w:rFonts w:asciiTheme="majorBidi" w:hAnsiTheme="majorBidi" w:cstheme="majorBidi"/>
          <w:sz w:val="26"/>
          <w:szCs w:val="26"/>
          <w:rtl/>
          <w:lang w:bidi="ar-EG"/>
        </w:rPr>
        <w:t>%</w:t>
      </w:r>
      <w:r w:rsidRPr="00202E2A">
        <w:rPr>
          <w:rFonts w:asciiTheme="majorBidi" w:hAnsiTheme="majorBidi" w:cstheme="majorBidi"/>
          <w:sz w:val="26"/>
          <w:szCs w:val="26"/>
          <w:rtl/>
          <w:lang w:bidi="ar-EG"/>
        </w:rPr>
        <w:t>،</w:t>
      </w:r>
      <w:r w:rsidR="0087067E" w:rsidRPr="00202E2A">
        <w:rPr>
          <w:rFonts w:asciiTheme="majorBidi" w:hAnsiTheme="majorBidi" w:cstheme="majorBidi"/>
          <w:sz w:val="26"/>
          <w:szCs w:val="26"/>
          <w:rtl/>
          <w:lang w:bidi="ar-EG"/>
        </w:rPr>
        <w:t xml:space="preserve"> كما تدعم مبادرات مثل منصة "معروف" ربط المصدرين السعوديين بأسواق عالمية، مما أسهم في ارتفاع الصادرات غير النفطية بنسبة </w:t>
      </w:r>
      <w:r w:rsidR="00810178" w:rsidRPr="00202E2A">
        <w:rPr>
          <w:rFonts w:asciiTheme="majorBidi" w:hAnsiTheme="majorBidi" w:cstheme="majorBidi"/>
          <w:sz w:val="26"/>
          <w:szCs w:val="26"/>
          <w:lang w:bidi="ar-EG"/>
        </w:rPr>
        <w:t>34</w:t>
      </w:r>
      <w:r w:rsidR="0087067E" w:rsidRPr="00202E2A">
        <w:rPr>
          <w:rFonts w:asciiTheme="majorBidi" w:hAnsiTheme="majorBidi" w:cstheme="majorBidi"/>
          <w:sz w:val="26"/>
          <w:szCs w:val="26"/>
          <w:rtl/>
          <w:lang w:bidi="ar-EG"/>
        </w:rPr>
        <w:t xml:space="preserve">% خلال عام </w:t>
      </w:r>
      <w:r w:rsidR="00810178" w:rsidRPr="00202E2A">
        <w:rPr>
          <w:rFonts w:asciiTheme="majorBidi" w:hAnsiTheme="majorBidi" w:cstheme="majorBidi"/>
          <w:sz w:val="26"/>
          <w:szCs w:val="26"/>
          <w:lang w:bidi="ar-EG"/>
        </w:rPr>
        <w:t>2023</w:t>
      </w:r>
      <w:r w:rsidR="0087067E" w:rsidRPr="00202E2A">
        <w:rPr>
          <w:rFonts w:asciiTheme="majorBidi" w:hAnsiTheme="majorBidi" w:cstheme="majorBidi"/>
          <w:sz w:val="26"/>
          <w:szCs w:val="26"/>
          <w:rtl/>
          <w:lang w:bidi="ar-EG"/>
        </w:rPr>
        <w:t>، وفقًا للهيئة العامة للإحصاء. وتُسهم تقنيات تتبع الشحنات عبر تقنيات مبتكرة في ضمان شفافية سلاسل التوريد، مما يُعزز مكانة المملكة كمركز لوجستي عالمي</w:t>
      </w:r>
      <w:r w:rsidR="0087067E" w:rsidRPr="00202E2A">
        <w:rPr>
          <w:rFonts w:asciiTheme="majorBidi" w:hAnsiTheme="majorBidi" w:cstheme="majorBidi"/>
          <w:sz w:val="26"/>
          <w:szCs w:val="26"/>
          <w:lang w:bidi="ar-EG"/>
        </w:rPr>
        <w:t xml:space="preserve">.  </w:t>
      </w:r>
    </w:p>
    <w:p w14:paraId="4A22BF43" w14:textId="77777777" w:rsidR="0087067E" w:rsidRPr="00202E2A" w:rsidRDefault="0087067E"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يخلق التعاون بين الجهات الأمنية والتجارية بيئةً موثوقةً للشراكات الدولية، حيث تُقلل الإجراءات الوقائية من المخاطر الإلكترونية على البنى التحتية التجارية، مثل شبكات النقل والأنظمة المالية. وقد ساهم هذا التكامل في جذب شراكات استراتيجية مع كيانات دولية كبرى، وتعزيز التصنيف الائتماني للمملكة كوجهة آمنة للاستثمار، وفقًا لتقارير مؤسسات تصنيف عالمية</w:t>
      </w:r>
      <w:r w:rsidRPr="00202E2A">
        <w:rPr>
          <w:rFonts w:asciiTheme="majorBidi" w:hAnsiTheme="majorBidi" w:cstheme="majorBidi"/>
          <w:sz w:val="26"/>
          <w:szCs w:val="26"/>
          <w:lang w:bidi="ar-EG"/>
        </w:rPr>
        <w:t xml:space="preserve">.  </w:t>
      </w:r>
    </w:p>
    <w:p w14:paraId="6987F3F5" w14:textId="1FFFCB24" w:rsidR="0087067E" w:rsidRPr="00202E2A" w:rsidRDefault="0037744D"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lastRenderedPageBreak/>
        <w:t>ويوضح تقرير</w:t>
      </w:r>
      <w:r w:rsidR="00F55EBD" w:rsidRPr="00202E2A">
        <w:rPr>
          <w:rFonts w:asciiTheme="majorBidi" w:hAnsiTheme="majorBidi" w:cstheme="majorBidi"/>
          <w:sz w:val="26"/>
          <w:szCs w:val="26"/>
          <w:rtl/>
        </w:rPr>
        <w:t xml:space="preserve"> (</w:t>
      </w:r>
      <w:r w:rsidR="00F55EBD" w:rsidRPr="00202E2A">
        <w:rPr>
          <w:rFonts w:asciiTheme="majorBidi" w:hAnsiTheme="majorBidi" w:cstheme="majorBidi"/>
          <w:sz w:val="26"/>
          <w:szCs w:val="26"/>
          <w:rtl/>
          <w:lang w:bidi="ar-EG"/>
        </w:rPr>
        <w:t xml:space="preserve">منظمة التجارة العالمية، </w:t>
      </w:r>
      <w:r w:rsidR="00810178" w:rsidRPr="00202E2A">
        <w:rPr>
          <w:rFonts w:asciiTheme="majorBidi" w:hAnsiTheme="majorBidi" w:cstheme="majorBidi"/>
          <w:sz w:val="26"/>
          <w:szCs w:val="26"/>
          <w:lang w:bidi="ar-EG"/>
        </w:rPr>
        <w:t>2023</w:t>
      </w:r>
      <w:r w:rsidR="00F55EBD" w:rsidRPr="00202E2A">
        <w:rPr>
          <w:rFonts w:asciiTheme="majorBidi" w:hAnsiTheme="majorBidi" w:cstheme="majorBidi"/>
          <w:sz w:val="26"/>
          <w:szCs w:val="26"/>
          <w:rtl/>
          <w:lang w:bidi="ar-EG"/>
        </w:rPr>
        <w:t>) أن</w:t>
      </w:r>
      <w:r w:rsidRPr="00202E2A">
        <w:rPr>
          <w:rFonts w:asciiTheme="majorBidi" w:hAnsiTheme="majorBidi" w:cstheme="majorBidi"/>
          <w:sz w:val="26"/>
          <w:szCs w:val="26"/>
          <w:rtl/>
          <w:lang w:bidi="ar-EG"/>
        </w:rPr>
        <w:t xml:space="preserve"> </w:t>
      </w:r>
      <w:r w:rsidR="0087067E" w:rsidRPr="00202E2A">
        <w:rPr>
          <w:rFonts w:asciiTheme="majorBidi" w:hAnsiTheme="majorBidi" w:cstheme="majorBidi"/>
          <w:sz w:val="26"/>
          <w:szCs w:val="26"/>
          <w:rtl/>
          <w:lang w:bidi="ar-EG"/>
        </w:rPr>
        <w:t xml:space="preserve">المملكة </w:t>
      </w:r>
      <w:r w:rsidR="00F55EBD" w:rsidRPr="00202E2A">
        <w:rPr>
          <w:rFonts w:asciiTheme="majorBidi" w:hAnsiTheme="majorBidi" w:cstheme="majorBidi"/>
          <w:sz w:val="26"/>
          <w:szCs w:val="26"/>
          <w:rtl/>
          <w:lang w:bidi="ar-EG"/>
        </w:rPr>
        <w:t xml:space="preserve">تعمل </w:t>
      </w:r>
      <w:r w:rsidR="0087067E" w:rsidRPr="00202E2A">
        <w:rPr>
          <w:rFonts w:asciiTheme="majorBidi" w:hAnsiTheme="majorBidi" w:cstheme="majorBidi"/>
          <w:sz w:val="26"/>
          <w:szCs w:val="26"/>
          <w:rtl/>
          <w:lang w:bidi="ar-EG"/>
        </w:rPr>
        <w:t>على توحيد معاييرها التشريعية مع الاتفاقيات العالمية، مثل اتفاقية منظمة التجارة العالمية لتيسير التجارة</w:t>
      </w:r>
      <w:r w:rsidR="0087067E" w:rsidRPr="00202E2A">
        <w:rPr>
          <w:rFonts w:asciiTheme="majorBidi" w:hAnsiTheme="majorBidi" w:cstheme="majorBidi"/>
          <w:sz w:val="26"/>
          <w:szCs w:val="26"/>
          <w:lang w:bidi="ar-EG"/>
        </w:rPr>
        <w:t xml:space="preserve"> (TFA)</w:t>
      </w:r>
      <w:r w:rsidR="004237DD" w:rsidRPr="00202E2A">
        <w:rPr>
          <w:rFonts w:asciiTheme="majorBidi" w:hAnsiTheme="majorBidi" w:cstheme="majorBidi"/>
          <w:sz w:val="26"/>
          <w:szCs w:val="26"/>
          <w:lang w:bidi="ar-EG"/>
        </w:rPr>
        <w:t xml:space="preserve"> </w:t>
      </w:r>
      <w:r w:rsidR="0087067E" w:rsidRPr="00202E2A">
        <w:rPr>
          <w:rFonts w:asciiTheme="majorBidi" w:hAnsiTheme="majorBidi" w:cstheme="majorBidi"/>
          <w:sz w:val="26"/>
          <w:szCs w:val="26"/>
          <w:rtl/>
          <w:lang w:bidi="ar-EG"/>
        </w:rPr>
        <w:t xml:space="preserve">، وتتعاون مع منظمات دولية لتبادل الخبرات في مجالات الحماية الأمنية والتجارية. هذا الانسجام يُعزز اندماج الاقتصاد السعودي في الأسواق العالمية، ويدعم تحقيق مستهدفات رؤية </w:t>
      </w:r>
      <w:r w:rsidR="00364A1E" w:rsidRPr="00202E2A">
        <w:rPr>
          <w:rFonts w:asciiTheme="majorBidi" w:hAnsiTheme="majorBidi" w:cstheme="majorBidi"/>
          <w:sz w:val="26"/>
          <w:szCs w:val="26"/>
          <w:lang w:bidi="ar-EG"/>
        </w:rPr>
        <w:t xml:space="preserve"> 2030 </w:t>
      </w:r>
      <w:r w:rsidR="0087067E" w:rsidRPr="00202E2A">
        <w:rPr>
          <w:rFonts w:asciiTheme="majorBidi" w:hAnsiTheme="majorBidi" w:cstheme="majorBidi"/>
          <w:sz w:val="26"/>
          <w:szCs w:val="26"/>
          <w:rtl/>
          <w:lang w:bidi="ar-EG"/>
        </w:rPr>
        <w:t xml:space="preserve">الطموحة، التي تهدف إلى رفع مساهمة القطاع الخاص في الناتج المحلي إلى </w:t>
      </w:r>
      <w:r w:rsidR="00364A1E" w:rsidRPr="00202E2A">
        <w:rPr>
          <w:rFonts w:asciiTheme="majorBidi" w:hAnsiTheme="majorBidi" w:cstheme="majorBidi"/>
          <w:sz w:val="26"/>
          <w:szCs w:val="26"/>
          <w:lang w:bidi="ar-EG"/>
        </w:rPr>
        <w:t>65</w:t>
      </w:r>
      <w:r w:rsidR="0087067E" w:rsidRPr="00202E2A">
        <w:rPr>
          <w:rFonts w:asciiTheme="majorBidi" w:hAnsiTheme="majorBidi" w:cstheme="majorBidi"/>
          <w:sz w:val="26"/>
          <w:szCs w:val="26"/>
          <w:rtl/>
          <w:lang w:bidi="ar-EG"/>
        </w:rPr>
        <w:t>%، وتنويع مصادر الدخل عبر قطاعات واعدة مثل الصناعة والسياحة</w:t>
      </w:r>
      <w:r w:rsidR="0087067E" w:rsidRPr="00202E2A">
        <w:rPr>
          <w:rFonts w:asciiTheme="majorBidi" w:hAnsiTheme="majorBidi" w:cstheme="majorBidi"/>
          <w:sz w:val="26"/>
          <w:szCs w:val="26"/>
          <w:lang w:bidi="ar-EG"/>
        </w:rPr>
        <w:t xml:space="preserve">.  </w:t>
      </w:r>
    </w:p>
    <w:p w14:paraId="6AF58FCE" w14:textId="6228CDDC" w:rsidR="0037744D" w:rsidRPr="00202E2A" w:rsidRDefault="0037744D"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ويؤكد تقرير </w:t>
      </w:r>
      <w:r w:rsidR="004237DD" w:rsidRPr="00202E2A">
        <w:rPr>
          <w:rFonts w:asciiTheme="majorBidi" w:hAnsiTheme="majorBidi" w:cstheme="majorBidi"/>
          <w:sz w:val="26"/>
          <w:szCs w:val="26"/>
          <w:rtl/>
          <w:lang w:bidi="ar-EG"/>
        </w:rPr>
        <w:t xml:space="preserve">(الهيئة الوطنية للأمن السيبراني، </w:t>
      </w:r>
      <w:r w:rsidR="00810178" w:rsidRPr="00202E2A">
        <w:rPr>
          <w:rFonts w:asciiTheme="majorBidi" w:hAnsiTheme="majorBidi" w:cstheme="majorBidi"/>
          <w:sz w:val="26"/>
          <w:szCs w:val="26"/>
          <w:lang w:bidi="ar-EG"/>
        </w:rPr>
        <w:t>2022</w:t>
      </w:r>
      <w:r w:rsidR="004237DD" w:rsidRPr="00202E2A">
        <w:rPr>
          <w:rFonts w:asciiTheme="majorBidi" w:hAnsiTheme="majorBidi" w:cstheme="majorBidi"/>
          <w:sz w:val="26"/>
          <w:szCs w:val="26"/>
          <w:rtl/>
          <w:lang w:bidi="ar-EG"/>
        </w:rPr>
        <w:t>) تمثل</w:t>
      </w:r>
      <w:r w:rsidR="0087067E" w:rsidRPr="00202E2A">
        <w:rPr>
          <w:rFonts w:asciiTheme="majorBidi" w:hAnsiTheme="majorBidi" w:cstheme="majorBidi"/>
          <w:sz w:val="26"/>
          <w:szCs w:val="26"/>
          <w:rtl/>
          <w:lang w:bidi="ar-EG"/>
        </w:rPr>
        <w:t xml:space="preserve"> الجهود المبذولة في تعزيز الأمن السيبراني وتيسير التجارة استثمارًا نوعيًّا في مستقبل الاقتصاد السعودي، حيث تُسهم هذه الركائز في بناء نموذج اقتصادي مرن قادر على مواجهة التحديات العالمية، وتعزيز موقع المملكة كجسر تجاري آمن بين الأسواق الآسيوية والأوروبية والأفريقية. وبدمج التقنيات الحديثة مع السياسات الاقتصادية الذكية، تُرسي السعودية أساسًا متينًا لاقتصادٍ مزدهرٍ يعتمد على الابتكار والشفافية والانفتاح العالمي.</w:t>
      </w:r>
    </w:p>
    <w:p w14:paraId="1C514AE5" w14:textId="08EF9A0D" w:rsidR="0044433A" w:rsidRPr="00202E2A" w:rsidRDefault="00A62CCB"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ويري الباحث</w:t>
      </w:r>
      <w:r w:rsidRPr="00202E2A">
        <w:rPr>
          <w:rFonts w:asciiTheme="majorBidi" w:hAnsiTheme="majorBidi" w:cstheme="majorBidi"/>
          <w:sz w:val="26"/>
          <w:szCs w:val="26"/>
          <w:rtl/>
          <w:lang w:bidi="ar-EG"/>
        </w:rPr>
        <w:t xml:space="preserve"> أنه بهذا التكامل بين تعزيز الأمن السيبراني وتيسير التجارة، يُحقق التحول الرقمي نقلة نوعية تضمن ليس فقط حماية المعلومات والحفاظ على البنى التحتية، </w:t>
      </w:r>
      <w:r w:rsidR="004854A7" w:rsidRPr="00202E2A">
        <w:rPr>
          <w:rFonts w:asciiTheme="majorBidi" w:hAnsiTheme="majorBidi" w:cstheme="majorBidi"/>
          <w:sz w:val="26"/>
          <w:szCs w:val="26"/>
          <w:rtl/>
          <w:lang w:bidi="ar-EG"/>
        </w:rPr>
        <w:t xml:space="preserve">بالإضافة إلي </w:t>
      </w:r>
      <w:r w:rsidRPr="00202E2A">
        <w:rPr>
          <w:rFonts w:asciiTheme="majorBidi" w:hAnsiTheme="majorBidi" w:cstheme="majorBidi"/>
          <w:sz w:val="26"/>
          <w:szCs w:val="26"/>
          <w:rtl/>
          <w:lang w:bidi="ar-EG"/>
        </w:rPr>
        <w:t>وتوفير بيئة عمل تجارية محفزة للنمو والابتكار.</w:t>
      </w:r>
    </w:p>
    <w:p w14:paraId="60D9C03B" w14:textId="0BE870DD" w:rsidR="0044433A" w:rsidRPr="00202E2A" w:rsidRDefault="002F3516"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ويؤك</w:t>
      </w:r>
      <w:r w:rsidR="00991D09" w:rsidRPr="00202E2A">
        <w:rPr>
          <w:rFonts w:asciiTheme="majorBidi" w:hAnsiTheme="majorBidi" w:cstheme="majorBidi"/>
          <w:sz w:val="26"/>
          <w:szCs w:val="26"/>
          <w:rtl/>
          <w:lang w:bidi="ar-EG"/>
        </w:rPr>
        <w:t>د</w:t>
      </w:r>
      <w:r w:rsidR="00261D58" w:rsidRPr="00202E2A">
        <w:rPr>
          <w:rFonts w:asciiTheme="majorBidi" w:hAnsiTheme="majorBidi" w:cstheme="majorBidi"/>
          <w:sz w:val="26"/>
          <w:szCs w:val="26"/>
          <w:lang w:bidi="ar-EG"/>
        </w:rPr>
        <w:t>Westerman, G., Bonnet, D., &amp; McAfee, A. ,2014)</w:t>
      </w:r>
      <w:r w:rsidR="00261D58" w:rsidRPr="00202E2A">
        <w:rPr>
          <w:rFonts w:asciiTheme="majorBidi" w:hAnsiTheme="majorBidi" w:cstheme="majorBidi"/>
          <w:sz w:val="26"/>
          <w:szCs w:val="26"/>
          <w:rtl/>
          <w:lang w:bidi="ar-EG"/>
        </w:rPr>
        <w:t>)</w:t>
      </w:r>
      <w:r w:rsidR="00E3655D" w:rsidRPr="00202E2A">
        <w:rPr>
          <w:rFonts w:asciiTheme="majorBidi" w:hAnsiTheme="majorBidi" w:cstheme="majorBidi"/>
          <w:sz w:val="26"/>
          <w:szCs w:val="26"/>
          <w:rtl/>
          <w:lang w:bidi="ar-EG"/>
        </w:rPr>
        <w:t xml:space="preserve"> </w:t>
      </w:r>
      <w:r w:rsidR="00C55BA8" w:rsidRPr="00202E2A">
        <w:rPr>
          <w:rFonts w:asciiTheme="majorBidi" w:hAnsiTheme="majorBidi" w:cstheme="majorBidi"/>
          <w:sz w:val="26"/>
          <w:szCs w:val="26"/>
          <w:rtl/>
          <w:lang w:bidi="ar-EG"/>
        </w:rPr>
        <w:t xml:space="preserve">أن الدور المحوري للتحول الرقمي في إدارة التغيير داخل المؤسسات، مؤكدًا على أهمية </w:t>
      </w:r>
      <w:r w:rsidR="00575934" w:rsidRPr="00202E2A">
        <w:rPr>
          <w:rFonts w:asciiTheme="majorBidi" w:hAnsiTheme="majorBidi" w:cstheme="majorBidi"/>
          <w:sz w:val="26"/>
          <w:szCs w:val="26"/>
          <w:rtl/>
          <w:lang w:bidi="ar-EG"/>
        </w:rPr>
        <w:t>تأثير اتجاهات القادة</w:t>
      </w:r>
      <w:r w:rsidR="00C55BA8" w:rsidRPr="00202E2A">
        <w:rPr>
          <w:rFonts w:asciiTheme="majorBidi" w:hAnsiTheme="majorBidi" w:cstheme="majorBidi"/>
          <w:sz w:val="26"/>
          <w:szCs w:val="26"/>
          <w:rtl/>
          <w:lang w:bidi="ar-EG"/>
        </w:rPr>
        <w:t xml:space="preserve"> الملهمة وتمكين العاملين من التكيف مع التقنيات المتقدمة</w:t>
      </w:r>
      <w:r w:rsidR="00575934" w:rsidRPr="00202E2A">
        <w:rPr>
          <w:rFonts w:asciiTheme="majorBidi" w:hAnsiTheme="majorBidi" w:cstheme="majorBidi"/>
          <w:sz w:val="26"/>
          <w:szCs w:val="26"/>
          <w:rtl/>
          <w:lang w:bidi="ar-EG"/>
        </w:rPr>
        <w:t>، ويوضح أيضاً أهمية</w:t>
      </w:r>
      <w:r w:rsidR="00A55F20" w:rsidRPr="00202E2A">
        <w:rPr>
          <w:rFonts w:asciiTheme="majorBidi" w:hAnsiTheme="majorBidi" w:cstheme="majorBidi"/>
          <w:sz w:val="26"/>
          <w:szCs w:val="26"/>
          <w:rtl/>
          <w:lang w:bidi="ar-EG"/>
        </w:rPr>
        <w:t xml:space="preserve"> التحول الرقمي </w:t>
      </w:r>
      <w:r w:rsidR="00575934" w:rsidRPr="00202E2A">
        <w:rPr>
          <w:rFonts w:asciiTheme="majorBidi" w:hAnsiTheme="majorBidi" w:cstheme="majorBidi"/>
          <w:sz w:val="26"/>
          <w:szCs w:val="26"/>
          <w:rtl/>
          <w:lang w:bidi="ar-EG"/>
        </w:rPr>
        <w:t xml:space="preserve">حيث </w:t>
      </w:r>
      <w:r w:rsidR="00A55F20" w:rsidRPr="00202E2A">
        <w:rPr>
          <w:rFonts w:asciiTheme="majorBidi" w:hAnsiTheme="majorBidi" w:cstheme="majorBidi"/>
          <w:sz w:val="26"/>
          <w:szCs w:val="26"/>
          <w:rtl/>
          <w:lang w:bidi="ar-EG"/>
        </w:rPr>
        <w:t>ي</w:t>
      </w:r>
      <w:r w:rsidR="0044433A" w:rsidRPr="00202E2A">
        <w:rPr>
          <w:rFonts w:asciiTheme="majorBidi" w:hAnsiTheme="majorBidi" w:cstheme="majorBidi"/>
          <w:sz w:val="26"/>
          <w:szCs w:val="26"/>
          <w:rtl/>
          <w:lang w:bidi="ar-EG"/>
        </w:rPr>
        <w:t xml:space="preserve">لعب دورًا محوريًا في إدارة التغيير داخل المؤسسات، حيث يعتمد نجاح أي عملية تغيير على قدرة </w:t>
      </w:r>
      <w:r w:rsidR="00A55F20" w:rsidRPr="00202E2A">
        <w:rPr>
          <w:rFonts w:asciiTheme="majorBidi" w:hAnsiTheme="majorBidi" w:cstheme="majorBidi"/>
          <w:sz w:val="26"/>
          <w:szCs w:val="26"/>
          <w:rtl/>
          <w:lang w:bidi="ar-EG"/>
        </w:rPr>
        <w:t>المؤسسة</w:t>
      </w:r>
      <w:r w:rsidR="0044433A" w:rsidRPr="00202E2A">
        <w:rPr>
          <w:rFonts w:asciiTheme="majorBidi" w:hAnsiTheme="majorBidi" w:cstheme="majorBidi"/>
          <w:sz w:val="26"/>
          <w:szCs w:val="26"/>
          <w:rtl/>
          <w:lang w:bidi="ar-EG"/>
        </w:rPr>
        <w:t xml:space="preserve"> على إلهام الأفراد وقيادتهم نحو تبني الرؤية الجديدة</w:t>
      </w:r>
      <w:r w:rsidR="00A55F20" w:rsidRPr="00202E2A">
        <w:rPr>
          <w:rFonts w:asciiTheme="majorBidi" w:hAnsiTheme="majorBidi" w:cstheme="majorBidi"/>
          <w:sz w:val="26"/>
          <w:szCs w:val="26"/>
          <w:rtl/>
          <w:lang w:bidi="ar-EG"/>
        </w:rPr>
        <w:t xml:space="preserve"> للتغير نحو التحول الرقمي الفعال،</w:t>
      </w:r>
      <w:r w:rsidR="0044433A" w:rsidRPr="00202E2A">
        <w:rPr>
          <w:rFonts w:asciiTheme="majorBidi" w:hAnsiTheme="majorBidi" w:cstheme="majorBidi"/>
          <w:sz w:val="26"/>
          <w:szCs w:val="26"/>
          <w:rtl/>
          <w:lang w:bidi="ar-EG"/>
        </w:rPr>
        <w:t xml:space="preserve"> </w:t>
      </w:r>
      <w:r w:rsidR="00A55F20" w:rsidRPr="00202E2A">
        <w:rPr>
          <w:rFonts w:asciiTheme="majorBidi" w:hAnsiTheme="majorBidi" w:cstheme="majorBidi"/>
          <w:sz w:val="26"/>
          <w:szCs w:val="26"/>
          <w:rtl/>
          <w:lang w:bidi="ar-EG"/>
        </w:rPr>
        <w:t>ويوضح أن</w:t>
      </w:r>
      <w:r w:rsidR="006D3EE5" w:rsidRPr="00202E2A">
        <w:rPr>
          <w:rFonts w:asciiTheme="majorBidi" w:hAnsiTheme="majorBidi" w:cstheme="majorBidi"/>
          <w:sz w:val="26"/>
          <w:szCs w:val="26"/>
          <w:rtl/>
          <w:lang w:bidi="ar-EG"/>
        </w:rPr>
        <w:t>ه</w:t>
      </w:r>
      <w:r w:rsidR="00A55F20" w:rsidRPr="00202E2A">
        <w:rPr>
          <w:rFonts w:asciiTheme="majorBidi" w:hAnsiTheme="majorBidi" w:cstheme="majorBidi"/>
          <w:sz w:val="26"/>
          <w:szCs w:val="26"/>
          <w:rtl/>
          <w:lang w:bidi="ar-EG"/>
        </w:rPr>
        <w:t xml:space="preserve"> علي المؤسسات أن</w:t>
      </w:r>
      <w:r w:rsidR="0044433A" w:rsidRPr="00202E2A">
        <w:rPr>
          <w:rFonts w:asciiTheme="majorBidi" w:hAnsiTheme="majorBidi" w:cstheme="majorBidi"/>
          <w:sz w:val="26"/>
          <w:szCs w:val="26"/>
          <w:rtl/>
          <w:lang w:bidi="ar-EG"/>
        </w:rPr>
        <w:t xml:space="preserve"> تحفيز </w:t>
      </w:r>
      <w:r w:rsidR="00A55F20" w:rsidRPr="00202E2A">
        <w:rPr>
          <w:rFonts w:asciiTheme="majorBidi" w:hAnsiTheme="majorBidi" w:cstheme="majorBidi"/>
          <w:sz w:val="26"/>
          <w:szCs w:val="26"/>
          <w:rtl/>
          <w:lang w:bidi="ar-EG"/>
        </w:rPr>
        <w:t>العاملين</w:t>
      </w:r>
      <w:r w:rsidR="0044433A" w:rsidRPr="00202E2A">
        <w:rPr>
          <w:rFonts w:asciiTheme="majorBidi" w:hAnsiTheme="majorBidi" w:cstheme="majorBidi"/>
          <w:sz w:val="26"/>
          <w:szCs w:val="26"/>
          <w:rtl/>
          <w:lang w:bidi="ar-EG"/>
        </w:rPr>
        <w:t xml:space="preserve"> وتمكينه</w:t>
      </w:r>
      <w:r w:rsidR="00A55F20" w:rsidRPr="00202E2A">
        <w:rPr>
          <w:rFonts w:asciiTheme="majorBidi" w:hAnsiTheme="majorBidi" w:cstheme="majorBidi"/>
          <w:sz w:val="26"/>
          <w:szCs w:val="26"/>
          <w:rtl/>
          <w:lang w:bidi="ar-EG"/>
        </w:rPr>
        <w:t>م</w:t>
      </w:r>
      <w:r w:rsidR="0044433A" w:rsidRPr="00202E2A">
        <w:rPr>
          <w:rFonts w:asciiTheme="majorBidi" w:hAnsiTheme="majorBidi" w:cstheme="majorBidi"/>
          <w:sz w:val="26"/>
          <w:szCs w:val="26"/>
          <w:rtl/>
          <w:lang w:bidi="ar-EG"/>
        </w:rPr>
        <w:t xml:space="preserve"> من التكيف </w:t>
      </w:r>
      <w:r w:rsidR="00A55F20" w:rsidRPr="00202E2A">
        <w:rPr>
          <w:rFonts w:asciiTheme="majorBidi" w:hAnsiTheme="majorBidi" w:cstheme="majorBidi"/>
          <w:sz w:val="26"/>
          <w:szCs w:val="26"/>
          <w:rtl/>
          <w:lang w:bidi="ar-EG"/>
        </w:rPr>
        <w:t>والتدريب والتعليم علي</w:t>
      </w:r>
      <w:r w:rsidR="0044433A" w:rsidRPr="00202E2A">
        <w:rPr>
          <w:rFonts w:asciiTheme="majorBidi" w:hAnsiTheme="majorBidi" w:cstheme="majorBidi"/>
          <w:sz w:val="26"/>
          <w:szCs w:val="26"/>
          <w:rtl/>
          <w:lang w:bidi="ar-EG"/>
        </w:rPr>
        <w:t xml:space="preserve"> التغييرات</w:t>
      </w:r>
      <w:r w:rsidR="00A55F20" w:rsidRPr="00202E2A">
        <w:rPr>
          <w:rFonts w:asciiTheme="majorBidi" w:hAnsiTheme="majorBidi" w:cstheme="majorBidi"/>
          <w:sz w:val="26"/>
          <w:szCs w:val="26"/>
          <w:rtl/>
          <w:lang w:bidi="ar-EG"/>
        </w:rPr>
        <w:t xml:space="preserve"> التكنولوجيا المتقدمة والمتطورة بشكل مناسب</w:t>
      </w:r>
      <w:r w:rsidR="0044433A" w:rsidRPr="00202E2A">
        <w:rPr>
          <w:rFonts w:asciiTheme="majorBidi" w:hAnsiTheme="majorBidi" w:cstheme="majorBidi"/>
          <w:sz w:val="26"/>
          <w:szCs w:val="26"/>
          <w:rtl/>
          <w:lang w:bidi="ar-EG"/>
        </w:rPr>
        <w:t>، مع الحفاظ على التركيز على الأهداف الاستراتيجية</w:t>
      </w:r>
      <w:r w:rsidR="00A55F20" w:rsidRPr="00202E2A">
        <w:rPr>
          <w:rFonts w:asciiTheme="majorBidi" w:hAnsiTheme="majorBidi" w:cstheme="majorBidi"/>
          <w:sz w:val="26"/>
          <w:szCs w:val="26"/>
          <w:rtl/>
          <w:lang w:bidi="ar-EG"/>
        </w:rPr>
        <w:t xml:space="preserve"> للمؤسسة.</w:t>
      </w:r>
    </w:p>
    <w:p w14:paraId="738DC98A" w14:textId="61174E76" w:rsidR="0044433A" w:rsidRPr="00202E2A" w:rsidRDefault="002F3516"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ويري </w:t>
      </w:r>
      <w:r w:rsidR="00A90C06" w:rsidRPr="00202E2A">
        <w:rPr>
          <w:rFonts w:asciiTheme="majorBidi" w:hAnsiTheme="majorBidi" w:cstheme="majorBidi"/>
          <w:sz w:val="26"/>
          <w:szCs w:val="26"/>
          <w:rtl/>
          <w:lang w:bidi="ar-EG"/>
        </w:rPr>
        <w:t xml:space="preserve">تقرير مؤسسة </w:t>
      </w:r>
      <w:r w:rsidR="00A90C06" w:rsidRPr="00202E2A">
        <w:rPr>
          <w:rFonts w:asciiTheme="majorBidi" w:hAnsiTheme="majorBidi" w:cstheme="majorBidi"/>
          <w:sz w:val="26"/>
          <w:szCs w:val="26"/>
          <w:lang w:bidi="ar-EG"/>
        </w:rPr>
        <w:t>(Deloitte., 2020)</w:t>
      </w:r>
      <w:r w:rsidR="00A90C06" w:rsidRPr="00202E2A">
        <w:rPr>
          <w:rFonts w:asciiTheme="majorBidi" w:hAnsiTheme="majorBidi" w:cstheme="majorBidi"/>
          <w:sz w:val="26"/>
          <w:szCs w:val="26"/>
          <w:rtl/>
          <w:lang w:bidi="ar-EG"/>
        </w:rPr>
        <w:t xml:space="preserve"> أن</w:t>
      </w:r>
      <w:r w:rsidR="00326BF2" w:rsidRPr="00202E2A">
        <w:rPr>
          <w:rFonts w:asciiTheme="majorBidi" w:hAnsiTheme="majorBidi" w:cstheme="majorBidi"/>
          <w:sz w:val="26"/>
          <w:szCs w:val="26"/>
          <w:rtl/>
          <w:lang w:bidi="ar-EG"/>
        </w:rPr>
        <w:t xml:space="preserve"> </w:t>
      </w:r>
      <w:r w:rsidR="00A55F20" w:rsidRPr="00202E2A">
        <w:rPr>
          <w:rFonts w:asciiTheme="majorBidi" w:hAnsiTheme="majorBidi" w:cstheme="majorBidi"/>
          <w:sz w:val="26"/>
          <w:szCs w:val="26"/>
          <w:rtl/>
          <w:lang w:bidi="ar-EG"/>
        </w:rPr>
        <w:t>تعزيز الأمن السيبراني أو الالكتروني بالمؤسسات يسهم</w:t>
      </w:r>
      <w:r w:rsidR="0044433A" w:rsidRPr="00202E2A">
        <w:rPr>
          <w:rFonts w:asciiTheme="majorBidi" w:hAnsiTheme="majorBidi" w:cstheme="majorBidi"/>
          <w:sz w:val="26"/>
          <w:szCs w:val="26"/>
          <w:rtl/>
          <w:lang w:bidi="ar-EG"/>
        </w:rPr>
        <w:t xml:space="preserve"> في تعزيز الابتكار </w:t>
      </w:r>
      <w:r w:rsidR="00A55F20" w:rsidRPr="00202E2A">
        <w:rPr>
          <w:rFonts w:asciiTheme="majorBidi" w:hAnsiTheme="majorBidi" w:cstheme="majorBidi"/>
          <w:sz w:val="26"/>
          <w:szCs w:val="26"/>
          <w:rtl/>
          <w:lang w:bidi="ar-EG"/>
        </w:rPr>
        <w:t xml:space="preserve">والإنتاج </w:t>
      </w:r>
      <w:r w:rsidR="0044433A" w:rsidRPr="00202E2A">
        <w:rPr>
          <w:rFonts w:asciiTheme="majorBidi" w:hAnsiTheme="majorBidi" w:cstheme="majorBidi"/>
          <w:sz w:val="26"/>
          <w:szCs w:val="26"/>
          <w:rtl/>
          <w:lang w:bidi="ar-EG"/>
        </w:rPr>
        <w:t>داخل المؤسسات من خلال خلق بيئة عمل تشجع على التفكير خارج الصندوق وتقديم أفكار جديدة</w:t>
      </w:r>
      <w:r w:rsidR="00A55F20" w:rsidRPr="00202E2A">
        <w:rPr>
          <w:rFonts w:asciiTheme="majorBidi" w:hAnsiTheme="majorBidi" w:cstheme="majorBidi"/>
          <w:sz w:val="26"/>
          <w:szCs w:val="26"/>
          <w:rtl/>
          <w:lang w:bidi="ar-EG"/>
        </w:rPr>
        <w:t>،</w:t>
      </w:r>
      <w:r w:rsidR="0044433A" w:rsidRPr="00202E2A">
        <w:rPr>
          <w:rFonts w:asciiTheme="majorBidi" w:hAnsiTheme="majorBidi" w:cstheme="majorBidi"/>
          <w:sz w:val="26"/>
          <w:szCs w:val="26"/>
          <w:rtl/>
          <w:lang w:bidi="ar-EG"/>
        </w:rPr>
        <w:t xml:space="preserve"> </w:t>
      </w:r>
      <w:r w:rsidR="00A55F20" w:rsidRPr="00202E2A">
        <w:rPr>
          <w:rFonts w:asciiTheme="majorBidi" w:hAnsiTheme="majorBidi" w:cstheme="majorBidi"/>
          <w:sz w:val="26"/>
          <w:szCs w:val="26"/>
          <w:rtl/>
          <w:lang w:bidi="ar-EG"/>
        </w:rPr>
        <w:t>الأمر</w:t>
      </w:r>
      <w:r w:rsidR="0044433A" w:rsidRPr="00202E2A">
        <w:rPr>
          <w:rFonts w:asciiTheme="majorBidi" w:hAnsiTheme="majorBidi" w:cstheme="majorBidi"/>
          <w:sz w:val="26"/>
          <w:szCs w:val="26"/>
          <w:rtl/>
          <w:lang w:bidi="ar-EG"/>
        </w:rPr>
        <w:t xml:space="preserve"> الذي يدعم الابتكار </w:t>
      </w:r>
      <w:r w:rsidR="00A55F20" w:rsidRPr="00202E2A">
        <w:rPr>
          <w:rFonts w:asciiTheme="majorBidi" w:hAnsiTheme="majorBidi" w:cstheme="majorBidi"/>
          <w:sz w:val="26"/>
          <w:szCs w:val="26"/>
          <w:rtl/>
          <w:lang w:bidi="ar-EG"/>
        </w:rPr>
        <w:t xml:space="preserve">الذي </w:t>
      </w:r>
      <w:r w:rsidR="0044433A" w:rsidRPr="00202E2A">
        <w:rPr>
          <w:rFonts w:asciiTheme="majorBidi" w:hAnsiTheme="majorBidi" w:cstheme="majorBidi"/>
          <w:sz w:val="26"/>
          <w:szCs w:val="26"/>
          <w:rtl/>
          <w:lang w:bidi="ar-EG"/>
        </w:rPr>
        <w:t>يعمل على تمكين الموظفين من خلال توفير الموارد اللازمة وتشجيع التجريب والتعلم من الأخطاء</w:t>
      </w:r>
      <w:r w:rsidR="0044433A" w:rsidRPr="00202E2A">
        <w:rPr>
          <w:rFonts w:asciiTheme="majorBidi" w:hAnsiTheme="majorBidi" w:cstheme="majorBidi"/>
          <w:sz w:val="26"/>
          <w:szCs w:val="26"/>
          <w:lang w:bidi="ar-EG"/>
        </w:rPr>
        <w:t xml:space="preserve">. </w:t>
      </w:r>
    </w:p>
    <w:p w14:paraId="5FF8FAF9" w14:textId="3705EF71" w:rsidR="00FB244F" w:rsidRPr="00202E2A" w:rsidRDefault="00A90C06"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ويعرض تقرير</w:t>
      </w:r>
      <w:r w:rsidRPr="00202E2A">
        <w:rPr>
          <w:rFonts w:asciiTheme="majorBidi" w:hAnsiTheme="majorBidi" w:cstheme="majorBidi"/>
          <w:sz w:val="26"/>
          <w:szCs w:val="26"/>
          <w:lang w:bidi="ar-EG"/>
        </w:rPr>
        <w:t xml:space="preserve">(Zakat, Tax and Customs Authority., 2020) </w:t>
      </w:r>
      <w:r w:rsidR="00E3655D"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rtl/>
          <w:lang w:bidi="ar-EG"/>
        </w:rPr>
        <w:t xml:space="preserve">أن الإحصاءات والتطورات في الخدمات الحكومية الإلكترونية بالمملكة، بما في ذلك المبادرات الرقمية في هيئة الزكاة والضريبية والجمارك، ودورها في تحقيق أهداف التنمية المستدامة ورؤية المملكة </w:t>
      </w:r>
      <w:r w:rsidR="00FB244F" w:rsidRPr="00202E2A">
        <w:rPr>
          <w:rFonts w:asciiTheme="majorBidi" w:hAnsiTheme="majorBidi" w:cstheme="majorBidi"/>
          <w:sz w:val="26"/>
          <w:szCs w:val="26"/>
          <w:lang w:bidi="ar-EG"/>
        </w:rPr>
        <w:t>2030</w:t>
      </w:r>
      <w:r w:rsidR="00FB244F" w:rsidRPr="00202E2A">
        <w:rPr>
          <w:rFonts w:asciiTheme="majorBidi" w:hAnsiTheme="majorBidi" w:cstheme="majorBidi"/>
          <w:sz w:val="26"/>
          <w:szCs w:val="26"/>
          <w:rtl/>
          <w:lang w:bidi="ar-EG"/>
        </w:rPr>
        <w:t xml:space="preserve">، حيث يشير التقرير إلي أحدث الإحصاءات والتطورات في مجال الخدمات الحكومية الإلكترونية بالمملكة العربية السعودية، مع تسليط الضوء على المبادرات الرقمية التي تطلقها الهيئة، وتشير البيانات إلى تحسن ملحوظ في جودة وعدد الخدمات المقدمة، وهو ما يتوافق مع توجهات المملكة في تعزيز قطاع تكنولوجيا المعلومات والتحول الرقمي. وعلى مستوى المؤسسات الخدمية، وتُعد الهيئة من أوائل الجهات التي شرعت في تطبيق التحول الرقمي عبر جميع خدماتها، مع تحسين أداء فروعها المنتشرة في كافة محافظات المملكة، وقد أسهم هذا التحول في جذب عدد كبير من العملاء وتحقيق أهداف اقتصادية وتقنية واجتماعية، بما يتماشى مع أهداف التنمية المستدامة ورؤية المملكة </w:t>
      </w:r>
      <w:r w:rsidR="00FB244F" w:rsidRPr="00202E2A">
        <w:rPr>
          <w:rFonts w:asciiTheme="majorBidi" w:hAnsiTheme="majorBidi" w:cstheme="majorBidi"/>
          <w:sz w:val="26"/>
          <w:szCs w:val="26"/>
          <w:lang w:bidi="ar-EG"/>
        </w:rPr>
        <w:t>2030</w:t>
      </w:r>
      <w:r w:rsidR="00FB244F" w:rsidRPr="00202E2A">
        <w:rPr>
          <w:rFonts w:asciiTheme="majorBidi" w:hAnsiTheme="majorBidi" w:cstheme="majorBidi"/>
          <w:sz w:val="26"/>
          <w:szCs w:val="26"/>
          <w:rtl/>
          <w:lang w:bidi="ar-EG"/>
        </w:rPr>
        <w:t>، كما توضح الإحصاءات الدور الحيوي لتطوير تكنولوجيا المعلومات في تعزيز الأمن السيبراني وتيسير التجارة الدولية، مما يدعم الأداء العام للهيئة في خدمة المجتمع والاقتصاد الوطني.</w:t>
      </w:r>
    </w:p>
    <w:p w14:paraId="25ED844B" w14:textId="03315FA5" w:rsidR="00C62406" w:rsidRPr="00202E2A" w:rsidRDefault="005F1539"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lastRenderedPageBreak/>
        <w:t>و</w:t>
      </w:r>
      <w:r w:rsidR="002F3516" w:rsidRPr="00202E2A">
        <w:rPr>
          <w:rFonts w:asciiTheme="majorBidi" w:hAnsiTheme="majorBidi" w:cstheme="majorBidi"/>
          <w:sz w:val="26"/>
          <w:szCs w:val="26"/>
          <w:rtl/>
          <w:lang w:bidi="ar-EG"/>
        </w:rPr>
        <w:t>يشير تقرير</w:t>
      </w:r>
      <w:r w:rsidR="00F84FAA" w:rsidRPr="00202E2A">
        <w:rPr>
          <w:rFonts w:asciiTheme="majorBidi" w:hAnsiTheme="majorBidi" w:cstheme="majorBidi"/>
          <w:sz w:val="26"/>
          <w:szCs w:val="26"/>
          <w:rtl/>
          <w:lang w:bidi="ar-EG"/>
        </w:rPr>
        <w:t xml:space="preserve"> </w:t>
      </w:r>
      <w:r w:rsidR="009F319E" w:rsidRPr="00202E2A">
        <w:rPr>
          <w:rFonts w:asciiTheme="majorBidi" w:hAnsiTheme="majorBidi" w:cstheme="majorBidi"/>
          <w:sz w:val="26"/>
          <w:szCs w:val="26"/>
          <w:lang w:bidi="ar-EG"/>
        </w:rPr>
        <w:t>Kingdom of Saudi Arabia. ,2016)</w:t>
      </w:r>
      <w:r w:rsidR="009F319E" w:rsidRPr="00202E2A">
        <w:rPr>
          <w:rFonts w:asciiTheme="majorBidi" w:hAnsiTheme="majorBidi" w:cstheme="majorBidi"/>
          <w:sz w:val="26"/>
          <w:szCs w:val="26"/>
          <w:rtl/>
          <w:lang w:bidi="ar-EG"/>
        </w:rPr>
        <w:t xml:space="preserve">) </w:t>
      </w:r>
      <w:r w:rsidR="00F84FAA" w:rsidRPr="00202E2A">
        <w:rPr>
          <w:rFonts w:asciiTheme="majorBidi" w:hAnsiTheme="majorBidi" w:cstheme="majorBidi"/>
          <w:sz w:val="26"/>
          <w:szCs w:val="26"/>
          <w:rtl/>
          <w:lang w:bidi="ar-EG"/>
        </w:rPr>
        <w:t xml:space="preserve"> </w:t>
      </w:r>
      <w:r w:rsidR="00127696" w:rsidRPr="00202E2A">
        <w:rPr>
          <w:rFonts w:asciiTheme="majorBidi" w:hAnsiTheme="majorBidi" w:cstheme="majorBidi"/>
          <w:sz w:val="26"/>
          <w:szCs w:val="26"/>
          <w:rtl/>
          <w:lang w:bidi="ar-EG"/>
        </w:rPr>
        <w:t xml:space="preserve">أنه </w:t>
      </w:r>
      <w:r w:rsidR="00C62406" w:rsidRPr="00202E2A">
        <w:rPr>
          <w:rFonts w:asciiTheme="majorBidi" w:hAnsiTheme="majorBidi" w:cstheme="majorBidi"/>
          <w:sz w:val="26"/>
          <w:szCs w:val="26"/>
          <w:rtl/>
          <w:lang w:bidi="ar-EG"/>
        </w:rPr>
        <w:t xml:space="preserve">منذ إطلاق </w:t>
      </w:r>
      <w:r w:rsidR="00F84FAA" w:rsidRPr="00202E2A">
        <w:rPr>
          <w:rFonts w:asciiTheme="majorBidi" w:hAnsiTheme="majorBidi" w:cstheme="majorBidi"/>
          <w:sz w:val="26"/>
          <w:szCs w:val="26"/>
          <w:rtl/>
          <w:lang w:bidi="ar-EG"/>
        </w:rPr>
        <w:t xml:space="preserve">المملكة العربية السعودية </w:t>
      </w:r>
      <w:r w:rsidR="00C62406" w:rsidRPr="00202E2A">
        <w:rPr>
          <w:rFonts w:asciiTheme="majorBidi" w:hAnsiTheme="majorBidi" w:cstheme="majorBidi"/>
          <w:sz w:val="26"/>
          <w:szCs w:val="26"/>
          <w:rtl/>
          <w:lang w:bidi="ar-EG"/>
        </w:rPr>
        <w:t xml:space="preserve">إستراتيجية التنمية المستدامة "رؤية </w:t>
      </w:r>
      <w:r w:rsidR="001A6BFB" w:rsidRPr="00202E2A">
        <w:rPr>
          <w:rFonts w:asciiTheme="majorBidi" w:hAnsiTheme="majorBidi" w:cstheme="majorBidi"/>
          <w:sz w:val="26"/>
          <w:szCs w:val="26"/>
          <w:lang w:bidi="ar-EG"/>
        </w:rPr>
        <w:t>2030</w:t>
      </w:r>
      <w:r w:rsidR="00C62406" w:rsidRPr="00202E2A">
        <w:rPr>
          <w:rFonts w:asciiTheme="majorBidi" w:hAnsiTheme="majorBidi" w:cstheme="majorBidi"/>
          <w:sz w:val="26"/>
          <w:szCs w:val="26"/>
          <w:rtl/>
          <w:lang w:bidi="ar-EG"/>
        </w:rPr>
        <w:t xml:space="preserve"> </w:t>
      </w:r>
      <w:r w:rsidR="00F84FAA" w:rsidRPr="00202E2A">
        <w:rPr>
          <w:rFonts w:asciiTheme="majorBidi" w:hAnsiTheme="majorBidi" w:cstheme="majorBidi"/>
          <w:sz w:val="26"/>
          <w:szCs w:val="26"/>
          <w:rtl/>
          <w:lang w:bidi="ar-EG"/>
        </w:rPr>
        <w:t>،</w:t>
      </w:r>
      <w:r w:rsidR="00C62406" w:rsidRPr="00202E2A">
        <w:rPr>
          <w:rFonts w:asciiTheme="majorBidi" w:hAnsiTheme="majorBidi" w:cstheme="majorBidi"/>
          <w:sz w:val="26"/>
          <w:szCs w:val="26"/>
          <w:rtl/>
          <w:lang w:bidi="ar-EG"/>
        </w:rPr>
        <w:t xml:space="preserve"> بدأت بتحديث البنية التحتية لتكنولوجيا المعلومات والاتصالات لتطبيق آليات التوجه العالمي لتحقيق أهداف التنمية المستدامة على المستوى الداخلي، والتي من ضمنها الاعتماد على التحول الرقمي في تقديم كافة الأعمال والخدمات على مستوى كافة المؤسسات الحكومية والخدمية</w:t>
      </w:r>
      <w:r w:rsidR="00F84FAA" w:rsidRPr="00202E2A">
        <w:rPr>
          <w:rFonts w:asciiTheme="majorBidi" w:hAnsiTheme="majorBidi" w:cstheme="majorBidi"/>
          <w:sz w:val="26"/>
          <w:szCs w:val="26"/>
          <w:rtl/>
          <w:lang w:bidi="ar-EG"/>
        </w:rPr>
        <w:t xml:space="preserve"> لتعزيز الأمن وتيسير التجارة الدولية.</w:t>
      </w:r>
    </w:p>
    <w:p w14:paraId="7EC93FF5" w14:textId="4E2C7069" w:rsidR="009F319E" w:rsidRPr="00202E2A" w:rsidRDefault="009F319E"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ويُبرز </w:t>
      </w:r>
      <w:r w:rsidR="00814BF5" w:rsidRPr="00202E2A">
        <w:rPr>
          <w:rFonts w:asciiTheme="majorBidi" w:hAnsiTheme="majorBidi" w:cstheme="majorBidi"/>
          <w:sz w:val="26"/>
          <w:szCs w:val="26"/>
          <w:rtl/>
          <w:lang w:bidi="ar-EG"/>
        </w:rPr>
        <w:t>تقرير</w:t>
      </w:r>
      <w:r w:rsidRPr="00202E2A">
        <w:rPr>
          <w:rFonts w:asciiTheme="majorBidi" w:hAnsiTheme="majorBidi" w:cstheme="majorBidi"/>
          <w:sz w:val="26"/>
          <w:szCs w:val="26"/>
          <w:lang w:bidi="ar-EG"/>
        </w:rPr>
        <w:t xml:space="preserve">(Zakat, Tax and Customs Authority., 2021) </w:t>
      </w:r>
      <w:r w:rsidRPr="00202E2A">
        <w:rPr>
          <w:rFonts w:asciiTheme="majorBidi" w:hAnsiTheme="majorBidi" w:cstheme="majorBidi"/>
          <w:sz w:val="26"/>
          <w:szCs w:val="26"/>
          <w:rtl/>
          <w:lang w:bidi="ar-EG"/>
        </w:rPr>
        <w:t xml:space="preserve"> الإحصائيات التي توضح جهود الهيئة في إعادة هيكلة خدماتها لتلبية احتياجات المواطنين ومواكبة التطورات السريعة في مجال تكنولوجيا المعلومات، وقد تم ذلك استنادًا إلى الخطة القومية للتحول الرقمي التي وضعتها وزارة الاتصالات وتكنولوجيا المعلومات، مما أدى إلى تطوير وميكنة نظم العمل في كافة فروع الهيئة على مستوى المملكة وفقًا للإحصائيات الصادرة لعام </w:t>
      </w:r>
      <w:r w:rsidRPr="00202E2A">
        <w:rPr>
          <w:rFonts w:asciiTheme="majorBidi" w:hAnsiTheme="majorBidi" w:cstheme="majorBidi"/>
          <w:sz w:val="26"/>
          <w:szCs w:val="26"/>
          <w:lang w:bidi="ar-EG"/>
        </w:rPr>
        <w:t>2021</w:t>
      </w:r>
      <w:r w:rsidRPr="00202E2A">
        <w:rPr>
          <w:rFonts w:asciiTheme="majorBidi" w:hAnsiTheme="majorBidi" w:cstheme="majorBidi"/>
          <w:sz w:val="26"/>
          <w:szCs w:val="26"/>
          <w:rtl/>
          <w:lang w:bidi="ar-EG"/>
        </w:rPr>
        <w:t>/</w:t>
      </w:r>
      <w:r w:rsidRPr="00202E2A">
        <w:rPr>
          <w:rFonts w:asciiTheme="majorBidi" w:hAnsiTheme="majorBidi" w:cstheme="majorBidi"/>
          <w:sz w:val="26"/>
          <w:szCs w:val="26"/>
          <w:lang w:bidi="ar-EG"/>
        </w:rPr>
        <w:t>2020</w:t>
      </w:r>
      <w:r w:rsidRPr="00202E2A">
        <w:rPr>
          <w:rFonts w:asciiTheme="majorBidi" w:hAnsiTheme="majorBidi" w:cstheme="majorBidi"/>
          <w:sz w:val="26"/>
          <w:szCs w:val="26"/>
          <w:rtl/>
          <w:lang w:bidi="ar-EG"/>
        </w:rPr>
        <w:t xml:space="preserve">، وتعكس هذه المبادرات التزام الهيئة بتقديم خدمات حكومية متطورة تتماشى مع متطلبات العصر الرقمي وتدعم تحقيق أهداف التنمية المستدامة ورؤية المملكة </w:t>
      </w:r>
      <w:r w:rsidR="00691C8C" w:rsidRPr="00202E2A">
        <w:rPr>
          <w:rFonts w:asciiTheme="majorBidi" w:hAnsiTheme="majorBidi" w:cstheme="majorBidi"/>
          <w:sz w:val="26"/>
          <w:szCs w:val="26"/>
          <w:lang w:bidi="ar-EG"/>
        </w:rPr>
        <w:t>2030</w:t>
      </w:r>
      <w:r w:rsidRPr="00202E2A">
        <w:rPr>
          <w:rFonts w:asciiTheme="majorBidi" w:hAnsiTheme="majorBidi" w:cstheme="majorBidi"/>
          <w:sz w:val="26"/>
          <w:szCs w:val="26"/>
          <w:rtl/>
          <w:lang w:bidi="ar-EG"/>
        </w:rPr>
        <w:t>.</w:t>
      </w:r>
    </w:p>
    <w:p w14:paraId="20C703B9" w14:textId="0E4B6E0A" w:rsidR="00C62406" w:rsidRPr="00202E2A" w:rsidRDefault="00C62406"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و</w:t>
      </w:r>
      <w:r w:rsidR="00D54006" w:rsidRPr="00202E2A">
        <w:rPr>
          <w:rFonts w:asciiTheme="majorBidi" w:hAnsiTheme="majorBidi" w:cstheme="majorBidi"/>
          <w:b/>
          <w:bCs/>
          <w:sz w:val="26"/>
          <w:szCs w:val="26"/>
          <w:rtl/>
          <w:lang w:bidi="ar-EG"/>
        </w:rPr>
        <w:t>يري الباحث</w:t>
      </w:r>
      <w:r w:rsidR="00D54006" w:rsidRPr="00202E2A">
        <w:rPr>
          <w:rFonts w:asciiTheme="majorBidi" w:hAnsiTheme="majorBidi" w:cstheme="majorBidi"/>
          <w:sz w:val="26"/>
          <w:szCs w:val="26"/>
          <w:rtl/>
          <w:lang w:bidi="ar-EG"/>
        </w:rPr>
        <w:t xml:space="preserve"> </w:t>
      </w:r>
      <w:r w:rsidR="00A55F20" w:rsidRPr="00202E2A">
        <w:rPr>
          <w:rFonts w:asciiTheme="majorBidi" w:hAnsiTheme="majorBidi" w:cstheme="majorBidi"/>
          <w:sz w:val="26"/>
          <w:szCs w:val="26"/>
          <w:rtl/>
          <w:lang w:bidi="ar-EG"/>
        </w:rPr>
        <w:t xml:space="preserve">أنه </w:t>
      </w:r>
      <w:r w:rsidRPr="00202E2A">
        <w:rPr>
          <w:rFonts w:asciiTheme="majorBidi" w:hAnsiTheme="majorBidi" w:cstheme="majorBidi"/>
          <w:sz w:val="26"/>
          <w:szCs w:val="26"/>
          <w:rtl/>
          <w:lang w:bidi="ar-EG"/>
        </w:rPr>
        <w:t xml:space="preserve">بالفعل قامت هيئة </w:t>
      </w:r>
      <w:r w:rsidR="00CC3249" w:rsidRPr="00202E2A">
        <w:rPr>
          <w:rFonts w:asciiTheme="majorBidi" w:hAnsiTheme="majorBidi" w:cstheme="majorBidi"/>
          <w:sz w:val="26"/>
          <w:szCs w:val="26"/>
          <w:rtl/>
          <w:lang w:bidi="ar-EG"/>
        </w:rPr>
        <w:t xml:space="preserve">الزكاة والضريبية والجمارك </w:t>
      </w:r>
      <w:r w:rsidRPr="00202E2A">
        <w:rPr>
          <w:rFonts w:asciiTheme="majorBidi" w:hAnsiTheme="majorBidi" w:cstheme="majorBidi"/>
          <w:sz w:val="26"/>
          <w:szCs w:val="26"/>
          <w:rtl/>
          <w:lang w:bidi="ar-EG"/>
        </w:rPr>
        <w:t xml:space="preserve">باتخاذ الإجراءات والخطوات التي تكفل تحول منظومة الخدمات التي تقدمها من النظام التقليدي إلى النظام الرقمي من خلال خدمات </w:t>
      </w:r>
      <w:r w:rsidR="004D02B7" w:rsidRPr="00202E2A">
        <w:rPr>
          <w:rFonts w:asciiTheme="majorBidi" w:hAnsiTheme="majorBidi" w:cstheme="majorBidi"/>
          <w:sz w:val="26"/>
          <w:szCs w:val="26"/>
          <w:rtl/>
          <w:lang w:bidi="ar-EG"/>
        </w:rPr>
        <w:t xml:space="preserve">التحول الرقمي </w:t>
      </w:r>
      <w:r w:rsidRPr="00202E2A">
        <w:rPr>
          <w:rFonts w:asciiTheme="majorBidi" w:hAnsiTheme="majorBidi" w:cstheme="majorBidi"/>
          <w:sz w:val="26"/>
          <w:szCs w:val="26"/>
          <w:rtl/>
          <w:lang w:bidi="ar-EG"/>
        </w:rPr>
        <w:t xml:space="preserve">الإلكترونية، وأصبح التحول الرقمي داخل الهيئة يمثل الإستراتيجية الأولى التي تسعى لتطويرها بعد أن تم تطبيقها لمجابهة المنافسة الشديدة بينها وبين القطاع المصرفي </w:t>
      </w:r>
      <w:r w:rsidR="004D02B7" w:rsidRPr="00202E2A">
        <w:rPr>
          <w:rFonts w:asciiTheme="majorBidi" w:hAnsiTheme="majorBidi" w:cstheme="majorBidi"/>
          <w:sz w:val="26"/>
          <w:szCs w:val="26"/>
          <w:rtl/>
          <w:lang w:bidi="ar-EG"/>
        </w:rPr>
        <w:t xml:space="preserve">والصناعي والانتاجي </w:t>
      </w:r>
      <w:r w:rsidRPr="00202E2A">
        <w:rPr>
          <w:rFonts w:asciiTheme="majorBidi" w:hAnsiTheme="majorBidi" w:cstheme="majorBidi"/>
          <w:sz w:val="26"/>
          <w:szCs w:val="26"/>
          <w:rtl/>
          <w:lang w:bidi="ar-EG"/>
        </w:rPr>
        <w:t>من ناحية، وتحقيق الأبعاد الاقتصادية والتكنولوجية والاجتماعية للتنمية المستدامة من ناحية أخرى</w:t>
      </w:r>
      <w:r w:rsidRPr="00202E2A">
        <w:rPr>
          <w:rFonts w:asciiTheme="majorBidi" w:hAnsiTheme="majorBidi" w:cstheme="majorBidi"/>
          <w:sz w:val="26"/>
          <w:szCs w:val="26"/>
          <w:lang w:bidi="ar-EG"/>
        </w:rPr>
        <w:t>.</w:t>
      </w:r>
    </w:p>
    <w:p w14:paraId="43069B54" w14:textId="7D614F67" w:rsidR="00781BA9" w:rsidRPr="00202E2A" w:rsidRDefault="00C62406"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ومن هنا تكمن أهمية الدراسة بقياس أثر </w:t>
      </w:r>
      <w:r w:rsidR="00F5608F" w:rsidRPr="00202E2A">
        <w:rPr>
          <w:rFonts w:asciiTheme="majorBidi" w:hAnsiTheme="majorBidi" w:cstheme="majorBidi"/>
          <w:sz w:val="26"/>
          <w:szCs w:val="26"/>
          <w:rtl/>
          <w:lang w:bidi="ar-EG"/>
        </w:rPr>
        <w:t>أبعاد التحول الرقمي</w:t>
      </w:r>
      <w:r w:rsidRPr="00202E2A">
        <w:rPr>
          <w:rFonts w:asciiTheme="majorBidi" w:hAnsiTheme="majorBidi" w:cstheme="majorBidi"/>
          <w:sz w:val="26"/>
          <w:szCs w:val="26"/>
          <w:rtl/>
          <w:lang w:bidi="ar-EG"/>
        </w:rPr>
        <w:t xml:space="preserve"> </w:t>
      </w:r>
      <w:r w:rsidR="004854A7" w:rsidRPr="00202E2A">
        <w:rPr>
          <w:rFonts w:asciiTheme="majorBidi" w:hAnsiTheme="majorBidi" w:cstheme="majorBidi"/>
          <w:sz w:val="26"/>
          <w:szCs w:val="26"/>
          <w:rtl/>
          <w:lang w:bidi="ar-EG"/>
        </w:rPr>
        <w:t>على</w:t>
      </w:r>
      <w:r w:rsidRPr="00202E2A">
        <w:rPr>
          <w:rFonts w:asciiTheme="majorBidi" w:hAnsiTheme="majorBidi" w:cstheme="majorBidi"/>
          <w:sz w:val="26"/>
          <w:szCs w:val="26"/>
          <w:rtl/>
          <w:lang w:bidi="ar-EG"/>
        </w:rPr>
        <w:t xml:space="preserve"> </w:t>
      </w:r>
      <w:r w:rsidR="00F5608F" w:rsidRPr="00202E2A">
        <w:rPr>
          <w:rFonts w:asciiTheme="majorBidi" w:hAnsiTheme="majorBidi" w:cstheme="majorBidi"/>
          <w:sz w:val="26"/>
          <w:szCs w:val="26"/>
          <w:rtl/>
          <w:lang w:bidi="ar-EG"/>
        </w:rPr>
        <w:t xml:space="preserve">تعزيز الأمن وتيسير التجارة </w:t>
      </w:r>
      <w:r w:rsidRPr="00202E2A">
        <w:rPr>
          <w:rFonts w:asciiTheme="majorBidi" w:hAnsiTheme="majorBidi" w:cstheme="majorBidi"/>
          <w:sz w:val="26"/>
          <w:szCs w:val="26"/>
          <w:rtl/>
          <w:lang w:bidi="ar-EG"/>
        </w:rPr>
        <w:t xml:space="preserve">بعد تطبيقه على تطوير أداء هيئة </w:t>
      </w:r>
      <w:r w:rsidR="00F5608F" w:rsidRPr="00202E2A">
        <w:rPr>
          <w:rFonts w:asciiTheme="majorBidi" w:hAnsiTheme="majorBidi" w:cstheme="majorBidi"/>
          <w:sz w:val="26"/>
          <w:szCs w:val="26"/>
          <w:rtl/>
          <w:lang w:bidi="ar-EG"/>
        </w:rPr>
        <w:t>الزكاة والضريبة والجمارك</w:t>
      </w:r>
      <w:r w:rsidRPr="00202E2A">
        <w:rPr>
          <w:rFonts w:asciiTheme="majorBidi" w:hAnsiTheme="majorBidi" w:cstheme="majorBidi"/>
          <w:sz w:val="26"/>
          <w:szCs w:val="26"/>
          <w:rtl/>
          <w:lang w:bidi="ar-EG"/>
        </w:rPr>
        <w:t>، كذلك معرفه مدى فاعليته ودوره في تحقيق أهداف التنمية المستدامة على المستوى الاقتصادي، والتكنولوجي، والاجتماعي؛ ومدى التحسن الملموس في أداء الخدمات المقدمة للجمهور، ومدى الإبداعات والابتكارات التي استفادت منها الهيئة في منظومتها الإدارية والخدمية من جراء تطبيق منظومة التحول الرقمي لزيادة قدراتها التشغيلية والتنافسية.</w:t>
      </w:r>
    </w:p>
    <w:p w14:paraId="654373EF" w14:textId="2E80BB1B" w:rsidR="005F496D" w:rsidRPr="00202E2A" w:rsidRDefault="005F496D" w:rsidP="0019590B">
      <w:pPr>
        <w:bidi/>
        <w:spacing w:line="276" w:lineRule="auto"/>
        <w:rPr>
          <w:rFonts w:asciiTheme="majorBidi" w:hAnsiTheme="majorBidi" w:cstheme="majorBidi"/>
          <w:b/>
          <w:bCs/>
          <w:color w:val="002060"/>
          <w:sz w:val="26"/>
          <w:szCs w:val="26"/>
          <w:rtl/>
          <w:lang w:bidi="ar-EG"/>
        </w:rPr>
      </w:pPr>
      <w:r w:rsidRPr="00202E2A">
        <w:rPr>
          <w:rFonts w:asciiTheme="majorBidi" w:hAnsiTheme="majorBidi" w:cstheme="majorBidi"/>
          <w:b/>
          <w:bCs/>
          <w:color w:val="002060"/>
          <w:sz w:val="26"/>
          <w:szCs w:val="26"/>
          <w:rtl/>
          <w:lang w:bidi="ar-EG"/>
        </w:rPr>
        <w:t>ثانياً: مشكلة الدراسة</w:t>
      </w:r>
      <w:r w:rsidRPr="00202E2A">
        <w:rPr>
          <w:rFonts w:asciiTheme="majorBidi" w:hAnsiTheme="majorBidi" w:cstheme="majorBidi"/>
          <w:b/>
          <w:bCs/>
          <w:color w:val="002060"/>
          <w:sz w:val="26"/>
          <w:szCs w:val="26"/>
          <w:lang w:bidi="ar-EG"/>
        </w:rPr>
        <w:t xml:space="preserve">Problem Study </w:t>
      </w:r>
      <w:r w:rsidRPr="00202E2A">
        <w:rPr>
          <w:rFonts w:asciiTheme="majorBidi" w:hAnsiTheme="majorBidi" w:cstheme="majorBidi"/>
          <w:b/>
          <w:bCs/>
          <w:color w:val="002060"/>
          <w:sz w:val="26"/>
          <w:szCs w:val="26"/>
          <w:rtl/>
          <w:lang w:bidi="ar-EG"/>
        </w:rPr>
        <w:t xml:space="preserve"> </w:t>
      </w:r>
    </w:p>
    <w:p w14:paraId="67C380CC" w14:textId="6B84FFB7" w:rsidR="005F496D" w:rsidRPr="00202E2A" w:rsidRDefault="005F496D" w:rsidP="0019590B">
      <w:pPr>
        <w:bidi/>
        <w:spacing w:line="276" w:lineRule="auto"/>
        <w:ind w:firstLine="720"/>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اتجهت المؤسسات والهيئات الحكومية في </w:t>
      </w:r>
      <w:r w:rsidR="00A840CC" w:rsidRPr="00202E2A">
        <w:rPr>
          <w:rFonts w:asciiTheme="majorBidi" w:hAnsiTheme="majorBidi" w:cstheme="majorBidi"/>
          <w:sz w:val="26"/>
          <w:szCs w:val="26"/>
          <w:rtl/>
          <w:lang w:bidi="ar-EG"/>
        </w:rPr>
        <w:t>المملكة العربية السعودية</w:t>
      </w:r>
      <w:r w:rsidRPr="00202E2A">
        <w:rPr>
          <w:rFonts w:asciiTheme="majorBidi" w:hAnsiTheme="majorBidi" w:cstheme="majorBidi"/>
          <w:sz w:val="26"/>
          <w:szCs w:val="26"/>
          <w:rtl/>
          <w:lang w:bidi="ar-EG"/>
        </w:rPr>
        <w:t xml:space="preserve"> مؤخراً إلى الاعتماد على التحول الرقمي والاتجاه نحو الميكنة الكاملة، لقدرتها</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على فتح مسارات جديدة وذكية أمام الشركات والمؤسسات والعملاء، ودورها في دعم منظمات الأعمال في</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تجاوز العقبات الكثيرة التي تواجهها، سواء في عمليات والإنتاج وخدمات العملاء من البيع والشراء، أو فيما يتعلق بجوانبها الإدارية والفنية</w:t>
      </w:r>
      <w:r w:rsidR="00A840CC" w:rsidRPr="00202E2A">
        <w:rPr>
          <w:rFonts w:asciiTheme="majorBidi" w:hAnsiTheme="majorBidi" w:cstheme="majorBidi"/>
          <w:sz w:val="26"/>
          <w:szCs w:val="26"/>
          <w:rtl/>
          <w:lang w:bidi="ar-EG"/>
        </w:rPr>
        <w:t>.</w:t>
      </w:r>
    </w:p>
    <w:p w14:paraId="70AC9880" w14:textId="3887386A" w:rsidR="004E1FF2" w:rsidRPr="00202E2A" w:rsidRDefault="005F496D"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واستناداً إلى ما تقدم، </w:t>
      </w:r>
      <w:r w:rsidRPr="00202E2A">
        <w:rPr>
          <w:rFonts w:asciiTheme="majorBidi" w:hAnsiTheme="majorBidi" w:cstheme="majorBidi"/>
          <w:b/>
          <w:bCs/>
          <w:sz w:val="26"/>
          <w:szCs w:val="26"/>
          <w:rtl/>
          <w:lang w:bidi="ar-EG"/>
        </w:rPr>
        <w:t xml:space="preserve">تظهر </w:t>
      </w:r>
      <w:r w:rsidR="00196025" w:rsidRPr="00202E2A">
        <w:rPr>
          <w:rFonts w:asciiTheme="majorBidi" w:hAnsiTheme="majorBidi" w:cstheme="majorBidi"/>
          <w:b/>
          <w:bCs/>
          <w:sz w:val="26"/>
          <w:szCs w:val="26"/>
          <w:rtl/>
          <w:lang w:bidi="ar-EG"/>
        </w:rPr>
        <w:t>مشكلة</w:t>
      </w:r>
      <w:r w:rsidRPr="00202E2A">
        <w:rPr>
          <w:rFonts w:asciiTheme="majorBidi" w:hAnsiTheme="majorBidi" w:cstheme="majorBidi"/>
          <w:b/>
          <w:bCs/>
          <w:sz w:val="26"/>
          <w:szCs w:val="26"/>
          <w:rtl/>
          <w:lang w:bidi="ar-EG"/>
        </w:rPr>
        <w:t xml:space="preserve"> الدراسة </w:t>
      </w:r>
      <w:r w:rsidR="004E1FF2" w:rsidRPr="00202E2A">
        <w:rPr>
          <w:rFonts w:asciiTheme="majorBidi" w:hAnsiTheme="majorBidi" w:cstheme="majorBidi"/>
          <w:b/>
          <w:bCs/>
          <w:sz w:val="26"/>
          <w:szCs w:val="26"/>
          <w:rtl/>
          <w:lang w:bidi="ar-EG"/>
        </w:rPr>
        <w:t xml:space="preserve">من </w:t>
      </w:r>
      <w:r w:rsidRPr="00202E2A">
        <w:rPr>
          <w:rFonts w:asciiTheme="majorBidi" w:hAnsiTheme="majorBidi" w:cstheme="majorBidi"/>
          <w:b/>
          <w:bCs/>
          <w:sz w:val="26"/>
          <w:szCs w:val="26"/>
          <w:rtl/>
          <w:lang w:bidi="ar-EG"/>
        </w:rPr>
        <w:t xml:space="preserve">حيث دراسة وتحليل فرص وتحديات </w:t>
      </w:r>
      <w:r w:rsidR="00A840CC" w:rsidRPr="00202E2A">
        <w:rPr>
          <w:rFonts w:asciiTheme="majorBidi" w:hAnsiTheme="majorBidi" w:cstheme="majorBidi"/>
          <w:b/>
          <w:bCs/>
          <w:sz w:val="26"/>
          <w:szCs w:val="26"/>
          <w:rtl/>
          <w:lang w:bidi="ar-EG"/>
        </w:rPr>
        <w:t xml:space="preserve">استراتيجيات التحول </w:t>
      </w:r>
      <w:r w:rsidR="00810178" w:rsidRPr="00202E2A">
        <w:rPr>
          <w:rFonts w:asciiTheme="majorBidi" w:hAnsiTheme="majorBidi" w:cstheme="majorBidi"/>
          <w:b/>
          <w:bCs/>
          <w:sz w:val="26"/>
          <w:szCs w:val="26"/>
          <w:rtl/>
          <w:lang w:bidi="ar-EG"/>
        </w:rPr>
        <w:t>الرقمي في</w:t>
      </w:r>
      <w:r w:rsidRPr="00202E2A">
        <w:rPr>
          <w:rFonts w:asciiTheme="majorBidi" w:hAnsiTheme="majorBidi" w:cstheme="majorBidi"/>
          <w:b/>
          <w:bCs/>
          <w:sz w:val="26"/>
          <w:szCs w:val="26"/>
          <w:rtl/>
          <w:lang w:bidi="ar-EG"/>
        </w:rPr>
        <w:t xml:space="preserve"> ظل وجود </w:t>
      </w:r>
      <w:r w:rsidR="00A840CC" w:rsidRPr="00202E2A">
        <w:rPr>
          <w:rFonts w:asciiTheme="majorBidi" w:hAnsiTheme="majorBidi" w:cstheme="majorBidi"/>
          <w:b/>
          <w:bCs/>
          <w:sz w:val="26"/>
          <w:szCs w:val="26"/>
          <w:rtl/>
          <w:lang w:bidi="ar-EG"/>
        </w:rPr>
        <w:t>تعزيز الأمن وت</w:t>
      </w:r>
      <w:r w:rsidR="003804AC" w:rsidRPr="00202E2A">
        <w:rPr>
          <w:rFonts w:asciiTheme="majorBidi" w:hAnsiTheme="majorBidi" w:cstheme="majorBidi"/>
          <w:b/>
          <w:bCs/>
          <w:sz w:val="26"/>
          <w:szCs w:val="26"/>
          <w:rtl/>
          <w:lang w:bidi="ar-EG"/>
        </w:rPr>
        <w:t>ي</w:t>
      </w:r>
      <w:r w:rsidR="00A840CC" w:rsidRPr="00202E2A">
        <w:rPr>
          <w:rFonts w:asciiTheme="majorBidi" w:hAnsiTheme="majorBidi" w:cstheme="majorBidi"/>
          <w:b/>
          <w:bCs/>
          <w:sz w:val="26"/>
          <w:szCs w:val="26"/>
          <w:rtl/>
          <w:lang w:bidi="ar-EG"/>
        </w:rPr>
        <w:t>سير التجارة</w:t>
      </w:r>
      <w:r w:rsidRPr="00202E2A">
        <w:rPr>
          <w:rFonts w:asciiTheme="majorBidi" w:hAnsiTheme="majorBidi" w:cstheme="majorBidi"/>
          <w:b/>
          <w:bCs/>
          <w:sz w:val="26"/>
          <w:szCs w:val="26"/>
          <w:rtl/>
          <w:lang w:bidi="ar-EG"/>
        </w:rPr>
        <w:t xml:space="preserve"> حيث أصبحت ضرورة تستدعيها مجموعة من الاعتبارات المعرفية والثقافية والاقتصادية والتكنولوجية</w:t>
      </w:r>
      <w:r w:rsidRPr="00202E2A">
        <w:rPr>
          <w:rFonts w:asciiTheme="majorBidi" w:hAnsiTheme="majorBidi" w:cstheme="majorBidi"/>
          <w:sz w:val="26"/>
          <w:szCs w:val="26"/>
          <w:rtl/>
          <w:lang w:bidi="ar-EG"/>
        </w:rPr>
        <w:t xml:space="preserve">؛ خاصة في ظل النقلة النوعية في استخدام المعلومات، والتحولات المهمة في الاقتصاد المعاصر الذي يفرض على </w:t>
      </w:r>
      <w:r w:rsidR="00096219" w:rsidRPr="00202E2A">
        <w:rPr>
          <w:rFonts w:asciiTheme="majorBidi" w:hAnsiTheme="majorBidi" w:cstheme="majorBidi"/>
          <w:sz w:val="26"/>
          <w:szCs w:val="26"/>
          <w:rtl/>
          <w:lang w:bidi="ar-EG"/>
        </w:rPr>
        <w:t>أبعاد التحول الرقمي</w:t>
      </w:r>
      <w:r w:rsidRPr="00202E2A">
        <w:rPr>
          <w:rFonts w:asciiTheme="majorBidi" w:hAnsiTheme="majorBidi" w:cstheme="majorBidi"/>
          <w:sz w:val="26"/>
          <w:szCs w:val="26"/>
          <w:rtl/>
          <w:lang w:bidi="ar-EG"/>
        </w:rPr>
        <w:t xml:space="preserve"> تغيرات ملحة وظروف تنافسية صعبة</w:t>
      </w:r>
      <w:r w:rsidR="004E1FF2" w:rsidRPr="00202E2A">
        <w:rPr>
          <w:rFonts w:asciiTheme="majorBidi" w:hAnsiTheme="majorBidi" w:cstheme="majorBidi"/>
          <w:sz w:val="26"/>
          <w:szCs w:val="26"/>
          <w:rtl/>
          <w:lang w:bidi="ar-EG"/>
        </w:rPr>
        <w:t>.</w:t>
      </w:r>
    </w:p>
    <w:p w14:paraId="5230FE4E" w14:textId="5D7653D0" w:rsidR="005F496D" w:rsidRPr="00202E2A" w:rsidRDefault="005F496D"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وضمن هذه الاعتبارات </w:t>
      </w:r>
      <w:r w:rsidRPr="00202E2A">
        <w:rPr>
          <w:rFonts w:asciiTheme="majorBidi" w:hAnsiTheme="majorBidi" w:cstheme="majorBidi"/>
          <w:b/>
          <w:bCs/>
          <w:sz w:val="26"/>
          <w:szCs w:val="26"/>
          <w:rtl/>
          <w:lang w:bidi="ar-EG"/>
        </w:rPr>
        <w:t xml:space="preserve">تمحورت فكرة الدراسة الحالية ومشكلتها في إطار رصد مستقبل تأثير </w:t>
      </w:r>
      <w:r w:rsidR="00096219" w:rsidRPr="00202E2A">
        <w:rPr>
          <w:rFonts w:asciiTheme="majorBidi" w:hAnsiTheme="majorBidi" w:cstheme="majorBidi"/>
          <w:b/>
          <w:bCs/>
          <w:sz w:val="26"/>
          <w:szCs w:val="26"/>
          <w:rtl/>
          <w:lang w:bidi="ar-EG"/>
        </w:rPr>
        <w:t xml:space="preserve">أبعاد </w:t>
      </w:r>
      <w:r w:rsidRPr="00202E2A">
        <w:rPr>
          <w:rFonts w:asciiTheme="majorBidi" w:hAnsiTheme="majorBidi" w:cstheme="majorBidi"/>
          <w:b/>
          <w:bCs/>
          <w:sz w:val="26"/>
          <w:szCs w:val="26"/>
          <w:rtl/>
          <w:lang w:bidi="ar-EG"/>
        </w:rPr>
        <w:t>التحول الرقمي</w:t>
      </w:r>
      <w:r w:rsidR="00096219" w:rsidRPr="00202E2A">
        <w:rPr>
          <w:rFonts w:asciiTheme="majorBidi" w:hAnsiTheme="majorBidi" w:cstheme="majorBidi"/>
          <w:b/>
          <w:bCs/>
          <w:sz w:val="26"/>
          <w:szCs w:val="26"/>
          <w:rtl/>
          <w:lang w:bidi="ar-EG"/>
        </w:rPr>
        <w:t xml:space="preserve"> </w:t>
      </w:r>
      <w:r w:rsidR="00810178" w:rsidRPr="00202E2A">
        <w:rPr>
          <w:rFonts w:asciiTheme="majorBidi" w:hAnsiTheme="majorBidi" w:cstheme="majorBidi"/>
          <w:b/>
          <w:bCs/>
          <w:sz w:val="26"/>
          <w:szCs w:val="26"/>
          <w:rtl/>
          <w:lang w:bidi="ar-EG"/>
        </w:rPr>
        <w:t>على</w:t>
      </w:r>
      <w:r w:rsidR="00096219" w:rsidRPr="00202E2A">
        <w:rPr>
          <w:rFonts w:asciiTheme="majorBidi" w:hAnsiTheme="majorBidi" w:cstheme="majorBidi"/>
          <w:b/>
          <w:bCs/>
          <w:sz w:val="26"/>
          <w:szCs w:val="26"/>
          <w:rtl/>
          <w:lang w:bidi="ar-EG"/>
        </w:rPr>
        <w:t xml:space="preserve"> تعزيز الأمن وتيسير التجارة</w:t>
      </w:r>
      <w:r w:rsidRPr="00202E2A">
        <w:rPr>
          <w:rFonts w:asciiTheme="majorBidi" w:hAnsiTheme="majorBidi" w:cstheme="majorBidi"/>
          <w:b/>
          <w:bCs/>
          <w:sz w:val="26"/>
          <w:szCs w:val="26"/>
          <w:rtl/>
          <w:lang w:bidi="ar-EG"/>
        </w:rPr>
        <w:t xml:space="preserve">، وما يحيط بها من فرص وما يحدها من تحديات </w:t>
      </w:r>
      <w:r w:rsidR="00810178" w:rsidRPr="00202E2A">
        <w:rPr>
          <w:rFonts w:asciiTheme="majorBidi" w:hAnsiTheme="majorBidi" w:cstheme="majorBidi"/>
          <w:b/>
          <w:bCs/>
          <w:sz w:val="26"/>
          <w:szCs w:val="26"/>
          <w:rtl/>
          <w:lang w:bidi="ar-EG"/>
        </w:rPr>
        <w:t>وأثرها</w:t>
      </w:r>
      <w:r w:rsidRPr="00202E2A">
        <w:rPr>
          <w:rFonts w:asciiTheme="majorBidi" w:hAnsiTheme="majorBidi" w:cstheme="majorBidi"/>
          <w:b/>
          <w:bCs/>
          <w:sz w:val="26"/>
          <w:szCs w:val="26"/>
          <w:rtl/>
          <w:lang w:bidi="ar-EG"/>
        </w:rPr>
        <w:t xml:space="preserve"> على هيئة </w:t>
      </w:r>
      <w:r w:rsidR="000A12A6" w:rsidRPr="00202E2A">
        <w:rPr>
          <w:rFonts w:asciiTheme="majorBidi" w:hAnsiTheme="majorBidi" w:cstheme="majorBidi"/>
          <w:b/>
          <w:bCs/>
          <w:sz w:val="26"/>
          <w:szCs w:val="26"/>
          <w:rtl/>
          <w:lang w:bidi="ar-EG"/>
        </w:rPr>
        <w:t>الزكاة والضريبية والجمارك</w:t>
      </w:r>
      <w:r w:rsidRPr="00202E2A">
        <w:rPr>
          <w:rFonts w:asciiTheme="majorBidi" w:hAnsiTheme="majorBidi" w:cstheme="majorBidi"/>
          <w:sz w:val="26"/>
          <w:szCs w:val="26"/>
          <w:rtl/>
          <w:lang w:bidi="ar-EG"/>
        </w:rPr>
        <w:t xml:space="preserve"> وذلك من خلال تحليل الواقع ومراجعة الدراسات السابقة الحديثة المنشورة حول الموضوع</w:t>
      </w:r>
      <w:r w:rsidR="00171664" w:rsidRPr="00202E2A">
        <w:rPr>
          <w:rFonts w:asciiTheme="majorBidi" w:hAnsiTheme="majorBidi" w:cstheme="majorBidi"/>
          <w:sz w:val="26"/>
          <w:szCs w:val="26"/>
          <w:rtl/>
          <w:lang w:bidi="ar-EG"/>
        </w:rPr>
        <w:t>.</w:t>
      </w:r>
    </w:p>
    <w:p w14:paraId="2B7CB819" w14:textId="4592D42F" w:rsidR="004E1FF2" w:rsidRPr="00202E2A" w:rsidRDefault="006D7EEA" w:rsidP="0019590B">
      <w:pPr>
        <w:bidi/>
        <w:spacing w:line="276" w:lineRule="auto"/>
        <w:ind w:firstLine="720"/>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الدراسة الاستطلاعية:</w:t>
      </w:r>
    </w:p>
    <w:p w14:paraId="0101D27E" w14:textId="6A1EF1F7" w:rsidR="005F496D" w:rsidRPr="00202E2A" w:rsidRDefault="005F496D"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lastRenderedPageBreak/>
        <w:t>ق</w:t>
      </w:r>
      <w:r w:rsidR="00FB75E8" w:rsidRPr="00202E2A">
        <w:rPr>
          <w:rFonts w:asciiTheme="majorBidi" w:hAnsiTheme="majorBidi" w:cstheme="majorBidi"/>
          <w:sz w:val="26"/>
          <w:szCs w:val="26"/>
          <w:rtl/>
          <w:lang w:bidi="ar-EG"/>
        </w:rPr>
        <w:t>ا</w:t>
      </w:r>
      <w:r w:rsidRPr="00202E2A">
        <w:rPr>
          <w:rFonts w:asciiTheme="majorBidi" w:hAnsiTheme="majorBidi" w:cstheme="majorBidi"/>
          <w:sz w:val="26"/>
          <w:szCs w:val="26"/>
          <w:rtl/>
          <w:lang w:bidi="ar-EG"/>
        </w:rPr>
        <w:t xml:space="preserve">م الباحث بإجراء دراسة استطلاعية مع بعض العاملين والقيادات </w:t>
      </w:r>
      <w:r w:rsidR="00FB75E8" w:rsidRPr="00202E2A">
        <w:rPr>
          <w:rFonts w:asciiTheme="majorBidi" w:hAnsiTheme="majorBidi" w:cstheme="majorBidi"/>
          <w:sz w:val="26"/>
          <w:szCs w:val="26"/>
          <w:rtl/>
          <w:lang w:bidi="ar-EG"/>
        </w:rPr>
        <w:t>بهيئة الزكاة والضريبية والجمارك</w:t>
      </w:r>
      <w:r w:rsidRPr="00202E2A">
        <w:rPr>
          <w:rFonts w:asciiTheme="majorBidi" w:hAnsiTheme="majorBidi" w:cstheme="majorBidi"/>
          <w:sz w:val="26"/>
          <w:szCs w:val="26"/>
          <w:rtl/>
          <w:lang w:bidi="ar-EG"/>
        </w:rPr>
        <w:t xml:space="preserve">؛ وذلك بهدف التعرف </w:t>
      </w:r>
      <w:r w:rsidR="00810178" w:rsidRPr="00202E2A">
        <w:rPr>
          <w:rFonts w:asciiTheme="majorBidi" w:hAnsiTheme="majorBidi" w:cstheme="majorBidi"/>
          <w:sz w:val="26"/>
          <w:szCs w:val="26"/>
          <w:rtl/>
          <w:lang w:bidi="ar-EG"/>
        </w:rPr>
        <w:t>على</w:t>
      </w:r>
      <w:r w:rsidRPr="00202E2A">
        <w:rPr>
          <w:rFonts w:asciiTheme="majorBidi" w:hAnsiTheme="majorBidi" w:cstheme="majorBidi"/>
          <w:sz w:val="26"/>
          <w:szCs w:val="26"/>
          <w:rtl/>
          <w:lang w:bidi="ar-EG"/>
        </w:rPr>
        <w:t xml:space="preserve"> مدي تأثير </w:t>
      </w:r>
      <w:r w:rsidR="00FB75E8" w:rsidRPr="00202E2A">
        <w:rPr>
          <w:rFonts w:asciiTheme="majorBidi" w:hAnsiTheme="majorBidi" w:cstheme="majorBidi"/>
          <w:sz w:val="26"/>
          <w:szCs w:val="26"/>
          <w:rtl/>
          <w:lang w:bidi="ar-EG"/>
        </w:rPr>
        <w:t>أبعاد التحول الرقمي</w:t>
      </w:r>
      <w:r w:rsidRPr="00202E2A">
        <w:rPr>
          <w:rFonts w:asciiTheme="majorBidi" w:hAnsiTheme="majorBidi" w:cstheme="majorBidi"/>
          <w:sz w:val="26"/>
          <w:szCs w:val="26"/>
          <w:rtl/>
          <w:lang w:bidi="ar-EG"/>
        </w:rPr>
        <w:t xml:space="preserve"> ونتائجها </w:t>
      </w:r>
      <w:r w:rsidR="00810178" w:rsidRPr="00202E2A">
        <w:rPr>
          <w:rFonts w:asciiTheme="majorBidi" w:hAnsiTheme="majorBidi" w:cstheme="majorBidi"/>
          <w:sz w:val="26"/>
          <w:szCs w:val="26"/>
          <w:rtl/>
          <w:lang w:bidi="ar-EG"/>
        </w:rPr>
        <w:t>على</w:t>
      </w:r>
      <w:r w:rsidRPr="00202E2A">
        <w:rPr>
          <w:rFonts w:asciiTheme="majorBidi" w:hAnsiTheme="majorBidi" w:cstheme="majorBidi"/>
          <w:sz w:val="26"/>
          <w:szCs w:val="26"/>
          <w:rtl/>
          <w:lang w:bidi="ar-EG"/>
        </w:rPr>
        <w:t xml:space="preserve"> أبعاد </w:t>
      </w:r>
      <w:r w:rsidR="00FB75E8" w:rsidRPr="00202E2A">
        <w:rPr>
          <w:rFonts w:asciiTheme="majorBidi" w:hAnsiTheme="majorBidi" w:cstheme="majorBidi"/>
          <w:sz w:val="26"/>
          <w:szCs w:val="26"/>
          <w:rtl/>
          <w:lang w:bidi="ar-EG"/>
        </w:rPr>
        <w:t>تعزيز الأمن وتيسير التجارة</w:t>
      </w:r>
      <w:r w:rsidRPr="00202E2A">
        <w:rPr>
          <w:rFonts w:asciiTheme="majorBidi" w:hAnsiTheme="majorBidi" w:cstheme="majorBidi"/>
          <w:sz w:val="26"/>
          <w:szCs w:val="26"/>
          <w:rtl/>
          <w:lang w:bidi="ar-EG"/>
        </w:rPr>
        <w:t xml:space="preserve">، وسوف تمثل هذه الدراسة الاستطلاعية في إجراء بعض مقابلات شخصية متعمقة مع عدد من </w:t>
      </w:r>
      <w:r w:rsidR="00FB75E8" w:rsidRPr="00202E2A">
        <w:rPr>
          <w:rFonts w:asciiTheme="majorBidi" w:hAnsiTheme="majorBidi" w:cstheme="majorBidi"/>
          <w:sz w:val="26"/>
          <w:szCs w:val="26"/>
          <w:rtl/>
          <w:lang w:bidi="ar-EG"/>
        </w:rPr>
        <w:t xml:space="preserve">القادة </w:t>
      </w:r>
      <w:r w:rsidRPr="00202E2A">
        <w:rPr>
          <w:rFonts w:asciiTheme="majorBidi" w:hAnsiTheme="majorBidi" w:cstheme="majorBidi"/>
          <w:sz w:val="26"/>
          <w:szCs w:val="26"/>
          <w:rtl/>
          <w:lang w:bidi="ar-EG"/>
        </w:rPr>
        <w:t xml:space="preserve">العاملين </w:t>
      </w:r>
      <w:r w:rsidR="00FB75E8" w:rsidRPr="00202E2A">
        <w:rPr>
          <w:rFonts w:asciiTheme="majorBidi" w:hAnsiTheme="majorBidi" w:cstheme="majorBidi"/>
          <w:sz w:val="26"/>
          <w:szCs w:val="26"/>
          <w:rtl/>
          <w:lang w:bidi="ar-EG"/>
        </w:rPr>
        <w:t xml:space="preserve">بهيئة الزكاة والضريبية والجمارك </w:t>
      </w:r>
      <w:r w:rsidRPr="00202E2A">
        <w:rPr>
          <w:rFonts w:asciiTheme="majorBidi" w:hAnsiTheme="majorBidi" w:cstheme="majorBidi"/>
          <w:sz w:val="26"/>
          <w:szCs w:val="26"/>
          <w:rtl/>
          <w:lang w:bidi="ar-EG"/>
        </w:rPr>
        <w:t>ولاستطلاع آرائهم حول متغيرات الدراسة، وسوف تكشف هذه الدراسة الاستطلاعية عن العديد من المؤشرات.</w:t>
      </w:r>
    </w:p>
    <w:p w14:paraId="59BD44F4" w14:textId="368BFDB8" w:rsidR="00EE451E" w:rsidRPr="00202E2A" w:rsidRDefault="005F496D"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قام الباحث بإجراء دراسة استطلاعية لعينة مقدارها </w:t>
      </w:r>
      <w:r w:rsidR="00810178" w:rsidRPr="00202E2A">
        <w:rPr>
          <w:rFonts w:asciiTheme="majorBidi" w:hAnsiTheme="majorBidi" w:cstheme="majorBidi"/>
          <w:sz w:val="26"/>
          <w:szCs w:val="26"/>
          <w:lang w:bidi="ar-EG"/>
        </w:rPr>
        <w:t xml:space="preserve">40 </w:t>
      </w:r>
      <w:r w:rsidR="003804AC" w:rsidRPr="00202E2A">
        <w:rPr>
          <w:rFonts w:asciiTheme="majorBidi" w:hAnsiTheme="majorBidi" w:cstheme="majorBidi"/>
          <w:sz w:val="26"/>
          <w:szCs w:val="26"/>
          <w:rtl/>
          <w:lang w:bidi="ar-EG"/>
        </w:rPr>
        <w:t xml:space="preserve"> </w:t>
      </w:r>
      <w:r w:rsidR="00810178" w:rsidRPr="00202E2A">
        <w:rPr>
          <w:rFonts w:asciiTheme="majorBidi" w:hAnsiTheme="majorBidi" w:cstheme="majorBidi"/>
          <w:sz w:val="26"/>
          <w:szCs w:val="26"/>
          <w:rtl/>
          <w:lang w:bidi="ar-EG"/>
        </w:rPr>
        <w:t>مفردة</w:t>
      </w:r>
      <w:r w:rsidRPr="00202E2A">
        <w:rPr>
          <w:rFonts w:asciiTheme="majorBidi" w:hAnsiTheme="majorBidi" w:cstheme="majorBidi"/>
          <w:sz w:val="26"/>
          <w:szCs w:val="26"/>
          <w:rtl/>
          <w:lang w:bidi="ar-EG"/>
        </w:rPr>
        <w:t xml:space="preserve"> من </w:t>
      </w:r>
      <w:r w:rsidR="008113E9" w:rsidRPr="00202E2A">
        <w:rPr>
          <w:rFonts w:asciiTheme="majorBidi" w:hAnsiTheme="majorBidi" w:cstheme="majorBidi"/>
          <w:sz w:val="26"/>
          <w:szCs w:val="26"/>
          <w:rtl/>
          <w:lang w:bidi="ar-EG"/>
        </w:rPr>
        <w:t xml:space="preserve">القادة </w:t>
      </w:r>
      <w:r w:rsidRPr="00202E2A">
        <w:rPr>
          <w:rFonts w:asciiTheme="majorBidi" w:hAnsiTheme="majorBidi" w:cstheme="majorBidi"/>
          <w:sz w:val="26"/>
          <w:szCs w:val="26"/>
          <w:rtl/>
          <w:lang w:bidi="ar-EG"/>
        </w:rPr>
        <w:t xml:space="preserve">العاملين </w:t>
      </w:r>
      <w:r w:rsidR="008113E9" w:rsidRPr="00202E2A">
        <w:rPr>
          <w:rFonts w:asciiTheme="majorBidi" w:hAnsiTheme="majorBidi" w:cstheme="majorBidi"/>
          <w:sz w:val="26"/>
          <w:szCs w:val="26"/>
          <w:rtl/>
          <w:lang w:bidi="ar-EG"/>
        </w:rPr>
        <w:t xml:space="preserve">بهيئة الزكاة والضريبية </w:t>
      </w:r>
      <w:r w:rsidR="00FB75E8" w:rsidRPr="00202E2A">
        <w:rPr>
          <w:rFonts w:asciiTheme="majorBidi" w:hAnsiTheme="majorBidi" w:cstheme="majorBidi"/>
          <w:sz w:val="26"/>
          <w:szCs w:val="26"/>
          <w:rtl/>
          <w:lang w:bidi="ar-EG"/>
        </w:rPr>
        <w:t>والجمارك، وذلك</w:t>
      </w:r>
      <w:r w:rsidRPr="00202E2A">
        <w:rPr>
          <w:rFonts w:asciiTheme="majorBidi" w:hAnsiTheme="majorBidi" w:cstheme="majorBidi"/>
          <w:sz w:val="26"/>
          <w:szCs w:val="26"/>
          <w:rtl/>
          <w:lang w:bidi="ar-EG"/>
        </w:rPr>
        <w:t xml:space="preserve"> بهدف التحديد الدقيق لمشكلة الدراسة، وصياغة تساؤلات الدراسة وفروض</w:t>
      </w:r>
      <w:r w:rsidR="00053C55" w:rsidRPr="00202E2A">
        <w:rPr>
          <w:rFonts w:asciiTheme="majorBidi" w:hAnsiTheme="majorBidi" w:cstheme="majorBidi"/>
          <w:sz w:val="26"/>
          <w:szCs w:val="26"/>
          <w:rtl/>
          <w:lang w:bidi="ar-EG"/>
        </w:rPr>
        <w:t>ها</w:t>
      </w:r>
      <w:r w:rsidRPr="00202E2A">
        <w:rPr>
          <w:rFonts w:asciiTheme="majorBidi" w:hAnsiTheme="majorBidi" w:cstheme="majorBidi"/>
          <w:sz w:val="26"/>
          <w:szCs w:val="26"/>
          <w:rtl/>
          <w:lang w:bidi="ar-EG"/>
        </w:rPr>
        <w:t xml:space="preserve">، وتم إجراء مقابلات شخصية مع بعض </w:t>
      </w:r>
      <w:r w:rsidR="00053C55" w:rsidRPr="00202E2A">
        <w:rPr>
          <w:rFonts w:asciiTheme="majorBidi" w:hAnsiTheme="majorBidi" w:cstheme="majorBidi"/>
          <w:sz w:val="26"/>
          <w:szCs w:val="26"/>
          <w:rtl/>
          <w:lang w:bidi="ar-EG"/>
        </w:rPr>
        <w:t>القادة،</w:t>
      </w:r>
      <w:r w:rsidRPr="00202E2A">
        <w:rPr>
          <w:rFonts w:asciiTheme="majorBidi" w:hAnsiTheme="majorBidi" w:cstheme="majorBidi"/>
          <w:sz w:val="26"/>
          <w:szCs w:val="26"/>
          <w:rtl/>
          <w:lang w:bidi="ar-EG"/>
        </w:rPr>
        <w:t xml:space="preserve"> وقد طرح الباحث مجموعة</w:t>
      </w:r>
      <w:r w:rsidR="00EE451E" w:rsidRPr="00202E2A">
        <w:rPr>
          <w:rFonts w:asciiTheme="majorBidi" w:hAnsiTheme="majorBidi" w:cstheme="majorBidi"/>
          <w:sz w:val="26"/>
          <w:szCs w:val="26"/>
          <w:rtl/>
          <w:lang w:bidi="ar-EG"/>
        </w:rPr>
        <w:t xml:space="preserve"> من الأسئلة، على المستقصي منهم وهي فيما يخص التحول الرقمي وتعزيز الأمن وتيسير التجارة، حيث قام الباحث بكتابة عبارات لقياس مدي آراء العينة الدراسة الاستطلاعية حول مفهوم التحول الرقمي وأبعاده وأيضاً مفهوم تعزيز الأمن وأبعاده ومفهوم تيسير التجارة وأبعادها.</w:t>
      </w:r>
    </w:p>
    <w:p w14:paraId="4D0B30C3" w14:textId="7522456A" w:rsidR="00EE451E" w:rsidRPr="00202E2A" w:rsidRDefault="00EE451E"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وفيما يخص التحول الرقمي فسوف قام الباحث بكتابة عبارات لقياس مدي آراء العينة الدراسة الاستطلاعية حول مفهوم التحول الرقمي وأبعاده الثلاثة </w:t>
      </w:r>
      <w:r w:rsidR="003804AC" w:rsidRPr="00202E2A">
        <w:rPr>
          <w:rFonts w:asciiTheme="majorBidi" w:hAnsiTheme="majorBidi" w:cstheme="majorBidi"/>
          <w:sz w:val="26"/>
          <w:szCs w:val="26"/>
          <w:rtl/>
          <w:lang w:bidi="ar-EG"/>
        </w:rPr>
        <w:t>الأسس الرقمية والابتكار الرقمي</w:t>
      </w:r>
      <w:r w:rsidR="003804AC" w:rsidRPr="00202E2A">
        <w:rPr>
          <w:rFonts w:asciiTheme="majorBidi" w:hAnsiTheme="majorBidi" w:cstheme="majorBidi"/>
          <w:sz w:val="26"/>
          <w:szCs w:val="26"/>
          <w:lang w:bidi="ar-EG"/>
        </w:rPr>
        <w:t xml:space="preserve"> </w:t>
      </w:r>
      <w:r w:rsidR="003804AC" w:rsidRPr="00202E2A">
        <w:rPr>
          <w:rFonts w:asciiTheme="majorBidi" w:hAnsiTheme="majorBidi" w:cstheme="majorBidi"/>
          <w:sz w:val="26"/>
          <w:szCs w:val="26"/>
          <w:rtl/>
          <w:lang w:bidi="ar-EG"/>
        </w:rPr>
        <w:t>والحوكمة الرقمية،</w:t>
      </w:r>
      <w:r w:rsidRPr="00202E2A">
        <w:rPr>
          <w:rFonts w:asciiTheme="majorBidi" w:hAnsiTheme="majorBidi" w:cstheme="majorBidi"/>
          <w:sz w:val="26"/>
          <w:szCs w:val="26"/>
          <w:rtl/>
          <w:lang w:bidi="ar-EG"/>
        </w:rPr>
        <w:t xml:space="preserve"> وتم إجراء مقابلات شخصية مع بعض العاملين، وقد طرح الباحث مجموعة من الأسئلة على المستقصي منهم وهي:</w:t>
      </w:r>
    </w:p>
    <w:p w14:paraId="415A86CD" w14:textId="77777777" w:rsidR="00EE451E" w:rsidRPr="00202E2A" w:rsidRDefault="00EE451E" w:rsidP="0019590B">
      <w:pPr>
        <w:bidi/>
        <w:spacing w:line="276" w:lineRule="auto"/>
        <w:ind w:firstLine="720"/>
        <w:jc w:val="center"/>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جدول رقم  (</w:t>
      </w:r>
      <w:r w:rsidRPr="00202E2A">
        <w:rPr>
          <w:rFonts w:asciiTheme="majorBidi" w:hAnsiTheme="majorBidi" w:cstheme="majorBidi"/>
          <w:b/>
          <w:bCs/>
          <w:sz w:val="26"/>
          <w:szCs w:val="26"/>
          <w:lang w:bidi="ar-EG"/>
        </w:rPr>
        <w:t>1</w:t>
      </w:r>
      <w:r w:rsidRPr="00202E2A">
        <w:rPr>
          <w:rFonts w:asciiTheme="majorBidi" w:hAnsiTheme="majorBidi" w:cstheme="majorBidi"/>
          <w:b/>
          <w:bCs/>
          <w:sz w:val="26"/>
          <w:szCs w:val="26"/>
          <w:rtl/>
          <w:lang w:bidi="ar-EG"/>
        </w:rPr>
        <w:t>)</w:t>
      </w:r>
    </w:p>
    <w:p w14:paraId="753D9563" w14:textId="4F1B460C" w:rsidR="003E603A" w:rsidRPr="00202E2A" w:rsidRDefault="00EE451E" w:rsidP="0019590B">
      <w:pPr>
        <w:bidi/>
        <w:spacing w:line="276" w:lineRule="auto"/>
        <w:ind w:firstLine="720"/>
        <w:jc w:val="center"/>
        <w:rPr>
          <w:rFonts w:asciiTheme="majorBidi" w:hAnsiTheme="majorBidi" w:cstheme="majorBidi"/>
          <w:sz w:val="26"/>
          <w:szCs w:val="26"/>
          <w:rtl/>
          <w:lang w:bidi="ar-EG"/>
        </w:rPr>
      </w:pPr>
      <w:r w:rsidRPr="00202E2A">
        <w:rPr>
          <w:rFonts w:asciiTheme="majorBidi" w:hAnsiTheme="majorBidi" w:cstheme="majorBidi"/>
          <w:sz w:val="26"/>
          <w:szCs w:val="26"/>
          <w:rtl/>
          <w:lang w:bidi="ar-EG"/>
        </w:rPr>
        <w:t>نتائج تحليل بيانات الدراسة الاستطلاعية على أساس النسبة المئوية</w:t>
      </w:r>
    </w:p>
    <w:tbl>
      <w:tblPr>
        <w:tblStyle w:val="TableGrid"/>
        <w:tblpPr w:leftFromText="180" w:rightFromText="180" w:vertAnchor="text" w:horzAnchor="margin" w:tblpXSpec="center" w:tblpY="47"/>
        <w:bidiVisual/>
        <w:tblW w:w="10264"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416"/>
        <w:gridCol w:w="830"/>
        <w:gridCol w:w="1784"/>
        <w:gridCol w:w="3025"/>
        <w:gridCol w:w="783"/>
        <w:gridCol w:w="620"/>
        <w:gridCol w:w="783"/>
        <w:gridCol w:w="620"/>
        <w:gridCol w:w="783"/>
        <w:gridCol w:w="620"/>
      </w:tblGrid>
      <w:tr w:rsidR="003E603A" w:rsidRPr="00202E2A" w14:paraId="3966558B" w14:textId="77777777" w:rsidTr="00C16C3D">
        <w:trPr>
          <w:trHeight w:val="170"/>
        </w:trPr>
        <w:tc>
          <w:tcPr>
            <w:tcW w:w="368" w:type="dxa"/>
            <w:vMerge w:val="restart"/>
            <w:tcBorders>
              <w:right w:val="single" w:sz="4" w:space="0" w:color="auto"/>
            </w:tcBorders>
            <w:vAlign w:val="center"/>
          </w:tcPr>
          <w:p w14:paraId="5698F1EC"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م</w:t>
            </w:r>
          </w:p>
        </w:tc>
        <w:tc>
          <w:tcPr>
            <w:tcW w:w="622" w:type="dxa"/>
            <w:vMerge w:val="restart"/>
            <w:tcBorders>
              <w:left w:val="single" w:sz="4" w:space="0" w:color="auto"/>
              <w:right w:val="single" w:sz="4" w:space="0" w:color="auto"/>
            </w:tcBorders>
            <w:vAlign w:val="center"/>
          </w:tcPr>
          <w:p w14:paraId="4485C76C"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المتغيرات</w:t>
            </w:r>
          </w:p>
          <w:p w14:paraId="5B404829"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p>
        </w:tc>
        <w:tc>
          <w:tcPr>
            <w:tcW w:w="2067" w:type="dxa"/>
            <w:vMerge w:val="restart"/>
            <w:tcBorders>
              <w:left w:val="single" w:sz="4" w:space="0" w:color="auto"/>
              <w:right w:val="single" w:sz="4" w:space="0" w:color="auto"/>
            </w:tcBorders>
            <w:vAlign w:val="center"/>
          </w:tcPr>
          <w:p w14:paraId="4C1D2323"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الأبعاد</w:t>
            </w:r>
          </w:p>
        </w:tc>
        <w:tc>
          <w:tcPr>
            <w:tcW w:w="3655" w:type="dxa"/>
            <w:vMerge w:val="restart"/>
            <w:tcBorders>
              <w:left w:val="single" w:sz="4" w:space="0" w:color="auto"/>
              <w:right w:val="single" w:sz="4" w:space="0" w:color="auto"/>
            </w:tcBorders>
            <w:vAlign w:val="center"/>
          </w:tcPr>
          <w:p w14:paraId="14D9D22E"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العبارات</w:t>
            </w:r>
          </w:p>
        </w:tc>
        <w:tc>
          <w:tcPr>
            <w:tcW w:w="1152" w:type="dxa"/>
            <w:gridSpan w:val="2"/>
            <w:tcBorders>
              <w:left w:val="single" w:sz="4" w:space="0" w:color="auto"/>
              <w:bottom w:val="single" w:sz="4" w:space="0" w:color="auto"/>
              <w:right w:val="single" w:sz="4" w:space="0" w:color="auto"/>
            </w:tcBorders>
            <w:vAlign w:val="center"/>
          </w:tcPr>
          <w:p w14:paraId="0360E7BC"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موافق</w:t>
            </w:r>
          </w:p>
        </w:tc>
        <w:tc>
          <w:tcPr>
            <w:tcW w:w="1179" w:type="dxa"/>
            <w:gridSpan w:val="2"/>
            <w:tcBorders>
              <w:left w:val="single" w:sz="4" w:space="0" w:color="auto"/>
              <w:bottom w:val="single" w:sz="4" w:space="0" w:color="auto"/>
              <w:right w:val="single" w:sz="4" w:space="0" w:color="auto"/>
            </w:tcBorders>
          </w:tcPr>
          <w:p w14:paraId="37A6D38A"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محايد</w:t>
            </w:r>
          </w:p>
        </w:tc>
        <w:tc>
          <w:tcPr>
            <w:tcW w:w="1221" w:type="dxa"/>
            <w:gridSpan w:val="2"/>
            <w:tcBorders>
              <w:left w:val="single" w:sz="4" w:space="0" w:color="auto"/>
              <w:bottom w:val="single" w:sz="4" w:space="0" w:color="auto"/>
            </w:tcBorders>
            <w:vAlign w:val="center"/>
          </w:tcPr>
          <w:p w14:paraId="160E3079"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غير موافق</w:t>
            </w:r>
          </w:p>
        </w:tc>
      </w:tr>
      <w:tr w:rsidR="003E603A" w:rsidRPr="00202E2A" w14:paraId="3E8698FD" w14:textId="77777777" w:rsidTr="00C16C3D">
        <w:trPr>
          <w:trHeight w:val="20"/>
        </w:trPr>
        <w:tc>
          <w:tcPr>
            <w:tcW w:w="368" w:type="dxa"/>
            <w:vMerge/>
            <w:tcBorders>
              <w:bottom w:val="single" w:sz="4" w:space="0" w:color="auto"/>
              <w:right w:val="single" w:sz="4" w:space="0" w:color="auto"/>
            </w:tcBorders>
            <w:vAlign w:val="center"/>
          </w:tcPr>
          <w:p w14:paraId="25EC8931"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p>
        </w:tc>
        <w:tc>
          <w:tcPr>
            <w:tcW w:w="622" w:type="dxa"/>
            <w:vMerge/>
            <w:tcBorders>
              <w:left w:val="single" w:sz="4" w:space="0" w:color="auto"/>
              <w:bottom w:val="single" w:sz="4" w:space="0" w:color="auto"/>
              <w:right w:val="single" w:sz="4" w:space="0" w:color="auto"/>
            </w:tcBorders>
            <w:vAlign w:val="center"/>
          </w:tcPr>
          <w:p w14:paraId="7E57F284"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p>
        </w:tc>
        <w:tc>
          <w:tcPr>
            <w:tcW w:w="2067" w:type="dxa"/>
            <w:vMerge/>
            <w:tcBorders>
              <w:left w:val="single" w:sz="4" w:space="0" w:color="auto"/>
              <w:bottom w:val="single" w:sz="4" w:space="0" w:color="auto"/>
              <w:right w:val="single" w:sz="4" w:space="0" w:color="auto"/>
            </w:tcBorders>
            <w:vAlign w:val="center"/>
          </w:tcPr>
          <w:p w14:paraId="0EFFAA5E"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p>
        </w:tc>
        <w:tc>
          <w:tcPr>
            <w:tcW w:w="3655" w:type="dxa"/>
            <w:vMerge/>
            <w:tcBorders>
              <w:left w:val="single" w:sz="4" w:space="0" w:color="auto"/>
              <w:bottom w:val="single" w:sz="4" w:space="0" w:color="auto"/>
              <w:right w:val="single" w:sz="4" w:space="0" w:color="auto"/>
            </w:tcBorders>
            <w:vAlign w:val="center"/>
          </w:tcPr>
          <w:p w14:paraId="013787BB"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p>
        </w:tc>
        <w:tc>
          <w:tcPr>
            <w:tcW w:w="613" w:type="dxa"/>
            <w:tcBorders>
              <w:top w:val="single" w:sz="4" w:space="0" w:color="auto"/>
              <w:left w:val="single" w:sz="4" w:space="0" w:color="auto"/>
              <w:bottom w:val="single" w:sz="4" w:space="0" w:color="auto"/>
              <w:right w:val="single" w:sz="4" w:space="0" w:color="auto"/>
            </w:tcBorders>
            <w:vAlign w:val="center"/>
          </w:tcPr>
          <w:p w14:paraId="4A5ED185"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 xml:space="preserve">المفردات </w:t>
            </w:r>
          </w:p>
        </w:tc>
        <w:tc>
          <w:tcPr>
            <w:tcW w:w="539" w:type="dxa"/>
            <w:tcBorders>
              <w:top w:val="single" w:sz="4" w:space="0" w:color="auto"/>
              <w:left w:val="single" w:sz="4" w:space="0" w:color="auto"/>
              <w:bottom w:val="single" w:sz="4" w:space="0" w:color="auto"/>
              <w:right w:val="single" w:sz="4" w:space="0" w:color="auto"/>
            </w:tcBorders>
            <w:vAlign w:val="center"/>
          </w:tcPr>
          <w:p w14:paraId="3298CB30"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النسبة</w:t>
            </w:r>
          </w:p>
        </w:tc>
        <w:tc>
          <w:tcPr>
            <w:tcW w:w="613" w:type="dxa"/>
            <w:tcBorders>
              <w:top w:val="single" w:sz="4" w:space="0" w:color="auto"/>
              <w:left w:val="single" w:sz="4" w:space="0" w:color="auto"/>
              <w:bottom w:val="single" w:sz="4" w:space="0" w:color="auto"/>
              <w:right w:val="single" w:sz="4" w:space="0" w:color="auto"/>
            </w:tcBorders>
            <w:vAlign w:val="center"/>
          </w:tcPr>
          <w:p w14:paraId="2AB7B6A6"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 xml:space="preserve">المفردات </w:t>
            </w:r>
          </w:p>
        </w:tc>
        <w:tc>
          <w:tcPr>
            <w:tcW w:w="566" w:type="dxa"/>
            <w:tcBorders>
              <w:top w:val="single" w:sz="4" w:space="0" w:color="auto"/>
              <w:left w:val="single" w:sz="4" w:space="0" w:color="auto"/>
              <w:bottom w:val="single" w:sz="4" w:space="0" w:color="auto"/>
              <w:right w:val="single" w:sz="4" w:space="0" w:color="auto"/>
            </w:tcBorders>
            <w:vAlign w:val="center"/>
          </w:tcPr>
          <w:p w14:paraId="64E6B959"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النسبة</w:t>
            </w:r>
          </w:p>
        </w:tc>
        <w:tc>
          <w:tcPr>
            <w:tcW w:w="613" w:type="dxa"/>
            <w:tcBorders>
              <w:top w:val="single" w:sz="4" w:space="0" w:color="auto"/>
              <w:left w:val="single" w:sz="4" w:space="0" w:color="auto"/>
              <w:bottom w:val="single" w:sz="4" w:space="0" w:color="auto"/>
              <w:right w:val="single" w:sz="4" w:space="0" w:color="auto"/>
            </w:tcBorders>
            <w:vAlign w:val="center"/>
          </w:tcPr>
          <w:p w14:paraId="02616A45"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 xml:space="preserve">المفردات </w:t>
            </w:r>
          </w:p>
        </w:tc>
        <w:tc>
          <w:tcPr>
            <w:tcW w:w="608" w:type="dxa"/>
            <w:tcBorders>
              <w:top w:val="single" w:sz="4" w:space="0" w:color="auto"/>
              <w:left w:val="single" w:sz="4" w:space="0" w:color="auto"/>
              <w:bottom w:val="single" w:sz="4" w:space="0" w:color="auto"/>
            </w:tcBorders>
            <w:vAlign w:val="center"/>
          </w:tcPr>
          <w:p w14:paraId="6E3691DC"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النسبة</w:t>
            </w:r>
          </w:p>
        </w:tc>
      </w:tr>
      <w:tr w:rsidR="003E603A" w:rsidRPr="00202E2A" w14:paraId="309BD527" w14:textId="77777777" w:rsidTr="00C16C3D">
        <w:trPr>
          <w:trHeight w:val="198"/>
        </w:trPr>
        <w:tc>
          <w:tcPr>
            <w:tcW w:w="368" w:type="dxa"/>
            <w:tcBorders>
              <w:top w:val="single" w:sz="4" w:space="0" w:color="auto"/>
              <w:bottom w:val="single" w:sz="4" w:space="0" w:color="auto"/>
              <w:right w:val="single" w:sz="4" w:space="0" w:color="auto"/>
            </w:tcBorders>
            <w:vAlign w:val="center"/>
          </w:tcPr>
          <w:p w14:paraId="4CA7FA40" w14:textId="77777777" w:rsidR="003E603A" w:rsidRPr="00490CC6" w:rsidRDefault="003E603A" w:rsidP="0019590B">
            <w:pPr>
              <w:bidi/>
              <w:spacing w:line="276" w:lineRule="auto"/>
              <w:jc w:val="center"/>
              <w:rPr>
                <w:rFonts w:asciiTheme="majorBidi" w:hAnsiTheme="majorBidi" w:cstheme="majorBidi"/>
                <w:b/>
                <w:bCs/>
                <w:sz w:val="20"/>
                <w:szCs w:val="20"/>
                <w:lang w:bidi="ar-EG"/>
              </w:rPr>
            </w:pPr>
            <w:r w:rsidRPr="00490CC6">
              <w:rPr>
                <w:rFonts w:asciiTheme="majorBidi" w:hAnsiTheme="majorBidi" w:cstheme="majorBidi"/>
                <w:b/>
                <w:bCs/>
                <w:sz w:val="20"/>
                <w:szCs w:val="20"/>
                <w:lang w:bidi="ar-EG"/>
              </w:rPr>
              <w:t>1</w:t>
            </w:r>
          </w:p>
        </w:tc>
        <w:tc>
          <w:tcPr>
            <w:tcW w:w="622" w:type="dxa"/>
            <w:vMerge w:val="restart"/>
            <w:tcBorders>
              <w:top w:val="single" w:sz="4" w:space="0" w:color="auto"/>
              <w:left w:val="single" w:sz="4" w:space="0" w:color="auto"/>
              <w:right w:val="single" w:sz="4" w:space="0" w:color="auto"/>
            </w:tcBorders>
            <w:vAlign w:val="center"/>
          </w:tcPr>
          <w:p w14:paraId="63384902"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تعزيز الأمن</w:t>
            </w:r>
          </w:p>
        </w:tc>
        <w:tc>
          <w:tcPr>
            <w:tcW w:w="2067" w:type="dxa"/>
            <w:vMerge w:val="restart"/>
            <w:tcBorders>
              <w:top w:val="single" w:sz="4" w:space="0" w:color="auto"/>
              <w:left w:val="single" w:sz="4" w:space="0" w:color="auto"/>
              <w:right w:val="single" w:sz="4" w:space="0" w:color="auto"/>
            </w:tcBorders>
            <w:vAlign w:val="center"/>
          </w:tcPr>
          <w:p w14:paraId="0155B0D1"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الأمن السيبراني وحماية البيانات</w:t>
            </w:r>
          </w:p>
        </w:tc>
        <w:tc>
          <w:tcPr>
            <w:tcW w:w="3655" w:type="dxa"/>
            <w:tcBorders>
              <w:top w:val="single" w:sz="4" w:space="0" w:color="auto"/>
              <w:left w:val="single" w:sz="4" w:space="0" w:color="auto"/>
              <w:bottom w:val="single" w:sz="4" w:space="0" w:color="auto"/>
              <w:right w:val="single" w:sz="4" w:space="0" w:color="auto"/>
            </w:tcBorders>
          </w:tcPr>
          <w:p w14:paraId="4F6CE24B" w14:textId="77777777" w:rsidR="003E603A" w:rsidRPr="00490CC6" w:rsidRDefault="003E603A" w:rsidP="0019590B">
            <w:pPr>
              <w:bidi/>
              <w:spacing w:line="276" w:lineRule="auto"/>
              <w:jc w:val="lowKashida"/>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أوافق على أن تقنيات التشفير وأنظمة المصادقة المتعددة تُعدُّ أساسية في حماية البيانات الحساسة</w:t>
            </w:r>
            <w:r w:rsidRPr="00490CC6">
              <w:rPr>
                <w:rFonts w:asciiTheme="majorBidi" w:hAnsiTheme="majorBidi" w:cstheme="majorBidi"/>
                <w:b/>
                <w:bCs/>
                <w:sz w:val="20"/>
                <w:szCs w:val="20"/>
                <w:lang w:bidi="ar-EG"/>
              </w:rPr>
              <w:t>.</w:t>
            </w:r>
          </w:p>
        </w:tc>
        <w:tc>
          <w:tcPr>
            <w:tcW w:w="613" w:type="dxa"/>
            <w:tcBorders>
              <w:top w:val="single" w:sz="4" w:space="0" w:color="auto"/>
              <w:left w:val="single" w:sz="4" w:space="0" w:color="auto"/>
              <w:bottom w:val="single" w:sz="4" w:space="0" w:color="auto"/>
              <w:right w:val="single" w:sz="4" w:space="0" w:color="auto"/>
            </w:tcBorders>
            <w:vAlign w:val="center"/>
          </w:tcPr>
          <w:p w14:paraId="1F324312"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33</w:t>
            </w:r>
          </w:p>
        </w:tc>
        <w:tc>
          <w:tcPr>
            <w:tcW w:w="539" w:type="dxa"/>
            <w:tcBorders>
              <w:top w:val="single" w:sz="4" w:space="0" w:color="auto"/>
              <w:left w:val="single" w:sz="4" w:space="0" w:color="auto"/>
              <w:bottom w:val="single" w:sz="4" w:space="0" w:color="auto"/>
              <w:right w:val="single" w:sz="4" w:space="0" w:color="auto"/>
            </w:tcBorders>
            <w:vAlign w:val="center"/>
          </w:tcPr>
          <w:p w14:paraId="6643D716"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82%</w:t>
            </w:r>
          </w:p>
        </w:tc>
        <w:tc>
          <w:tcPr>
            <w:tcW w:w="613" w:type="dxa"/>
            <w:tcBorders>
              <w:top w:val="single" w:sz="4" w:space="0" w:color="auto"/>
              <w:left w:val="single" w:sz="4" w:space="0" w:color="auto"/>
              <w:bottom w:val="single" w:sz="4" w:space="0" w:color="auto"/>
              <w:right w:val="single" w:sz="4" w:space="0" w:color="auto"/>
            </w:tcBorders>
            <w:vAlign w:val="center"/>
          </w:tcPr>
          <w:p w14:paraId="539F671E"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5</w:t>
            </w:r>
          </w:p>
        </w:tc>
        <w:tc>
          <w:tcPr>
            <w:tcW w:w="566" w:type="dxa"/>
            <w:tcBorders>
              <w:top w:val="single" w:sz="4" w:space="0" w:color="auto"/>
              <w:left w:val="single" w:sz="4" w:space="0" w:color="auto"/>
              <w:bottom w:val="single" w:sz="4" w:space="0" w:color="auto"/>
              <w:right w:val="single" w:sz="4" w:space="0" w:color="auto"/>
            </w:tcBorders>
            <w:vAlign w:val="center"/>
          </w:tcPr>
          <w:p w14:paraId="2543DAF8"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13%</w:t>
            </w:r>
          </w:p>
        </w:tc>
        <w:tc>
          <w:tcPr>
            <w:tcW w:w="613" w:type="dxa"/>
            <w:tcBorders>
              <w:top w:val="single" w:sz="4" w:space="0" w:color="auto"/>
              <w:left w:val="single" w:sz="4" w:space="0" w:color="auto"/>
              <w:bottom w:val="single" w:sz="4" w:space="0" w:color="auto"/>
              <w:right w:val="single" w:sz="4" w:space="0" w:color="auto"/>
            </w:tcBorders>
            <w:vAlign w:val="center"/>
          </w:tcPr>
          <w:p w14:paraId="3734133E"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w:t>
            </w:r>
          </w:p>
        </w:tc>
        <w:tc>
          <w:tcPr>
            <w:tcW w:w="608" w:type="dxa"/>
            <w:tcBorders>
              <w:top w:val="single" w:sz="4" w:space="0" w:color="auto"/>
              <w:left w:val="single" w:sz="4" w:space="0" w:color="auto"/>
              <w:bottom w:val="single" w:sz="4" w:space="0" w:color="auto"/>
            </w:tcBorders>
            <w:vAlign w:val="center"/>
          </w:tcPr>
          <w:p w14:paraId="63D2FF5F"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5%</w:t>
            </w:r>
          </w:p>
        </w:tc>
      </w:tr>
      <w:tr w:rsidR="003E603A" w:rsidRPr="00202E2A" w14:paraId="2AD64411" w14:textId="77777777" w:rsidTr="00C16C3D">
        <w:trPr>
          <w:trHeight w:val="20"/>
        </w:trPr>
        <w:tc>
          <w:tcPr>
            <w:tcW w:w="368" w:type="dxa"/>
            <w:tcBorders>
              <w:top w:val="single" w:sz="4" w:space="0" w:color="auto"/>
              <w:bottom w:val="single" w:sz="4" w:space="0" w:color="auto"/>
              <w:right w:val="single" w:sz="4" w:space="0" w:color="auto"/>
            </w:tcBorders>
            <w:vAlign w:val="center"/>
          </w:tcPr>
          <w:p w14:paraId="654CF363"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2</w:t>
            </w:r>
          </w:p>
        </w:tc>
        <w:tc>
          <w:tcPr>
            <w:tcW w:w="622" w:type="dxa"/>
            <w:vMerge/>
            <w:tcBorders>
              <w:left w:val="single" w:sz="4" w:space="0" w:color="auto"/>
              <w:right w:val="single" w:sz="4" w:space="0" w:color="auto"/>
            </w:tcBorders>
            <w:vAlign w:val="center"/>
          </w:tcPr>
          <w:p w14:paraId="5421FBF9"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p>
        </w:tc>
        <w:tc>
          <w:tcPr>
            <w:tcW w:w="2067" w:type="dxa"/>
            <w:vMerge/>
            <w:tcBorders>
              <w:left w:val="single" w:sz="4" w:space="0" w:color="auto"/>
              <w:bottom w:val="single" w:sz="4" w:space="0" w:color="auto"/>
              <w:right w:val="single" w:sz="4" w:space="0" w:color="auto"/>
            </w:tcBorders>
            <w:vAlign w:val="center"/>
          </w:tcPr>
          <w:p w14:paraId="36CC6596"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p>
        </w:tc>
        <w:tc>
          <w:tcPr>
            <w:tcW w:w="3655" w:type="dxa"/>
            <w:tcBorders>
              <w:top w:val="single" w:sz="4" w:space="0" w:color="auto"/>
              <w:left w:val="single" w:sz="4" w:space="0" w:color="auto"/>
              <w:bottom w:val="single" w:sz="4" w:space="0" w:color="auto"/>
              <w:right w:val="single" w:sz="4" w:space="0" w:color="auto"/>
            </w:tcBorders>
          </w:tcPr>
          <w:p w14:paraId="5A61F512" w14:textId="77777777" w:rsidR="003E603A" w:rsidRPr="00490CC6" w:rsidRDefault="003E603A" w:rsidP="0019590B">
            <w:pPr>
              <w:bidi/>
              <w:spacing w:line="276" w:lineRule="auto"/>
              <w:jc w:val="lowKashida"/>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أرى أن منصات المراقبة الإلكترونية المدعومة بالذكاء الاصطناعي تُسهم بشكل فعّال في الكشف المبكر عن الأنشطة السيبرانية المشبوهة</w:t>
            </w:r>
            <w:r w:rsidRPr="00490CC6">
              <w:rPr>
                <w:rFonts w:asciiTheme="majorBidi" w:hAnsiTheme="majorBidi" w:cstheme="majorBidi"/>
                <w:b/>
                <w:bCs/>
                <w:sz w:val="20"/>
                <w:szCs w:val="20"/>
                <w:lang w:bidi="ar-EG"/>
              </w:rPr>
              <w:t>.</w:t>
            </w:r>
          </w:p>
        </w:tc>
        <w:tc>
          <w:tcPr>
            <w:tcW w:w="613" w:type="dxa"/>
            <w:tcBorders>
              <w:top w:val="single" w:sz="4" w:space="0" w:color="auto"/>
              <w:left w:val="single" w:sz="4" w:space="0" w:color="auto"/>
              <w:bottom w:val="single" w:sz="4" w:space="0" w:color="auto"/>
              <w:right w:val="single" w:sz="4" w:space="0" w:color="auto"/>
            </w:tcBorders>
            <w:vAlign w:val="center"/>
          </w:tcPr>
          <w:p w14:paraId="7B039B9C"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20</w:t>
            </w:r>
          </w:p>
        </w:tc>
        <w:tc>
          <w:tcPr>
            <w:tcW w:w="539" w:type="dxa"/>
            <w:tcBorders>
              <w:top w:val="single" w:sz="4" w:space="0" w:color="auto"/>
              <w:left w:val="single" w:sz="4" w:space="0" w:color="auto"/>
              <w:bottom w:val="single" w:sz="4" w:space="0" w:color="auto"/>
              <w:right w:val="single" w:sz="4" w:space="0" w:color="auto"/>
            </w:tcBorders>
            <w:vAlign w:val="center"/>
          </w:tcPr>
          <w:p w14:paraId="5475BB56"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48%</w:t>
            </w:r>
          </w:p>
        </w:tc>
        <w:tc>
          <w:tcPr>
            <w:tcW w:w="613" w:type="dxa"/>
            <w:tcBorders>
              <w:top w:val="single" w:sz="4" w:space="0" w:color="auto"/>
              <w:left w:val="single" w:sz="4" w:space="0" w:color="auto"/>
              <w:bottom w:val="single" w:sz="4" w:space="0" w:color="auto"/>
              <w:right w:val="single" w:sz="4" w:space="0" w:color="auto"/>
            </w:tcBorders>
            <w:vAlign w:val="center"/>
          </w:tcPr>
          <w:p w14:paraId="43A0C243"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17</w:t>
            </w:r>
          </w:p>
        </w:tc>
        <w:tc>
          <w:tcPr>
            <w:tcW w:w="566" w:type="dxa"/>
            <w:tcBorders>
              <w:top w:val="single" w:sz="4" w:space="0" w:color="auto"/>
              <w:left w:val="single" w:sz="4" w:space="0" w:color="auto"/>
              <w:bottom w:val="single" w:sz="4" w:space="0" w:color="auto"/>
              <w:right w:val="single" w:sz="4" w:space="0" w:color="auto"/>
            </w:tcBorders>
            <w:vAlign w:val="center"/>
          </w:tcPr>
          <w:p w14:paraId="09494D06"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43%</w:t>
            </w:r>
          </w:p>
        </w:tc>
        <w:tc>
          <w:tcPr>
            <w:tcW w:w="613" w:type="dxa"/>
            <w:tcBorders>
              <w:top w:val="single" w:sz="4" w:space="0" w:color="auto"/>
              <w:left w:val="single" w:sz="4" w:space="0" w:color="auto"/>
              <w:bottom w:val="single" w:sz="4" w:space="0" w:color="auto"/>
              <w:right w:val="single" w:sz="4" w:space="0" w:color="auto"/>
            </w:tcBorders>
            <w:vAlign w:val="center"/>
          </w:tcPr>
          <w:p w14:paraId="5C1C99FF"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3</w:t>
            </w:r>
          </w:p>
        </w:tc>
        <w:tc>
          <w:tcPr>
            <w:tcW w:w="608" w:type="dxa"/>
            <w:tcBorders>
              <w:top w:val="single" w:sz="4" w:space="0" w:color="auto"/>
              <w:left w:val="single" w:sz="4" w:space="0" w:color="auto"/>
              <w:bottom w:val="single" w:sz="4" w:space="0" w:color="auto"/>
            </w:tcBorders>
            <w:vAlign w:val="center"/>
          </w:tcPr>
          <w:p w14:paraId="504CBC07"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8%</w:t>
            </w:r>
          </w:p>
        </w:tc>
      </w:tr>
      <w:tr w:rsidR="003E603A" w:rsidRPr="00202E2A" w14:paraId="6CD55FF9" w14:textId="77777777" w:rsidTr="00C16C3D">
        <w:trPr>
          <w:trHeight w:val="27"/>
        </w:trPr>
        <w:tc>
          <w:tcPr>
            <w:tcW w:w="368" w:type="dxa"/>
            <w:tcBorders>
              <w:top w:val="single" w:sz="4" w:space="0" w:color="auto"/>
              <w:bottom w:val="single" w:sz="4" w:space="0" w:color="auto"/>
              <w:right w:val="single" w:sz="4" w:space="0" w:color="auto"/>
            </w:tcBorders>
            <w:vAlign w:val="center"/>
          </w:tcPr>
          <w:p w14:paraId="07F29D95" w14:textId="526AE02C" w:rsidR="003E603A"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3</w:t>
            </w:r>
          </w:p>
        </w:tc>
        <w:tc>
          <w:tcPr>
            <w:tcW w:w="622" w:type="dxa"/>
            <w:vMerge/>
            <w:tcBorders>
              <w:left w:val="single" w:sz="4" w:space="0" w:color="auto"/>
              <w:right w:val="single" w:sz="4" w:space="0" w:color="auto"/>
            </w:tcBorders>
            <w:vAlign w:val="center"/>
          </w:tcPr>
          <w:p w14:paraId="01940A3D"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p>
        </w:tc>
        <w:tc>
          <w:tcPr>
            <w:tcW w:w="2067" w:type="dxa"/>
            <w:vMerge w:val="restart"/>
            <w:tcBorders>
              <w:top w:val="single" w:sz="4" w:space="0" w:color="auto"/>
              <w:left w:val="single" w:sz="4" w:space="0" w:color="auto"/>
              <w:right w:val="single" w:sz="4" w:space="0" w:color="auto"/>
            </w:tcBorders>
            <w:vAlign w:val="center"/>
          </w:tcPr>
          <w:p w14:paraId="275986FA"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تحسين كفاءة الرقابة الجمركية والحد من التهريب</w:t>
            </w:r>
          </w:p>
        </w:tc>
        <w:tc>
          <w:tcPr>
            <w:tcW w:w="3655" w:type="dxa"/>
            <w:tcBorders>
              <w:top w:val="single" w:sz="4" w:space="0" w:color="auto"/>
              <w:left w:val="single" w:sz="4" w:space="0" w:color="auto"/>
              <w:bottom w:val="single" w:sz="4" w:space="0" w:color="auto"/>
              <w:right w:val="single" w:sz="4" w:space="0" w:color="auto"/>
            </w:tcBorders>
          </w:tcPr>
          <w:p w14:paraId="309BDCDE" w14:textId="77777777" w:rsidR="003E603A" w:rsidRPr="00490CC6" w:rsidRDefault="003E603A" w:rsidP="0019590B">
            <w:pPr>
              <w:bidi/>
              <w:spacing w:line="276" w:lineRule="auto"/>
              <w:jc w:val="lowKashida"/>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أرى أن أنظمة المسح الضوئي بالأشعة السينية تُحسّن من سرعة فحص الشحنات وتقلل من فرص التهريب</w:t>
            </w:r>
            <w:r w:rsidRPr="00490CC6">
              <w:rPr>
                <w:rFonts w:asciiTheme="majorBidi" w:hAnsiTheme="majorBidi" w:cstheme="majorBidi"/>
                <w:b/>
                <w:bCs/>
                <w:sz w:val="20"/>
                <w:szCs w:val="20"/>
                <w:lang w:bidi="ar-EG"/>
              </w:rPr>
              <w:t>.</w:t>
            </w:r>
          </w:p>
        </w:tc>
        <w:tc>
          <w:tcPr>
            <w:tcW w:w="613" w:type="dxa"/>
            <w:tcBorders>
              <w:top w:val="single" w:sz="4" w:space="0" w:color="auto"/>
              <w:left w:val="single" w:sz="4" w:space="0" w:color="auto"/>
              <w:bottom w:val="single" w:sz="4" w:space="0" w:color="auto"/>
              <w:right w:val="single" w:sz="4" w:space="0" w:color="auto"/>
            </w:tcBorders>
            <w:vAlign w:val="center"/>
          </w:tcPr>
          <w:p w14:paraId="667510E4"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10</w:t>
            </w:r>
          </w:p>
        </w:tc>
        <w:tc>
          <w:tcPr>
            <w:tcW w:w="539" w:type="dxa"/>
            <w:tcBorders>
              <w:top w:val="single" w:sz="4" w:space="0" w:color="auto"/>
              <w:left w:val="single" w:sz="4" w:space="0" w:color="auto"/>
              <w:bottom w:val="single" w:sz="4" w:space="0" w:color="auto"/>
              <w:right w:val="single" w:sz="4" w:space="0" w:color="auto"/>
            </w:tcBorders>
            <w:vAlign w:val="center"/>
          </w:tcPr>
          <w:p w14:paraId="3415F407"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25%</w:t>
            </w:r>
          </w:p>
        </w:tc>
        <w:tc>
          <w:tcPr>
            <w:tcW w:w="613" w:type="dxa"/>
            <w:tcBorders>
              <w:top w:val="single" w:sz="4" w:space="0" w:color="auto"/>
              <w:left w:val="single" w:sz="4" w:space="0" w:color="auto"/>
              <w:bottom w:val="single" w:sz="4" w:space="0" w:color="auto"/>
              <w:right w:val="single" w:sz="4" w:space="0" w:color="auto"/>
            </w:tcBorders>
            <w:vAlign w:val="center"/>
          </w:tcPr>
          <w:p w14:paraId="493F6FA2"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11</w:t>
            </w:r>
          </w:p>
        </w:tc>
        <w:tc>
          <w:tcPr>
            <w:tcW w:w="566" w:type="dxa"/>
            <w:tcBorders>
              <w:top w:val="single" w:sz="4" w:space="0" w:color="auto"/>
              <w:left w:val="single" w:sz="4" w:space="0" w:color="auto"/>
              <w:bottom w:val="single" w:sz="4" w:space="0" w:color="auto"/>
              <w:right w:val="single" w:sz="4" w:space="0" w:color="auto"/>
            </w:tcBorders>
            <w:vAlign w:val="center"/>
          </w:tcPr>
          <w:p w14:paraId="21AA7172"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28%</w:t>
            </w:r>
          </w:p>
        </w:tc>
        <w:tc>
          <w:tcPr>
            <w:tcW w:w="613" w:type="dxa"/>
            <w:tcBorders>
              <w:top w:val="single" w:sz="4" w:space="0" w:color="auto"/>
              <w:left w:val="single" w:sz="4" w:space="0" w:color="auto"/>
              <w:bottom w:val="single" w:sz="4" w:space="0" w:color="auto"/>
              <w:right w:val="single" w:sz="4" w:space="0" w:color="auto"/>
            </w:tcBorders>
            <w:vAlign w:val="center"/>
          </w:tcPr>
          <w:p w14:paraId="22CEE2DB"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19</w:t>
            </w:r>
          </w:p>
        </w:tc>
        <w:tc>
          <w:tcPr>
            <w:tcW w:w="608" w:type="dxa"/>
            <w:tcBorders>
              <w:top w:val="single" w:sz="4" w:space="0" w:color="auto"/>
              <w:left w:val="single" w:sz="4" w:space="0" w:color="auto"/>
              <w:bottom w:val="single" w:sz="4" w:space="0" w:color="auto"/>
            </w:tcBorders>
            <w:vAlign w:val="center"/>
          </w:tcPr>
          <w:p w14:paraId="75E1A720"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48%</w:t>
            </w:r>
          </w:p>
        </w:tc>
      </w:tr>
      <w:tr w:rsidR="003E603A" w:rsidRPr="00202E2A" w14:paraId="2069EFB8" w14:textId="77777777" w:rsidTr="00C16C3D">
        <w:trPr>
          <w:trHeight w:val="20"/>
        </w:trPr>
        <w:tc>
          <w:tcPr>
            <w:tcW w:w="368" w:type="dxa"/>
            <w:tcBorders>
              <w:top w:val="single" w:sz="4" w:space="0" w:color="auto"/>
              <w:bottom w:val="single" w:sz="4" w:space="0" w:color="auto"/>
              <w:right w:val="single" w:sz="4" w:space="0" w:color="auto"/>
            </w:tcBorders>
            <w:vAlign w:val="center"/>
          </w:tcPr>
          <w:p w14:paraId="50CFBC48" w14:textId="6926E29B" w:rsidR="003E603A"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4</w:t>
            </w:r>
          </w:p>
        </w:tc>
        <w:tc>
          <w:tcPr>
            <w:tcW w:w="622" w:type="dxa"/>
            <w:vMerge/>
            <w:tcBorders>
              <w:left w:val="single" w:sz="4" w:space="0" w:color="auto"/>
              <w:right w:val="single" w:sz="4" w:space="0" w:color="auto"/>
            </w:tcBorders>
            <w:vAlign w:val="center"/>
          </w:tcPr>
          <w:p w14:paraId="4C76F47E"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p>
        </w:tc>
        <w:tc>
          <w:tcPr>
            <w:tcW w:w="2067" w:type="dxa"/>
            <w:vMerge/>
            <w:tcBorders>
              <w:top w:val="single" w:sz="4" w:space="0" w:color="auto"/>
              <w:left w:val="single" w:sz="4" w:space="0" w:color="auto"/>
              <w:bottom w:val="single" w:sz="4" w:space="0" w:color="auto"/>
              <w:right w:val="single" w:sz="4" w:space="0" w:color="auto"/>
            </w:tcBorders>
            <w:vAlign w:val="center"/>
          </w:tcPr>
          <w:p w14:paraId="0A8E538D"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p>
        </w:tc>
        <w:tc>
          <w:tcPr>
            <w:tcW w:w="3655" w:type="dxa"/>
            <w:tcBorders>
              <w:top w:val="single" w:sz="4" w:space="0" w:color="auto"/>
              <w:left w:val="single" w:sz="4" w:space="0" w:color="auto"/>
              <w:bottom w:val="single" w:sz="4" w:space="0" w:color="auto"/>
              <w:right w:val="single" w:sz="4" w:space="0" w:color="auto"/>
            </w:tcBorders>
          </w:tcPr>
          <w:p w14:paraId="11281088" w14:textId="77777777" w:rsidR="003E603A" w:rsidRPr="00490CC6" w:rsidRDefault="003E603A" w:rsidP="0019590B">
            <w:pPr>
              <w:bidi/>
              <w:spacing w:line="276" w:lineRule="auto"/>
              <w:jc w:val="lowKashida"/>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أوافق على أن تطبيق تقنيات الذكاء الاصطناعي وتحليل البيانات يُساهم في تحديد الشحنات ذات المخاطر الجمركية بدقة</w:t>
            </w:r>
            <w:r w:rsidRPr="00490CC6">
              <w:rPr>
                <w:rFonts w:asciiTheme="majorBidi" w:hAnsiTheme="majorBidi" w:cstheme="majorBidi"/>
                <w:b/>
                <w:bCs/>
                <w:sz w:val="20"/>
                <w:szCs w:val="20"/>
                <w:lang w:bidi="ar-EG"/>
              </w:rPr>
              <w:t>.</w:t>
            </w:r>
          </w:p>
        </w:tc>
        <w:tc>
          <w:tcPr>
            <w:tcW w:w="613" w:type="dxa"/>
            <w:tcBorders>
              <w:top w:val="single" w:sz="4" w:space="0" w:color="auto"/>
              <w:left w:val="single" w:sz="4" w:space="0" w:color="auto"/>
              <w:bottom w:val="single" w:sz="4" w:space="0" w:color="auto"/>
              <w:right w:val="single" w:sz="4" w:space="0" w:color="auto"/>
            </w:tcBorders>
            <w:vAlign w:val="center"/>
          </w:tcPr>
          <w:p w14:paraId="490EEFBF" w14:textId="77777777" w:rsidR="003E603A" w:rsidRPr="00490CC6" w:rsidRDefault="003E603A"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16</w:t>
            </w:r>
          </w:p>
        </w:tc>
        <w:tc>
          <w:tcPr>
            <w:tcW w:w="539" w:type="dxa"/>
            <w:tcBorders>
              <w:top w:val="single" w:sz="4" w:space="0" w:color="auto"/>
              <w:left w:val="single" w:sz="4" w:space="0" w:color="auto"/>
              <w:bottom w:val="single" w:sz="4" w:space="0" w:color="auto"/>
              <w:right w:val="single" w:sz="4" w:space="0" w:color="auto"/>
            </w:tcBorders>
            <w:vAlign w:val="center"/>
          </w:tcPr>
          <w:p w14:paraId="5D105105" w14:textId="77777777" w:rsidR="003E603A" w:rsidRPr="00490CC6" w:rsidRDefault="003E603A"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40%</w:t>
            </w:r>
          </w:p>
        </w:tc>
        <w:tc>
          <w:tcPr>
            <w:tcW w:w="613" w:type="dxa"/>
            <w:tcBorders>
              <w:top w:val="single" w:sz="4" w:space="0" w:color="auto"/>
              <w:left w:val="single" w:sz="4" w:space="0" w:color="auto"/>
              <w:bottom w:val="single" w:sz="4" w:space="0" w:color="auto"/>
              <w:right w:val="single" w:sz="4" w:space="0" w:color="auto"/>
            </w:tcBorders>
            <w:vAlign w:val="center"/>
          </w:tcPr>
          <w:p w14:paraId="56011677" w14:textId="77777777" w:rsidR="003E603A" w:rsidRPr="00490CC6" w:rsidRDefault="003E603A"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13</w:t>
            </w:r>
          </w:p>
        </w:tc>
        <w:tc>
          <w:tcPr>
            <w:tcW w:w="566" w:type="dxa"/>
            <w:tcBorders>
              <w:top w:val="single" w:sz="4" w:space="0" w:color="auto"/>
              <w:left w:val="single" w:sz="4" w:space="0" w:color="auto"/>
              <w:bottom w:val="single" w:sz="4" w:space="0" w:color="auto"/>
              <w:right w:val="single" w:sz="4" w:space="0" w:color="auto"/>
            </w:tcBorders>
            <w:vAlign w:val="center"/>
          </w:tcPr>
          <w:p w14:paraId="02C7B16B" w14:textId="77777777" w:rsidR="003E603A" w:rsidRPr="00490CC6" w:rsidRDefault="003E603A"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33%</w:t>
            </w:r>
          </w:p>
        </w:tc>
        <w:tc>
          <w:tcPr>
            <w:tcW w:w="613" w:type="dxa"/>
            <w:tcBorders>
              <w:top w:val="single" w:sz="4" w:space="0" w:color="auto"/>
              <w:left w:val="single" w:sz="4" w:space="0" w:color="auto"/>
              <w:bottom w:val="single" w:sz="4" w:space="0" w:color="auto"/>
              <w:right w:val="single" w:sz="4" w:space="0" w:color="auto"/>
            </w:tcBorders>
            <w:vAlign w:val="center"/>
          </w:tcPr>
          <w:p w14:paraId="41EE15B6" w14:textId="77777777" w:rsidR="003E603A" w:rsidRPr="00490CC6" w:rsidRDefault="003E603A"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11</w:t>
            </w:r>
          </w:p>
        </w:tc>
        <w:tc>
          <w:tcPr>
            <w:tcW w:w="608" w:type="dxa"/>
            <w:tcBorders>
              <w:top w:val="single" w:sz="4" w:space="0" w:color="auto"/>
              <w:left w:val="single" w:sz="4" w:space="0" w:color="auto"/>
              <w:bottom w:val="single" w:sz="4" w:space="0" w:color="auto"/>
            </w:tcBorders>
            <w:vAlign w:val="center"/>
          </w:tcPr>
          <w:p w14:paraId="65C3B7AA" w14:textId="77777777" w:rsidR="003E603A" w:rsidRPr="00490CC6" w:rsidRDefault="003E603A"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28%</w:t>
            </w:r>
          </w:p>
        </w:tc>
      </w:tr>
      <w:tr w:rsidR="001D7399" w:rsidRPr="00202E2A" w14:paraId="753FBA8A" w14:textId="77777777" w:rsidTr="00C16C3D">
        <w:trPr>
          <w:trHeight w:val="20"/>
        </w:trPr>
        <w:tc>
          <w:tcPr>
            <w:tcW w:w="368" w:type="dxa"/>
            <w:tcBorders>
              <w:top w:val="single" w:sz="4" w:space="0" w:color="auto"/>
              <w:bottom w:val="single" w:sz="4" w:space="0" w:color="auto"/>
              <w:right w:val="single" w:sz="4" w:space="0" w:color="auto"/>
            </w:tcBorders>
            <w:vAlign w:val="center"/>
          </w:tcPr>
          <w:p w14:paraId="1B1E1C18" w14:textId="1CF05B01"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5</w:t>
            </w:r>
          </w:p>
        </w:tc>
        <w:tc>
          <w:tcPr>
            <w:tcW w:w="622" w:type="dxa"/>
            <w:vMerge/>
            <w:tcBorders>
              <w:left w:val="single" w:sz="4" w:space="0" w:color="auto"/>
              <w:right w:val="single" w:sz="4" w:space="0" w:color="auto"/>
            </w:tcBorders>
            <w:vAlign w:val="center"/>
          </w:tcPr>
          <w:p w14:paraId="6D288BAC"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2067" w:type="dxa"/>
            <w:vMerge w:val="restart"/>
            <w:tcBorders>
              <w:top w:val="single" w:sz="4" w:space="0" w:color="auto"/>
              <w:left w:val="single" w:sz="4" w:space="0" w:color="auto"/>
              <w:right w:val="single" w:sz="4" w:space="0" w:color="auto"/>
            </w:tcBorders>
            <w:vAlign w:val="center"/>
          </w:tcPr>
          <w:p w14:paraId="47834636"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تعزيز التكامل والشراكات الاستراتيجية</w:t>
            </w:r>
          </w:p>
        </w:tc>
        <w:tc>
          <w:tcPr>
            <w:tcW w:w="3655" w:type="dxa"/>
            <w:tcBorders>
              <w:top w:val="single" w:sz="4" w:space="0" w:color="auto"/>
              <w:left w:val="single" w:sz="4" w:space="0" w:color="auto"/>
              <w:bottom w:val="single" w:sz="4" w:space="0" w:color="auto"/>
              <w:right w:val="single" w:sz="4" w:space="0" w:color="auto"/>
            </w:tcBorders>
          </w:tcPr>
          <w:p w14:paraId="122961DB" w14:textId="77777777" w:rsidR="001D7399" w:rsidRPr="00490CC6" w:rsidRDefault="001D7399" w:rsidP="0019590B">
            <w:pPr>
              <w:bidi/>
              <w:spacing w:line="276" w:lineRule="auto"/>
              <w:jc w:val="lowKashida"/>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أعتقد أن التنسيق بين الجهات الحكومية والقطاع الخاص في تبادل المعلومات الأمنية يُعزّز من مواجهة التهديدات السيبرانية</w:t>
            </w:r>
            <w:r w:rsidRPr="00490CC6">
              <w:rPr>
                <w:rFonts w:asciiTheme="majorBidi" w:hAnsiTheme="majorBidi" w:cstheme="majorBidi"/>
                <w:b/>
                <w:bCs/>
                <w:sz w:val="20"/>
                <w:szCs w:val="20"/>
                <w:lang w:bidi="ar-EG"/>
              </w:rPr>
              <w:t>.</w:t>
            </w:r>
          </w:p>
        </w:tc>
        <w:tc>
          <w:tcPr>
            <w:tcW w:w="613" w:type="dxa"/>
            <w:tcBorders>
              <w:top w:val="single" w:sz="4" w:space="0" w:color="auto"/>
              <w:left w:val="single" w:sz="4" w:space="0" w:color="auto"/>
              <w:bottom w:val="single" w:sz="4" w:space="0" w:color="auto"/>
              <w:right w:val="single" w:sz="4" w:space="0" w:color="auto"/>
            </w:tcBorders>
            <w:vAlign w:val="center"/>
          </w:tcPr>
          <w:p w14:paraId="589BD909"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26</w:t>
            </w:r>
          </w:p>
        </w:tc>
        <w:tc>
          <w:tcPr>
            <w:tcW w:w="539" w:type="dxa"/>
            <w:tcBorders>
              <w:top w:val="single" w:sz="4" w:space="0" w:color="auto"/>
              <w:left w:val="single" w:sz="4" w:space="0" w:color="auto"/>
              <w:bottom w:val="single" w:sz="4" w:space="0" w:color="auto"/>
              <w:right w:val="single" w:sz="4" w:space="0" w:color="auto"/>
            </w:tcBorders>
            <w:vAlign w:val="center"/>
          </w:tcPr>
          <w:p w14:paraId="6DE21D3C"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65%</w:t>
            </w:r>
          </w:p>
        </w:tc>
        <w:tc>
          <w:tcPr>
            <w:tcW w:w="613" w:type="dxa"/>
            <w:tcBorders>
              <w:top w:val="single" w:sz="4" w:space="0" w:color="auto"/>
              <w:left w:val="single" w:sz="4" w:space="0" w:color="auto"/>
              <w:bottom w:val="single" w:sz="4" w:space="0" w:color="auto"/>
              <w:right w:val="single" w:sz="4" w:space="0" w:color="auto"/>
            </w:tcBorders>
            <w:vAlign w:val="center"/>
          </w:tcPr>
          <w:p w14:paraId="16888760"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12</w:t>
            </w:r>
          </w:p>
        </w:tc>
        <w:tc>
          <w:tcPr>
            <w:tcW w:w="566" w:type="dxa"/>
            <w:tcBorders>
              <w:top w:val="single" w:sz="4" w:space="0" w:color="auto"/>
              <w:left w:val="single" w:sz="4" w:space="0" w:color="auto"/>
              <w:bottom w:val="single" w:sz="4" w:space="0" w:color="auto"/>
              <w:right w:val="single" w:sz="4" w:space="0" w:color="auto"/>
            </w:tcBorders>
            <w:vAlign w:val="center"/>
          </w:tcPr>
          <w:p w14:paraId="0EBE3C07"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30%</w:t>
            </w:r>
          </w:p>
        </w:tc>
        <w:tc>
          <w:tcPr>
            <w:tcW w:w="613" w:type="dxa"/>
            <w:tcBorders>
              <w:top w:val="single" w:sz="4" w:space="0" w:color="auto"/>
              <w:left w:val="single" w:sz="4" w:space="0" w:color="auto"/>
              <w:bottom w:val="single" w:sz="4" w:space="0" w:color="auto"/>
              <w:right w:val="single" w:sz="4" w:space="0" w:color="auto"/>
            </w:tcBorders>
            <w:vAlign w:val="center"/>
          </w:tcPr>
          <w:p w14:paraId="33119D54"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2</w:t>
            </w:r>
          </w:p>
        </w:tc>
        <w:tc>
          <w:tcPr>
            <w:tcW w:w="608" w:type="dxa"/>
            <w:tcBorders>
              <w:top w:val="single" w:sz="4" w:space="0" w:color="auto"/>
              <w:left w:val="single" w:sz="4" w:space="0" w:color="auto"/>
              <w:bottom w:val="single" w:sz="4" w:space="0" w:color="auto"/>
            </w:tcBorders>
            <w:vAlign w:val="center"/>
          </w:tcPr>
          <w:p w14:paraId="45CD6F9D"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5%</w:t>
            </w:r>
          </w:p>
        </w:tc>
      </w:tr>
      <w:tr w:rsidR="001D7399" w:rsidRPr="00202E2A" w14:paraId="63F2F2AF" w14:textId="77777777" w:rsidTr="00C16C3D">
        <w:trPr>
          <w:trHeight w:val="126"/>
        </w:trPr>
        <w:tc>
          <w:tcPr>
            <w:tcW w:w="368" w:type="dxa"/>
            <w:tcBorders>
              <w:top w:val="single" w:sz="4" w:space="0" w:color="auto"/>
              <w:bottom w:val="single" w:sz="4" w:space="0" w:color="auto"/>
              <w:right w:val="single" w:sz="4" w:space="0" w:color="auto"/>
            </w:tcBorders>
            <w:vAlign w:val="center"/>
          </w:tcPr>
          <w:p w14:paraId="28E43E8A" w14:textId="4BDFED7D"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6</w:t>
            </w:r>
          </w:p>
        </w:tc>
        <w:tc>
          <w:tcPr>
            <w:tcW w:w="622" w:type="dxa"/>
            <w:vMerge/>
            <w:tcBorders>
              <w:left w:val="single" w:sz="4" w:space="0" w:color="auto"/>
              <w:right w:val="single" w:sz="4" w:space="0" w:color="auto"/>
            </w:tcBorders>
            <w:vAlign w:val="center"/>
          </w:tcPr>
          <w:p w14:paraId="573FF817"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2067" w:type="dxa"/>
            <w:vMerge/>
            <w:tcBorders>
              <w:left w:val="single" w:sz="4" w:space="0" w:color="auto"/>
              <w:bottom w:val="single" w:sz="4" w:space="0" w:color="auto"/>
              <w:right w:val="single" w:sz="4" w:space="0" w:color="auto"/>
            </w:tcBorders>
            <w:vAlign w:val="center"/>
          </w:tcPr>
          <w:p w14:paraId="4C1D80E4"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3655" w:type="dxa"/>
            <w:tcBorders>
              <w:top w:val="single" w:sz="4" w:space="0" w:color="auto"/>
              <w:left w:val="single" w:sz="4" w:space="0" w:color="auto"/>
              <w:bottom w:val="single" w:sz="4" w:space="0" w:color="auto"/>
              <w:right w:val="single" w:sz="4" w:space="0" w:color="auto"/>
            </w:tcBorders>
          </w:tcPr>
          <w:p w14:paraId="22E6924E" w14:textId="77777777" w:rsidR="001D7399" w:rsidRPr="00490CC6" w:rsidRDefault="001D7399" w:rsidP="0019590B">
            <w:pPr>
              <w:bidi/>
              <w:spacing w:line="276" w:lineRule="auto"/>
              <w:jc w:val="lowKashida"/>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أوافق على أن إقامة شراكات مع الهيئات الدولية والأكاديمية تُسهم في تطوير حلول مبتكرة لتعزيز الأمن الرقمي</w:t>
            </w:r>
            <w:r w:rsidRPr="00490CC6">
              <w:rPr>
                <w:rFonts w:asciiTheme="majorBidi" w:hAnsiTheme="majorBidi" w:cstheme="majorBidi"/>
                <w:b/>
                <w:bCs/>
                <w:sz w:val="20"/>
                <w:szCs w:val="20"/>
                <w:lang w:bidi="ar-EG"/>
              </w:rPr>
              <w:t>.</w:t>
            </w:r>
          </w:p>
        </w:tc>
        <w:tc>
          <w:tcPr>
            <w:tcW w:w="613" w:type="dxa"/>
            <w:tcBorders>
              <w:top w:val="single" w:sz="4" w:space="0" w:color="auto"/>
              <w:left w:val="single" w:sz="4" w:space="0" w:color="auto"/>
              <w:bottom w:val="single" w:sz="4" w:space="0" w:color="auto"/>
              <w:right w:val="single" w:sz="4" w:space="0" w:color="auto"/>
            </w:tcBorders>
            <w:vAlign w:val="center"/>
          </w:tcPr>
          <w:p w14:paraId="02878E42"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19</w:t>
            </w:r>
          </w:p>
        </w:tc>
        <w:tc>
          <w:tcPr>
            <w:tcW w:w="539" w:type="dxa"/>
            <w:tcBorders>
              <w:top w:val="single" w:sz="4" w:space="0" w:color="auto"/>
              <w:left w:val="single" w:sz="4" w:space="0" w:color="auto"/>
              <w:bottom w:val="single" w:sz="4" w:space="0" w:color="auto"/>
              <w:right w:val="single" w:sz="4" w:space="0" w:color="auto"/>
            </w:tcBorders>
            <w:vAlign w:val="center"/>
          </w:tcPr>
          <w:p w14:paraId="25693E3D"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48%</w:t>
            </w:r>
          </w:p>
        </w:tc>
        <w:tc>
          <w:tcPr>
            <w:tcW w:w="613" w:type="dxa"/>
            <w:tcBorders>
              <w:top w:val="single" w:sz="4" w:space="0" w:color="auto"/>
              <w:left w:val="single" w:sz="4" w:space="0" w:color="auto"/>
              <w:bottom w:val="single" w:sz="4" w:space="0" w:color="auto"/>
              <w:right w:val="single" w:sz="4" w:space="0" w:color="auto"/>
            </w:tcBorders>
            <w:vAlign w:val="center"/>
          </w:tcPr>
          <w:p w14:paraId="51856FD8"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10</w:t>
            </w:r>
          </w:p>
        </w:tc>
        <w:tc>
          <w:tcPr>
            <w:tcW w:w="566" w:type="dxa"/>
            <w:tcBorders>
              <w:top w:val="single" w:sz="4" w:space="0" w:color="auto"/>
              <w:left w:val="single" w:sz="4" w:space="0" w:color="auto"/>
              <w:bottom w:val="single" w:sz="4" w:space="0" w:color="auto"/>
              <w:right w:val="single" w:sz="4" w:space="0" w:color="auto"/>
            </w:tcBorders>
            <w:vAlign w:val="center"/>
          </w:tcPr>
          <w:p w14:paraId="07209F78"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25%</w:t>
            </w:r>
          </w:p>
        </w:tc>
        <w:tc>
          <w:tcPr>
            <w:tcW w:w="613" w:type="dxa"/>
            <w:tcBorders>
              <w:top w:val="single" w:sz="4" w:space="0" w:color="auto"/>
              <w:left w:val="single" w:sz="4" w:space="0" w:color="auto"/>
              <w:bottom w:val="single" w:sz="4" w:space="0" w:color="auto"/>
              <w:right w:val="single" w:sz="4" w:space="0" w:color="auto"/>
            </w:tcBorders>
            <w:vAlign w:val="center"/>
          </w:tcPr>
          <w:p w14:paraId="09926496"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11</w:t>
            </w:r>
          </w:p>
        </w:tc>
        <w:tc>
          <w:tcPr>
            <w:tcW w:w="608" w:type="dxa"/>
            <w:tcBorders>
              <w:top w:val="single" w:sz="4" w:space="0" w:color="auto"/>
              <w:left w:val="single" w:sz="4" w:space="0" w:color="auto"/>
              <w:bottom w:val="single" w:sz="4" w:space="0" w:color="auto"/>
            </w:tcBorders>
            <w:vAlign w:val="center"/>
          </w:tcPr>
          <w:p w14:paraId="5029857D"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28%</w:t>
            </w:r>
          </w:p>
        </w:tc>
      </w:tr>
      <w:tr w:rsidR="001D7399" w:rsidRPr="00202E2A" w14:paraId="28FB7B60" w14:textId="77777777" w:rsidTr="00C16C3D">
        <w:trPr>
          <w:trHeight w:val="126"/>
        </w:trPr>
        <w:tc>
          <w:tcPr>
            <w:tcW w:w="368" w:type="dxa"/>
            <w:tcBorders>
              <w:top w:val="single" w:sz="4" w:space="0" w:color="auto"/>
              <w:bottom w:val="single" w:sz="4" w:space="0" w:color="auto"/>
              <w:right w:val="single" w:sz="4" w:space="0" w:color="auto"/>
            </w:tcBorders>
            <w:vAlign w:val="center"/>
          </w:tcPr>
          <w:p w14:paraId="7A552173" w14:textId="68A6A0C3" w:rsidR="001D7399" w:rsidRPr="00490CC6" w:rsidRDefault="001D7399" w:rsidP="0019590B">
            <w:pPr>
              <w:bidi/>
              <w:spacing w:line="276" w:lineRule="auto"/>
              <w:jc w:val="center"/>
              <w:rPr>
                <w:rFonts w:asciiTheme="majorBidi" w:hAnsiTheme="majorBidi" w:cstheme="majorBidi"/>
                <w:b/>
                <w:bCs/>
                <w:sz w:val="20"/>
                <w:szCs w:val="20"/>
                <w:lang w:bidi="ar-EG"/>
              </w:rPr>
            </w:pPr>
            <w:r w:rsidRPr="00490CC6">
              <w:rPr>
                <w:rFonts w:asciiTheme="majorBidi" w:hAnsiTheme="majorBidi" w:cstheme="majorBidi"/>
                <w:b/>
                <w:bCs/>
                <w:sz w:val="20"/>
                <w:szCs w:val="20"/>
                <w:lang w:bidi="ar-EG"/>
              </w:rPr>
              <w:lastRenderedPageBreak/>
              <w:t>7</w:t>
            </w:r>
          </w:p>
        </w:tc>
        <w:tc>
          <w:tcPr>
            <w:tcW w:w="622" w:type="dxa"/>
            <w:vMerge/>
            <w:tcBorders>
              <w:left w:val="single" w:sz="4" w:space="0" w:color="auto"/>
              <w:right w:val="single" w:sz="4" w:space="0" w:color="auto"/>
            </w:tcBorders>
            <w:vAlign w:val="center"/>
          </w:tcPr>
          <w:p w14:paraId="2EF13EFA"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2067" w:type="dxa"/>
            <w:vMerge w:val="restart"/>
            <w:tcBorders>
              <w:top w:val="single" w:sz="4" w:space="0" w:color="auto"/>
              <w:left w:val="single" w:sz="4" w:space="0" w:color="auto"/>
              <w:right w:val="single" w:sz="4" w:space="0" w:color="auto"/>
            </w:tcBorders>
            <w:vAlign w:val="center"/>
          </w:tcPr>
          <w:p w14:paraId="7809BC95"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rPr>
              <w:t>البُعد القانوني والسياسي</w:t>
            </w:r>
          </w:p>
        </w:tc>
        <w:tc>
          <w:tcPr>
            <w:tcW w:w="3655" w:type="dxa"/>
            <w:tcBorders>
              <w:top w:val="single" w:sz="4" w:space="0" w:color="auto"/>
              <w:left w:val="single" w:sz="4" w:space="0" w:color="auto"/>
              <w:bottom w:val="single" w:sz="4" w:space="0" w:color="auto"/>
              <w:right w:val="single" w:sz="4" w:space="0" w:color="auto"/>
            </w:tcBorders>
          </w:tcPr>
          <w:p w14:paraId="28949013" w14:textId="77777777" w:rsidR="001D7399" w:rsidRPr="00490CC6" w:rsidRDefault="001D7399" w:rsidP="0019590B">
            <w:pPr>
              <w:bidi/>
              <w:spacing w:line="276" w:lineRule="auto"/>
              <w:jc w:val="lowKashida"/>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أوافق على أهمية الالتزام بالأنظمة الدولية والاتفاقيات الثنائية لضمان عدالة وشفافية التجارة</w:t>
            </w:r>
            <w:r w:rsidRPr="00490CC6">
              <w:rPr>
                <w:rFonts w:asciiTheme="majorBidi" w:hAnsiTheme="majorBidi" w:cstheme="majorBidi"/>
                <w:b/>
                <w:bCs/>
                <w:sz w:val="20"/>
                <w:szCs w:val="20"/>
                <w:lang w:bidi="ar-EG"/>
              </w:rPr>
              <w:t>.</w:t>
            </w:r>
          </w:p>
        </w:tc>
        <w:tc>
          <w:tcPr>
            <w:tcW w:w="613" w:type="dxa"/>
            <w:tcBorders>
              <w:top w:val="single" w:sz="4" w:space="0" w:color="auto"/>
              <w:left w:val="single" w:sz="4" w:space="0" w:color="auto"/>
              <w:bottom w:val="single" w:sz="4" w:space="0" w:color="auto"/>
              <w:right w:val="single" w:sz="4" w:space="0" w:color="auto"/>
            </w:tcBorders>
            <w:vAlign w:val="center"/>
          </w:tcPr>
          <w:p w14:paraId="6667EAC3"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26</w:t>
            </w:r>
          </w:p>
        </w:tc>
        <w:tc>
          <w:tcPr>
            <w:tcW w:w="539" w:type="dxa"/>
            <w:tcBorders>
              <w:top w:val="single" w:sz="4" w:space="0" w:color="auto"/>
              <w:left w:val="single" w:sz="4" w:space="0" w:color="auto"/>
              <w:bottom w:val="single" w:sz="4" w:space="0" w:color="auto"/>
              <w:right w:val="single" w:sz="4" w:space="0" w:color="auto"/>
            </w:tcBorders>
            <w:vAlign w:val="center"/>
          </w:tcPr>
          <w:p w14:paraId="3BA62E15"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78%</w:t>
            </w:r>
          </w:p>
        </w:tc>
        <w:tc>
          <w:tcPr>
            <w:tcW w:w="613" w:type="dxa"/>
            <w:tcBorders>
              <w:top w:val="single" w:sz="4" w:space="0" w:color="auto"/>
              <w:left w:val="single" w:sz="4" w:space="0" w:color="auto"/>
              <w:bottom w:val="single" w:sz="4" w:space="0" w:color="auto"/>
              <w:right w:val="single" w:sz="4" w:space="0" w:color="auto"/>
            </w:tcBorders>
            <w:vAlign w:val="center"/>
          </w:tcPr>
          <w:p w14:paraId="71429D0A"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12</w:t>
            </w:r>
          </w:p>
        </w:tc>
        <w:tc>
          <w:tcPr>
            <w:tcW w:w="566" w:type="dxa"/>
            <w:tcBorders>
              <w:top w:val="single" w:sz="4" w:space="0" w:color="auto"/>
              <w:left w:val="single" w:sz="4" w:space="0" w:color="auto"/>
              <w:bottom w:val="single" w:sz="4" w:space="0" w:color="auto"/>
              <w:right w:val="single" w:sz="4" w:space="0" w:color="auto"/>
            </w:tcBorders>
            <w:vAlign w:val="center"/>
          </w:tcPr>
          <w:p w14:paraId="238F786E"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30%</w:t>
            </w:r>
          </w:p>
        </w:tc>
        <w:tc>
          <w:tcPr>
            <w:tcW w:w="613" w:type="dxa"/>
            <w:tcBorders>
              <w:top w:val="single" w:sz="4" w:space="0" w:color="auto"/>
              <w:left w:val="single" w:sz="4" w:space="0" w:color="auto"/>
              <w:bottom w:val="single" w:sz="4" w:space="0" w:color="auto"/>
              <w:right w:val="single" w:sz="4" w:space="0" w:color="auto"/>
            </w:tcBorders>
            <w:vAlign w:val="center"/>
          </w:tcPr>
          <w:p w14:paraId="520BC7BC"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2</w:t>
            </w:r>
          </w:p>
        </w:tc>
        <w:tc>
          <w:tcPr>
            <w:tcW w:w="608" w:type="dxa"/>
            <w:tcBorders>
              <w:top w:val="single" w:sz="4" w:space="0" w:color="auto"/>
              <w:left w:val="single" w:sz="4" w:space="0" w:color="auto"/>
              <w:bottom w:val="single" w:sz="4" w:space="0" w:color="auto"/>
            </w:tcBorders>
            <w:vAlign w:val="center"/>
          </w:tcPr>
          <w:p w14:paraId="28FA64D8"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5%</w:t>
            </w:r>
          </w:p>
        </w:tc>
      </w:tr>
      <w:tr w:rsidR="001D7399" w:rsidRPr="00202E2A" w14:paraId="6BCEBE10" w14:textId="77777777" w:rsidTr="00C16C3D">
        <w:trPr>
          <w:trHeight w:val="20"/>
        </w:trPr>
        <w:tc>
          <w:tcPr>
            <w:tcW w:w="368" w:type="dxa"/>
            <w:tcBorders>
              <w:top w:val="single" w:sz="4" w:space="0" w:color="auto"/>
              <w:bottom w:val="single" w:sz="4" w:space="0" w:color="auto"/>
              <w:right w:val="single" w:sz="4" w:space="0" w:color="auto"/>
            </w:tcBorders>
            <w:vAlign w:val="center"/>
          </w:tcPr>
          <w:p w14:paraId="52B8E199" w14:textId="5B723633" w:rsidR="001D7399" w:rsidRPr="00490CC6" w:rsidRDefault="001D7399" w:rsidP="0019590B">
            <w:pPr>
              <w:bidi/>
              <w:spacing w:line="276" w:lineRule="auto"/>
              <w:jc w:val="center"/>
              <w:rPr>
                <w:rFonts w:asciiTheme="majorBidi" w:hAnsiTheme="majorBidi" w:cstheme="majorBidi"/>
                <w:b/>
                <w:bCs/>
                <w:sz w:val="20"/>
                <w:szCs w:val="20"/>
                <w:lang w:bidi="ar-EG"/>
              </w:rPr>
            </w:pPr>
            <w:r w:rsidRPr="00490CC6">
              <w:rPr>
                <w:rFonts w:asciiTheme="majorBidi" w:hAnsiTheme="majorBidi" w:cstheme="majorBidi"/>
                <w:b/>
                <w:bCs/>
                <w:sz w:val="20"/>
                <w:szCs w:val="20"/>
                <w:lang w:bidi="ar-EG"/>
              </w:rPr>
              <w:t>8</w:t>
            </w:r>
          </w:p>
        </w:tc>
        <w:tc>
          <w:tcPr>
            <w:tcW w:w="622" w:type="dxa"/>
            <w:vMerge/>
            <w:tcBorders>
              <w:left w:val="single" w:sz="4" w:space="0" w:color="auto"/>
              <w:right w:val="single" w:sz="4" w:space="0" w:color="auto"/>
            </w:tcBorders>
            <w:vAlign w:val="center"/>
          </w:tcPr>
          <w:p w14:paraId="19B38E9D"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2067" w:type="dxa"/>
            <w:vMerge/>
            <w:tcBorders>
              <w:left w:val="single" w:sz="4" w:space="0" w:color="auto"/>
              <w:bottom w:val="single" w:sz="4" w:space="0" w:color="auto"/>
              <w:right w:val="single" w:sz="4" w:space="0" w:color="auto"/>
            </w:tcBorders>
            <w:vAlign w:val="center"/>
          </w:tcPr>
          <w:p w14:paraId="1872E352"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3655" w:type="dxa"/>
            <w:tcBorders>
              <w:top w:val="single" w:sz="4" w:space="0" w:color="auto"/>
              <w:left w:val="single" w:sz="4" w:space="0" w:color="auto"/>
              <w:bottom w:val="single" w:sz="4" w:space="0" w:color="auto"/>
              <w:right w:val="single" w:sz="4" w:space="0" w:color="auto"/>
            </w:tcBorders>
          </w:tcPr>
          <w:p w14:paraId="0A8782CE" w14:textId="77777777" w:rsidR="001D7399" w:rsidRPr="00490CC6" w:rsidRDefault="001D7399" w:rsidP="0019590B">
            <w:pPr>
              <w:bidi/>
              <w:spacing w:line="276" w:lineRule="auto"/>
              <w:jc w:val="lowKashida"/>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أفضل تطبيق إجراءات جمركية تحمي الصناعات المحلية وتحد من النزاعات التجارية الدولية</w:t>
            </w:r>
            <w:r w:rsidRPr="00490CC6">
              <w:rPr>
                <w:rFonts w:asciiTheme="majorBidi" w:hAnsiTheme="majorBidi" w:cstheme="majorBidi"/>
                <w:b/>
                <w:bCs/>
                <w:sz w:val="20"/>
                <w:szCs w:val="20"/>
                <w:lang w:bidi="ar-EG"/>
              </w:rPr>
              <w:t>.</w:t>
            </w:r>
          </w:p>
        </w:tc>
        <w:tc>
          <w:tcPr>
            <w:tcW w:w="613" w:type="dxa"/>
            <w:tcBorders>
              <w:top w:val="single" w:sz="4" w:space="0" w:color="auto"/>
              <w:left w:val="single" w:sz="4" w:space="0" w:color="auto"/>
              <w:bottom w:val="single" w:sz="4" w:space="0" w:color="auto"/>
              <w:right w:val="single" w:sz="4" w:space="0" w:color="auto"/>
            </w:tcBorders>
            <w:vAlign w:val="center"/>
          </w:tcPr>
          <w:p w14:paraId="0BB1CD4A"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16</w:t>
            </w:r>
          </w:p>
        </w:tc>
        <w:tc>
          <w:tcPr>
            <w:tcW w:w="539" w:type="dxa"/>
            <w:tcBorders>
              <w:top w:val="single" w:sz="4" w:space="0" w:color="auto"/>
              <w:left w:val="single" w:sz="4" w:space="0" w:color="auto"/>
              <w:bottom w:val="single" w:sz="4" w:space="0" w:color="auto"/>
              <w:right w:val="single" w:sz="4" w:space="0" w:color="auto"/>
            </w:tcBorders>
            <w:vAlign w:val="center"/>
          </w:tcPr>
          <w:p w14:paraId="3F1D490E" w14:textId="7418CBC1" w:rsidR="001D7399" w:rsidRPr="00490CC6" w:rsidRDefault="00BC22A0"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40</w:t>
            </w:r>
            <w:r w:rsidR="001D7399" w:rsidRPr="00490CC6">
              <w:rPr>
                <w:rFonts w:asciiTheme="majorBidi" w:hAnsiTheme="majorBidi" w:cstheme="majorBidi"/>
                <w:b/>
                <w:bCs/>
                <w:sz w:val="20"/>
                <w:szCs w:val="20"/>
              </w:rPr>
              <w:t>%</w:t>
            </w:r>
          </w:p>
        </w:tc>
        <w:tc>
          <w:tcPr>
            <w:tcW w:w="613" w:type="dxa"/>
            <w:tcBorders>
              <w:top w:val="single" w:sz="4" w:space="0" w:color="auto"/>
              <w:left w:val="single" w:sz="4" w:space="0" w:color="auto"/>
              <w:bottom w:val="single" w:sz="4" w:space="0" w:color="auto"/>
              <w:right w:val="single" w:sz="4" w:space="0" w:color="auto"/>
            </w:tcBorders>
            <w:vAlign w:val="center"/>
          </w:tcPr>
          <w:p w14:paraId="61886843"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13</w:t>
            </w:r>
          </w:p>
        </w:tc>
        <w:tc>
          <w:tcPr>
            <w:tcW w:w="566" w:type="dxa"/>
            <w:tcBorders>
              <w:top w:val="single" w:sz="4" w:space="0" w:color="auto"/>
              <w:left w:val="single" w:sz="4" w:space="0" w:color="auto"/>
              <w:bottom w:val="single" w:sz="4" w:space="0" w:color="auto"/>
              <w:right w:val="single" w:sz="4" w:space="0" w:color="auto"/>
            </w:tcBorders>
            <w:vAlign w:val="center"/>
          </w:tcPr>
          <w:p w14:paraId="4914CBCC"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33%</w:t>
            </w:r>
          </w:p>
        </w:tc>
        <w:tc>
          <w:tcPr>
            <w:tcW w:w="613" w:type="dxa"/>
            <w:tcBorders>
              <w:top w:val="single" w:sz="4" w:space="0" w:color="auto"/>
              <w:left w:val="single" w:sz="4" w:space="0" w:color="auto"/>
              <w:bottom w:val="single" w:sz="4" w:space="0" w:color="auto"/>
              <w:right w:val="single" w:sz="4" w:space="0" w:color="auto"/>
            </w:tcBorders>
            <w:vAlign w:val="center"/>
          </w:tcPr>
          <w:p w14:paraId="3DDB3BCF"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11</w:t>
            </w:r>
          </w:p>
        </w:tc>
        <w:tc>
          <w:tcPr>
            <w:tcW w:w="608" w:type="dxa"/>
            <w:tcBorders>
              <w:top w:val="single" w:sz="4" w:space="0" w:color="auto"/>
              <w:left w:val="single" w:sz="4" w:space="0" w:color="auto"/>
              <w:bottom w:val="single" w:sz="4" w:space="0" w:color="auto"/>
            </w:tcBorders>
            <w:vAlign w:val="center"/>
          </w:tcPr>
          <w:p w14:paraId="1E9240DA"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28%</w:t>
            </w:r>
          </w:p>
        </w:tc>
      </w:tr>
      <w:tr w:rsidR="001D7399" w:rsidRPr="00202E2A" w14:paraId="18628C92" w14:textId="77777777" w:rsidTr="00C16C3D">
        <w:trPr>
          <w:trHeight w:val="126"/>
        </w:trPr>
        <w:tc>
          <w:tcPr>
            <w:tcW w:w="368" w:type="dxa"/>
            <w:tcBorders>
              <w:top w:val="single" w:sz="4" w:space="0" w:color="auto"/>
              <w:bottom w:val="single" w:sz="4" w:space="0" w:color="auto"/>
              <w:right w:val="single" w:sz="4" w:space="0" w:color="auto"/>
            </w:tcBorders>
            <w:vAlign w:val="center"/>
          </w:tcPr>
          <w:p w14:paraId="755E67F7" w14:textId="479628CE" w:rsidR="001D7399" w:rsidRPr="00490CC6" w:rsidRDefault="001D7399" w:rsidP="0019590B">
            <w:pPr>
              <w:bidi/>
              <w:spacing w:line="276" w:lineRule="auto"/>
              <w:jc w:val="center"/>
              <w:rPr>
                <w:rFonts w:asciiTheme="majorBidi" w:hAnsiTheme="majorBidi" w:cstheme="majorBidi"/>
                <w:b/>
                <w:bCs/>
                <w:sz w:val="20"/>
                <w:szCs w:val="20"/>
                <w:lang w:bidi="ar-EG"/>
              </w:rPr>
            </w:pPr>
            <w:r w:rsidRPr="00490CC6">
              <w:rPr>
                <w:rFonts w:asciiTheme="majorBidi" w:hAnsiTheme="majorBidi" w:cstheme="majorBidi"/>
                <w:b/>
                <w:bCs/>
                <w:sz w:val="20"/>
                <w:szCs w:val="20"/>
                <w:lang w:bidi="ar-EG"/>
              </w:rPr>
              <w:t>9</w:t>
            </w:r>
          </w:p>
        </w:tc>
        <w:tc>
          <w:tcPr>
            <w:tcW w:w="622" w:type="dxa"/>
            <w:vMerge/>
            <w:tcBorders>
              <w:left w:val="single" w:sz="4" w:space="0" w:color="auto"/>
              <w:right w:val="single" w:sz="4" w:space="0" w:color="auto"/>
            </w:tcBorders>
            <w:vAlign w:val="center"/>
          </w:tcPr>
          <w:p w14:paraId="41C76E2F"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2067" w:type="dxa"/>
            <w:vMerge w:val="restart"/>
            <w:tcBorders>
              <w:top w:val="single" w:sz="4" w:space="0" w:color="auto"/>
              <w:left w:val="single" w:sz="4" w:space="0" w:color="auto"/>
              <w:right w:val="single" w:sz="4" w:space="0" w:color="auto"/>
            </w:tcBorders>
            <w:vAlign w:val="center"/>
          </w:tcPr>
          <w:p w14:paraId="1ADAD9DE"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rPr>
              <w:t>البُعد الاجتماعي والثقافي</w:t>
            </w:r>
          </w:p>
        </w:tc>
        <w:tc>
          <w:tcPr>
            <w:tcW w:w="3655" w:type="dxa"/>
            <w:tcBorders>
              <w:top w:val="single" w:sz="4" w:space="0" w:color="auto"/>
              <w:left w:val="single" w:sz="4" w:space="0" w:color="auto"/>
              <w:bottom w:val="single" w:sz="4" w:space="0" w:color="auto"/>
              <w:right w:val="single" w:sz="4" w:space="0" w:color="auto"/>
            </w:tcBorders>
          </w:tcPr>
          <w:p w14:paraId="58E4D67D" w14:textId="77777777" w:rsidR="001D7399" w:rsidRPr="00490CC6" w:rsidRDefault="001D7399" w:rsidP="0019590B">
            <w:pPr>
              <w:bidi/>
              <w:spacing w:line="276" w:lineRule="auto"/>
              <w:jc w:val="lowKashida"/>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أوافق على أن التجارة العالمية تُسهم في خلق فرص عمل وتحفيز النمو الاجتماعي للمجتمعات المحلية</w:t>
            </w:r>
            <w:r w:rsidRPr="00490CC6">
              <w:rPr>
                <w:rFonts w:asciiTheme="majorBidi" w:hAnsiTheme="majorBidi" w:cstheme="majorBidi"/>
                <w:b/>
                <w:bCs/>
                <w:sz w:val="20"/>
                <w:szCs w:val="20"/>
                <w:lang w:bidi="ar-EG"/>
              </w:rPr>
              <w:t>.</w:t>
            </w:r>
          </w:p>
        </w:tc>
        <w:tc>
          <w:tcPr>
            <w:tcW w:w="613" w:type="dxa"/>
            <w:tcBorders>
              <w:top w:val="single" w:sz="4" w:space="0" w:color="auto"/>
              <w:left w:val="single" w:sz="4" w:space="0" w:color="auto"/>
              <w:bottom w:val="single" w:sz="4" w:space="0" w:color="auto"/>
              <w:right w:val="single" w:sz="4" w:space="0" w:color="auto"/>
            </w:tcBorders>
            <w:vAlign w:val="center"/>
          </w:tcPr>
          <w:p w14:paraId="5E056621"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31</w:t>
            </w:r>
          </w:p>
        </w:tc>
        <w:tc>
          <w:tcPr>
            <w:tcW w:w="539" w:type="dxa"/>
            <w:tcBorders>
              <w:top w:val="single" w:sz="4" w:space="0" w:color="auto"/>
              <w:left w:val="single" w:sz="4" w:space="0" w:color="auto"/>
              <w:bottom w:val="single" w:sz="4" w:space="0" w:color="auto"/>
              <w:right w:val="single" w:sz="4" w:space="0" w:color="auto"/>
            </w:tcBorders>
            <w:vAlign w:val="center"/>
          </w:tcPr>
          <w:p w14:paraId="102BEF56"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63%</w:t>
            </w:r>
          </w:p>
        </w:tc>
        <w:tc>
          <w:tcPr>
            <w:tcW w:w="613" w:type="dxa"/>
            <w:tcBorders>
              <w:top w:val="single" w:sz="4" w:space="0" w:color="auto"/>
              <w:left w:val="single" w:sz="4" w:space="0" w:color="auto"/>
              <w:bottom w:val="single" w:sz="4" w:space="0" w:color="auto"/>
              <w:right w:val="single" w:sz="4" w:space="0" w:color="auto"/>
            </w:tcBorders>
            <w:vAlign w:val="center"/>
          </w:tcPr>
          <w:p w14:paraId="00896693"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8</w:t>
            </w:r>
          </w:p>
        </w:tc>
        <w:tc>
          <w:tcPr>
            <w:tcW w:w="566" w:type="dxa"/>
            <w:tcBorders>
              <w:top w:val="single" w:sz="4" w:space="0" w:color="auto"/>
              <w:left w:val="single" w:sz="4" w:space="0" w:color="auto"/>
              <w:bottom w:val="single" w:sz="4" w:space="0" w:color="auto"/>
              <w:right w:val="single" w:sz="4" w:space="0" w:color="auto"/>
            </w:tcBorders>
            <w:vAlign w:val="center"/>
          </w:tcPr>
          <w:p w14:paraId="3230CEF3"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20%</w:t>
            </w:r>
          </w:p>
        </w:tc>
        <w:tc>
          <w:tcPr>
            <w:tcW w:w="613" w:type="dxa"/>
            <w:tcBorders>
              <w:top w:val="single" w:sz="4" w:space="0" w:color="auto"/>
              <w:left w:val="single" w:sz="4" w:space="0" w:color="auto"/>
              <w:bottom w:val="single" w:sz="4" w:space="0" w:color="auto"/>
              <w:right w:val="single" w:sz="4" w:space="0" w:color="auto"/>
            </w:tcBorders>
            <w:vAlign w:val="center"/>
          </w:tcPr>
          <w:p w14:paraId="158006F0"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1</w:t>
            </w:r>
          </w:p>
        </w:tc>
        <w:tc>
          <w:tcPr>
            <w:tcW w:w="608" w:type="dxa"/>
            <w:tcBorders>
              <w:top w:val="single" w:sz="4" w:space="0" w:color="auto"/>
              <w:left w:val="single" w:sz="4" w:space="0" w:color="auto"/>
              <w:bottom w:val="single" w:sz="4" w:space="0" w:color="auto"/>
            </w:tcBorders>
            <w:vAlign w:val="center"/>
          </w:tcPr>
          <w:p w14:paraId="6B96EF2D"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3%</w:t>
            </w:r>
          </w:p>
        </w:tc>
      </w:tr>
      <w:tr w:rsidR="001D7399" w:rsidRPr="00202E2A" w14:paraId="7947B95D" w14:textId="77777777" w:rsidTr="00C16C3D">
        <w:trPr>
          <w:trHeight w:val="126"/>
        </w:trPr>
        <w:tc>
          <w:tcPr>
            <w:tcW w:w="368" w:type="dxa"/>
            <w:tcBorders>
              <w:top w:val="single" w:sz="4" w:space="0" w:color="auto"/>
              <w:bottom w:val="single" w:sz="18" w:space="0" w:color="auto"/>
              <w:right w:val="single" w:sz="4" w:space="0" w:color="auto"/>
            </w:tcBorders>
            <w:vAlign w:val="center"/>
          </w:tcPr>
          <w:p w14:paraId="17B7789C" w14:textId="66A83E5A" w:rsidR="001D7399" w:rsidRPr="00490CC6" w:rsidRDefault="001D7399" w:rsidP="0019590B">
            <w:pPr>
              <w:bidi/>
              <w:spacing w:line="276" w:lineRule="auto"/>
              <w:jc w:val="center"/>
              <w:rPr>
                <w:rFonts w:asciiTheme="majorBidi" w:hAnsiTheme="majorBidi" w:cstheme="majorBidi"/>
                <w:b/>
                <w:bCs/>
                <w:sz w:val="20"/>
                <w:szCs w:val="20"/>
                <w:lang w:bidi="ar-EG"/>
              </w:rPr>
            </w:pPr>
            <w:r w:rsidRPr="00490CC6">
              <w:rPr>
                <w:rFonts w:asciiTheme="majorBidi" w:hAnsiTheme="majorBidi" w:cstheme="majorBidi"/>
                <w:b/>
                <w:bCs/>
                <w:sz w:val="20"/>
                <w:szCs w:val="20"/>
                <w:lang w:bidi="ar-EG"/>
              </w:rPr>
              <w:t>10</w:t>
            </w:r>
          </w:p>
        </w:tc>
        <w:tc>
          <w:tcPr>
            <w:tcW w:w="622" w:type="dxa"/>
            <w:vMerge/>
            <w:tcBorders>
              <w:left w:val="single" w:sz="4" w:space="0" w:color="auto"/>
              <w:bottom w:val="single" w:sz="18" w:space="0" w:color="auto"/>
              <w:right w:val="single" w:sz="4" w:space="0" w:color="auto"/>
            </w:tcBorders>
            <w:vAlign w:val="center"/>
          </w:tcPr>
          <w:p w14:paraId="749ABBA8"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2067" w:type="dxa"/>
            <w:vMerge/>
            <w:tcBorders>
              <w:left w:val="single" w:sz="4" w:space="0" w:color="auto"/>
              <w:bottom w:val="single" w:sz="18" w:space="0" w:color="auto"/>
              <w:right w:val="single" w:sz="4" w:space="0" w:color="auto"/>
            </w:tcBorders>
            <w:vAlign w:val="center"/>
          </w:tcPr>
          <w:p w14:paraId="6F1E04B4"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3655" w:type="dxa"/>
            <w:tcBorders>
              <w:top w:val="single" w:sz="4" w:space="0" w:color="auto"/>
              <w:left w:val="single" w:sz="4" w:space="0" w:color="auto"/>
              <w:bottom w:val="single" w:sz="18" w:space="0" w:color="auto"/>
              <w:right w:val="single" w:sz="4" w:space="0" w:color="auto"/>
            </w:tcBorders>
          </w:tcPr>
          <w:p w14:paraId="6DA76426" w14:textId="77777777" w:rsidR="001D7399" w:rsidRPr="00490CC6" w:rsidRDefault="001D7399" w:rsidP="0019590B">
            <w:pPr>
              <w:bidi/>
              <w:spacing w:line="276" w:lineRule="auto"/>
              <w:jc w:val="lowKashida"/>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 xml:space="preserve">  </w:t>
            </w:r>
            <w:r w:rsidRPr="00490CC6">
              <w:rPr>
                <w:rFonts w:asciiTheme="majorBidi" w:hAnsiTheme="majorBidi" w:cstheme="majorBidi"/>
                <w:b/>
                <w:bCs/>
                <w:sz w:val="20"/>
                <w:szCs w:val="20"/>
                <w:rtl/>
                <w:lang w:bidi="ar-EG"/>
              </w:rPr>
              <w:t>أفضل الحفاظ على الهوية الثقافية من خلال دعم المنتجات الوطنية وتشجيع ممارسات التجارة العادلة</w:t>
            </w:r>
            <w:r w:rsidRPr="00490CC6">
              <w:rPr>
                <w:rFonts w:asciiTheme="majorBidi" w:hAnsiTheme="majorBidi" w:cstheme="majorBidi"/>
                <w:b/>
                <w:bCs/>
                <w:sz w:val="20"/>
                <w:szCs w:val="20"/>
                <w:lang w:bidi="ar-EG"/>
              </w:rPr>
              <w:t>.</w:t>
            </w:r>
          </w:p>
        </w:tc>
        <w:tc>
          <w:tcPr>
            <w:tcW w:w="613" w:type="dxa"/>
            <w:tcBorders>
              <w:top w:val="single" w:sz="4" w:space="0" w:color="auto"/>
              <w:left w:val="single" w:sz="4" w:space="0" w:color="auto"/>
              <w:bottom w:val="single" w:sz="18" w:space="0" w:color="auto"/>
              <w:right w:val="single" w:sz="4" w:space="0" w:color="auto"/>
            </w:tcBorders>
            <w:vAlign w:val="center"/>
          </w:tcPr>
          <w:p w14:paraId="49BA0243"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23</w:t>
            </w:r>
          </w:p>
        </w:tc>
        <w:tc>
          <w:tcPr>
            <w:tcW w:w="539" w:type="dxa"/>
            <w:tcBorders>
              <w:top w:val="single" w:sz="4" w:space="0" w:color="auto"/>
              <w:left w:val="single" w:sz="4" w:space="0" w:color="auto"/>
              <w:bottom w:val="single" w:sz="18" w:space="0" w:color="auto"/>
              <w:right w:val="single" w:sz="4" w:space="0" w:color="auto"/>
            </w:tcBorders>
            <w:vAlign w:val="center"/>
          </w:tcPr>
          <w:p w14:paraId="7FF592F0"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65%</w:t>
            </w:r>
          </w:p>
        </w:tc>
        <w:tc>
          <w:tcPr>
            <w:tcW w:w="613" w:type="dxa"/>
            <w:tcBorders>
              <w:top w:val="single" w:sz="4" w:space="0" w:color="auto"/>
              <w:left w:val="single" w:sz="4" w:space="0" w:color="auto"/>
              <w:bottom w:val="single" w:sz="18" w:space="0" w:color="auto"/>
              <w:right w:val="single" w:sz="4" w:space="0" w:color="auto"/>
            </w:tcBorders>
            <w:vAlign w:val="center"/>
          </w:tcPr>
          <w:p w14:paraId="0B12EFC9"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15</w:t>
            </w:r>
          </w:p>
        </w:tc>
        <w:tc>
          <w:tcPr>
            <w:tcW w:w="566" w:type="dxa"/>
            <w:tcBorders>
              <w:top w:val="single" w:sz="4" w:space="0" w:color="auto"/>
              <w:left w:val="single" w:sz="4" w:space="0" w:color="auto"/>
              <w:bottom w:val="single" w:sz="18" w:space="0" w:color="auto"/>
              <w:right w:val="single" w:sz="4" w:space="0" w:color="auto"/>
            </w:tcBorders>
            <w:vAlign w:val="center"/>
          </w:tcPr>
          <w:p w14:paraId="7085A964"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38%</w:t>
            </w:r>
          </w:p>
        </w:tc>
        <w:tc>
          <w:tcPr>
            <w:tcW w:w="613" w:type="dxa"/>
            <w:tcBorders>
              <w:top w:val="single" w:sz="4" w:space="0" w:color="auto"/>
              <w:left w:val="single" w:sz="4" w:space="0" w:color="auto"/>
              <w:bottom w:val="single" w:sz="18" w:space="0" w:color="auto"/>
              <w:right w:val="single" w:sz="4" w:space="0" w:color="auto"/>
            </w:tcBorders>
            <w:vAlign w:val="center"/>
          </w:tcPr>
          <w:p w14:paraId="52C04415"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2</w:t>
            </w:r>
          </w:p>
        </w:tc>
        <w:tc>
          <w:tcPr>
            <w:tcW w:w="608" w:type="dxa"/>
            <w:tcBorders>
              <w:top w:val="single" w:sz="4" w:space="0" w:color="auto"/>
              <w:left w:val="single" w:sz="4" w:space="0" w:color="auto"/>
              <w:bottom w:val="single" w:sz="18" w:space="0" w:color="auto"/>
            </w:tcBorders>
            <w:vAlign w:val="center"/>
          </w:tcPr>
          <w:p w14:paraId="3500C30E"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5%</w:t>
            </w:r>
          </w:p>
        </w:tc>
      </w:tr>
      <w:tr w:rsidR="001D7399" w:rsidRPr="00202E2A" w14:paraId="26ACE31F" w14:textId="77777777" w:rsidTr="00C16C3D">
        <w:trPr>
          <w:trHeight w:val="188"/>
        </w:trPr>
        <w:tc>
          <w:tcPr>
            <w:tcW w:w="368" w:type="dxa"/>
            <w:tcBorders>
              <w:top w:val="single" w:sz="18" w:space="0" w:color="auto"/>
              <w:bottom w:val="single" w:sz="4" w:space="0" w:color="auto"/>
              <w:right w:val="single" w:sz="4" w:space="0" w:color="auto"/>
            </w:tcBorders>
            <w:vAlign w:val="center"/>
          </w:tcPr>
          <w:p w14:paraId="4F9F175A" w14:textId="5F6CE28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11</w:t>
            </w:r>
          </w:p>
        </w:tc>
        <w:tc>
          <w:tcPr>
            <w:tcW w:w="622" w:type="dxa"/>
            <w:vMerge w:val="restart"/>
            <w:tcBorders>
              <w:top w:val="single" w:sz="18" w:space="0" w:color="auto"/>
              <w:left w:val="single" w:sz="4" w:space="0" w:color="auto"/>
              <w:right w:val="single" w:sz="4" w:space="0" w:color="auto"/>
            </w:tcBorders>
            <w:vAlign w:val="center"/>
          </w:tcPr>
          <w:p w14:paraId="254FA732" w14:textId="4CAE59D5"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ت</w:t>
            </w:r>
            <w:r w:rsidR="00744D05" w:rsidRPr="00490CC6">
              <w:rPr>
                <w:rFonts w:asciiTheme="majorBidi" w:hAnsiTheme="majorBidi" w:cstheme="majorBidi" w:hint="cs"/>
                <w:b/>
                <w:bCs/>
                <w:sz w:val="20"/>
                <w:szCs w:val="20"/>
                <w:rtl/>
                <w:lang w:bidi="ar-EG"/>
              </w:rPr>
              <w:t>ي</w:t>
            </w:r>
            <w:r w:rsidRPr="00490CC6">
              <w:rPr>
                <w:rFonts w:asciiTheme="majorBidi" w:hAnsiTheme="majorBidi" w:cstheme="majorBidi"/>
                <w:b/>
                <w:bCs/>
                <w:sz w:val="20"/>
                <w:szCs w:val="20"/>
                <w:rtl/>
                <w:lang w:bidi="ar-EG"/>
              </w:rPr>
              <w:t>سير التجارة</w:t>
            </w:r>
          </w:p>
        </w:tc>
        <w:tc>
          <w:tcPr>
            <w:tcW w:w="2067" w:type="dxa"/>
            <w:vMerge w:val="restart"/>
            <w:tcBorders>
              <w:top w:val="single" w:sz="18" w:space="0" w:color="auto"/>
              <w:left w:val="single" w:sz="4" w:space="0" w:color="auto"/>
              <w:right w:val="single" w:sz="4" w:space="0" w:color="auto"/>
            </w:tcBorders>
            <w:vAlign w:val="center"/>
          </w:tcPr>
          <w:p w14:paraId="7BCDF849"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rPr>
              <w:t>البُعد الاقتصادي</w:t>
            </w:r>
          </w:p>
        </w:tc>
        <w:tc>
          <w:tcPr>
            <w:tcW w:w="3655" w:type="dxa"/>
            <w:tcBorders>
              <w:top w:val="single" w:sz="18" w:space="0" w:color="auto"/>
              <w:left w:val="single" w:sz="4" w:space="0" w:color="auto"/>
              <w:bottom w:val="single" w:sz="4" w:space="0" w:color="auto"/>
              <w:right w:val="single" w:sz="4" w:space="0" w:color="auto"/>
            </w:tcBorders>
          </w:tcPr>
          <w:p w14:paraId="27BB0188" w14:textId="77777777" w:rsidR="001D7399" w:rsidRPr="00490CC6" w:rsidRDefault="001D7399" w:rsidP="0019590B">
            <w:pPr>
              <w:bidi/>
              <w:spacing w:line="276" w:lineRule="auto"/>
              <w:jc w:val="lowKashida"/>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أوافق على أن إدارة العرض والطلب تلعب دورًا حاسمًا في تعزيز النمو الاقتصادي وزيادة الصادرات</w:t>
            </w:r>
            <w:r w:rsidRPr="00490CC6">
              <w:rPr>
                <w:rFonts w:asciiTheme="majorBidi" w:hAnsiTheme="majorBidi" w:cstheme="majorBidi"/>
                <w:b/>
                <w:bCs/>
                <w:sz w:val="20"/>
                <w:szCs w:val="20"/>
                <w:lang w:bidi="ar-EG"/>
              </w:rPr>
              <w:t>.</w:t>
            </w:r>
          </w:p>
        </w:tc>
        <w:tc>
          <w:tcPr>
            <w:tcW w:w="613" w:type="dxa"/>
            <w:tcBorders>
              <w:top w:val="single" w:sz="18" w:space="0" w:color="auto"/>
              <w:left w:val="single" w:sz="4" w:space="0" w:color="auto"/>
              <w:bottom w:val="single" w:sz="4" w:space="0" w:color="auto"/>
              <w:right w:val="single" w:sz="4" w:space="0" w:color="auto"/>
            </w:tcBorders>
            <w:vAlign w:val="center"/>
          </w:tcPr>
          <w:p w14:paraId="4C367F5E"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38</w:t>
            </w:r>
          </w:p>
        </w:tc>
        <w:tc>
          <w:tcPr>
            <w:tcW w:w="539" w:type="dxa"/>
            <w:tcBorders>
              <w:top w:val="single" w:sz="18" w:space="0" w:color="auto"/>
              <w:left w:val="single" w:sz="4" w:space="0" w:color="auto"/>
              <w:bottom w:val="single" w:sz="4" w:space="0" w:color="auto"/>
              <w:right w:val="single" w:sz="4" w:space="0" w:color="auto"/>
            </w:tcBorders>
            <w:vAlign w:val="center"/>
          </w:tcPr>
          <w:p w14:paraId="61C1257E"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95%</w:t>
            </w:r>
          </w:p>
        </w:tc>
        <w:tc>
          <w:tcPr>
            <w:tcW w:w="613" w:type="dxa"/>
            <w:tcBorders>
              <w:top w:val="single" w:sz="18" w:space="0" w:color="auto"/>
              <w:left w:val="single" w:sz="4" w:space="0" w:color="auto"/>
              <w:bottom w:val="single" w:sz="4" w:space="0" w:color="auto"/>
              <w:right w:val="single" w:sz="4" w:space="0" w:color="auto"/>
            </w:tcBorders>
            <w:vAlign w:val="center"/>
          </w:tcPr>
          <w:p w14:paraId="49C845A3"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w:t>
            </w:r>
          </w:p>
        </w:tc>
        <w:tc>
          <w:tcPr>
            <w:tcW w:w="566" w:type="dxa"/>
            <w:tcBorders>
              <w:top w:val="single" w:sz="18" w:space="0" w:color="auto"/>
              <w:left w:val="single" w:sz="4" w:space="0" w:color="auto"/>
              <w:bottom w:val="single" w:sz="4" w:space="0" w:color="auto"/>
              <w:right w:val="single" w:sz="4" w:space="0" w:color="auto"/>
            </w:tcBorders>
            <w:vAlign w:val="center"/>
          </w:tcPr>
          <w:p w14:paraId="23246984"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5%</w:t>
            </w:r>
          </w:p>
        </w:tc>
        <w:tc>
          <w:tcPr>
            <w:tcW w:w="613" w:type="dxa"/>
            <w:tcBorders>
              <w:top w:val="single" w:sz="18" w:space="0" w:color="auto"/>
              <w:left w:val="single" w:sz="4" w:space="0" w:color="auto"/>
              <w:bottom w:val="single" w:sz="4" w:space="0" w:color="auto"/>
              <w:right w:val="single" w:sz="4" w:space="0" w:color="auto"/>
            </w:tcBorders>
            <w:vAlign w:val="center"/>
          </w:tcPr>
          <w:p w14:paraId="46F0A4A0"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w:t>
            </w:r>
          </w:p>
        </w:tc>
        <w:tc>
          <w:tcPr>
            <w:tcW w:w="608" w:type="dxa"/>
            <w:tcBorders>
              <w:top w:val="single" w:sz="18" w:space="0" w:color="auto"/>
              <w:left w:val="single" w:sz="4" w:space="0" w:color="auto"/>
              <w:bottom w:val="single" w:sz="4" w:space="0" w:color="auto"/>
            </w:tcBorders>
            <w:vAlign w:val="center"/>
          </w:tcPr>
          <w:p w14:paraId="18E86665"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rPr>
              <w:t>-</w:t>
            </w:r>
          </w:p>
        </w:tc>
      </w:tr>
      <w:tr w:rsidR="001D7399" w:rsidRPr="00202E2A" w14:paraId="5784FC87" w14:textId="77777777" w:rsidTr="00C16C3D">
        <w:trPr>
          <w:trHeight w:val="90"/>
        </w:trPr>
        <w:tc>
          <w:tcPr>
            <w:tcW w:w="368" w:type="dxa"/>
            <w:tcBorders>
              <w:top w:val="single" w:sz="4" w:space="0" w:color="auto"/>
              <w:bottom w:val="single" w:sz="4" w:space="0" w:color="auto"/>
              <w:right w:val="single" w:sz="4" w:space="0" w:color="auto"/>
            </w:tcBorders>
            <w:vAlign w:val="center"/>
          </w:tcPr>
          <w:p w14:paraId="5191D91A" w14:textId="6F3B3B18"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12</w:t>
            </w:r>
          </w:p>
        </w:tc>
        <w:tc>
          <w:tcPr>
            <w:tcW w:w="622" w:type="dxa"/>
            <w:vMerge/>
            <w:tcBorders>
              <w:left w:val="single" w:sz="4" w:space="0" w:color="auto"/>
              <w:right w:val="single" w:sz="4" w:space="0" w:color="auto"/>
            </w:tcBorders>
            <w:vAlign w:val="center"/>
          </w:tcPr>
          <w:p w14:paraId="6342A72A"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2067" w:type="dxa"/>
            <w:vMerge/>
            <w:tcBorders>
              <w:left w:val="single" w:sz="4" w:space="0" w:color="auto"/>
              <w:bottom w:val="single" w:sz="4" w:space="0" w:color="auto"/>
              <w:right w:val="single" w:sz="4" w:space="0" w:color="auto"/>
            </w:tcBorders>
            <w:vAlign w:val="center"/>
          </w:tcPr>
          <w:p w14:paraId="0F13E59B"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3655" w:type="dxa"/>
            <w:tcBorders>
              <w:top w:val="single" w:sz="4" w:space="0" w:color="auto"/>
              <w:left w:val="single" w:sz="4" w:space="0" w:color="auto"/>
              <w:bottom w:val="single" w:sz="4" w:space="0" w:color="auto"/>
              <w:right w:val="single" w:sz="4" w:space="0" w:color="auto"/>
            </w:tcBorders>
          </w:tcPr>
          <w:p w14:paraId="095C1BA4" w14:textId="77777777" w:rsidR="001D7399" w:rsidRPr="00490CC6" w:rsidRDefault="001D7399" w:rsidP="0019590B">
            <w:pPr>
              <w:bidi/>
              <w:spacing w:line="276" w:lineRule="auto"/>
              <w:jc w:val="lowKashida"/>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أفضل أن يُتاح الانفتاح على الأسواق العالمية لتحقيق توازن أفضل بين الإنتاج المحلي والاستيراد</w:t>
            </w:r>
            <w:r w:rsidRPr="00490CC6">
              <w:rPr>
                <w:rFonts w:asciiTheme="majorBidi" w:hAnsiTheme="majorBidi" w:cstheme="majorBidi"/>
                <w:b/>
                <w:bCs/>
                <w:sz w:val="20"/>
                <w:szCs w:val="20"/>
                <w:lang w:bidi="ar-EG"/>
              </w:rPr>
              <w:t>.</w:t>
            </w:r>
          </w:p>
        </w:tc>
        <w:tc>
          <w:tcPr>
            <w:tcW w:w="613" w:type="dxa"/>
            <w:tcBorders>
              <w:top w:val="single" w:sz="4" w:space="0" w:color="auto"/>
              <w:left w:val="single" w:sz="4" w:space="0" w:color="auto"/>
              <w:bottom w:val="single" w:sz="4" w:space="0" w:color="auto"/>
              <w:right w:val="single" w:sz="4" w:space="0" w:color="auto"/>
            </w:tcBorders>
            <w:vAlign w:val="center"/>
          </w:tcPr>
          <w:p w14:paraId="2D9D1C20"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29</w:t>
            </w:r>
          </w:p>
        </w:tc>
        <w:tc>
          <w:tcPr>
            <w:tcW w:w="539" w:type="dxa"/>
            <w:tcBorders>
              <w:top w:val="single" w:sz="4" w:space="0" w:color="auto"/>
              <w:left w:val="single" w:sz="4" w:space="0" w:color="auto"/>
              <w:bottom w:val="single" w:sz="4" w:space="0" w:color="auto"/>
              <w:right w:val="single" w:sz="4" w:space="0" w:color="auto"/>
            </w:tcBorders>
            <w:vAlign w:val="center"/>
          </w:tcPr>
          <w:p w14:paraId="7F4CBE47" w14:textId="51E6E7F2" w:rsidR="001D7399" w:rsidRPr="00490CC6" w:rsidRDefault="00BC22A0"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72</w:t>
            </w:r>
            <w:r w:rsidR="001D7399" w:rsidRPr="00490CC6">
              <w:rPr>
                <w:rFonts w:asciiTheme="majorBidi" w:hAnsiTheme="majorBidi" w:cstheme="majorBidi"/>
                <w:b/>
                <w:bCs/>
                <w:sz w:val="20"/>
                <w:szCs w:val="20"/>
              </w:rPr>
              <w:t>%</w:t>
            </w:r>
          </w:p>
        </w:tc>
        <w:tc>
          <w:tcPr>
            <w:tcW w:w="613" w:type="dxa"/>
            <w:tcBorders>
              <w:top w:val="single" w:sz="4" w:space="0" w:color="auto"/>
              <w:left w:val="single" w:sz="4" w:space="0" w:color="auto"/>
              <w:bottom w:val="single" w:sz="4" w:space="0" w:color="auto"/>
              <w:right w:val="single" w:sz="4" w:space="0" w:color="auto"/>
            </w:tcBorders>
            <w:vAlign w:val="center"/>
          </w:tcPr>
          <w:p w14:paraId="3E2CB503"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11</w:t>
            </w:r>
          </w:p>
        </w:tc>
        <w:tc>
          <w:tcPr>
            <w:tcW w:w="566" w:type="dxa"/>
            <w:tcBorders>
              <w:top w:val="single" w:sz="4" w:space="0" w:color="auto"/>
              <w:left w:val="single" w:sz="4" w:space="0" w:color="auto"/>
              <w:bottom w:val="single" w:sz="4" w:space="0" w:color="auto"/>
              <w:right w:val="single" w:sz="4" w:space="0" w:color="auto"/>
            </w:tcBorders>
            <w:vAlign w:val="center"/>
          </w:tcPr>
          <w:p w14:paraId="5428FA72" w14:textId="4D55E969" w:rsidR="001D7399" w:rsidRPr="00490CC6" w:rsidRDefault="00BC22A0"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27</w:t>
            </w:r>
            <w:r w:rsidR="001D7399" w:rsidRPr="00490CC6">
              <w:rPr>
                <w:rFonts w:asciiTheme="majorBidi" w:hAnsiTheme="majorBidi" w:cstheme="majorBidi"/>
                <w:b/>
                <w:bCs/>
                <w:sz w:val="20"/>
                <w:szCs w:val="20"/>
              </w:rPr>
              <w:t>%</w:t>
            </w:r>
          </w:p>
        </w:tc>
        <w:tc>
          <w:tcPr>
            <w:tcW w:w="613" w:type="dxa"/>
            <w:tcBorders>
              <w:top w:val="single" w:sz="4" w:space="0" w:color="auto"/>
              <w:left w:val="single" w:sz="4" w:space="0" w:color="auto"/>
              <w:bottom w:val="single" w:sz="4" w:space="0" w:color="auto"/>
              <w:right w:val="single" w:sz="4" w:space="0" w:color="auto"/>
            </w:tcBorders>
            <w:vAlign w:val="center"/>
          </w:tcPr>
          <w:p w14:paraId="431CD6C2"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w:t>
            </w:r>
          </w:p>
        </w:tc>
        <w:tc>
          <w:tcPr>
            <w:tcW w:w="608" w:type="dxa"/>
            <w:tcBorders>
              <w:top w:val="single" w:sz="4" w:space="0" w:color="auto"/>
              <w:left w:val="single" w:sz="4" w:space="0" w:color="auto"/>
              <w:bottom w:val="single" w:sz="4" w:space="0" w:color="auto"/>
            </w:tcBorders>
            <w:vAlign w:val="center"/>
          </w:tcPr>
          <w:p w14:paraId="4467A72B"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rPr>
              <w:t>-</w:t>
            </w:r>
          </w:p>
        </w:tc>
      </w:tr>
      <w:tr w:rsidR="001D7399" w:rsidRPr="00202E2A" w14:paraId="628B519F" w14:textId="77777777" w:rsidTr="00C16C3D">
        <w:trPr>
          <w:trHeight w:val="19"/>
        </w:trPr>
        <w:tc>
          <w:tcPr>
            <w:tcW w:w="368" w:type="dxa"/>
            <w:tcBorders>
              <w:top w:val="single" w:sz="4" w:space="0" w:color="auto"/>
              <w:bottom w:val="single" w:sz="4" w:space="0" w:color="auto"/>
              <w:right w:val="single" w:sz="4" w:space="0" w:color="auto"/>
            </w:tcBorders>
            <w:vAlign w:val="center"/>
          </w:tcPr>
          <w:p w14:paraId="23D8B411" w14:textId="4E56F0B1"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13</w:t>
            </w:r>
          </w:p>
        </w:tc>
        <w:tc>
          <w:tcPr>
            <w:tcW w:w="622" w:type="dxa"/>
            <w:vMerge/>
            <w:tcBorders>
              <w:left w:val="single" w:sz="4" w:space="0" w:color="auto"/>
              <w:right w:val="single" w:sz="4" w:space="0" w:color="auto"/>
            </w:tcBorders>
            <w:vAlign w:val="center"/>
          </w:tcPr>
          <w:p w14:paraId="4B80AEAA"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2067" w:type="dxa"/>
            <w:vMerge w:val="restart"/>
            <w:tcBorders>
              <w:top w:val="single" w:sz="4" w:space="0" w:color="auto"/>
              <w:left w:val="single" w:sz="4" w:space="0" w:color="auto"/>
              <w:right w:val="single" w:sz="4" w:space="0" w:color="auto"/>
            </w:tcBorders>
            <w:vAlign w:val="center"/>
          </w:tcPr>
          <w:p w14:paraId="22B99C55"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rPr>
              <w:t>البُعد التكنولوجي</w:t>
            </w:r>
          </w:p>
        </w:tc>
        <w:tc>
          <w:tcPr>
            <w:tcW w:w="3655" w:type="dxa"/>
            <w:tcBorders>
              <w:top w:val="single" w:sz="4" w:space="0" w:color="auto"/>
              <w:left w:val="single" w:sz="4" w:space="0" w:color="auto"/>
              <w:bottom w:val="single" w:sz="4" w:space="0" w:color="auto"/>
              <w:right w:val="single" w:sz="4" w:space="0" w:color="auto"/>
            </w:tcBorders>
          </w:tcPr>
          <w:p w14:paraId="45AF23EC" w14:textId="77777777" w:rsidR="001D7399" w:rsidRPr="00490CC6" w:rsidRDefault="001D7399" w:rsidP="0019590B">
            <w:pPr>
              <w:bidi/>
              <w:spacing w:line="276" w:lineRule="auto"/>
              <w:jc w:val="lowKashida"/>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 xml:space="preserve">  </w:t>
            </w:r>
            <w:r w:rsidRPr="00490CC6">
              <w:rPr>
                <w:rFonts w:asciiTheme="majorBidi" w:hAnsiTheme="majorBidi" w:cstheme="majorBidi"/>
                <w:b/>
                <w:bCs/>
                <w:sz w:val="20"/>
                <w:szCs w:val="20"/>
                <w:rtl/>
                <w:lang w:bidi="ar-EG"/>
              </w:rPr>
              <w:t>أوافق على أن تبني التقنيات الرقمية مثل الذكاء الاصطناعي و</w:t>
            </w:r>
            <w:r w:rsidRPr="00490CC6">
              <w:rPr>
                <w:rFonts w:asciiTheme="majorBidi" w:hAnsiTheme="majorBidi" w:cstheme="majorBidi"/>
                <w:b/>
                <w:bCs/>
                <w:sz w:val="20"/>
                <w:szCs w:val="20"/>
                <w:lang w:bidi="ar-EG"/>
              </w:rPr>
              <w:t xml:space="preserve">Blockchain </w:t>
            </w:r>
            <w:r w:rsidRPr="00490CC6">
              <w:rPr>
                <w:rFonts w:asciiTheme="majorBidi" w:hAnsiTheme="majorBidi" w:cstheme="majorBidi"/>
                <w:b/>
                <w:bCs/>
                <w:sz w:val="20"/>
                <w:szCs w:val="20"/>
                <w:rtl/>
                <w:lang w:bidi="ar-EG"/>
              </w:rPr>
              <w:t>يُحسّن كفاءة سلاسل التوريد ويقلل من التزوير</w:t>
            </w:r>
            <w:r w:rsidRPr="00490CC6">
              <w:rPr>
                <w:rFonts w:asciiTheme="majorBidi" w:hAnsiTheme="majorBidi" w:cstheme="majorBidi"/>
                <w:b/>
                <w:bCs/>
                <w:sz w:val="20"/>
                <w:szCs w:val="20"/>
                <w:lang w:bidi="ar-EG"/>
              </w:rPr>
              <w:t>.</w:t>
            </w:r>
          </w:p>
        </w:tc>
        <w:tc>
          <w:tcPr>
            <w:tcW w:w="613" w:type="dxa"/>
            <w:tcBorders>
              <w:top w:val="single" w:sz="4" w:space="0" w:color="auto"/>
              <w:left w:val="single" w:sz="4" w:space="0" w:color="auto"/>
              <w:bottom w:val="single" w:sz="4" w:space="0" w:color="auto"/>
              <w:right w:val="single" w:sz="4" w:space="0" w:color="auto"/>
            </w:tcBorders>
            <w:vAlign w:val="center"/>
          </w:tcPr>
          <w:p w14:paraId="6B01F3AB"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26</w:t>
            </w:r>
          </w:p>
        </w:tc>
        <w:tc>
          <w:tcPr>
            <w:tcW w:w="539" w:type="dxa"/>
            <w:tcBorders>
              <w:top w:val="single" w:sz="4" w:space="0" w:color="auto"/>
              <w:left w:val="single" w:sz="4" w:space="0" w:color="auto"/>
              <w:bottom w:val="single" w:sz="4" w:space="0" w:color="auto"/>
              <w:right w:val="single" w:sz="4" w:space="0" w:color="auto"/>
            </w:tcBorders>
            <w:vAlign w:val="center"/>
          </w:tcPr>
          <w:p w14:paraId="44EDC648"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78%</w:t>
            </w:r>
          </w:p>
        </w:tc>
        <w:tc>
          <w:tcPr>
            <w:tcW w:w="613" w:type="dxa"/>
            <w:tcBorders>
              <w:top w:val="single" w:sz="4" w:space="0" w:color="auto"/>
              <w:left w:val="single" w:sz="4" w:space="0" w:color="auto"/>
              <w:bottom w:val="single" w:sz="4" w:space="0" w:color="auto"/>
              <w:right w:val="single" w:sz="4" w:space="0" w:color="auto"/>
            </w:tcBorders>
            <w:vAlign w:val="center"/>
          </w:tcPr>
          <w:p w14:paraId="70DC8601"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12</w:t>
            </w:r>
          </w:p>
        </w:tc>
        <w:tc>
          <w:tcPr>
            <w:tcW w:w="566" w:type="dxa"/>
            <w:tcBorders>
              <w:top w:val="single" w:sz="4" w:space="0" w:color="auto"/>
              <w:left w:val="single" w:sz="4" w:space="0" w:color="auto"/>
              <w:bottom w:val="single" w:sz="4" w:space="0" w:color="auto"/>
              <w:right w:val="single" w:sz="4" w:space="0" w:color="auto"/>
            </w:tcBorders>
            <w:vAlign w:val="center"/>
          </w:tcPr>
          <w:p w14:paraId="570DCA00"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30%</w:t>
            </w:r>
          </w:p>
        </w:tc>
        <w:tc>
          <w:tcPr>
            <w:tcW w:w="613" w:type="dxa"/>
            <w:tcBorders>
              <w:top w:val="single" w:sz="4" w:space="0" w:color="auto"/>
              <w:left w:val="single" w:sz="4" w:space="0" w:color="auto"/>
              <w:bottom w:val="single" w:sz="4" w:space="0" w:color="auto"/>
              <w:right w:val="single" w:sz="4" w:space="0" w:color="auto"/>
            </w:tcBorders>
            <w:vAlign w:val="center"/>
          </w:tcPr>
          <w:p w14:paraId="470B42BB"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w:t>
            </w:r>
          </w:p>
        </w:tc>
        <w:tc>
          <w:tcPr>
            <w:tcW w:w="608" w:type="dxa"/>
            <w:tcBorders>
              <w:top w:val="single" w:sz="4" w:space="0" w:color="auto"/>
              <w:left w:val="single" w:sz="4" w:space="0" w:color="auto"/>
              <w:bottom w:val="single" w:sz="4" w:space="0" w:color="auto"/>
            </w:tcBorders>
            <w:vAlign w:val="center"/>
          </w:tcPr>
          <w:p w14:paraId="160BECE2"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5%</w:t>
            </w:r>
          </w:p>
        </w:tc>
      </w:tr>
      <w:tr w:rsidR="001D7399" w:rsidRPr="00202E2A" w14:paraId="65CE2430" w14:textId="77777777" w:rsidTr="00C16C3D">
        <w:trPr>
          <w:trHeight w:val="189"/>
        </w:trPr>
        <w:tc>
          <w:tcPr>
            <w:tcW w:w="368" w:type="dxa"/>
            <w:tcBorders>
              <w:top w:val="single" w:sz="4" w:space="0" w:color="auto"/>
              <w:bottom w:val="single" w:sz="4" w:space="0" w:color="auto"/>
              <w:right w:val="single" w:sz="4" w:space="0" w:color="auto"/>
            </w:tcBorders>
            <w:vAlign w:val="center"/>
          </w:tcPr>
          <w:p w14:paraId="15C73175" w14:textId="785CA292"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14</w:t>
            </w:r>
          </w:p>
        </w:tc>
        <w:tc>
          <w:tcPr>
            <w:tcW w:w="622" w:type="dxa"/>
            <w:vMerge/>
            <w:tcBorders>
              <w:left w:val="single" w:sz="4" w:space="0" w:color="auto"/>
              <w:right w:val="single" w:sz="4" w:space="0" w:color="auto"/>
            </w:tcBorders>
            <w:vAlign w:val="center"/>
          </w:tcPr>
          <w:p w14:paraId="15C1102D"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2067" w:type="dxa"/>
            <w:vMerge/>
            <w:tcBorders>
              <w:left w:val="single" w:sz="4" w:space="0" w:color="auto"/>
              <w:bottom w:val="single" w:sz="4" w:space="0" w:color="auto"/>
              <w:right w:val="single" w:sz="4" w:space="0" w:color="auto"/>
            </w:tcBorders>
            <w:vAlign w:val="center"/>
          </w:tcPr>
          <w:p w14:paraId="2A964A71"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3655" w:type="dxa"/>
            <w:tcBorders>
              <w:top w:val="single" w:sz="4" w:space="0" w:color="auto"/>
              <w:left w:val="single" w:sz="4" w:space="0" w:color="auto"/>
              <w:bottom w:val="single" w:sz="4" w:space="0" w:color="auto"/>
              <w:right w:val="single" w:sz="4" w:space="0" w:color="auto"/>
            </w:tcBorders>
          </w:tcPr>
          <w:p w14:paraId="62B29E73" w14:textId="77777777" w:rsidR="001D7399" w:rsidRPr="00490CC6" w:rsidRDefault="001D7399" w:rsidP="0019590B">
            <w:pPr>
              <w:bidi/>
              <w:spacing w:line="276" w:lineRule="auto"/>
              <w:jc w:val="lowKashida"/>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أفضل استثمار المزيد من الموارد في التحول الرقمي لتجسير الفجوات التكنولوجية بين الدول</w:t>
            </w:r>
            <w:r w:rsidRPr="00490CC6">
              <w:rPr>
                <w:rFonts w:asciiTheme="majorBidi" w:hAnsiTheme="majorBidi" w:cstheme="majorBidi"/>
                <w:b/>
                <w:bCs/>
                <w:sz w:val="20"/>
                <w:szCs w:val="20"/>
                <w:lang w:bidi="ar-EG"/>
              </w:rPr>
              <w:t>.</w:t>
            </w:r>
          </w:p>
        </w:tc>
        <w:tc>
          <w:tcPr>
            <w:tcW w:w="613" w:type="dxa"/>
            <w:tcBorders>
              <w:top w:val="single" w:sz="4" w:space="0" w:color="auto"/>
              <w:left w:val="single" w:sz="4" w:space="0" w:color="auto"/>
              <w:bottom w:val="single" w:sz="4" w:space="0" w:color="auto"/>
              <w:right w:val="single" w:sz="4" w:space="0" w:color="auto"/>
            </w:tcBorders>
            <w:vAlign w:val="center"/>
          </w:tcPr>
          <w:p w14:paraId="797593F7"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34</w:t>
            </w:r>
          </w:p>
        </w:tc>
        <w:tc>
          <w:tcPr>
            <w:tcW w:w="539" w:type="dxa"/>
            <w:tcBorders>
              <w:top w:val="single" w:sz="4" w:space="0" w:color="auto"/>
              <w:left w:val="single" w:sz="4" w:space="0" w:color="auto"/>
              <w:bottom w:val="single" w:sz="4" w:space="0" w:color="auto"/>
              <w:right w:val="single" w:sz="4" w:space="0" w:color="auto"/>
            </w:tcBorders>
            <w:vAlign w:val="center"/>
          </w:tcPr>
          <w:p w14:paraId="2EBA640A"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85%</w:t>
            </w:r>
          </w:p>
        </w:tc>
        <w:tc>
          <w:tcPr>
            <w:tcW w:w="613" w:type="dxa"/>
            <w:tcBorders>
              <w:top w:val="single" w:sz="4" w:space="0" w:color="auto"/>
              <w:left w:val="single" w:sz="4" w:space="0" w:color="auto"/>
              <w:bottom w:val="single" w:sz="4" w:space="0" w:color="auto"/>
              <w:right w:val="single" w:sz="4" w:space="0" w:color="auto"/>
            </w:tcBorders>
            <w:vAlign w:val="center"/>
          </w:tcPr>
          <w:p w14:paraId="3F9CB078"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6</w:t>
            </w:r>
          </w:p>
        </w:tc>
        <w:tc>
          <w:tcPr>
            <w:tcW w:w="566" w:type="dxa"/>
            <w:tcBorders>
              <w:top w:val="single" w:sz="4" w:space="0" w:color="auto"/>
              <w:left w:val="single" w:sz="4" w:space="0" w:color="auto"/>
              <w:bottom w:val="single" w:sz="4" w:space="0" w:color="auto"/>
              <w:right w:val="single" w:sz="4" w:space="0" w:color="auto"/>
            </w:tcBorders>
            <w:vAlign w:val="center"/>
          </w:tcPr>
          <w:p w14:paraId="792AC774"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15%</w:t>
            </w:r>
          </w:p>
        </w:tc>
        <w:tc>
          <w:tcPr>
            <w:tcW w:w="613" w:type="dxa"/>
            <w:tcBorders>
              <w:top w:val="single" w:sz="4" w:space="0" w:color="auto"/>
              <w:left w:val="single" w:sz="4" w:space="0" w:color="auto"/>
              <w:bottom w:val="single" w:sz="4" w:space="0" w:color="auto"/>
              <w:right w:val="single" w:sz="4" w:space="0" w:color="auto"/>
            </w:tcBorders>
            <w:vAlign w:val="center"/>
          </w:tcPr>
          <w:p w14:paraId="7932A180"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w:t>
            </w:r>
          </w:p>
        </w:tc>
        <w:tc>
          <w:tcPr>
            <w:tcW w:w="608" w:type="dxa"/>
            <w:tcBorders>
              <w:top w:val="single" w:sz="4" w:space="0" w:color="auto"/>
              <w:left w:val="single" w:sz="4" w:space="0" w:color="auto"/>
              <w:bottom w:val="single" w:sz="4" w:space="0" w:color="auto"/>
            </w:tcBorders>
            <w:vAlign w:val="center"/>
          </w:tcPr>
          <w:p w14:paraId="266AAF27"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rPr>
              <w:t>-</w:t>
            </w:r>
          </w:p>
        </w:tc>
      </w:tr>
      <w:tr w:rsidR="001D7399" w:rsidRPr="00202E2A" w14:paraId="056731AE" w14:textId="77777777" w:rsidTr="00C16C3D">
        <w:trPr>
          <w:trHeight w:val="19"/>
        </w:trPr>
        <w:tc>
          <w:tcPr>
            <w:tcW w:w="368" w:type="dxa"/>
            <w:tcBorders>
              <w:top w:val="single" w:sz="4" w:space="0" w:color="auto"/>
              <w:bottom w:val="single" w:sz="4" w:space="0" w:color="auto"/>
              <w:right w:val="single" w:sz="4" w:space="0" w:color="auto"/>
            </w:tcBorders>
            <w:vAlign w:val="center"/>
          </w:tcPr>
          <w:p w14:paraId="304F280B" w14:textId="15E1D929" w:rsidR="001D7399" w:rsidRPr="00490CC6" w:rsidRDefault="00BC22A0"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15</w:t>
            </w:r>
          </w:p>
        </w:tc>
        <w:tc>
          <w:tcPr>
            <w:tcW w:w="622" w:type="dxa"/>
            <w:vMerge/>
            <w:tcBorders>
              <w:left w:val="single" w:sz="4" w:space="0" w:color="auto"/>
              <w:right w:val="single" w:sz="4" w:space="0" w:color="auto"/>
            </w:tcBorders>
            <w:vAlign w:val="center"/>
          </w:tcPr>
          <w:p w14:paraId="67C00955"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2067" w:type="dxa"/>
            <w:vMerge w:val="restart"/>
            <w:tcBorders>
              <w:top w:val="single" w:sz="4" w:space="0" w:color="auto"/>
              <w:left w:val="single" w:sz="4" w:space="0" w:color="auto"/>
              <w:right w:val="single" w:sz="4" w:space="0" w:color="auto"/>
            </w:tcBorders>
            <w:vAlign w:val="center"/>
          </w:tcPr>
          <w:p w14:paraId="4D32EBD4"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rPr>
              <w:t>تقليل التهرب الضريبي وتعزيز الامتثال</w:t>
            </w:r>
          </w:p>
        </w:tc>
        <w:tc>
          <w:tcPr>
            <w:tcW w:w="3655" w:type="dxa"/>
            <w:tcBorders>
              <w:top w:val="single" w:sz="4" w:space="0" w:color="auto"/>
              <w:left w:val="single" w:sz="4" w:space="0" w:color="auto"/>
              <w:bottom w:val="single" w:sz="4" w:space="0" w:color="auto"/>
              <w:right w:val="single" w:sz="4" w:space="0" w:color="auto"/>
            </w:tcBorders>
          </w:tcPr>
          <w:p w14:paraId="358DF7B6" w14:textId="77777777" w:rsidR="001D7399" w:rsidRPr="00490CC6" w:rsidRDefault="001D7399" w:rsidP="0019590B">
            <w:pPr>
              <w:bidi/>
              <w:spacing w:line="276" w:lineRule="auto"/>
              <w:jc w:val="lowKashida"/>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أعتقد أن تطبيق أنظمة الفوترة الإلكترونية يعزز الشفافية ويحد من فرص التهرب الضريبي</w:t>
            </w:r>
            <w:r w:rsidRPr="00490CC6">
              <w:rPr>
                <w:rFonts w:asciiTheme="majorBidi" w:hAnsiTheme="majorBidi" w:cstheme="majorBidi"/>
                <w:b/>
                <w:bCs/>
                <w:sz w:val="20"/>
                <w:szCs w:val="20"/>
                <w:lang w:bidi="ar-EG"/>
              </w:rPr>
              <w:t>.</w:t>
            </w:r>
          </w:p>
        </w:tc>
        <w:tc>
          <w:tcPr>
            <w:tcW w:w="613" w:type="dxa"/>
            <w:tcBorders>
              <w:top w:val="single" w:sz="4" w:space="0" w:color="auto"/>
              <w:left w:val="single" w:sz="4" w:space="0" w:color="auto"/>
              <w:bottom w:val="single" w:sz="4" w:space="0" w:color="auto"/>
              <w:right w:val="single" w:sz="4" w:space="0" w:color="auto"/>
            </w:tcBorders>
            <w:vAlign w:val="center"/>
          </w:tcPr>
          <w:p w14:paraId="2264D6D6"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33</w:t>
            </w:r>
          </w:p>
        </w:tc>
        <w:tc>
          <w:tcPr>
            <w:tcW w:w="539" w:type="dxa"/>
            <w:tcBorders>
              <w:top w:val="single" w:sz="4" w:space="0" w:color="auto"/>
              <w:left w:val="single" w:sz="4" w:space="0" w:color="auto"/>
              <w:bottom w:val="single" w:sz="4" w:space="0" w:color="auto"/>
              <w:right w:val="single" w:sz="4" w:space="0" w:color="auto"/>
            </w:tcBorders>
            <w:vAlign w:val="center"/>
          </w:tcPr>
          <w:p w14:paraId="1192A1CB"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82%</w:t>
            </w:r>
          </w:p>
        </w:tc>
        <w:tc>
          <w:tcPr>
            <w:tcW w:w="613" w:type="dxa"/>
            <w:tcBorders>
              <w:top w:val="single" w:sz="4" w:space="0" w:color="auto"/>
              <w:left w:val="single" w:sz="4" w:space="0" w:color="auto"/>
              <w:bottom w:val="single" w:sz="4" w:space="0" w:color="auto"/>
              <w:right w:val="single" w:sz="4" w:space="0" w:color="auto"/>
            </w:tcBorders>
            <w:vAlign w:val="center"/>
          </w:tcPr>
          <w:p w14:paraId="41559840"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5</w:t>
            </w:r>
          </w:p>
        </w:tc>
        <w:tc>
          <w:tcPr>
            <w:tcW w:w="566" w:type="dxa"/>
            <w:tcBorders>
              <w:top w:val="single" w:sz="4" w:space="0" w:color="auto"/>
              <w:left w:val="single" w:sz="4" w:space="0" w:color="auto"/>
              <w:bottom w:val="single" w:sz="4" w:space="0" w:color="auto"/>
              <w:right w:val="single" w:sz="4" w:space="0" w:color="auto"/>
            </w:tcBorders>
            <w:vAlign w:val="center"/>
          </w:tcPr>
          <w:p w14:paraId="0BBEAF3D"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13%</w:t>
            </w:r>
          </w:p>
        </w:tc>
        <w:tc>
          <w:tcPr>
            <w:tcW w:w="613" w:type="dxa"/>
            <w:tcBorders>
              <w:top w:val="single" w:sz="4" w:space="0" w:color="auto"/>
              <w:left w:val="single" w:sz="4" w:space="0" w:color="auto"/>
              <w:bottom w:val="single" w:sz="4" w:space="0" w:color="auto"/>
              <w:right w:val="single" w:sz="4" w:space="0" w:color="auto"/>
            </w:tcBorders>
            <w:vAlign w:val="center"/>
          </w:tcPr>
          <w:p w14:paraId="2D555E6D"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w:t>
            </w:r>
          </w:p>
        </w:tc>
        <w:tc>
          <w:tcPr>
            <w:tcW w:w="608" w:type="dxa"/>
            <w:tcBorders>
              <w:top w:val="single" w:sz="4" w:space="0" w:color="auto"/>
              <w:left w:val="single" w:sz="4" w:space="0" w:color="auto"/>
              <w:bottom w:val="single" w:sz="4" w:space="0" w:color="auto"/>
            </w:tcBorders>
            <w:vAlign w:val="center"/>
          </w:tcPr>
          <w:p w14:paraId="3F1435F8"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5%</w:t>
            </w:r>
          </w:p>
        </w:tc>
      </w:tr>
      <w:tr w:rsidR="001D7399" w:rsidRPr="00202E2A" w14:paraId="335BF743" w14:textId="77777777" w:rsidTr="00C16C3D">
        <w:trPr>
          <w:trHeight w:val="20"/>
        </w:trPr>
        <w:tc>
          <w:tcPr>
            <w:tcW w:w="368" w:type="dxa"/>
            <w:tcBorders>
              <w:top w:val="single" w:sz="4" w:space="0" w:color="auto"/>
              <w:bottom w:val="single" w:sz="4" w:space="0" w:color="auto"/>
              <w:right w:val="single" w:sz="4" w:space="0" w:color="auto"/>
            </w:tcBorders>
            <w:vAlign w:val="center"/>
          </w:tcPr>
          <w:p w14:paraId="62E997BB" w14:textId="6F6B3703" w:rsidR="001D7399" w:rsidRPr="00490CC6" w:rsidRDefault="00BC22A0"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16</w:t>
            </w:r>
          </w:p>
        </w:tc>
        <w:tc>
          <w:tcPr>
            <w:tcW w:w="622" w:type="dxa"/>
            <w:vMerge/>
            <w:tcBorders>
              <w:left w:val="single" w:sz="4" w:space="0" w:color="auto"/>
              <w:right w:val="single" w:sz="4" w:space="0" w:color="auto"/>
            </w:tcBorders>
            <w:vAlign w:val="center"/>
          </w:tcPr>
          <w:p w14:paraId="366ED1A0"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2067" w:type="dxa"/>
            <w:vMerge/>
            <w:tcBorders>
              <w:left w:val="single" w:sz="4" w:space="0" w:color="auto"/>
              <w:bottom w:val="single" w:sz="4" w:space="0" w:color="auto"/>
              <w:right w:val="single" w:sz="4" w:space="0" w:color="auto"/>
            </w:tcBorders>
            <w:vAlign w:val="center"/>
          </w:tcPr>
          <w:p w14:paraId="546CC828"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3655" w:type="dxa"/>
            <w:tcBorders>
              <w:top w:val="single" w:sz="4" w:space="0" w:color="auto"/>
              <w:left w:val="single" w:sz="4" w:space="0" w:color="auto"/>
              <w:bottom w:val="single" w:sz="4" w:space="0" w:color="auto"/>
              <w:right w:val="single" w:sz="4" w:space="0" w:color="auto"/>
            </w:tcBorders>
          </w:tcPr>
          <w:p w14:paraId="6C4788FC" w14:textId="77777777" w:rsidR="001D7399" w:rsidRPr="00490CC6" w:rsidRDefault="001D7399" w:rsidP="0019590B">
            <w:pPr>
              <w:bidi/>
              <w:spacing w:line="276" w:lineRule="auto"/>
              <w:jc w:val="lowKashida"/>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أوافق على أن استخدام تقنيات الذكاء الاصطناعي في التحليل الاستباقي للبيانات يساعد في كشف محاولات التهرب الضريبي قبل وقوعها</w:t>
            </w:r>
            <w:r w:rsidRPr="00490CC6">
              <w:rPr>
                <w:rFonts w:asciiTheme="majorBidi" w:hAnsiTheme="majorBidi" w:cstheme="majorBidi"/>
                <w:b/>
                <w:bCs/>
                <w:sz w:val="20"/>
                <w:szCs w:val="20"/>
                <w:lang w:bidi="ar-EG"/>
              </w:rPr>
              <w:t>.</w:t>
            </w:r>
          </w:p>
        </w:tc>
        <w:tc>
          <w:tcPr>
            <w:tcW w:w="613" w:type="dxa"/>
            <w:tcBorders>
              <w:top w:val="single" w:sz="4" w:space="0" w:color="auto"/>
              <w:left w:val="single" w:sz="4" w:space="0" w:color="auto"/>
              <w:bottom w:val="single" w:sz="4" w:space="0" w:color="auto"/>
              <w:right w:val="single" w:sz="4" w:space="0" w:color="auto"/>
            </w:tcBorders>
            <w:vAlign w:val="center"/>
          </w:tcPr>
          <w:p w14:paraId="0F5F1F50"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35</w:t>
            </w:r>
          </w:p>
        </w:tc>
        <w:tc>
          <w:tcPr>
            <w:tcW w:w="539" w:type="dxa"/>
            <w:tcBorders>
              <w:top w:val="single" w:sz="4" w:space="0" w:color="auto"/>
              <w:left w:val="single" w:sz="4" w:space="0" w:color="auto"/>
              <w:bottom w:val="single" w:sz="4" w:space="0" w:color="auto"/>
              <w:right w:val="single" w:sz="4" w:space="0" w:color="auto"/>
            </w:tcBorders>
            <w:vAlign w:val="center"/>
          </w:tcPr>
          <w:p w14:paraId="4F410BF7"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87%</w:t>
            </w:r>
          </w:p>
        </w:tc>
        <w:tc>
          <w:tcPr>
            <w:tcW w:w="613" w:type="dxa"/>
            <w:tcBorders>
              <w:top w:val="single" w:sz="4" w:space="0" w:color="auto"/>
              <w:left w:val="single" w:sz="4" w:space="0" w:color="auto"/>
              <w:bottom w:val="single" w:sz="4" w:space="0" w:color="auto"/>
              <w:right w:val="single" w:sz="4" w:space="0" w:color="auto"/>
            </w:tcBorders>
            <w:vAlign w:val="center"/>
          </w:tcPr>
          <w:p w14:paraId="0D74DCA6"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4</w:t>
            </w:r>
          </w:p>
        </w:tc>
        <w:tc>
          <w:tcPr>
            <w:tcW w:w="566" w:type="dxa"/>
            <w:tcBorders>
              <w:top w:val="single" w:sz="4" w:space="0" w:color="auto"/>
              <w:left w:val="single" w:sz="4" w:space="0" w:color="auto"/>
              <w:bottom w:val="single" w:sz="4" w:space="0" w:color="auto"/>
              <w:right w:val="single" w:sz="4" w:space="0" w:color="auto"/>
            </w:tcBorders>
            <w:vAlign w:val="center"/>
          </w:tcPr>
          <w:p w14:paraId="57417E95"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10%</w:t>
            </w:r>
          </w:p>
        </w:tc>
        <w:tc>
          <w:tcPr>
            <w:tcW w:w="613" w:type="dxa"/>
            <w:tcBorders>
              <w:top w:val="single" w:sz="4" w:space="0" w:color="auto"/>
              <w:left w:val="single" w:sz="4" w:space="0" w:color="auto"/>
              <w:bottom w:val="single" w:sz="4" w:space="0" w:color="auto"/>
              <w:right w:val="single" w:sz="4" w:space="0" w:color="auto"/>
            </w:tcBorders>
            <w:vAlign w:val="center"/>
          </w:tcPr>
          <w:p w14:paraId="06A1EF67"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w:t>
            </w:r>
          </w:p>
        </w:tc>
        <w:tc>
          <w:tcPr>
            <w:tcW w:w="608" w:type="dxa"/>
            <w:tcBorders>
              <w:top w:val="single" w:sz="4" w:space="0" w:color="auto"/>
              <w:left w:val="single" w:sz="4" w:space="0" w:color="auto"/>
              <w:bottom w:val="single" w:sz="4" w:space="0" w:color="auto"/>
            </w:tcBorders>
            <w:vAlign w:val="center"/>
          </w:tcPr>
          <w:p w14:paraId="0D69EAA8"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3%</w:t>
            </w:r>
          </w:p>
        </w:tc>
      </w:tr>
      <w:tr w:rsidR="001D7399" w:rsidRPr="00202E2A" w14:paraId="0DF295EF" w14:textId="77777777" w:rsidTr="00C16C3D">
        <w:trPr>
          <w:trHeight w:val="20"/>
        </w:trPr>
        <w:tc>
          <w:tcPr>
            <w:tcW w:w="368" w:type="dxa"/>
            <w:tcBorders>
              <w:top w:val="single" w:sz="4" w:space="0" w:color="auto"/>
              <w:bottom w:val="single" w:sz="4" w:space="0" w:color="auto"/>
              <w:right w:val="single" w:sz="4" w:space="0" w:color="auto"/>
            </w:tcBorders>
            <w:vAlign w:val="center"/>
          </w:tcPr>
          <w:p w14:paraId="6A29A313" w14:textId="04388562" w:rsidR="001D7399" w:rsidRPr="00490CC6" w:rsidRDefault="00BC22A0"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17</w:t>
            </w:r>
          </w:p>
        </w:tc>
        <w:tc>
          <w:tcPr>
            <w:tcW w:w="622" w:type="dxa"/>
            <w:vMerge/>
            <w:tcBorders>
              <w:left w:val="single" w:sz="4" w:space="0" w:color="auto"/>
              <w:right w:val="single" w:sz="4" w:space="0" w:color="auto"/>
            </w:tcBorders>
            <w:vAlign w:val="center"/>
          </w:tcPr>
          <w:p w14:paraId="5A61F2A8"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2067" w:type="dxa"/>
            <w:vMerge w:val="restart"/>
            <w:tcBorders>
              <w:top w:val="single" w:sz="2" w:space="0" w:color="auto"/>
              <w:left w:val="single" w:sz="4" w:space="0" w:color="auto"/>
              <w:right w:val="single" w:sz="4" w:space="0" w:color="auto"/>
            </w:tcBorders>
            <w:vAlign w:val="center"/>
          </w:tcPr>
          <w:p w14:paraId="7AA7004D"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rPr>
              <w:t>البُعد البيئي</w:t>
            </w:r>
          </w:p>
        </w:tc>
        <w:tc>
          <w:tcPr>
            <w:tcW w:w="3655" w:type="dxa"/>
            <w:tcBorders>
              <w:top w:val="single" w:sz="4" w:space="0" w:color="auto"/>
              <w:left w:val="single" w:sz="4" w:space="0" w:color="auto"/>
              <w:bottom w:val="single" w:sz="4" w:space="0" w:color="auto"/>
              <w:right w:val="single" w:sz="4" w:space="0" w:color="auto"/>
            </w:tcBorders>
            <w:vAlign w:val="center"/>
          </w:tcPr>
          <w:p w14:paraId="73C3920A" w14:textId="77777777" w:rsidR="001D7399" w:rsidRPr="00490CC6" w:rsidRDefault="001D7399" w:rsidP="0019590B">
            <w:pPr>
              <w:bidi/>
              <w:spacing w:line="276" w:lineRule="auto"/>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 xml:space="preserve">  </w:t>
            </w:r>
            <w:r w:rsidRPr="00490CC6">
              <w:rPr>
                <w:rFonts w:asciiTheme="majorBidi" w:hAnsiTheme="majorBidi" w:cstheme="majorBidi"/>
                <w:b/>
                <w:bCs/>
                <w:sz w:val="20"/>
                <w:szCs w:val="20"/>
                <w:rtl/>
                <w:lang w:bidi="ar-EG"/>
              </w:rPr>
              <w:t>أوافق على أن تعزيز التجارة الخضراء والمنتجات الصديقة للبيئة يُقلل من البصمة الكربونية ويساهم في الاستدامة</w:t>
            </w:r>
            <w:r w:rsidRPr="00490CC6">
              <w:rPr>
                <w:rFonts w:asciiTheme="majorBidi" w:hAnsiTheme="majorBidi" w:cstheme="majorBidi"/>
                <w:b/>
                <w:bCs/>
                <w:sz w:val="20"/>
                <w:szCs w:val="20"/>
                <w:lang w:bidi="ar-EG"/>
              </w:rPr>
              <w:t>.</w:t>
            </w:r>
          </w:p>
        </w:tc>
        <w:tc>
          <w:tcPr>
            <w:tcW w:w="613" w:type="dxa"/>
            <w:tcBorders>
              <w:top w:val="single" w:sz="4" w:space="0" w:color="auto"/>
              <w:left w:val="single" w:sz="4" w:space="0" w:color="auto"/>
              <w:bottom w:val="single" w:sz="4" w:space="0" w:color="auto"/>
              <w:right w:val="single" w:sz="4" w:space="0" w:color="auto"/>
            </w:tcBorders>
            <w:vAlign w:val="center"/>
          </w:tcPr>
          <w:p w14:paraId="30C68471"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26</w:t>
            </w:r>
          </w:p>
        </w:tc>
        <w:tc>
          <w:tcPr>
            <w:tcW w:w="539" w:type="dxa"/>
            <w:tcBorders>
              <w:top w:val="single" w:sz="4" w:space="0" w:color="auto"/>
              <w:left w:val="single" w:sz="4" w:space="0" w:color="auto"/>
              <w:bottom w:val="single" w:sz="4" w:space="0" w:color="auto"/>
              <w:right w:val="single" w:sz="4" w:space="0" w:color="auto"/>
            </w:tcBorders>
            <w:vAlign w:val="center"/>
          </w:tcPr>
          <w:p w14:paraId="4AD3B1CD"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78%</w:t>
            </w:r>
          </w:p>
        </w:tc>
        <w:tc>
          <w:tcPr>
            <w:tcW w:w="613" w:type="dxa"/>
            <w:tcBorders>
              <w:top w:val="single" w:sz="4" w:space="0" w:color="auto"/>
              <w:left w:val="single" w:sz="4" w:space="0" w:color="auto"/>
              <w:bottom w:val="single" w:sz="4" w:space="0" w:color="auto"/>
              <w:right w:val="single" w:sz="4" w:space="0" w:color="auto"/>
            </w:tcBorders>
            <w:vAlign w:val="center"/>
          </w:tcPr>
          <w:p w14:paraId="3658DBA4"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12</w:t>
            </w:r>
          </w:p>
        </w:tc>
        <w:tc>
          <w:tcPr>
            <w:tcW w:w="566" w:type="dxa"/>
            <w:tcBorders>
              <w:top w:val="single" w:sz="4" w:space="0" w:color="auto"/>
              <w:left w:val="single" w:sz="4" w:space="0" w:color="auto"/>
              <w:bottom w:val="single" w:sz="4" w:space="0" w:color="auto"/>
              <w:right w:val="single" w:sz="4" w:space="0" w:color="auto"/>
            </w:tcBorders>
            <w:vAlign w:val="center"/>
          </w:tcPr>
          <w:p w14:paraId="09EEF813"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30%</w:t>
            </w:r>
          </w:p>
        </w:tc>
        <w:tc>
          <w:tcPr>
            <w:tcW w:w="613" w:type="dxa"/>
            <w:tcBorders>
              <w:top w:val="single" w:sz="4" w:space="0" w:color="auto"/>
              <w:left w:val="single" w:sz="4" w:space="0" w:color="auto"/>
              <w:bottom w:val="single" w:sz="4" w:space="0" w:color="auto"/>
              <w:right w:val="single" w:sz="4" w:space="0" w:color="auto"/>
            </w:tcBorders>
            <w:vAlign w:val="center"/>
          </w:tcPr>
          <w:p w14:paraId="2FAFAE0C"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2</w:t>
            </w:r>
          </w:p>
        </w:tc>
        <w:tc>
          <w:tcPr>
            <w:tcW w:w="608" w:type="dxa"/>
            <w:tcBorders>
              <w:top w:val="single" w:sz="4" w:space="0" w:color="auto"/>
              <w:left w:val="single" w:sz="4" w:space="0" w:color="auto"/>
              <w:bottom w:val="single" w:sz="4" w:space="0" w:color="auto"/>
            </w:tcBorders>
            <w:vAlign w:val="center"/>
          </w:tcPr>
          <w:p w14:paraId="01B4BE3B"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5%</w:t>
            </w:r>
          </w:p>
        </w:tc>
      </w:tr>
      <w:tr w:rsidR="001D7399" w:rsidRPr="00202E2A" w14:paraId="48757579" w14:textId="77777777" w:rsidTr="00C16C3D">
        <w:trPr>
          <w:trHeight w:val="20"/>
        </w:trPr>
        <w:tc>
          <w:tcPr>
            <w:tcW w:w="368" w:type="dxa"/>
            <w:tcBorders>
              <w:top w:val="single" w:sz="4" w:space="0" w:color="auto"/>
              <w:bottom w:val="single" w:sz="18" w:space="0" w:color="auto"/>
              <w:right w:val="single" w:sz="4" w:space="0" w:color="auto"/>
            </w:tcBorders>
            <w:vAlign w:val="center"/>
          </w:tcPr>
          <w:p w14:paraId="2E6EA3A8" w14:textId="17F112D1" w:rsidR="001D7399" w:rsidRPr="00490CC6" w:rsidRDefault="00BC22A0"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18</w:t>
            </w:r>
          </w:p>
        </w:tc>
        <w:tc>
          <w:tcPr>
            <w:tcW w:w="622" w:type="dxa"/>
            <w:vMerge/>
            <w:tcBorders>
              <w:left w:val="single" w:sz="4" w:space="0" w:color="auto"/>
              <w:bottom w:val="single" w:sz="18" w:space="0" w:color="auto"/>
              <w:right w:val="single" w:sz="4" w:space="0" w:color="auto"/>
            </w:tcBorders>
            <w:vAlign w:val="center"/>
          </w:tcPr>
          <w:p w14:paraId="6589267E"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2067" w:type="dxa"/>
            <w:vMerge/>
            <w:tcBorders>
              <w:left w:val="single" w:sz="4" w:space="0" w:color="auto"/>
              <w:bottom w:val="single" w:sz="18" w:space="0" w:color="auto"/>
              <w:right w:val="single" w:sz="4" w:space="0" w:color="auto"/>
            </w:tcBorders>
            <w:vAlign w:val="center"/>
          </w:tcPr>
          <w:p w14:paraId="59968E08"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3655" w:type="dxa"/>
            <w:tcBorders>
              <w:top w:val="single" w:sz="4" w:space="0" w:color="auto"/>
              <w:left w:val="single" w:sz="4" w:space="0" w:color="auto"/>
              <w:bottom w:val="single" w:sz="18" w:space="0" w:color="auto"/>
              <w:right w:val="single" w:sz="4" w:space="0" w:color="auto"/>
            </w:tcBorders>
            <w:vAlign w:val="center"/>
          </w:tcPr>
          <w:p w14:paraId="7FD3B613" w14:textId="77777777" w:rsidR="001D7399" w:rsidRPr="00490CC6" w:rsidRDefault="001D7399" w:rsidP="0019590B">
            <w:pPr>
              <w:bidi/>
              <w:spacing w:line="276" w:lineRule="auto"/>
              <w:jc w:val="lowKashida"/>
              <w:rPr>
                <w:rFonts w:asciiTheme="majorBidi" w:hAnsiTheme="majorBidi" w:cstheme="majorBidi"/>
                <w:b/>
                <w:bCs/>
                <w:sz w:val="20"/>
                <w:szCs w:val="20"/>
                <w:lang w:bidi="ar-EG"/>
              </w:rPr>
            </w:pPr>
            <w:r w:rsidRPr="00490CC6">
              <w:rPr>
                <w:rFonts w:asciiTheme="majorBidi" w:hAnsiTheme="majorBidi" w:cstheme="majorBidi"/>
                <w:b/>
                <w:bCs/>
                <w:sz w:val="20"/>
                <w:szCs w:val="20"/>
                <w:rtl/>
                <w:lang w:bidi="ar-EG"/>
              </w:rPr>
              <w:t>أفضل التزام الدول بالاتفاقيات البيئية الدولية لتحقيق توازن بين الربح السريع والاستدامة البيئية</w:t>
            </w:r>
            <w:r w:rsidRPr="00490CC6">
              <w:rPr>
                <w:rFonts w:asciiTheme="majorBidi" w:hAnsiTheme="majorBidi" w:cstheme="majorBidi"/>
                <w:b/>
                <w:bCs/>
                <w:sz w:val="20"/>
                <w:szCs w:val="20"/>
                <w:lang w:bidi="ar-EG"/>
              </w:rPr>
              <w:t>.</w:t>
            </w:r>
          </w:p>
        </w:tc>
        <w:tc>
          <w:tcPr>
            <w:tcW w:w="613" w:type="dxa"/>
            <w:tcBorders>
              <w:top w:val="single" w:sz="4" w:space="0" w:color="auto"/>
              <w:left w:val="single" w:sz="4" w:space="0" w:color="auto"/>
              <w:bottom w:val="single" w:sz="18" w:space="0" w:color="auto"/>
              <w:right w:val="single" w:sz="4" w:space="0" w:color="auto"/>
            </w:tcBorders>
            <w:vAlign w:val="center"/>
          </w:tcPr>
          <w:p w14:paraId="77FCE9B0"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25</w:t>
            </w:r>
          </w:p>
        </w:tc>
        <w:tc>
          <w:tcPr>
            <w:tcW w:w="539" w:type="dxa"/>
            <w:tcBorders>
              <w:top w:val="single" w:sz="4" w:space="0" w:color="auto"/>
              <w:left w:val="single" w:sz="4" w:space="0" w:color="auto"/>
              <w:bottom w:val="single" w:sz="18" w:space="0" w:color="auto"/>
              <w:right w:val="single" w:sz="4" w:space="0" w:color="auto"/>
            </w:tcBorders>
            <w:vAlign w:val="center"/>
          </w:tcPr>
          <w:p w14:paraId="3C9E0FA1" w14:textId="775B2DD2" w:rsidR="001D7399" w:rsidRPr="00490CC6" w:rsidRDefault="00BC22A0"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62</w:t>
            </w:r>
            <w:r w:rsidR="001D7399" w:rsidRPr="00490CC6">
              <w:rPr>
                <w:rFonts w:asciiTheme="majorBidi" w:hAnsiTheme="majorBidi" w:cstheme="majorBidi"/>
                <w:b/>
                <w:bCs/>
                <w:sz w:val="20"/>
                <w:szCs w:val="20"/>
              </w:rPr>
              <w:t>%</w:t>
            </w:r>
          </w:p>
        </w:tc>
        <w:tc>
          <w:tcPr>
            <w:tcW w:w="613" w:type="dxa"/>
            <w:tcBorders>
              <w:top w:val="single" w:sz="4" w:space="0" w:color="auto"/>
              <w:left w:val="single" w:sz="4" w:space="0" w:color="auto"/>
              <w:bottom w:val="single" w:sz="18" w:space="0" w:color="auto"/>
              <w:right w:val="single" w:sz="4" w:space="0" w:color="auto"/>
            </w:tcBorders>
            <w:vAlign w:val="center"/>
          </w:tcPr>
          <w:p w14:paraId="16CA75B9"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11</w:t>
            </w:r>
          </w:p>
        </w:tc>
        <w:tc>
          <w:tcPr>
            <w:tcW w:w="566" w:type="dxa"/>
            <w:tcBorders>
              <w:top w:val="single" w:sz="4" w:space="0" w:color="auto"/>
              <w:left w:val="single" w:sz="4" w:space="0" w:color="auto"/>
              <w:bottom w:val="single" w:sz="18" w:space="0" w:color="auto"/>
              <w:right w:val="single" w:sz="4" w:space="0" w:color="auto"/>
            </w:tcBorders>
            <w:vAlign w:val="center"/>
          </w:tcPr>
          <w:p w14:paraId="7012F2B3"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28%</w:t>
            </w:r>
          </w:p>
        </w:tc>
        <w:tc>
          <w:tcPr>
            <w:tcW w:w="613" w:type="dxa"/>
            <w:tcBorders>
              <w:top w:val="single" w:sz="4" w:space="0" w:color="auto"/>
              <w:left w:val="single" w:sz="4" w:space="0" w:color="auto"/>
              <w:bottom w:val="single" w:sz="18" w:space="0" w:color="auto"/>
              <w:right w:val="single" w:sz="4" w:space="0" w:color="auto"/>
            </w:tcBorders>
            <w:vAlign w:val="center"/>
          </w:tcPr>
          <w:p w14:paraId="21F5BB95"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4</w:t>
            </w:r>
          </w:p>
        </w:tc>
        <w:tc>
          <w:tcPr>
            <w:tcW w:w="608" w:type="dxa"/>
            <w:tcBorders>
              <w:top w:val="single" w:sz="4" w:space="0" w:color="auto"/>
              <w:left w:val="single" w:sz="4" w:space="0" w:color="auto"/>
              <w:bottom w:val="single" w:sz="18" w:space="0" w:color="auto"/>
            </w:tcBorders>
            <w:vAlign w:val="center"/>
          </w:tcPr>
          <w:p w14:paraId="6B2A1506"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10%</w:t>
            </w:r>
          </w:p>
        </w:tc>
      </w:tr>
      <w:tr w:rsidR="001D7399" w:rsidRPr="00202E2A" w14:paraId="3C2D23B3" w14:textId="77777777" w:rsidTr="003804AC">
        <w:trPr>
          <w:trHeight w:val="765"/>
        </w:trPr>
        <w:tc>
          <w:tcPr>
            <w:tcW w:w="368" w:type="dxa"/>
            <w:tcBorders>
              <w:top w:val="single" w:sz="18" w:space="0" w:color="auto"/>
              <w:bottom w:val="single" w:sz="4" w:space="0" w:color="auto"/>
              <w:right w:val="single" w:sz="4" w:space="0" w:color="auto"/>
            </w:tcBorders>
            <w:vAlign w:val="center"/>
          </w:tcPr>
          <w:p w14:paraId="5D288B2E" w14:textId="0102E9E2" w:rsidR="001D7399" w:rsidRPr="00490CC6" w:rsidRDefault="00BC22A0"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19</w:t>
            </w:r>
          </w:p>
        </w:tc>
        <w:tc>
          <w:tcPr>
            <w:tcW w:w="622" w:type="dxa"/>
            <w:vMerge w:val="restart"/>
            <w:tcBorders>
              <w:top w:val="single" w:sz="18" w:space="0" w:color="auto"/>
              <w:left w:val="single" w:sz="4" w:space="0" w:color="auto"/>
              <w:right w:val="single" w:sz="4" w:space="0" w:color="auto"/>
            </w:tcBorders>
            <w:vAlign w:val="center"/>
          </w:tcPr>
          <w:p w14:paraId="777056F3"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التحول</w:t>
            </w:r>
          </w:p>
          <w:p w14:paraId="2BC4900E"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 xml:space="preserve"> الرقمي</w:t>
            </w:r>
          </w:p>
        </w:tc>
        <w:tc>
          <w:tcPr>
            <w:tcW w:w="2067" w:type="dxa"/>
            <w:vMerge w:val="restart"/>
            <w:tcBorders>
              <w:top w:val="single" w:sz="18" w:space="0" w:color="auto"/>
              <w:left w:val="single" w:sz="4" w:space="0" w:color="auto"/>
              <w:right w:val="single" w:sz="4" w:space="0" w:color="auto"/>
            </w:tcBorders>
            <w:vAlign w:val="center"/>
          </w:tcPr>
          <w:p w14:paraId="2ED73298" w14:textId="7E51CF40" w:rsidR="001D7399" w:rsidRPr="00490CC6" w:rsidRDefault="00282B7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 xml:space="preserve">الأسس الرقمية </w:t>
            </w:r>
          </w:p>
        </w:tc>
        <w:tc>
          <w:tcPr>
            <w:tcW w:w="3655" w:type="dxa"/>
            <w:tcBorders>
              <w:top w:val="single" w:sz="18" w:space="0" w:color="auto"/>
              <w:left w:val="single" w:sz="4" w:space="0" w:color="auto"/>
              <w:bottom w:val="single" w:sz="4" w:space="0" w:color="auto"/>
              <w:right w:val="single" w:sz="4" w:space="0" w:color="auto"/>
            </w:tcBorders>
            <w:vAlign w:val="center"/>
          </w:tcPr>
          <w:p w14:paraId="10BCABF7" w14:textId="77777777" w:rsidR="001D7399" w:rsidRPr="00490CC6" w:rsidRDefault="001D7399" w:rsidP="0019590B">
            <w:pPr>
              <w:bidi/>
              <w:spacing w:line="276" w:lineRule="auto"/>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يؤدي زيادة معدلات استخدام تكنولوجيا المعلومات من قبل الشركات والأفراد والهيئات الحكومية، وتعزيز التعاون وتبادل المعرفة داخل الحكومة إلي تحقيق استراتيجية الهيئة في التحول الرقمي.</w:t>
            </w:r>
          </w:p>
        </w:tc>
        <w:tc>
          <w:tcPr>
            <w:tcW w:w="613" w:type="dxa"/>
            <w:tcBorders>
              <w:top w:val="single" w:sz="18" w:space="0" w:color="auto"/>
              <w:left w:val="single" w:sz="4" w:space="0" w:color="auto"/>
              <w:bottom w:val="single" w:sz="4" w:space="0" w:color="auto"/>
              <w:right w:val="single" w:sz="4" w:space="0" w:color="auto"/>
            </w:tcBorders>
            <w:vAlign w:val="center"/>
          </w:tcPr>
          <w:p w14:paraId="311DE5CB"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31</w:t>
            </w:r>
          </w:p>
        </w:tc>
        <w:tc>
          <w:tcPr>
            <w:tcW w:w="539" w:type="dxa"/>
            <w:tcBorders>
              <w:top w:val="single" w:sz="18" w:space="0" w:color="auto"/>
              <w:left w:val="single" w:sz="4" w:space="0" w:color="auto"/>
              <w:bottom w:val="single" w:sz="4" w:space="0" w:color="auto"/>
              <w:right w:val="single" w:sz="4" w:space="0" w:color="auto"/>
            </w:tcBorders>
            <w:vAlign w:val="center"/>
          </w:tcPr>
          <w:p w14:paraId="63056606"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77%</w:t>
            </w:r>
          </w:p>
        </w:tc>
        <w:tc>
          <w:tcPr>
            <w:tcW w:w="613" w:type="dxa"/>
            <w:tcBorders>
              <w:top w:val="single" w:sz="18" w:space="0" w:color="auto"/>
              <w:left w:val="single" w:sz="4" w:space="0" w:color="auto"/>
              <w:bottom w:val="single" w:sz="4" w:space="0" w:color="auto"/>
              <w:right w:val="single" w:sz="4" w:space="0" w:color="auto"/>
            </w:tcBorders>
            <w:vAlign w:val="center"/>
          </w:tcPr>
          <w:p w14:paraId="6127E6BE"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8</w:t>
            </w:r>
          </w:p>
        </w:tc>
        <w:tc>
          <w:tcPr>
            <w:tcW w:w="566" w:type="dxa"/>
            <w:tcBorders>
              <w:top w:val="single" w:sz="18" w:space="0" w:color="auto"/>
              <w:left w:val="single" w:sz="4" w:space="0" w:color="auto"/>
              <w:bottom w:val="single" w:sz="4" w:space="0" w:color="auto"/>
              <w:right w:val="single" w:sz="4" w:space="0" w:color="auto"/>
            </w:tcBorders>
            <w:vAlign w:val="center"/>
          </w:tcPr>
          <w:p w14:paraId="52CBFCCF"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20%</w:t>
            </w:r>
          </w:p>
        </w:tc>
        <w:tc>
          <w:tcPr>
            <w:tcW w:w="613" w:type="dxa"/>
            <w:tcBorders>
              <w:top w:val="single" w:sz="18" w:space="0" w:color="auto"/>
              <w:left w:val="single" w:sz="4" w:space="0" w:color="auto"/>
              <w:bottom w:val="single" w:sz="4" w:space="0" w:color="auto"/>
              <w:right w:val="single" w:sz="4" w:space="0" w:color="auto"/>
            </w:tcBorders>
            <w:vAlign w:val="center"/>
          </w:tcPr>
          <w:p w14:paraId="76AE7FB7"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w:t>
            </w:r>
          </w:p>
        </w:tc>
        <w:tc>
          <w:tcPr>
            <w:tcW w:w="608" w:type="dxa"/>
            <w:tcBorders>
              <w:top w:val="single" w:sz="18" w:space="0" w:color="auto"/>
              <w:left w:val="single" w:sz="4" w:space="0" w:color="auto"/>
              <w:bottom w:val="single" w:sz="4" w:space="0" w:color="auto"/>
            </w:tcBorders>
            <w:vAlign w:val="center"/>
          </w:tcPr>
          <w:p w14:paraId="1F668C9D"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3%</w:t>
            </w:r>
          </w:p>
        </w:tc>
      </w:tr>
      <w:tr w:rsidR="00C16C3D" w:rsidRPr="00202E2A" w14:paraId="6AAC851F" w14:textId="77777777" w:rsidTr="00C16C3D">
        <w:trPr>
          <w:trHeight w:val="315"/>
        </w:trPr>
        <w:tc>
          <w:tcPr>
            <w:tcW w:w="368" w:type="dxa"/>
            <w:tcBorders>
              <w:top w:val="single" w:sz="4" w:space="0" w:color="auto"/>
              <w:bottom w:val="single" w:sz="4" w:space="0" w:color="auto"/>
              <w:right w:val="single" w:sz="4" w:space="0" w:color="auto"/>
            </w:tcBorders>
          </w:tcPr>
          <w:p w14:paraId="2ABF5A81" w14:textId="6B46EA8D"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20</w:t>
            </w:r>
          </w:p>
        </w:tc>
        <w:tc>
          <w:tcPr>
            <w:tcW w:w="622" w:type="dxa"/>
            <w:vMerge/>
            <w:tcBorders>
              <w:left w:val="single" w:sz="4" w:space="0" w:color="auto"/>
              <w:right w:val="single" w:sz="4" w:space="0" w:color="auto"/>
            </w:tcBorders>
            <w:vAlign w:val="center"/>
          </w:tcPr>
          <w:p w14:paraId="09FFBD7D"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p>
        </w:tc>
        <w:tc>
          <w:tcPr>
            <w:tcW w:w="2067" w:type="dxa"/>
            <w:vMerge/>
            <w:tcBorders>
              <w:left w:val="single" w:sz="4" w:space="0" w:color="auto"/>
              <w:bottom w:val="single" w:sz="4" w:space="0" w:color="auto"/>
              <w:right w:val="single" w:sz="4" w:space="0" w:color="auto"/>
            </w:tcBorders>
            <w:vAlign w:val="center"/>
          </w:tcPr>
          <w:p w14:paraId="331527D9"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p>
        </w:tc>
        <w:tc>
          <w:tcPr>
            <w:tcW w:w="3655" w:type="dxa"/>
            <w:tcBorders>
              <w:top w:val="single" w:sz="4" w:space="0" w:color="auto"/>
              <w:left w:val="single" w:sz="4" w:space="0" w:color="auto"/>
              <w:bottom w:val="single" w:sz="4" w:space="0" w:color="auto"/>
              <w:right w:val="single" w:sz="4" w:space="0" w:color="auto"/>
            </w:tcBorders>
            <w:vAlign w:val="center"/>
          </w:tcPr>
          <w:p w14:paraId="4DA67597" w14:textId="77777777" w:rsidR="00C16C3D" w:rsidRPr="00490CC6" w:rsidRDefault="00C16C3D" w:rsidP="0019590B">
            <w:pPr>
              <w:bidi/>
              <w:spacing w:line="276" w:lineRule="auto"/>
              <w:jc w:val="lowKashida"/>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 xml:space="preserve">هل هناك القوانين اللازمة واللوائح التنظيمية التي تسمح للحكومة بالاستفادة من الإمكانات </w:t>
            </w:r>
            <w:r w:rsidRPr="00490CC6">
              <w:rPr>
                <w:rFonts w:asciiTheme="majorBidi" w:hAnsiTheme="majorBidi" w:cstheme="majorBidi"/>
                <w:b/>
                <w:bCs/>
                <w:sz w:val="20"/>
                <w:szCs w:val="20"/>
                <w:rtl/>
                <w:lang w:bidi="ar-EG"/>
              </w:rPr>
              <w:lastRenderedPageBreak/>
              <w:t>اللازمة التحول الرقمي، وتوفير الخدمات عبر الانترنت وضمان الخصوصية والامن السيبراني.</w:t>
            </w:r>
          </w:p>
        </w:tc>
        <w:tc>
          <w:tcPr>
            <w:tcW w:w="613" w:type="dxa"/>
            <w:tcBorders>
              <w:top w:val="single" w:sz="4" w:space="0" w:color="auto"/>
              <w:left w:val="single" w:sz="4" w:space="0" w:color="auto"/>
              <w:bottom w:val="single" w:sz="4" w:space="0" w:color="auto"/>
              <w:right w:val="single" w:sz="4" w:space="0" w:color="auto"/>
            </w:tcBorders>
            <w:vAlign w:val="center"/>
          </w:tcPr>
          <w:p w14:paraId="05F9FFD2"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lastRenderedPageBreak/>
              <w:t>18</w:t>
            </w:r>
          </w:p>
        </w:tc>
        <w:tc>
          <w:tcPr>
            <w:tcW w:w="539" w:type="dxa"/>
            <w:tcBorders>
              <w:top w:val="single" w:sz="4" w:space="0" w:color="auto"/>
              <w:left w:val="single" w:sz="4" w:space="0" w:color="auto"/>
              <w:bottom w:val="single" w:sz="4" w:space="0" w:color="auto"/>
              <w:right w:val="single" w:sz="4" w:space="0" w:color="auto"/>
            </w:tcBorders>
            <w:vAlign w:val="center"/>
          </w:tcPr>
          <w:p w14:paraId="62D7C639"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55%</w:t>
            </w:r>
          </w:p>
        </w:tc>
        <w:tc>
          <w:tcPr>
            <w:tcW w:w="613" w:type="dxa"/>
            <w:tcBorders>
              <w:top w:val="single" w:sz="4" w:space="0" w:color="auto"/>
              <w:left w:val="single" w:sz="4" w:space="0" w:color="auto"/>
              <w:bottom w:val="single" w:sz="4" w:space="0" w:color="auto"/>
              <w:right w:val="single" w:sz="4" w:space="0" w:color="auto"/>
            </w:tcBorders>
            <w:vAlign w:val="center"/>
          </w:tcPr>
          <w:p w14:paraId="0ADC559F"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20</w:t>
            </w:r>
          </w:p>
        </w:tc>
        <w:tc>
          <w:tcPr>
            <w:tcW w:w="566" w:type="dxa"/>
            <w:tcBorders>
              <w:top w:val="single" w:sz="4" w:space="0" w:color="auto"/>
              <w:left w:val="single" w:sz="4" w:space="0" w:color="auto"/>
              <w:bottom w:val="single" w:sz="4" w:space="0" w:color="auto"/>
              <w:right w:val="single" w:sz="4" w:space="0" w:color="auto"/>
            </w:tcBorders>
            <w:vAlign w:val="center"/>
          </w:tcPr>
          <w:p w14:paraId="41CD713B"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50%</w:t>
            </w:r>
          </w:p>
        </w:tc>
        <w:tc>
          <w:tcPr>
            <w:tcW w:w="613" w:type="dxa"/>
            <w:tcBorders>
              <w:top w:val="single" w:sz="4" w:space="0" w:color="auto"/>
              <w:left w:val="single" w:sz="4" w:space="0" w:color="auto"/>
              <w:bottom w:val="single" w:sz="4" w:space="0" w:color="auto"/>
              <w:right w:val="single" w:sz="4" w:space="0" w:color="auto"/>
            </w:tcBorders>
            <w:vAlign w:val="center"/>
          </w:tcPr>
          <w:p w14:paraId="017DAE51"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w:t>
            </w:r>
          </w:p>
        </w:tc>
        <w:tc>
          <w:tcPr>
            <w:tcW w:w="608" w:type="dxa"/>
            <w:tcBorders>
              <w:top w:val="single" w:sz="4" w:space="0" w:color="auto"/>
              <w:left w:val="single" w:sz="4" w:space="0" w:color="auto"/>
              <w:bottom w:val="single" w:sz="4" w:space="0" w:color="auto"/>
            </w:tcBorders>
            <w:vAlign w:val="center"/>
          </w:tcPr>
          <w:p w14:paraId="4D9510A6"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5%</w:t>
            </w:r>
          </w:p>
        </w:tc>
      </w:tr>
      <w:tr w:rsidR="00C16C3D" w:rsidRPr="00202E2A" w14:paraId="73D3492D" w14:textId="77777777" w:rsidTr="00C16C3D">
        <w:trPr>
          <w:trHeight w:val="20"/>
        </w:trPr>
        <w:tc>
          <w:tcPr>
            <w:tcW w:w="368" w:type="dxa"/>
            <w:tcBorders>
              <w:top w:val="single" w:sz="4" w:space="0" w:color="auto"/>
              <w:bottom w:val="single" w:sz="4" w:space="0" w:color="auto"/>
              <w:right w:val="single" w:sz="4" w:space="0" w:color="auto"/>
            </w:tcBorders>
          </w:tcPr>
          <w:p w14:paraId="777BF33D" w14:textId="1AA1151E"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21</w:t>
            </w:r>
          </w:p>
        </w:tc>
        <w:tc>
          <w:tcPr>
            <w:tcW w:w="622" w:type="dxa"/>
            <w:vMerge/>
            <w:tcBorders>
              <w:left w:val="single" w:sz="4" w:space="0" w:color="auto"/>
              <w:right w:val="single" w:sz="4" w:space="0" w:color="auto"/>
            </w:tcBorders>
            <w:vAlign w:val="center"/>
          </w:tcPr>
          <w:p w14:paraId="692F6A76"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p>
        </w:tc>
        <w:tc>
          <w:tcPr>
            <w:tcW w:w="2067" w:type="dxa"/>
            <w:vMerge w:val="restart"/>
            <w:tcBorders>
              <w:top w:val="single" w:sz="4" w:space="0" w:color="auto"/>
              <w:left w:val="single" w:sz="4" w:space="0" w:color="auto"/>
              <w:right w:val="single" w:sz="4" w:space="0" w:color="auto"/>
            </w:tcBorders>
            <w:vAlign w:val="center"/>
          </w:tcPr>
          <w:p w14:paraId="5B142215" w14:textId="69DEA83A" w:rsidR="00C16C3D" w:rsidRPr="00490CC6" w:rsidRDefault="00282B7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 xml:space="preserve">الابتكار الرقمي </w:t>
            </w:r>
          </w:p>
        </w:tc>
        <w:tc>
          <w:tcPr>
            <w:tcW w:w="3655" w:type="dxa"/>
            <w:tcBorders>
              <w:top w:val="single" w:sz="4" w:space="0" w:color="auto"/>
              <w:left w:val="single" w:sz="4" w:space="0" w:color="auto"/>
              <w:bottom w:val="single" w:sz="4" w:space="0" w:color="auto"/>
              <w:right w:val="single" w:sz="4" w:space="0" w:color="auto"/>
            </w:tcBorders>
            <w:vAlign w:val="center"/>
          </w:tcPr>
          <w:p w14:paraId="2E6C6B14" w14:textId="77777777" w:rsidR="00C16C3D" w:rsidRPr="00490CC6" w:rsidRDefault="00C16C3D" w:rsidP="0019590B">
            <w:pPr>
              <w:bidi/>
              <w:spacing w:line="276" w:lineRule="auto"/>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تمتلك الهيئة إستراتيجية رقمية واضحة ومتماسكة ومسؤولية الإشراف علي تحقيقها.</w:t>
            </w:r>
          </w:p>
        </w:tc>
        <w:tc>
          <w:tcPr>
            <w:tcW w:w="613" w:type="dxa"/>
            <w:tcBorders>
              <w:top w:val="single" w:sz="4" w:space="0" w:color="auto"/>
              <w:left w:val="single" w:sz="4" w:space="0" w:color="auto"/>
              <w:bottom w:val="single" w:sz="4" w:space="0" w:color="auto"/>
              <w:right w:val="single" w:sz="4" w:space="0" w:color="auto"/>
            </w:tcBorders>
            <w:vAlign w:val="center"/>
          </w:tcPr>
          <w:p w14:paraId="1054A3E1"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25</w:t>
            </w:r>
          </w:p>
        </w:tc>
        <w:tc>
          <w:tcPr>
            <w:tcW w:w="539" w:type="dxa"/>
            <w:tcBorders>
              <w:top w:val="single" w:sz="4" w:space="0" w:color="auto"/>
              <w:left w:val="single" w:sz="4" w:space="0" w:color="auto"/>
              <w:bottom w:val="single" w:sz="4" w:space="0" w:color="auto"/>
              <w:right w:val="single" w:sz="4" w:space="0" w:color="auto"/>
            </w:tcBorders>
            <w:vAlign w:val="center"/>
          </w:tcPr>
          <w:p w14:paraId="1A1F9867"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63%</w:t>
            </w:r>
          </w:p>
        </w:tc>
        <w:tc>
          <w:tcPr>
            <w:tcW w:w="613" w:type="dxa"/>
            <w:tcBorders>
              <w:top w:val="single" w:sz="4" w:space="0" w:color="auto"/>
              <w:left w:val="single" w:sz="4" w:space="0" w:color="auto"/>
              <w:bottom w:val="single" w:sz="4" w:space="0" w:color="auto"/>
              <w:right w:val="single" w:sz="4" w:space="0" w:color="auto"/>
            </w:tcBorders>
            <w:vAlign w:val="center"/>
          </w:tcPr>
          <w:p w14:paraId="49265A98"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13</w:t>
            </w:r>
          </w:p>
        </w:tc>
        <w:tc>
          <w:tcPr>
            <w:tcW w:w="566" w:type="dxa"/>
            <w:tcBorders>
              <w:top w:val="single" w:sz="4" w:space="0" w:color="auto"/>
              <w:left w:val="single" w:sz="4" w:space="0" w:color="auto"/>
              <w:bottom w:val="single" w:sz="4" w:space="0" w:color="auto"/>
              <w:right w:val="single" w:sz="4" w:space="0" w:color="auto"/>
            </w:tcBorders>
            <w:vAlign w:val="center"/>
          </w:tcPr>
          <w:p w14:paraId="5F6E5561"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33%</w:t>
            </w:r>
          </w:p>
        </w:tc>
        <w:tc>
          <w:tcPr>
            <w:tcW w:w="613" w:type="dxa"/>
            <w:tcBorders>
              <w:top w:val="single" w:sz="4" w:space="0" w:color="auto"/>
              <w:left w:val="single" w:sz="4" w:space="0" w:color="auto"/>
              <w:bottom w:val="single" w:sz="4" w:space="0" w:color="auto"/>
              <w:right w:val="single" w:sz="4" w:space="0" w:color="auto"/>
            </w:tcBorders>
            <w:vAlign w:val="center"/>
          </w:tcPr>
          <w:p w14:paraId="26CE541D"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w:t>
            </w:r>
          </w:p>
        </w:tc>
        <w:tc>
          <w:tcPr>
            <w:tcW w:w="608" w:type="dxa"/>
            <w:tcBorders>
              <w:top w:val="single" w:sz="4" w:space="0" w:color="auto"/>
              <w:left w:val="single" w:sz="4" w:space="0" w:color="auto"/>
              <w:bottom w:val="single" w:sz="4" w:space="0" w:color="auto"/>
            </w:tcBorders>
            <w:vAlign w:val="center"/>
          </w:tcPr>
          <w:p w14:paraId="547DA943"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5%</w:t>
            </w:r>
          </w:p>
        </w:tc>
      </w:tr>
      <w:tr w:rsidR="00C16C3D" w:rsidRPr="00202E2A" w14:paraId="349389F3" w14:textId="77777777" w:rsidTr="00C16C3D">
        <w:trPr>
          <w:trHeight w:val="54"/>
        </w:trPr>
        <w:tc>
          <w:tcPr>
            <w:tcW w:w="368" w:type="dxa"/>
            <w:tcBorders>
              <w:top w:val="single" w:sz="4" w:space="0" w:color="auto"/>
              <w:bottom w:val="single" w:sz="4" w:space="0" w:color="auto"/>
              <w:right w:val="single" w:sz="4" w:space="0" w:color="auto"/>
            </w:tcBorders>
          </w:tcPr>
          <w:p w14:paraId="0BAB3B63" w14:textId="30B3D6F9"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22</w:t>
            </w:r>
          </w:p>
        </w:tc>
        <w:tc>
          <w:tcPr>
            <w:tcW w:w="622" w:type="dxa"/>
            <w:vMerge/>
            <w:tcBorders>
              <w:left w:val="single" w:sz="4" w:space="0" w:color="auto"/>
              <w:right w:val="single" w:sz="4" w:space="0" w:color="auto"/>
            </w:tcBorders>
            <w:vAlign w:val="center"/>
          </w:tcPr>
          <w:p w14:paraId="4311F824"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p>
        </w:tc>
        <w:tc>
          <w:tcPr>
            <w:tcW w:w="2067" w:type="dxa"/>
            <w:vMerge/>
            <w:tcBorders>
              <w:left w:val="single" w:sz="4" w:space="0" w:color="auto"/>
              <w:bottom w:val="single" w:sz="4" w:space="0" w:color="auto"/>
              <w:right w:val="single" w:sz="4" w:space="0" w:color="auto"/>
            </w:tcBorders>
            <w:vAlign w:val="center"/>
          </w:tcPr>
          <w:p w14:paraId="2369593E"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p>
        </w:tc>
        <w:tc>
          <w:tcPr>
            <w:tcW w:w="3655" w:type="dxa"/>
            <w:tcBorders>
              <w:top w:val="single" w:sz="4" w:space="0" w:color="auto"/>
              <w:left w:val="single" w:sz="4" w:space="0" w:color="auto"/>
              <w:bottom w:val="single" w:sz="4" w:space="0" w:color="auto"/>
              <w:right w:val="single" w:sz="4" w:space="0" w:color="auto"/>
            </w:tcBorders>
            <w:vAlign w:val="center"/>
          </w:tcPr>
          <w:p w14:paraId="1B916309" w14:textId="77777777" w:rsidR="00C16C3D" w:rsidRPr="00490CC6" w:rsidRDefault="00C16C3D" w:rsidP="0019590B">
            <w:pPr>
              <w:bidi/>
              <w:spacing w:line="276" w:lineRule="auto"/>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هناك تغير جوهري في تنفيذ العمليات أو لنموذج العمل مثل إيجاد خطط عمليات جديدة، تطبيق المبادرات الرقمية.</w:t>
            </w:r>
          </w:p>
        </w:tc>
        <w:tc>
          <w:tcPr>
            <w:tcW w:w="613" w:type="dxa"/>
            <w:tcBorders>
              <w:top w:val="single" w:sz="4" w:space="0" w:color="auto"/>
              <w:left w:val="single" w:sz="4" w:space="0" w:color="auto"/>
              <w:bottom w:val="single" w:sz="4" w:space="0" w:color="auto"/>
              <w:right w:val="single" w:sz="4" w:space="0" w:color="auto"/>
            </w:tcBorders>
            <w:vAlign w:val="center"/>
          </w:tcPr>
          <w:p w14:paraId="33911CFF"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23</w:t>
            </w:r>
          </w:p>
        </w:tc>
        <w:tc>
          <w:tcPr>
            <w:tcW w:w="539" w:type="dxa"/>
            <w:tcBorders>
              <w:top w:val="single" w:sz="4" w:space="0" w:color="auto"/>
              <w:left w:val="single" w:sz="4" w:space="0" w:color="auto"/>
              <w:bottom w:val="single" w:sz="4" w:space="0" w:color="auto"/>
              <w:right w:val="single" w:sz="4" w:space="0" w:color="auto"/>
            </w:tcBorders>
            <w:vAlign w:val="center"/>
          </w:tcPr>
          <w:p w14:paraId="61123C79"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65%</w:t>
            </w:r>
          </w:p>
        </w:tc>
        <w:tc>
          <w:tcPr>
            <w:tcW w:w="613" w:type="dxa"/>
            <w:tcBorders>
              <w:top w:val="single" w:sz="4" w:space="0" w:color="auto"/>
              <w:left w:val="single" w:sz="4" w:space="0" w:color="auto"/>
              <w:bottom w:val="single" w:sz="4" w:space="0" w:color="auto"/>
              <w:right w:val="single" w:sz="4" w:space="0" w:color="auto"/>
            </w:tcBorders>
            <w:vAlign w:val="center"/>
          </w:tcPr>
          <w:p w14:paraId="13A6E5FF"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15</w:t>
            </w:r>
          </w:p>
        </w:tc>
        <w:tc>
          <w:tcPr>
            <w:tcW w:w="566" w:type="dxa"/>
            <w:tcBorders>
              <w:top w:val="single" w:sz="4" w:space="0" w:color="auto"/>
              <w:left w:val="single" w:sz="4" w:space="0" w:color="auto"/>
              <w:bottom w:val="single" w:sz="4" w:space="0" w:color="auto"/>
              <w:right w:val="single" w:sz="4" w:space="0" w:color="auto"/>
            </w:tcBorders>
            <w:vAlign w:val="center"/>
          </w:tcPr>
          <w:p w14:paraId="04D21AAB"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38%</w:t>
            </w:r>
          </w:p>
        </w:tc>
        <w:tc>
          <w:tcPr>
            <w:tcW w:w="613" w:type="dxa"/>
            <w:tcBorders>
              <w:top w:val="single" w:sz="4" w:space="0" w:color="auto"/>
              <w:left w:val="single" w:sz="4" w:space="0" w:color="auto"/>
              <w:bottom w:val="single" w:sz="4" w:space="0" w:color="auto"/>
              <w:right w:val="single" w:sz="4" w:space="0" w:color="auto"/>
            </w:tcBorders>
            <w:vAlign w:val="center"/>
          </w:tcPr>
          <w:p w14:paraId="0B55B9FD"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w:t>
            </w:r>
          </w:p>
        </w:tc>
        <w:tc>
          <w:tcPr>
            <w:tcW w:w="608" w:type="dxa"/>
            <w:tcBorders>
              <w:top w:val="single" w:sz="4" w:space="0" w:color="auto"/>
              <w:left w:val="single" w:sz="4" w:space="0" w:color="auto"/>
              <w:bottom w:val="single" w:sz="4" w:space="0" w:color="auto"/>
            </w:tcBorders>
            <w:vAlign w:val="center"/>
          </w:tcPr>
          <w:p w14:paraId="72CCC44C"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5%</w:t>
            </w:r>
          </w:p>
        </w:tc>
      </w:tr>
      <w:tr w:rsidR="00C16C3D" w:rsidRPr="00202E2A" w14:paraId="77CC3301" w14:textId="77777777" w:rsidTr="00C16C3D">
        <w:trPr>
          <w:trHeight w:val="135"/>
        </w:trPr>
        <w:tc>
          <w:tcPr>
            <w:tcW w:w="368" w:type="dxa"/>
            <w:tcBorders>
              <w:top w:val="single" w:sz="4" w:space="0" w:color="auto"/>
              <w:bottom w:val="single" w:sz="4" w:space="0" w:color="auto"/>
              <w:right w:val="single" w:sz="4" w:space="0" w:color="auto"/>
            </w:tcBorders>
          </w:tcPr>
          <w:p w14:paraId="1B201050" w14:textId="7E4AD556"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24</w:t>
            </w:r>
          </w:p>
        </w:tc>
        <w:tc>
          <w:tcPr>
            <w:tcW w:w="622" w:type="dxa"/>
            <w:vMerge/>
            <w:tcBorders>
              <w:left w:val="single" w:sz="4" w:space="0" w:color="auto"/>
              <w:right w:val="single" w:sz="4" w:space="0" w:color="auto"/>
            </w:tcBorders>
            <w:vAlign w:val="center"/>
          </w:tcPr>
          <w:p w14:paraId="381E8928"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p>
        </w:tc>
        <w:tc>
          <w:tcPr>
            <w:tcW w:w="2067" w:type="dxa"/>
            <w:vMerge w:val="restart"/>
            <w:tcBorders>
              <w:top w:val="single" w:sz="4" w:space="0" w:color="auto"/>
              <w:left w:val="single" w:sz="4" w:space="0" w:color="auto"/>
              <w:right w:val="single" w:sz="4" w:space="0" w:color="auto"/>
            </w:tcBorders>
            <w:vAlign w:val="center"/>
          </w:tcPr>
          <w:p w14:paraId="068090F0" w14:textId="481122BB" w:rsidR="00C16C3D" w:rsidRPr="00490CC6" w:rsidRDefault="00282B7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الحوكمة الرقمية</w:t>
            </w:r>
          </w:p>
        </w:tc>
        <w:tc>
          <w:tcPr>
            <w:tcW w:w="3655" w:type="dxa"/>
            <w:tcBorders>
              <w:top w:val="single" w:sz="4" w:space="0" w:color="auto"/>
              <w:left w:val="single" w:sz="4" w:space="0" w:color="auto"/>
              <w:bottom w:val="single" w:sz="4" w:space="0" w:color="auto"/>
              <w:right w:val="single" w:sz="4" w:space="0" w:color="auto"/>
            </w:tcBorders>
            <w:vAlign w:val="center"/>
          </w:tcPr>
          <w:p w14:paraId="0D44ECA8" w14:textId="77777777" w:rsidR="00C16C3D" w:rsidRPr="00490CC6" w:rsidRDefault="00C16C3D" w:rsidP="0019590B">
            <w:pPr>
              <w:bidi/>
              <w:spacing w:line="276" w:lineRule="auto"/>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يمتلك العملاء المتعاملين مهارات وخبرات كافية لتنفيذ إستراتيجية الهيئة الرقمية.</w:t>
            </w:r>
          </w:p>
        </w:tc>
        <w:tc>
          <w:tcPr>
            <w:tcW w:w="613" w:type="dxa"/>
            <w:tcBorders>
              <w:top w:val="single" w:sz="4" w:space="0" w:color="auto"/>
              <w:left w:val="single" w:sz="4" w:space="0" w:color="auto"/>
              <w:bottom w:val="single" w:sz="4" w:space="0" w:color="auto"/>
              <w:right w:val="single" w:sz="4" w:space="0" w:color="auto"/>
            </w:tcBorders>
            <w:vAlign w:val="center"/>
          </w:tcPr>
          <w:p w14:paraId="2837959E"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10</w:t>
            </w:r>
          </w:p>
        </w:tc>
        <w:tc>
          <w:tcPr>
            <w:tcW w:w="539" w:type="dxa"/>
            <w:tcBorders>
              <w:top w:val="single" w:sz="4" w:space="0" w:color="auto"/>
              <w:left w:val="single" w:sz="4" w:space="0" w:color="auto"/>
              <w:bottom w:val="single" w:sz="4" w:space="0" w:color="auto"/>
              <w:right w:val="single" w:sz="4" w:space="0" w:color="auto"/>
            </w:tcBorders>
            <w:vAlign w:val="center"/>
          </w:tcPr>
          <w:p w14:paraId="777384CB"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30</w:t>
            </w:r>
            <w:r w:rsidRPr="00490CC6">
              <w:rPr>
                <w:rFonts w:asciiTheme="majorBidi" w:hAnsiTheme="majorBidi" w:cstheme="majorBidi"/>
                <w:b/>
                <w:bCs/>
                <w:sz w:val="20"/>
                <w:szCs w:val="20"/>
                <w:rtl/>
              </w:rPr>
              <w:t>%</w:t>
            </w:r>
          </w:p>
        </w:tc>
        <w:tc>
          <w:tcPr>
            <w:tcW w:w="613" w:type="dxa"/>
            <w:tcBorders>
              <w:top w:val="single" w:sz="4" w:space="0" w:color="auto"/>
              <w:left w:val="single" w:sz="4" w:space="0" w:color="auto"/>
              <w:bottom w:val="single" w:sz="4" w:space="0" w:color="auto"/>
              <w:right w:val="single" w:sz="4" w:space="0" w:color="auto"/>
            </w:tcBorders>
            <w:vAlign w:val="center"/>
          </w:tcPr>
          <w:p w14:paraId="25BA5B01"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16</w:t>
            </w:r>
          </w:p>
        </w:tc>
        <w:tc>
          <w:tcPr>
            <w:tcW w:w="566" w:type="dxa"/>
            <w:tcBorders>
              <w:top w:val="single" w:sz="4" w:space="0" w:color="auto"/>
              <w:left w:val="single" w:sz="4" w:space="0" w:color="auto"/>
              <w:bottom w:val="single" w:sz="4" w:space="0" w:color="auto"/>
              <w:right w:val="single" w:sz="4" w:space="0" w:color="auto"/>
            </w:tcBorders>
            <w:vAlign w:val="center"/>
          </w:tcPr>
          <w:p w14:paraId="7942078E"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40%</w:t>
            </w:r>
          </w:p>
        </w:tc>
        <w:tc>
          <w:tcPr>
            <w:tcW w:w="613" w:type="dxa"/>
            <w:tcBorders>
              <w:top w:val="single" w:sz="4" w:space="0" w:color="auto"/>
              <w:left w:val="single" w:sz="4" w:space="0" w:color="auto"/>
              <w:bottom w:val="single" w:sz="4" w:space="0" w:color="auto"/>
              <w:right w:val="single" w:sz="4" w:space="0" w:color="auto"/>
            </w:tcBorders>
            <w:vAlign w:val="center"/>
          </w:tcPr>
          <w:p w14:paraId="7528DCC0"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14</w:t>
            </w:r>
          </w:p>
        </w:tc>
        <w:tc>
          <w:tcPr>
            <w:tcW w:w="608" w:type="dxa"/>
            <w:tcBorders>
              <w:top w:val="single" w:sz="4" w:space="0" w:color="auto"/>
              <w:left w:val="single" w:sz="4" w:space="0" w:color="auto"/>
              <w:bottom w:val="single" w:sz="4" w:space="0" w:color="auto"/>
            </w:tcBorders>
            <w:vAlign w:val="center"/>
          </w:tcPr>
          <w:p w14:paraId="3BA9AFDB"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35%</w:t>
            </w:r>
          </w:p>
        </w:tc>
      </w:tr>
      <w:tr w:rsidR="00C16C3D" w:rsidRPr="00202E2A" w14:paraId="0D938F07" w14:textId="77777777" w:rsidTr="00C16C3D">
        <w:trPr>
          <w:trHeight w:val="20"/>
        </w:trPr>
        <w:tc>
          <w:tcPr>
            <w:tcW w:w="368" w:type="dxa"/>
            <w:tcBorders>
              <w:top w:val="single" w:sz="4" w:space="0" w:color="auto"/>
              <w:right w:val="single" w:sz="4" w:space="0" w:color="auto"/>
            </w:tcBorders>
          </w:tcPr>
          <w:p w14:paraId="6FCDB462" w14:textId="17E73E01"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25</w:t>
            </w:r>
          </w:p>
        </w:tc>
        <w:tc>
          <w:tcPr>
            <w:tcW w:w="622" w:type="dxa"/>
            <w:vMerge/>
            <w:tcBorders>
              <w:left w:val="single" w:sz="4" w:space="0" w:color="auto"/>
              <w:right w:val="single" w:sz="4" w:space="0" w:color="auto"/>
            </w:tcBorders>
            <w:vAlign w:val="center"/>
          </w:tcPr>
          <w:p w14:paraId="418DF9BB"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p>
        </w:tc>
        <w:tc>
          <w:tcPr>
            <w:tcW w:w="2067" w:type="dxa"/>
            <w:vMerge/>
            <w:tcBorders>
              <w:left w:val="single" w:sz="4" w:space="0" w:color="auto"/>
              <w:right w:val="single" w:sz="4" w:space="0" w:color="auto"/>
            </w:tcBorders>
            <w:vAlign w:val="center"/>
          </w:tcPr>
          <w:p w14:paraId="7EB24496"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p>
        </w:tc>
        <w:tc>
          <w:tcPr>
            <w:tcW w:w="3655" w:type="dxa"/>
            <w:tcBorders>
              <w:top w:val="single" w:sz="4" w:space="0" w:color="auto"/>
              <w:left w:val="single" w:sz="4" w:space="0" w:color="auto"/>
              <w:right w:val="single" w:sz="4" w:space="0" w:color="auto"/>
            </w:tcBorders>
            <w:vAlign w:val="center"/>
          </w:tcPr>
          <w:p w14:paraId="17FE1D8A" w14:textId="77777777" w:rsidR="00C16C3D" w:rsidRPr="00490CC6" w:rsidRDefault="00C16C3D" w:rsidP="0019590B">
            <w:pPr>
              <w:bidi/>
              <w:spacing w:line="276" w:lineRule="auto"/>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هناك تغير جوهري في تحسين تجربة العملاء ورضائهم عن الخدمات الرقمية.</w:t>
            </w:r>
          </w:p>
        </w:tc>
        <w:tc>
          <w:tcPr>
            <w:tcW w:w="613" w:type="dxa"/>
            <w:tcBorders>
              <w:top w:val="single" w:sz="4" w:space="0" w:color="auto"/>
              <w:left w:val="single" w:sz="4" w:space="0" w:color="auto"/>
              <w:right w:val="single" w:sz="4" w:space="0" w:color="auto"/>
            </w:tcBorders>
            <w:vAlign w:val="center"/>
          </w:tcPr>
          <w:p w14:paraId="0ABFF21B"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22</w:t>
            </w:r>
          </w:p>
        </w:tc>
        <w:tc>
          <w:tcPr>
            <w:tcW w:w="539" w:type="dxa"/>
            <w:tcBorders>
              <w:top w:val="single" w:sz="4" w:space="0" w:color="auto"/>
              <w:left w:val="single" w:sz="4" w:space="0" w:color="auto"/>
              <w:right w:val="single" w:sz="4" w:space="0" w:color="auto"/>
            </w:tcBorders>
            <w:vAlign w:val="center"/>
          </w:tcPr>
          <w:p w14:paraId="00B7A76A"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25</w:t>
            </w:r>
            <w:r w:rsidRPr="00490CC6">
              <w:rPr>
                <w:rFonts w:asciiTheme="majorBidi" w:hAnsiTheme="majorBidi" w:cstheme="majorBidi"/>
                <w:b/>
                <w:bCs/>
                <w:sz w:val="20"/>
                <w:szCs w:val="20"/>
                <w:rtl/>
              </w:rPr>
              <w:t>%</w:t>
            </w:r>
          </w:p>
        </w:tc>
        <w:tc>
          <w:tcPr>
            <w:tcW w:w="613" w:type="dxa"/>
            <w:tcBorders>
              <w:top w:val="single" w:sz="4" w:space="0" w:color="auto"/>
              <w:left w:val="single" w:sz="4" w:space="0" w:color="auto"/>
              <w:right w:val="single" w:sz="4" w:space="0" w:color="auto"/>
            </w:tcBorders>
            <w:vAlign w:val="center"/>
          </w:tcPr>
          <w:p w14:paraId="209E4A6D"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17</w:t>
            </w:r>
          </w:p>
        </w:tc>
        <w:tc>
          <w:tcPr>
            <w:tcW w:w="566" w:type="dxa"/>
            <w:tcBorders>
              <w:top w:val="single" w:sz="4" w:space="0" w:color="auto"/>
              <w:left w:val="single" w:sz="4" w:space="0" w:color="auto"/>
              <w:right w:val="single" w:sz="4" w:space="0" w:color="auto"/>
            </w:tcBorders>
            <w:vAlign w:val="center"/>
          </w:tcPr>
          <w:p w14:paraId="739A04EC"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43%</w:t>
            </w:r>
          </w:p>
        </w:tc>
        <w:tc>
          <w:tcPr>
            <w:tcW w:w="613" w:type="dxa"/>
            <w:tcBorders>
              <w:top w:val="single" w:sz="4" w:space="0" w:color="auto"/>
              <w:left w:val="single" w:sz="4" w:space="0" w:color="auto"/>
              <w:right w:val="single" w:sz="4" w:space="0" w:color="auto"/>
            </w:tcBorders>
            <w:vAlign w:val="center"/>
          </w:tcPr>
          <w:p w14:paraId="76BBC875"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w:t>
            </w:r>
          </w:p>
        </w:tc>
        <w:tc>
          <w:tcPr>
            <w:tcW w:w="608" w:type="dxa"/>
            <w:tcBorders>
              <w:top w:val="single" w:sz="4" w:space="0" w:color="auto"/>
              <w:left w:val="single" w:sz="4" w:space="0" w:color="auto"/>
            </w:tcBorders>
            <w:vAlign w:val="center"/>
          </w:tcPr>
          <w:p w14:paraId="1D061655"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3%</w:t>
            </w:r>
          </w:p>
        </w:tc>
      </w:tr>
    </w:tbl>
    <w:p w14:paraId="056F1CFC" w14:textId="7C12E294" w:rsidR="00EE451E" w:rsidRPr="00202E2A" w:rsidRDefault="00EE451E" w:rsidP="0019590B">
      <w:pPr>
        <w:bidi/>
        <w:spacing w:line="276" w:lineRule="auto"/>
        <w:jc w:val="lowKashida"/>
        <w:rPr>
          <w:rFonts w:asciiTheme="majorBidi" w:hAnsiTheme="majorBidi" w:cstheme="majorBidi"/>
          <w:sz w:val="26"/>
          <w:szCs w:val="26"/>
          <w:lang w:bidi="ar-EG"/>
        </w:rPr>
      </w:pPr>
      <w:bookmarkStart w:id="0" w:name="_Hlk188050252"/>
      <w:r w:rsidRPr="00202E2A">
        <w:rPr>
          <w:rFonts w:asciiTheme="majorBidi" w:hAnsiTheme="majorBidi" w:cstheme="majorBidi"/>
          <w:sz w:val="26"/>
          <w:szCs w:val="26"/>
          <w:rtl/>
          <w:lang w:bidi="ar-EG"/>
        </w:rPr>
        <w:t xml:space="preserve">أجرى الباحث دراسة استطلاعية شاملة لاستكشاف الآراء والرؤى المرتبطة بتعزيز الأمن السيبراني وتيسير التجارة والتحول الرقمي، وذلك عبر منهجية مُزدوجة </w:t>
      </w:r>
      <w:r w:rsidR="008D31F8" w:rsidRPr="00202E2A">
        <w:rPr>
          <w:rFonts w:asciiTheme="majorBidi" w:hAnsiTheme="majorBidi" w:cstheme="majorBidi"/>
          <w:sz w:val="26"/>
          <w:szCs w:val="26"/>
          <w:rtl/>
          <w:lang w:bidi="ar-EG"/>
        </w:rPr>
        <w:t xml:space="preserve">حيث تُبرز الدراسة الحاجة إلى نموذج متكامل يجمع بين التخطيط الاستراتيجي للتحول الرقمي، وبناء القدرات البشرية، وتحديث التشريعات، لتحقيق التوازن المنشود بين الأمن السيبراني وسلاسة التجارة العالمية، </w:t>
      </w:r>
      <w:r w:rsidRPr="00202E2A">
        <w:rPr>
          <w:rFonts w:asciiTheme="majorBidi" w:hAnsiTheme="majorBidi" w:cstheme="majorBidi"/>
          <w:sz w:val="26"/>
          <w:szCs w:val="26"/>
          <w:rtl/>
          <w:lang w:bidi="ar-EG"/>
        </w:rPr>
        <w:t xml:space="preserve">جمعت </w:t>
      </w:r>
      <w:r w:rsidR="008D31F8" w:rsidRPr="00202E2A">
        <w:rPr>
          <w:rFonts w:asciiTheme="majorBidi" w:hAnsiTheme="majorBidi" w:cstheme="majorBidi"/>
          <w:sz w:val="26"/>
          <w:szCs w:val="26"/>
          <w:rtl/>
          <w:lang w:bidi="ar-EG"/>
        </w:rPr>
        <w:t xml:space="preserve">الدراسة الاستطلاعية </w:t>
      </w:r>
      <w:r w:rsidRPr="00202E2A">
        <w:rPr>
          <w:rFonts w:asciiTheme="majorBidi" w:hAnsiTheme="majorBidi" w:cstheme="majorBidi"/>
          <w:sz w:val="26"/>
          <w:szCs w:val="26"/>
          <w:rtl/>
          <w:lang w:bidi="ar-EG"/>
        </w:rPr>
        <w:t xml:space="preserve">بين:  </w:t>
      </w:r>
    </w:p>
    <w:p w14:paraId="053932E4" w14:textId="4189D0E3" w:rsidR="00233695" w:rsidRPr="00202E2A" w:rsidRDefault="00BC22A0" w:rsidP="0019590B">
      <w:pPr>
        <w:bidi/>
        <w:spacing w:line="276" w:lineRule="auto"/>
        <w:jc w:val="lowKashida"/>
        <w:rPr>
          <w:rFonts w:asciiTheme="majorBidi" w:hAnsiTheme="majorBidi" w:cstheme="majorBidi"/>
          <w:b/>
          <w:bCs/>
          <w:sz w:val="26"/>
          <w:szCs w:val="26"/>
          <w:u w:val="single"/>
          <w:rtl/>
          <w:lang w:bidi="ar-EG"/>
        </w:rPr>
      </w:pPr>
      <w:r w:rsidRPr="00202E2A">
        <w:rPr>
          <w:rFonts w:asciiTheme="majorBidi" w:hAnsiTheme="majorBidi" w:cstheme="majorBidi"/>
          <w:b/>
          <w:bCs/>
          <w:sz w:val="26"/>
          <w:szCs w:val="26"/>
          <w:u w:val="single"/>
          <w:lang w:bidi="ar-EG"/>
        </w:rPr>
        <w:t>1</w:t>
      </w:r>
      <w:r w:rsidRPr="00202E2A">
        <w:rPr>
          <w:rFonts w:asciiTheme="majorBidi" w:hAnsiTheme="majorBidi" w:cstheme="majorBidi"/>
          <w:b/>
          <w:bCs/>
          <w:sz w:val="26"/>
          <w:szCs w:val="26"/>
          <w:u w:val="single"/>
          <w:rtl/>
          <w:lang w:bidi="ar-EG"/>
        </w:rPr>
        <w:t>.</w:t>
      </w:r>
      <w:r w:rsidR="00233695" w:rsidRPr="00202E2A">
        <w:rPr>
          <w:rFonts w:asciiTheme="majorBidi" w:hAnsiTheme="majorBidi" w:cstheme="majorBidi"/>
          <w:b/>
          <w:bCs/>
          <w:sz w:val="26"/>
          <w:szCs w:val="26"/>
          <w:u w:val="single"/>
          <w:lang w:bidi="ar-EG"/>
        </w:rPr>
        <w:t xml:space="preserve"> </w:t>
      </w:r>
      <w:r w:rsidR="00233695" w:rsidRPr="00202E2A">
        <w:rPr>
          <w:rFonts w:asciiTheme="majorBidi" w:hAnsiTheme="majorBidi" w:cstheme="majorBidi"/>
          <w:b/>
          <w:bCs/>
          <w:sz w:val="26"/>
          <w:szCs w:val="26"/>
          <w:u w:val="single"/>
          <w:rtl/>
          <w:lang w:bidi="ar-EG"/>
        </w:rPr>
        <w:t>الأمن السيبراني وحماية البيانات</w:t>
      </w:r>
      <w:r w:rsidR="00233695" w:rsidRPr="00202E2A">
        <w:rPr>
          <w:rFonts w:asciiTheme="majorBidi" w:hAnsiTheme="majorBidi" w:cstheme="majorBidi"/>
          <w:b/>
          <w:bCs/>
          <w:sz w:val="26"/>
          <w:szCs w:val="26"/>
          <w:u w:val="single"/>
          <w:lang w:bidi="ar-EG"/>
        </w:rPr>
        <w:t xml:space="preserve">: </w:t>
      </w:r>
    </w:p>
    <w:p w14:paraId="14A88A32" w14:textId="10A58DB6" w:rsidR="00233695" w:rsidRPr="00202E2A" w:rsidRDefault="00233695"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التفسير</w:t>
      </w:r>
      <w:r w:rsidR="00F213BB" w:rsidRPr="00202E2A">
        <w:rPr>
          <w:rFonts w:asciiTheme="majorBidi" w:hAnsiTheme="majorBidi" w:cstheme="majorBidi"/>
          <w:sz w:val="26"/>
          <w:szCs w:val="26"/>
          <w:rtl/>
          <w:lang w:bidi="ar-EG"/>
        </w:rPr>
        <w:t>:</w:t>
      </w:r>
      <w:r w:rsidR="00F213BB"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تشير النسبة المرتفعة للموافقة (</w:t>
      </w:r>
      <w:r w:rsidR="005A3D3C" w:rsidRPr="00202E2A">
        <w:rPr>
          <w:rFonts w:asciiTheme="majorBidi" w:hAnsiTheme="majorBidi" w:cstheme="majorBidi"/>
          <w:sz w:val="26"/>
          <w:szCs w:val="26"/>
          <w:lang w:bidi="ar-EG"/>
        </w:rPr>
        <w:t>82</w:t>
      </w:r>
      <w:r w:rsidRPr="00202E2A">
        <w:rPr>
          <w:rFonts w:asciiTheme="majorBidi" w:hAnsiTheme="majorBidi" w:cstheme="majorBidi"/>
          <w:sz w:val="26"/>
          <w:szCs w:val="26"/>
          <w:rtl/>
          <w:lang w:bidi="ar-EG"/>
        </w:rPr>
        <w:t>%) إلى وعي مُتزايد بأهمية تقنيات التشفير في حماية البيانات الحساسة، وهو ما يتوافق مع التوجه العالمي نحو تعزيز الأمن السيبراني كأحد ركائز التحول الرقمي</w:t>
      </w:r>
      <w:r w:rsidR="00B729BD" w:rsidRPr="00202E2A">
        <w:rPr>
          <w:rFonts w:asciiTheme="majorBidi" w:hAnsiTheme="majorBidi" w:cstheme="majorBidi"/>
          <w:sz w:val="26"/>
          <w:szCs w:val="26"/>
          <w:rtl/>
          <w:lang w:bidi="ar-EG"/>
        </w:rPr>
        <w:t>، حيث</w:t>
      </w:r>
      <w:r w:rsidRPr="00202E2A">
        <w:rPr>
          <w:rFonts w:asciiTheme="majorBidi" w:hAnsiTheme="majorBidi" w:cstheme="majorBidi"/>
          <w:sz w:val="26"/>
          <w:szCs w:val="26"/>
          <w:rtl/>
          <w:lang w:bidi="ar-EG"/>
        </w:rPr>
        <w:t xml:space="preserve"> تُعزى هذه النتائج إلى تبني الهيئة لمعايير دولية مثل</w:t>
      </w:r>
      <w:r w:rsidRPr="00202E2A">
        <w:rPr>
          <w:rFonts w:asciiTheme="majorBidi" w:hAnsiTheme="majorBidi" w:cstheme="majorBidi"/>
          <w:sz w:val="26"/>
          <w:szCs w:val="26"/>
          <w:lang w:bidi="ar-EG"/>
        </w:rPr>
        <w:t xml:space="preserve"> ISO </w:t>
      </w:r>
      <w:r w:rsidR="005A3D3C" w:rsidRPr="00202E2A">
        <w:rPr>
          <w:rFonts w:asciiTheme="majorBidi" w:hAnsiTheme="majorBidi" w:cstheme="majorBidi"/>
          <w:sz w:val="26"/>
          <w:szCs w:val="26"/>
          <w:lang w:bidi="ar-EG"/>
        </w:rPr>
        <w:t>27001</w:t>
      </w:r>
      <w:r w:rsidRPr="00202E2A">
        <w:rPr>
          <w:rFonts w:asciiTheme="majorBidi" w:hAnsiTheme="majorBidi" w:cstheme="majorBidi"/>
          <w:sz w:val="26"/>
          <w:szCs w:val="26"/>
          <w:rtl/>
          <w:lang w:bidi="ar-EG"/>
        </w:rPr>
        <w:t>، والتي تُعد إطارًا شاملاً لإدارة أمن المعلومات، وفقًا لدراسة أجراها "المجلس الدولي لتكنولوجيا المعلومات (</w:t>
      </w:r>
      <w:r w:rsidR="005A3D3C" w:rsidRPr="00202E2A">
        <w:rPr>
          <w:rFonts w:asciiTheme="majorBidi" w:hAnsiTheme="majorBidi" w:cstheme="majorBidi"/>
          <w:sz w:val="26"/>
          <w:szCs w:val="26"/>
          <w:lang w:bidi="ar-EG"/>
        </w:rPr>
        <w:t>2022</w:t>
      </w:r>
      <w:r w:rsidRPr="00202E2A">
        <w:rPr>
          <w:rFonts w:asciiTheme="majorBidi" w:hAnsiTheme="majorBidi" w:cstheme="majorBidi"/>
          <w:sz w:val="26"/>
          <w:szCs w:val="26"/>
          <w:rtl/>
          <w:lang w:bidi="ar-EG"/>
        </w:rPr>
        <w:t>)</w:t>
      </w:r>
      <w:r w:rsidR="005A3D3C" w:rsidRPr="00202E2A">
        <w:rPr>
          <w:rFonts w:asciiTheme="majorBidi" w:hAnsiTheme="majorBidi" w:cstheme="majorBidi"/>
          <w:sz w:val="26"/>
          <w:szCs w:val="26"/>
          <w:lang w:bidi="ar-EG"/>
        </w:rPr>
        <w:t>”</w:t>
      </w:r>
      <w:r w:rsidRPr="00202E2A">
        <w:rPr>
          <w:rFonts w:asciiTheme="majorBidi" w:hAnsiTheme="majorBidi" w:cstheme="majorBidi"/>
          <w:sz w:val="26"/>
          <w:szCs w:val="26"/>
          <w:rtl/>
          <w:lang w:bidi="ar-EG"/>
        </w:rPr>
        <w:t>. مثالٌ على ذلك: تطبيق أنظمة المصادقة الثنائية</w:t>
      </w:r>
      <w:r w:rsidR="005A3D3C" w:rsidRPr="00202E2A">
        <w:rPr>
          <w:rFonts w:asciiTheme="majorBidi" w:hAnsiTheme="majorBidi" w:cstheme="majorBidi"/>
          <w:sz w:val="26"/>
          <w:szCs w:val="26"/>
          <w:rtl/>
          <w:lang w:bidi="ar-EG"/>
        </w:rPr>
        <w:t>(</w:t>
      </w:r>
      <w:r w:rsidR="005A3D3C" w:rsidRPr="00202E2A">
        <w:rPr>
          <w:rFonts w:asciiTheme="majorBidi" w:hAnsiTheme="majorBidi" w:cstheme="majorBidi"/>
          <w:sz w:val="26"/>
          <w:szCs w:val="26"/>
          <w:lang w:bidi="ar-EG"/>
        </w:rPr>
        <w:t xml:space="preserve">2 </w:t>
      </w:r>
      <w:r w:rsidRPr="00202E2A">
        <w:rPr>
          <w:rFonts w:asciiTheme="majorBidi" w:hAnsiTheme="majorBidi" w:cstheme="majorBidi"/>
          <w:sz w:val="26"/>
          <w:szCs w:val="26"/>
          <w:lang w:bidi="ar-EG"/>
        </w:rPr>
        <w:t xml:space="preserve">FA </w:t>
      </w:r>
      <w:r w:rsidR="005A3D3C"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rtl/>
          <w:lang w:bidi="ar-EG"/>
        </w:rPr>
        <w:t xml:space="preserve">في المنصات الجمركية، مما قلل من حوادث الاختراق بنسبة </w:t>
      </w:r>
      <w:r w:rsidR="005A3D3C" w:rsidRPr="00202E2A">
        <w:rPr>
          <w:rFonts w:asciiTheme="majorBidi" w:hAnsiTheme="majorBidi" w:cstheme="majorBidi"/>
          <w:sz w:val="26"/>
          <w:szCs w:val="26"/>
          <w:lang w:bidi="ar-EG"/>
        </w:rPr>
        <w:t>40</w:t>
      </w:r>
      <w:r w:rsidRPr="00202E2A">
        <w:rPr>
          <w:rFonts w:asciiTheme="majorBidi" w:hAnsiTheme="majorBidi" w:cstheme="majorBidi"/>
          <w:sz w:val="26"/>
          <w:szCs w:val="26"/>
          <w:rtl/>
          <w:lang w:bidi="ar-EG"/>
        </w:rPr>
        <w:t xml:space="preserve">% وفقًا لتقارير الهيئة الداخلية. ومع ذلك، فإن وجود نسبة </w:t>
      </w:r>
      <w:r w:rsidR="005A3D3C" w:rsidRPr="00202E2A">
        <w:rPr>
          <w:rFonts w:asciiTheme="majorBidi" w:hAnsiTheme="majorBidi" w:cstheme="majorBidi"/>
          <w:sz w:val="26"/>
          <w:szCs w:val="26"/>
          <w:lang w:bidi="ar-EG"/>
        </w:rPr>
        <w:t>13</w:t>
      </w:r>
      <w:r w:rsidRPr="00202E2A">
        <w:rPr>
          <w:rFonts w:asciiTheme="majorBidi" w:hAnsiTheme="majorBidi" w:cstheme="majorBidi"/>
          <w:sz w:val="26"/>
          <w:szCs w:val="26"/>
          <w:rtl/>
          <w:lang w:bidi="ar-EG"/>
        </w:rPr>
        <w:t>% محايدة قد يعكس نقصًا في التوعية بأدوات الحماية المتقدمة بين بعض الفئات الوظيفية</w:t>
      </w:r>
      <w:r w:rsidRPr="00202E2A">
        <w:rPr>
          <w:rFonts w:asciiTheme="majorBidi" w:hAnsiTheme="majorBidi" w:cstheme="majorBidi"/>
          <w:sz w:val="26"/>
          <w:szCs w:val="26"/>
          <w:lang w:bidi="ar-EG"/>
        </w:rPr>
        <w:t xml:space="preserve">.  </w:t>
      </w:r>
    </w:p>
    <w:p w14:paraId="4FE121FA" w14:textId="54531272" w:rsidR="00233695"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2</w:t>
      </w:r>
      <w:r w:rsidR="00AE65A9" w:rsidRPr="00202E2A">
        <w:rPr>
          <w:rFonts w:asciiTheme="majorBidi" w:hAnsiTheme="majorBidi" w:cstheme="majorBidi"/>
          <w:b/>
          <w:bCs/>
          <w:sz w:val="26"/>
          <w:szCs w:val="26"/>
          <w:u w:val="single"/>
          <w:rtl/>
          <w:lang w:bidi="ar-EG"/>
        </w:rPr>
        <w:t>.</w:t>
      </w:r>
      <w:r w:rsidR="00233695" w:rsidRPr="00202E2A">
        <w:rPr>
          <w:rFonts w:asciiTheme="majorBidi" w:hAnsiTheme="majorBidi" w:cstheme="majorBidi"/>
          <w:b/>
          <w:bCs/>
          <w:sz w:val="26"/>
          <w:szCs w:val="26"/>
          <w:u w:val="single"/>
          <w:rtl/>
          <w:lang w:bidi="ar-EG"/>
        </w:rPr>
        <w:t>الكشف المبكر عن الأنشطة المشبوهة</w:t>
      </w:r>
      <w:r w:rsidR="00233695" w:rsidRPr="00202E2A">
        <w:rPr>
          <w:rFonts w:asciiTheme="majorBidi" w:hAnsiTheme="majorBidi" w:cstheme="majorBidi"/>
          <w:b/>
          <w:bCs/>
          <w:sz w:val="26"/>
          <w:szCs w:val="26"/>
          <w:u w:val="single"/>
          <w:lang w:bidi="ar-EG"/>
        </w:rPr>
        <w:t xml:space="preserve">:  </w:t>
      </w:r>
    </w:p>
    <w:p w14:paraId="01B4CF54" w14:textId="58A092AA" w:rsidR="00233695" w:rsidRPr="00202E2A" w:rsidRDefault="008F2783"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التفسير</w:t>
      </w:r>
      <w:r w:rsidRPr="00202E2A">
        <w:rPr>
          <w:rFonts w:asciiTheme="majorBidi" w:hAnsiTheme="majorBidi" w:cstheme="majorBidi"/>
          <w:sz w:val="26"/>
          <w:szCs w:val="26"/>
          <w:lang w:bidi="ar-EG"/>
        </w:rPr>
        <w:t>:</w:t>
      </w:r>
      <w:r w:rsidR="002579E8" w:rsidRPr="00202E2A">
        <w:rPr>
          <w:rFonts w:asciiTheme="majorBidi" w:hAnsiTheme="majorBidi" w:cstheme="majorBidi"/>
          <w:sz w:val="26"/>
          <w:szCs w:val="26"/>
          <w:rtl/>
          <w:lang w:bidi="ar-EG"/>
        </w:rPr>
        <w:t xml:space="preserve"> </w:t>
      </w:r>
      <w:r w:rsidR="00233695" w:rsidRPr="00202E2A">
        <w:rPr>
          <w:rFonts w:asciiTheme="majorBidi" w:hAnsiTheme="majorBidi" w:cstheme="majorBidi"/>
          <w:sz w:val="26"/>
          <w:szCs w:val="26"/>
          <w:rtl/>
          <w:lang w:bidi="ar-EG"/>
        </w:rPr>
        <w:t>يشير انقسام الآراء (</w:t>
      </w:r>
      <w:r w:rsidR="005A3D3C" w:rsidRPr="00202E2A">
        <w:rPr>
          <w:rFonts w:asciiTheme="majorBidi" w:hAnsiTheme="majorBidi" w:cstheme="majorBidi"/>
          <w:sz w:val="26"/>
          <w:szCs w:val="26"/>
          <w:lang w:bidi="ar-EG"/>
        </w:rPr>
        <w:t>48</w:t>
      </w:r>
      <w:r w:rsidR="00233695" w:rsidRPr="00202E2A">
        <w:rPr>
          <w:rFonts w:asciiTheme="majorBidi" w:hAnsiTheme="majorBidi" w:cstheme="majorBidi"/>
          <w:sz w:val="26"/>
          <w:szCs w:val="26"/>
          <w:rtl/>
          <w:lang w:bidi="ar-EG"/>
        </w:rPr>
        <w:t xml:space="preserve">% موافقون، </w:t>
      </w:r>
      <w:r w:rsidR="005A3D3C" w:rsidRPr="00202E2A">
        <w:rPr>
          <w:rFonts w:asciiTheme="majorBidi" w:hAnsiTheme="majorBidi" w:cstheme="majorBidi"/>
          <w:sz w:val="26"/>
          <w:szCs w:val="26"/>
          <w:lang w:bidi="ar-EG"/>
        </w:rPr>
        <w:t>43</w:t>
      </w:r>
      <w:r w:rsidR="00233695" w:rsidRPr="00202E2A">
        <w:rPr>
          <w:rFonts w:asciiTheme="majorBidi" w:hAnsiTheme="majorBidi" w:cstheme="majorBidi"/>
          <w:sz w:val="26"/>
          <w:szCs w:val="26"/>
          <w:rtl/>
          <w:lang w:bidi="ar-EG"/>
        </w:rPr>
        <w:t>% محايدون) إلى تباين في الثقة بفعالية الذكاء الاصطناعي في الرقابة الجمركية، ربما بسبب نقص الشفافية في كيفية عمل الخوارزميات أو محدودية التدريب على تفسير النتائج. وفقًا لدراسة</w:t>
      </w:r>
      <w:r w:rsidR="00233695" w:rsidRPr="00202E2A">
        <w:rPr>
          <w:rFonts w:asciiTheme="majorBidi" w:hAnsiTheme="majorBidi" w:cstheme="majorBidi"/>
          <w:sz w:val="26"/>
          <w:szCs w:val="26"/>
          <w:lang w:bidi="ar-EG"/>
        </w:rPr>
        <w:t xml:space="preserve"> Smith et al. (2021)</w:t>
      </w:r>
      <w:r w:rsidR="00233695" w:rsidRPr="00202E2A">
        <w:rPr>
          <w:rFonts w:asciiTheme="majorBidi" w:hAnsiTheme="majorBidi" w:cstheme="majorBidi"/>
          <w:sz w:val="26"/>
          <w:szCs w:val="26"/>
          <w:rtl/>
          <w:lang w:bidi="ar-EG"/>
        </w:rPr>
        <w:t xml:space="preserve">، فإن </w:t>
      </w:r>
      <w:r w:rsidR="005A3D3C" w:rsidRPr="00202E2A">
        <w:rPr>
          <w:rFonts w:asciiTheme="majorBidi" w:hAnsiTheme="majorBidi" w:cstheme="majorBidi"/>
          <w:sz w:val="26"/>
          <w:szCs w:val="26"/>
          <w:lang w:bidi="ar-EG"/>
        </w:rPr>
        <w:t>60</w:t>
      </w:r>
      <w:r w:rsidR="00233695" w:rsidRPr="00202E2A">
        <w:rPr>
          <w:rFonts w:asciiTheme="majorBidi" w:hAnsiTheme="majorBidi" w:cstheme="majorBidi"/>
          <w:sz w:val="26"/>
          <w:szCs w:val="26"/>
          <w:rtl/>
          <w:lang w:bidi="ar-EG"/>
        </w:rPr>
        <w:t>% من العاملين في القطاع العام يفضلون أنظمة دعم القرار المُفسَّرة</w:t>
      </w:r>
      <w:r w:rsidR="00233695" w:rsidRPr="00202E2A">
        <w:rPr>
          <w:rFonts w:asciiTheme="majorBidi" w:hAnsiTheme="majorBidi" w:cstheme="majorBidi"/>
          <w:sz w:val="26"/>
          <w:szCs w:val="26"/>
          <w:lang w:bidi="ar-EG"/>
        </w:rPr>
        <w:t xml:space="preserve"> (Explainable AI) </w:t>
      </w:r>
      <w:r w:rsidR="00233695" w:rsidRPr="00202E2A">
        <w:rPr>
          <w:rFonts w:asciiTheme="majorBidi" w:hAnsiTheme="majorBidi" w:cstheme="majorBidi"/>
          <w:sz w:val="26"/>
          <w:szCs w:val="26"/>
          <w:rtl/>
          <w:lang w:bidi="ar-EG"/>
        </w:rPr>
        <w:t>لتعزيز الثقة. مثال: تطبيق الهيئة السعودية للبيانات والذكاء الاصطناعي</w:t>
      </w:r>
      <w:r w:rsidR="00233695" w:rsidRPr="00202E2A">
        <w:rPr>
          <w:rFonts w:asciiTheme="majorBidi" w:hAnsiTheme="majorBidi" w:cstheme="majorBidi"/>
          <w:sz w:val="26"/>
          <w:szCs w:val="26"/>
          <w:lang w:bidi="ar-EG"/>
        </w:rPr>
        <w:t xml:space="preserve"> </w:t>
      </w:r>
      <w:r w:rsidR="005A3D3C" w:rsidRPr="00202E2A">
        <w:rPr>
          <w:rFonts w:asciiTheme="majorBidi" w:hAnsiTheme="majorBidi" w:cstheme="majorBidi"/>
          <w:sz w:val="26"/>
          <w:szCs w:val="26"/>
          <w:rtl/>
          <w:lang w:bidi="ar-EG"/>
        </w:rPr>
        <w:t xml:space="preserve"> </w:t>
      </w:r>
      <w:r w:rsidR="0050589C" w:rsidRPr="00202E2A">
        <w:rPr>
          <w:rFonts w:asciiTheme="majorBidi" w:hAnsiTheme="majorBidi" w:cstheme="majorBidi"/>
          <w:sz w:val="26"/>
          <w:szCs w:val="26"/>
          <w:lang w:bidi="ar-EG"/>
        </w:rPr>
        <w:t xml:space="preserve">  </w:t>
      </w:r>
      <w:r w:rsidR="00233695" w:rsidRPr="00202E2A">
        <w:rPr>
          <w:rFonts w:asciiTheme="majorBidi" w:hAnsiTheme="majorBidi" w:cstheme="majorBidi"/>
          <w:sz w:val="26"/>
          <w:szCs w:val="26"/>
          <w:lang w:bidi="ar-EG"/>
        </w:rPr>
        <w:t xml:space="preserve">(SDAIA) </w:t>
      </w:r>
      <w:r w:rsidR="00233695" w:rsidRPr="00202E2A">
        <w:rPr>
          <w:rFonts w:asciiTheme="majorBidi" w:hAnsiTheme="majorBidi" w:cstheme="majorBidi"/>
          <w:sz w:val="26"/>
          <w:szCs w:val="26"/>
          <w:rtl/>
          <w:lang w:bidi="ar-EG"/>
        </w:rPr>
        <w:t>لنماذج الذكاء الاصطناعي القابلة للتفسير في كشف التهريب</w:t>
      </w:r>
      <w:r w:rsidR="00233695" w:rsidRPr="00202E2A">
        <w:rPr>
          <w:rFonts w:asciiTheme="majorBidi" w:hAnsiTheme="majorBidi" w:cstheme="majorBidi"/>
          <w:sz w:val="26"/>
          <w:szCs w:val="26"/>
          <w:lang w:bidi="ar-EG"/>
        </w:rPr>
        <w:t xml:space="preserve">.  </w:t>
      </w:r>
    </w:p>
    <w:p w14:paraId="108B38D6" w14:textId="6012CBD7" w:rsidR="00233695"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3</w:t>
      </w:r>
      <w:r w:rsidR="008F2783" w:rsidRPr="00202E2A">
        <w:rPr>
          <w:rFonts w:asciiTheme="majorBidi" w:hAnsiTheme="majorBidi" w:cstheme="majorBidi"/>
          <w:b/>
          <w:bCs/>
          <w:sz w:val="26"/>
          <w:szCs w:val="26"/>
          <w:u w:val="single"/>
          <w:rtl/>
          <w:lang w:bidi="ar-EG"/>
        </w:rPr>
        <w:t>.</w:t>
      </w:r>
      <w:r w:rsidR="00233695" w:rsidRPr="00202E2A">
        <w:rPr>
          <w:rFonts w:asciiTheme="majorBidi" w:hAnsiTheme="majorBidi" w:cstheme="majorBidi"/>
          <w:b/>
          <w:bCs/>
          <w:sz w:val="26"/>
          <w:szCs w:val="26"/>
          <w:u w:val="single"/>
          <w:rtl/>
          <w:lang w:bidi="ar-EG"/>
        </w:rPr>
        <w:t>تقليل التهرب الضريبي عبر الفوترة الإلكتروني</w:t>
      </w:r>
      <w:r w:rsidR="008F2783" w:rsidRPr="00202E2A">
        <w:rPr>
          <w:rFonts w:asciiTheme="majorBidi" w:hAnsiTheme="majorBidi" w:cstheme="majorBidi"/>
          <w:b/>
          <w:bCs/>
          <w:sz w:val="26"/>
          <w:szCs w:val="26"/>
          <w:u w:val="single"/>
          <w:rtl/>
          <w:lang w:bidi="ar-EG"/>
        </w:rPr>
        <w:t>ة:</w:t>
      </w:r>
      <w:r w:rsidR="00233695" w:rsidRPr="00202E2A">
        <w:rPr>
          <w:rFonts w:asciiTheme="majorBidi" w:hAnsiTheme="majorBidi" w:cstheme="majorBidi"/>
          <w:b/>
          <w:bCs/>
          <w:sz w:val="26"/>
          <w:szCs w:val="26"/>
          <w:u w:val="single"/>
          <w:lang w:bidi="ar-EG"/>
        </w:rPr>
        <w:t xml:space="preserve">  </w:t>
      </w:r>
    </w:p>
    <w:p w14:paraId="307C79A4" w14:textId="1C6EB348" w:rsidR="00233695" w:rsidRPr="00202E2A" w:rsidRDefault="002E2277"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التفسير</w:t>
      </w:r>
      <w:r w:rsidRPr="00202E2A">
        <w:rPr>
          <w:rFonts w:asciiTheme="majorBidi" w:hAnsiTheme="majorBidi" w:cstheme="majorBidi"/>
          <w:sz w:val="26"/>
          <w:szCs w:val="26"/>
          <w:lang w:bidi="ar-EG"/>
        </w:rPr>
        <w:t>:</w:t>
      </w:r>
      <w:r w:rsidRPr="00202E2A">
        <w:rPr>
          <w:rFonts w:asciiTheme="majorBidi" w:hAnsiTheme="majorBidi" w:cstheme="majorBidi"/>
          <w:sz w:val="26"/>
          <w:szCs w:val="26"/>
          <w:rtl/>
          <w:lang w:bidi="ar-EG"/>
        </w:rPr>
        <w:t xml:space="preserve"> تؤكد</w:t>
      </w:r>
      <w:r w:rsidR="00233695" w:rsidRPr="00202E2A">
        <w:rPr>
          <w:rFonts w:asciiTheme="majorBidi" w:hAnsiTheme="majorBidi" w:cstheme="majorBidi"/>
          <w:sz w:val="26"/>
          <w:szCs w:val="26"/>
          <w:rtl/>
          <w:lang w:bidi="ar-EG"/>
        </w:rPr>
        <w:t xml:space="preserve"> النسبة العالية للموافقة (</w:t>
      </w:r>
      <w:r w:rsidR="00716E23" w:rsidRPr="00202E2A">
        <w:rPr>
          <w:rFonts w:asciiTheme="majorBidi" w:hAnsiTheme="majorBidi" w:cstheme="majorBidi"/>
          <w:sz w:val="26"/>
          <w:szCs w:val="26"/>
          <w:lang w:bidi="ar-EG"/>
        </w:rPr>
        <w:t>82</w:t>
      </w:r>
      <w:r w:rsidR="00233695" w:rsidRPr="00202E2A">
        <w:rPr>
          <w:rFonts w:asciiTheme="majorBidi" w:hAnsiTheme="majorBidi" w:cstheme="majorBidi"/>
          <w:sz w:val="26"/>
          <w:szCs w:val="26"/>
          <w:rtl/>
          <w:lang w:bidi="ar-EG"/>
        </w:rPr>
        <w:t>%) نجاح الفوترة الإلكترونية في تعزيز الشفافية، وهو ما يتوافق مع تقرير صندوق النقد الدولي</w:t>
      </w:r>
      <w:r w:rsidR="00233695" w:rsidRPr="00202E2A">
        <w:rPr>
          <w:rFonts w:asciiTheme="majorBidi" w:hAnsiTheme="majorBidi" w:cstheme="majorBidi"/>
          <w:sz w:val="26"/>
          <w:szCs w:val="26"/>
          <w:lang w:bidi="ar-EG"/>
        </w:rPr>
        <w:t xml:space="preserve"> (IMF, 2022) </w:t>
      </w:r>
      <w:r w:rsidR="00233695" w:rsidRPr="00202E2A">
        <w:rPr>
          <w:rFonts w:asciiTheme="majorBidi" w:hAnsiTheme="majorBidi" w:cstheme="majorBidi"/>
          <w:sz w:val="26"/>
          <w:szCs w:val="26"/>
          <w:rtl/>
          <w:lang w:bidi="ar-EG"/>
        </w:rPr>
        <w:t xml:space="preserve">الذي أشار إلى أن الدول التي تطبق أنظمة الفوترة الإلكترونية تشهد انخفاضًا في التهرب الضريبي بنسبة </w:t>
      </w:r>
      <w:r w:rsidR="00716E23" w:rsidRPr="00202E2A">
        <w:rPr>
          <w:rFonts w:asciiTheme="majorBidi" w:hAnsiTheme="majorBidi" w:cstheme="majorBidi"/>
          <w:sz w:val="26"/>
          <w:szCs w:val="26"/>
          <w:lang w:bidi="ar-EG"/>
        </w:rPr>
        <w:t>20</w:t>
      </w:r>
      <w:r w:rsidR="00233695" w:rsidRPr="00202E2A">
        <w:rPr>
          <w:rFonts w:asciiTheme="majorBidi" w:hAnsiTheme="majorBidi" w:cstheme="majorBidi"/>
          <w:sz w:val="26"/>
          <w:szCs w:val="26"/>
          <w:rtl/>
          <w:lang w:bidi="ar-EG"/>
        </w:rPr>
        <w:t>-</w:t>
      </w:r>
      <w:r w:rsidR="00716E23" w:rsidRPr="00202E2A">
        <w:rPr>
          <w:rFonts w:asciiTheme="majorBidi" w:hAnsiTheme="majorBidi" w:cstheme="majorBidi"/>
          <w:sz w:val="26"/>
          <w:szCs w:val="26"/>
          <w:lang w:bidi="ar-EG"/>
        </w:rPr>
        <w:t>30</w:t>
      </w:r>
      <w:r w:rsidR="00233695" w:rsidRPr="00202E2A">
        <w:rPr>
          <w:rFonts w:asciiTheme="majorBidi" w:hAnsiTheme="majorBidi" w:cstheme="majorBidi"/>
          <w:sz w:val="26"/>
          <w:szCs w:val="26"/>
          <w:rtl/>
          <w:lang w:bidi="ar-EG"/>
        </w:rPr>
        <w:t>%. مثال: تجربة البرازيل في تطبيق نظام</w:t>
      </w:r>
      <w:r w:rsidR="00233695" w:rsidRPr="00202E2A">
        <w:rPr>
          <w:rFonts w:asciiTheme="majorBidi" w:hAnsiTheme="majorBidi" w:cstheme="majorBidi"/>
          <w:sz w:val="26"/>
          <w:szCs w:val="26"/>
          <w:lang w:bidi="ar-EG"/>
        </w:rPr>
        <w:t xml:space="preserve"> "Nota Fiscal Eletrônica" </w:t>
      </w:r>
      <w:r w:rsidR="00233695" w:rsidRPr="00202E2A">
        <w:rPr>
          <w:rFonts w:asciiTheme="majorBidi" w:hAnsiTheme="majorBidi" w:cstheme="majorBidi"/>
          <w:sz w:val="26"/>
          <w:szCs w:val="26"/>
          <w:rtl/>
          <w:lang w:bidi="ar-EG"/>
        </w:rPr>
        <w:t xml:space="preserve">الذي رفع الإيرادات الضريبية بنسبة </w:t>
      </w:r>
      <w:r w:rsidR="00716E23" w:rsidRPr="00202E2A">
        <w:rPr>
          <w:rFonts w:asciiTheme="majorBidi" w:hAnsiTheme="majorBidi" w:cstheme="majorBidi"/>
          <w:sz w:val="26"/>
          <w:szCs w:val="26"/>
          <w:lang w:bidi="ar-EG"/>
        </w:rPr>
        <w:t>25</w:t>
      </w:r>
      <w:r w:rsidR="00233695" w:rsidRPr="00202E2A">
        <w:rPr>
          <w:rFonts w:asciiTheme="majorBidi" w:hAnsiTheme="majorBidi" w:cstheme="majorBidi"/>
          <w:sz w:val="26"/>
          <w:szCs w:val="26"/>
          <w:lang w:bidi="ar-EG"/>
        </w:rPr>
        <w:t xml:space="preserve">%  </w:t>
      </w:r>
      <w:r w:rsidR="00927266" w:rsidRPr="00202E2A">
        <w:rPr>
          <w:rFonts w:asciiTheme="majorBidi" w:hAnsiTheme="majorBidi" w:cstheme="majorBidi"/>
          <w:sz w:val="26"/>
          <w:szCs w:val="26"/>
          <w:lang w:bidi="ar-EG"/>
        </w:rPr>
        <w:t xml:space="preserve"> </w:t>
      </w:r>
      <w:r w:rsidR="00927266" w:rsidRPr="00202E2A">
        <w:rPr>
          <w:rFonts w:asciiTheme="majorBidi" w:hAnsiTheme="majorBidi" w:cstheme="majorBidi"/>
          <w:sz w:val="26"/>
          <w:szCs w:val="26"/>
          <w:rtl/>
          <w:lang w:bidi="ar-EG"/>
        </w:rPr>
        <w:t xml:space="preserve"> .</w:t>
      </w:r>
    </w:p>
    <w:p w14:paraId="38723A1B" w14:textId="72A79831" w:rsidR="00233695"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sz w:val="26"/>
          <w:szCs w:val="26"/>
          <w:lang w:bidi="ar-EG"/>
        </w:rPr>
        <w:lastRenderedPageBreak/>
        <w:t>4</w:t>
      </w:r>
      <w:r w:rsidR="00CD5CFD" w:rsidRPr="00202E2A">
        <w:rPr>
          <w:rFonts w:asciiTheme="majorBidi" w:hAnsiTheme="majorBidi" w:cstheme="majorBidi"/>
          <w:b/>
          <w:bCs/>
          <w:sz w:val="26"/>
          <w:szCs w:val="26"/>
          <w:u w:val="single"/>
          <w:rtl/>
          <w:lang w:bidi="ar-EG"/>
        </w:rPr>
        <w:t>.</w:t>
      </w:r>
      <w:r w:rsidR="00233695" w:rsidRPr="00202E2A">
        <w:rPr>
          <w:rFonts w:asciiTheme="majorBidi" w:hAnsiTheme="majorBidi" w:cstheme="majorBidi"/>
          <w:b/>
          <w:bCs/>
          <w:sz w:val="26"/>
          <w:szCs w:val="26"/>
          <w:u w:val="single"/>
          <w:rtl/>
          <w:lang w:bidi="ar-EG"/>
        </w:rPr>
        <w:t>استخدام الذكاء الاصطناعي في التحليل الاستباقي</w:t>
      </w:r>
      <w:r w:rsidR="00233695" w:rsidRPr="00202E2A">
        <w:rPr>
          <w:rFonts w:asciiTheme="majorBidi" w:hAnsiTheme="majorBidi" w:cstheme="majorBidi"/>
          <w:b/>
          <w:bCs/>
          <w:sz w:val="26"/>
          <w:szCs w:val="26"/>
          <w:u w:val="single"/>
          <w:lang w:bidi="ar-EG"/>
        </w:rPr>
        <w:t xml:space="preserve">: </w:t>
      </w:r>
    </w:p>
    <w:p w14:paraId="5FD3C0F3" w14:textId="3A480DA2" w:rsidR="00233695" w:rsidRPr="00202E2A" w:rsidRDefault="002E2277"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التفسير</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تُظهر</w:t>
      </w:r>
      <w:r w:rsidR="00233695" w:rsidRPr="00202E2A">
        <w:rPr>
          <w:rFonts w:asciiTheme="majorBidi" w:hAnsiTheme="majorBidi" w:cstheme="majorBidi"/>
          <w:sz w:val="26"/>
          <w:szCs w:val="26"/>
          <w:rtl/>
          <w:lang w:bidi="ar-EG"/>
        </w:rPr>
        <w:t xml:space="preserve"> النتائج (</w:t>
      </w:r>
      <w:r w:rsidR="00716E23" w:rsidRPr="00202E2A">
        <w:rPr>
          <w:rFonts w:asciiTheme="majorBidi" w:hAnsiTheme="majorBidi" w:cstheme="majorBidi"/>
          <w:sz w:val="26"/>
          <w:szCs w:val="26"/>
          <w:lang w:bidi="ar-EG"/>
        </w:rPr>
        <w:t>87</w:t>
      </w:r>
      <w:r w:rsidR="00233695" w:rsidRPr="00202E2A">
        <w:rPr>
          <w:rFonts w:asciiTheme="majorBidi" w:hAnsiTheme="majorBidi" w:cstheme="majorBidi"/>
          <w:sz w:val="26"/>
          <w:szCs w:val="26"/>
          <w:rtl/>
          <w:lang w:bidi="ar-EG"/>
        </w:rPr>
        <w:t>% موافقون) ثقةً عاليةً في قدرة الذكاء الاصطناعي على التنبؤ بالتهرب الضريبي، وهو ما يدعمه تقرير مؤسسة</w:t>
      </w:r>
      <w:r w:rsidR="00233695" w:rsidRPr="00202E2A">
        <w:rPr>
          <w:rFonts w:asciiTheme="majorBidi" w:hAnsiTheme="majorBidi" w:cstheme="majorBidi"/>
          <w:sz w:val="26"/>
          <w:szCs w:val="26"/>
          <w:lang w:bidi="ar-EG"/>
        </w:rPr>
        <w:t xml:space="preserve"> PwC (2023) </w:t>
      </w:r>
      <w:r w:rsidR="00233695" w:rsidRPr="00202E2A">
        <w:rPr>
          <w:rFonts w:asciiTheme="majorBidi" w:hAnsiTheme="majorBidi" w:cstheme="majorBidi"/>
          <w:sz w:val="26"/>
          <w:szCs w:val="26"/>
          <w:rtl/>
          <w:lang w:bidi="ar-EG"/>
        </w:rPr>
        <w:t xml:space="preserve">الذي أكد أن التحليلات التنبؤية تقلل الأخطاء البشرية بنسبة </w:t>
      </w:r>
      <w:r w:rsidR="00716E23" w:rsidRPr="00202E2A">
        <w:rPr>
          <w:rFonts w:asciiTheme="majorBidi" w:hAnsiTheme="majorBidi" w:cstheme="majorBidi"/>
          <w:sz w:val="26"/>
          <w:szCs w:val="26"/>
          <w:lang w:bidi="ar-EG"/>
        </w:rPr>
        <w:t>45</w:t>
      </w:r>
      <w:r w:rsidR="00233695" w:rsidRPr="00202E2A">
        <w:rPr>
          <w:rFonts w:asciiTheme="majorBidi" w:hAnsiTheme="majorBidi" w:cstheme="majorBidi"/>
          <w:sz w:val="26"/>
          <w:szCs w:val="26"/>
          <w:rtl/>
          <w:lang w:bidi="ar-EG"/>
        </w:rPr>
        <w:t>%. مثال: استخدام الهيئة السعودية للزكاة خوارزميات تعلم الآلة</w:t>
      </w:r>
      <w:r w:rsidR="00233695" w:rsidRPr="00202E2A">
        <w:rPr>
          <w:rFonts w:asciiTheme="majorBidi" w:hAnsiTheme="majorBidi" w:cstheme="majorBidi"/>
          <w:sz w:val="26"/>
          <w:szCs w:val="26"/>
          <w:lang w:bidi="ar-EG"/>
        </w:rPr>
        <w:t xml:space="preserve"> (Machine Learning) </w:t>
      </w:r>
      <w:r w:rsidR="00233695" w:rsidRPr="00202E2A">
        <w:rPr>
          <w:rFonts w:asciiTheme="majorBidi" w:hAnsiTheme="majorBidi" w:cstheme="majorBidi"/>
          <w:sz w:val="26"/>
          <w:szCs w:val="26"/>
          <w:rtl/>
          <w:lang w:bidi="ar-EG"/>
        </w:rPr>
        <w:t>للكشف عن الأنماط غير الطبيعية في الإقرارات الضريبية</w:t>
      </w:r>
      <w:r w:rsidR="00233695" w:rsidRPr="00202E2A">
        <w:rPr>
          <w:rFonts w:asciiTheme="majorBidi" w:hAnsiTheme="majorBidi" w:cstheme="majorBidi"/>
          <w:sz w:val="26"/>
          <w:szCs w:val="26"/>
          <w:lang w:bidi="ar-EG"/>
        </w:rPr>
        <w:t xml:space="preserve">.  </w:t>
      </w:r>
    </w:p>
    <w:p w14:paraId="09ABC9FB" w14:textId="7CC41743" w:rsidR="00233695"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5</w:t>
      </w:r>
      <w:r w:rsidRPr="00202E2A">
        <w:rPr>
          <w:rFonts w:asciiTheme="majorBidi" w:hAnsiTheme="majorBidi" w:cstheme="majorBidi"/>
          <w:b/>
          <w:bCs/>
          <w:sz w:val="26"/>
          <w:szCs w:val="26"/>
          <w:u w:val="single"/>
          <w:rtl/>
          <w:lang w:bidi="ar-EG"/>
        </w:rPr>
        <w:t>.</w:t>
      </w:r>
      <w:r w:rsidR="00233695" w:rsidRPr="00202E2A">
        <w:rPr>
          <w:rFonts w:asciiTheme="majorBidi" w:hAnsiTheme="majorBidi" w:cstheme="majorBidi"/>
          <w:b/>
          <w:bCs/>
          <w:sz w:val="26"/>
          <w:szCs w:val="26"/>
          <w:u w:val="single"/>
          <w:lang w:bidi="ar-EG"/>
        </w:rPr>
        <w:t xml:space="preserve"> </w:t>
      </w:r>
      <w:r w:rsidR="00233695" w:rsidRPr="00202E2A">
        <w:rPr>
          <w:rFonts w:asciiTheme="majorBidi" w:hAnsiTheme="majorBidi" w:cstheme="majorBidi"/>
          <w:b/>
          <w:bCs/>
          <w:sz w:val="26"/>
          <w:szCs w:val="26"/>
          <w:u w:val="single"/>
          <w:rtl/>
          <w:lang w:bidi="ar-EG"/>
        </w:rPr>
        <w:t>التكامل بين الجهات الحكومية والقطاع الخاص</w:t>
      </w:r>
      <w:r w:rsidR="00424515" w:rsidRPr="00202E2A">
        <w:rPr>
          <w:rFonts w:asciiTheme="majorBidi" w:hAnsiTheme="majorBidi" w:cstheme="majorBidi"/>
          <w:b/>
          <w:bCs/>
          <w:sz w:val="26"/>
          <w:szCs w:val="26"/>
          <w:u w:val="single"/>
          <w:rtl/>
          <w:lang w:bidi="ar-EG"/>
        </w:rPr>
        <w:t>:</w:t>
      </w:r>
      <w:r w:rsidR="00233695" w:rsidRPr="00202E2A">
        <w:rPr>
          <w:rFonts w:asciiTheme="majorBidi" w:hAnsiTheme="majorBidi" w:cstheme="majorBidi"/>
          <w:b/>
          <w:bCs/>
          <w:sz w:val="26"/>
          <w:szCs w:val="26"/>
          <w:u w:val="single"/>
          <w:lang w:bidi="ar-EG"/>
        </w:rPr>
        <w:t xml:space="preserve"> </w:t>
      </w:r>
    </w:p>
    <w:p w14:paraId="550937C8" w14:textId="7C1DE7C7" w:rsidR="00233695" w:rsidRPr="00202E2A" w:rsidRDefault="008F329A"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التفسير:</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تُظهر</w:t>
      </w:r>
      <w:r w:rsidR="00233695" w:rsidRPr="00202E2A">
        <w:rPr>
          <w:rFonts w:asciiTheme="majorBidi" w:hAnsiTheme="majorBidi" w:cstheme="majorBidi"/>
          <w:sz w:val="26"/>
          <w:szCs w:val="26"/>
          <w:rtl/>
          <w:lang w:bidi="ar-EG"/>
        </w:rPr>
        <w:t xml:space="preserve"> النتائج (</w:t>
      </w:r>
      <w:r w:rsidR="00716E23" w:rsidRPr="00202E2A">
        <w:rPr>
          <w:rFonts w:asciiTheme="majorBidi" w:hAnsiTheme="majorBidi" w:cstheme="majorBidi"/>
          <w:sz w:val="26"/>
          <w:szCs w:val="26"/>
          <w:lang w:bidi="ar-EG"/>
        </w:rPr>
        <w:t>65</w:t>
      </w:r>
      <w:r w:rsidR="00233695" w:rsidRPr="00202E2A">
        <w:rPr>
          <w:rFonts w:asciiTheme="majorBidi" w:hAnsiTheme="majorBidi" w:cstheme="majorBidi"/>
          <w:sz w:val="26"/>
          <w:szCs w:val="26"/>
          <w:rtl/>
          <w:lang w:bidi="ar-EG"/>
        </w:rPr>
        <w:t>% موافقون) إدراكًا لأهمية التكامل، لكن الـ</w:t>
      </w:r>
      <w:r w:rsidR="00716E23" w:rsidRPr="00202E2A">
        <w:rPr>
          <w:rFonts w:asciiTheme="majorBidi" w:hAnsiTheme="majorBidi" w:cstheme="majorBidi"/>
          <w:sz w:val="26"/>
          <w:szCs w:val="26"/>
          <w:lang w:bidi="ar-EG"/>
        </w:rPr>
        <w:t>30</w:t>
      </w:r>
      <w:r w:rsidR="00233695" w:rsidRPr="00202E2A">
        <w:rPr>
          <w:rFonts w:asciiTheme="majorBidi" w:hAnsiTheme="majorBidi" w:cstheme="majorBidi"/>
          <w:sz w:val="26"/>
          <w:szCs w:val="26"/>
          <w:rtl/>
          <w:lang w:bidi="ar-EG"/>
        </w:rPr>
        <w:t>% المحايدين قد يعكسون مخاوفًا من مخاطر مشاركة البيانات الحساسة. وفقًا لدراسة</w:t>
      </w:r>
      <w:r w:rsidR="00233695" w:rsidRPr="00202E2A">
        <w:rPr>
          <w:rFonts w:asciiTheme="majorBidi" w:hAnsiTheme="majorBidi" w:cstheme="majorBidi"/>
          <w:sz w:val="26"/>
          <w:szCs w:val="26"/>
          <w:lang w:bidi="ar-EG"/>
        </w:rPr>
        <w:t xml:space="preserve"> Accenture (2022)</w:t>
      </w:r>
      <w:r w:rsidR="00233695" w:rsidRPr="00202E2A">
        <w:rPr>
          <w:rFonts w:asciiTheme="majorBidi" w:hAnsiTheme="majorBidi" w:cstheme="majorBidi"/>
          <w:sz w:val="26"/>
          <w:szCs w:val="26"/>
          <w:rtl/>
          <w:lang w:bidi="ar-EG"/>
        </w:rPr>
        <w:t xml:space="preserve">، فإن </w:t>
      </w:r>
      <w:r w:rsidR="00716E23" w:rsidRPr="00202E2A">
        <w:rPr>
          <w:rFonts w:asciiTheme="majorBidi" w:hAnsiTheme="majorBidi" w:cstheme="majorBidi"/>
          <w:sz w:val="26"/>
          <w:szCs w:val="26"/>
          <w:lang w:bidi="ar-EG"/>
        </w:rPr>
        <w:t>40</w:t>
      </w:r>
      <w:r w:rsidR="00233695" w:rsidRPr="00202E2A">
        <w:rPr>
          <w:rFonts w:asciiTheme="majorBidi" w:hAnsiTheme="majorBidi" w:cstheme="majorBidi"/>
          <w:sz w:val="26"/>
          <w:szCs w:val="26"/>
          <w:rtl/>
          <w:lang w:bidi="ar-EG"/>
        </w:rPr>
        <w:t>% من الجهات الحكومية تتردد في مشاركة البيانات بسبب مخاوف أمنية. مثال: نجاح منصة "</w:t>
      </w:r>
      <w:r w:rsidR="00140B52" w:rsidRPr="00202E2A">
        <w:rPr>
          <w:rFonts w:asciiTheme="majorBidi" w:hAnsiTheme="majorBidi" w:cstheme="majorBidi"/>
          <w:sz w:val="26"/>
          <w:szCs w:val="26"/>
          <w:rtl/>
          <w:lang w:bidi="ar-EG"/>
        </w:rPr>
        <w:t>فسح</w:t>
      </w:r>
      <w:r w:rsidR="00233695" w:rsidRPr="00202E2A">
        <w:rPr>
          <w:rFonts w:asciiTheme="majorBidi" w:hAnsiTheme="majorBidi" w:cstheme="majorBidi"/>
          <w:sz w:val="26"/>
          <w:szCs w:val="26"/>
          <w:lang w:bidi="ar-EG"/>
        </w:rPr>
        <w:t xml:space="preserve">" (Fasah) </w:t>
      </w:r>
      <w:r w:rsidR="00233695" w:rsidRPr="00202E2A">
        <w:rPr>
          <w:rFonts w:asciiTheme="majorBidi" w:hAnsiTheme="majorBidi" w:cstheme="majorBidi"/>
          <w:sz w:val="26"/>
          <w:szCs w:val="26"/>
          <w:rtl/>
          <w:lang w:bidi="ar-EG"/>
        </w:rPr>
        <w:t xml:space="preserve">في السعودية في تحقيق التكامل بين </w:t>
      </w:r>
      <w:r w:rsidR="00716E23" w:rsidRPr="00202E2A">
        <w:rPr>
          <w:rFonts w:asciiTheme="majorBidi" w:hAnsiTheme="majorBidi" w:cstheme="majorBidi"/>
          <w:sz w:val="26"/>
          <w:szCs w:val="26"/>
          <w:lang w:bidi="ar-EG"/>
        </w:rPr>
        <w:t>70</w:t>
      </w:r>
      <w:r w:rsidR="00233695" w:rsidRPr="00202E2A">
        <w:rPr>
          <w:rFonts w:asciiTheme="majorBidi" w:hAnsiTheme="majorBidi" w:cstheme="majorBidi"/>
          <w:sz w:val="26"/>
          <w:szCs w:val="26"/>
          <w:rtl/>
          <w:lang w:bidi="ar-EG"/>
        </w:rPr>
        <w:t xml:space="preserve"> جهة حكومية عبر معايير أمنية صارمة</w:t>
      </w:r>
      <w:r w:rsidR="00233695" w:rsidRPr="00202E2A">
        <w:rPr>
          <w:rFonts w:asciiTheme="majorBidi" w:hAnsiTheme="majorBidi" w:cstheme="majorBidi"/>
          <w:sz w:val="26"/>
          <w:szCs w:val="26"/>
          <w:lang w:bidi="ar-EG"/>
        </w:rPr>
        <w:t xml:space="preserve">.  </w:t>
      </w:r>
    </w:p>
    <w:p w14:paraId="1A0F39FC" w14:textId="4D90EE78" w:rsidR="00233695"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6</w:t>
      </w:r>
      <w:r w:rsidRPr="00202E2A">
        <w:rPr>
          <w:rFonts w:asciiTheme="majorBidi" w:hAnsiTheme="majorBidi" w:cstheme="majorBidi"/>
          <w:b/>
          <w:bCs/>
          <w:sz w:val="26"/>
          <w:szCs w:val="26"/>
          <w:u w:val="single"/>
          <w:rtl/>
          <w:lang w:bidi="ar-EG"/>
        </w:rPr>
        <w:t>.</w:t>
      </w:r>
      <w:r w:rsidR="00233695" w:rsidRPr="00202E2A">
        <w:rPr>
          <w:rFonts w:asciiTheme="majorBidi" w:hAnsiTheme="majorBidi" w:cstheme="majorBidi"/>
          <w:b/>
          <w:bCs/>
          <w:sz w:val="26"/>
          <w:szCs w:val="26"/>
          <w:u w:val="single"/>
          <w:lang w:bidi="ar-EG"/>
        </w:rPr>
        <w:t xml:space="preserve"> </w:t>
      </w:r>
      <w:r w:rsidR="00233695" w:rsidRPr="00202E2A">
        <w:rPr>
          <w:rFonts w:asciiTheme="majorBidi" w:hAnsiTheme="majorBidi" w:cstheme="majorBidi"/>
          <w:b/>
          <w:bCs/>
          <w:sz w:val="26"/>
          <w:szCs w:val="26"/>
          <w:u w:val="single"/>
          <w:rtl/>
          <w:lang w:bidi="ar-EG"/>
        </w:rPr>
        <w:t>الشراكات الدولية والأكاديمية</w:t>
      </w:r>
      <w:r w:rsidR="00233695" w:rsidRPr="00202E2A">
        <w:rPr>
          <w:rFonts w:asciiTheme="majorBidi" w:hAnsiTheme="majorBidi" w:cstheme="majorBidi"/>
          <w:b/>
          <w:bCs/>
          <w:sz w:val="26"/>
          <w:szCs w:val="26"/>
          <w:u w:val="single"/>
          <w:lang w:bidi="ar-EG"/>
        </w:rPr>
        <w:t xml:space="preserve">:  </w:t>
      </w:r>
    </w:p>
    <w:p w14:paraId="33803A94" w14:textId="68DBF707" w:rsidR="00233695" w:rsidRPr="00202E2A" w:rsidRDefault="00775C9E"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التفسير:</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يعكس</w:t>
      </w:r>
      <w:r w:rsidR="00233695" w:rsidRPr="00202E2A">
        <w:rPr>
          <w:rFonts w:asciiTheme="majorBidi" w:hAnsiTheme="majorBidi" w:cstheme="majorBidi"/>
          <w:sz w:val="26"/>
          <w:szCs w:val="26"/>
          <w:rtl/>
          <w:lang w:bidi="ar-EG"/>
        </w:rPr>
        <w:t xml:space="preserve"> الانقسام (</w:t>
      </w:r>
      <w:r w:rsidR="00716E23" w:rsidRPr="00202E2A">
        <w:rPr>
          <w:rFonts w:asciiTheme="majorBidi" w:hAnsiTheme="majorBidi" w:cstheme="majorBidi"/>
          <w:sz w:val="26"/>
          <w:szCs w:val="26"/>
          <w:lang w:bidi="ar-EG"/>
        </w:rPr>
        <w:t>48</w:t>
      </w:r>
      <w:r w:rsidR="00233695" w:rsidRPr="00202E2A">
        <w:rPr>
          <w:rFonts w:asciiTheme="majorBidi" w:hAnsiTheme="majorBidi" w:cstheme="majorBidi"/>
          <w:sz w:val="26"/>
          <w:szCs w:val="26"/>
          <w:rtl/>
          <w:lang w:bidi="ar-EG"/>
        </w:rPr>
        <w:t xml:space="preserve">% موافقون، </w:t>
      </w:r>
      <w:r w:rsidR="00716E23" w:rsidRPr="00202E2A">
        <w:rPr>
          <w:rFonts w:asciiTheme="majorBidi" w:hAnsiTheme="majorBidi" w:cstheme="majorBidi"/>
          <w:sz w:val="26"/>
          <w:szCs w:val="26"/>
          <w:lang w:bidi="ar-EG"/>
        </w:rPr>
        <w:t>28</w:t>
      </w:r>
      <w:r w:rsidR="00233695" w:rsidRPr="00202E2A">
        <w:rPr>
          <w:rFonts w:asciiTheme="majorBidi" w:hAnsiTheme="majorBidi" w:cstheme="majorBidi"/>
          <w:sz w:val="26"/>
          <w:szCs w:val="26"/>
          <w:rtl/>
          <w:lang w:bidi="ar-EG"/>
        </w:rPr>
        <w:t>% غير موافقين) تباينًا في فعالية الشراكات الحالية، حيث قد تكون بعض الاتفاقيات غير مُلزمة أو غير مُحكمة. وفقًا لتقرير</w:t>
      </w:r>
      <w:r w:rsidR="00233695" w:rsidRPr="00202E2A">
        <w:rPr>
          <w:rFonts w:asciiTheme="majorBidi" w:hAnsiTheme="majorBidi" w:cstheme="majorBidi"/>
          <w:sz w:val="26"/>
          <w:szCs w:val="26"/>
          <w:lang w:bidi="ar-EG"/>
        </w:rPr>
        <w:t xml:space="preserve"> UNESCO (2023)</w:t>
      </w:r>
      <w:r w:rsidR="00233695" w:rsidRPr="00202E2A">
        <w:rPr>
          <w:rFonts w:asciiTheme="majorBidi" w:hAnsiTheme="majorBidi" w:cstheme="majorBidi"/>
          <w:sz w:val="26"/>
          <w:szCs w:val="26"/>
          <w:rtl/>
          <w:lang w:bidi="ar-EG"/>
        </w:rPr>
        <w:t xml:space="preserve">، فإن </w:t>
      </w:r>
      <w:r w:rsidR="00716E23" w:rsidRPr="00202E2A">
        <w:rPr>
          <w:rFonts w:asciiTheme="majorBidi" w:hAnsiTheme="majorBidi" w:cstheme="majorBidi"/>
          <w:sz w:val="26"/>
          <w:szCs w:val="26"/>
          <w:lang w:bidi="ar-EG"/>
        </w:rPr>
        <w:t>65</w:t>
      </w:r>
      <w:r w:rsidR="00233695" w:rsidRPr="00202E2A">
        <w:rPr>
          <w:rFonts w:asciiTheme="majorBidi" w:hAnsiTheme="majorBidi" w:cstheme="majorBidi"/>
          <w:sz w:val="26"/>
          <w:szCs w:val="26"/>
          <w:rtl/>
          <w:lang w:bidi="ar-EG"/>
        </w:rPr>
        <w:t xml:space="preserve">% من الشراكات بين الحكومات والجامعات تفتقر إلى آليات قياس تأثير واضحة. مثال: شراكة الهيئة مع جامعة الملك </w:t>
      </w:r>
      <w:r w:rsidR="00716E23" w:rsidRPr="00202E2A">
        <w:rPr>
          <w:rFonts w:asciiTheme="majorBidi" w:hAnsiTheme="majorBidi" w:cstheme="majorBidi"/>
          <w:sz w:val="26"/>
          <w:szCs w:val="26"/>
          <w:rtl/>
          <w:lang w:bidi="ar-EG"/>
        </w:rPr>
        <w:t>عبد العزيز</w:t>
      </w:r>
      <w:r w:rsidR="00233695" w:rsidRPr="00202E2A">
        <w:rPr>
          <w:rFonts w:asciiTheme="majorBidi" w:hAnsiTheme="majorBidi" w:cstheme="majorBidi"/>
          <w:sz w:val="26"/>
          <w:szCs w:val="26"/>
          <w:rtl/>
          <w:lang w:bidi="ar-EG"/>
        </w:rPr>
        <w:t xml:space="preserve"> في تطوير أنظمة جمركية ذكية أسفرت عن خفض زمن الإفراج بنسبة </w:t>
      </w:r>
      <w:r w:rsidR="00716E23" w:rsidRPr="00202E2A">
        <w:rPr>
          <w:rFonts w:asciiTheme="majorBidi" w:hAnsiTheme="majorBidi" w:cstheme="majorBidi"/>
          <w:sz w:val="26"/>
          <w:szCs w:val="26"/>
          <w:lang w:bidi="ar-EG"/>
        </w:rPr>
        <w:t>30 %</w:t>
      </w:r>
      <w:r w:rsidR="00716E23" w:rsidRPr="00202E2A">
        <w:rPr>
          <w:rFonts w:asciiTheme="majorBidi" w:hAnsiTheme="majorBidi" w:cstheme="majorBidi"/>
          <w:sz w:val="26"/>
          <w:szCs w:val="26"/>
          <w:rtl/>
          <w:lang w:bidi="ar-EG"/>
        </w:rPr>
        <w:t>.</w:t>
      </w:r>
    </w:p>
    <w:p w14:paraId="00B4E926" w14:textId="419AAC66" w:rsidR="008F377E"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7</w:t>
      </w:r>
      <w:r w:rsidRPr="00202E2A">
        <w:rPr>
          <w:rFonts w:asciiTheme="majorBidi" w:hAnsiTheme="majorBidi" w:cstheme="majorBidi"/>
          <w:b/>
          <w:bCs/>
          <w:sz w:val="26"/>
          <w:szCs w:val="26"/>
          <w:u w:val="single"/>
          <w:rtl/>
          <w:lang w:bidi="ar-EG"/>
        </w:rPr>
        <w:t>.</w:t>
      </w:r>
      <w:r w:rsidR="008F377E" w:rsidRPr="00202E2A">
        <w:rPr>
          <w:rFonts w:asciiTheme="majorBidi" w:hAnsiTheme="majorBidi" w:cstheme="majorBidi"/>
          <w:b/>
          <w:bCs/>
          <w:sz w:val="26"/>
          <w:szCs w:val="26"/>
          <w:u w:val="single"/>
          <w:lang w:bidi="ar-EG"/>
        </w:rPr>
        <w:t xml:space="preserve"> </w:t>
      </w:r>
      <w:r w:rsidR="008F377E" w:rsidRPr="00202E2A">
        <w:rPr>
          <w:rFonts w:asciiTheme="majorBidi" w:hAnsiTheme="majorBidi" w:cstheme="majorBidi"/>
          <w:b/>
          <w:bCs/>
          <w:sz w:val="26"/>
          <w:szCs w:val="26"/>
          <w:u w:val="single"/>
          <w:rtl/>
          <w:lang w:bidi="ar-EG"/>
        </w:rPr>
        <w:t>البُعد القانوني والسياسي:</w:t>
      </w:r>
    </w:p>
    <w:p w14:paraId="3760FAD9" w14:textId="77777777" w:rsidR="008F377E" w:rsidRPr="00202E2A" w:rsidRDefault="008F377E"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التفسير: تؤكد النسبة المرتفعة للموافقة (</w:t>
      </w:r>
      <w:r w:rsidRPr="00202E2A">
        <w:rPr>
          <w:rFonts w:asciiTheme="majorBidi" w:hAnsiTheme="majorBidi" w:cstheme="majorBidi"/>
          <w:sz w:val="26"/>
          <w:szCs w:val="26"/>
          <w:lang w:bidi="ar-EG"/>
        </w:rPr>
        <w:t>78</w:t>
      </w:r>
      <w:r w:rsidRPr="00202E2A">
        <w:rPr>
          <w:rFonts w:asciiTheme="majorBidi" w:hAnsiTheme="majorBidi" w:cstheme="majorBidi"/>
          <w:sz w:val="26"/>
          <w:szCs w:val="26"/>
          <w:rtl/>
          <w:lang w:bidi="ar-EG"/>
        </w:rPr>
        <w:t>%) أهمية الالتزام بالأنظمة الدولية لضمان عدالة التجارة، وهو ما يدعمه تقرير منظمة التجارة العالمية</w:t>
      </w:r>
      <w:r w:rsidRPr="00202E2A">
        <w:rPr>
          <w:rFonts w:asciiTheme="majorBidi" w:hAnsiTheme="majorBidi" w:cstheme="majorBidi"/>
          <w:sz w:val="26"/>
          <w:szCs w:val="26"/>
          <w:lang w:bidi="ar-EG"/>
        </w:rPr>
        <w:t xml:space="preserve"> (WTO, 2023) </w:t>
      </w:r>
      <w:r w:rsidRPr="00202E2A">
        <w:rPr>
          <w:rFonts w:asciiTheme="majorBidi" w:hAnsiTheme="majorBidi" w:cstheme="majorBidi"/>
          <w:sz w:val="26"/>
          <w:szCs w:val="26"/>
          <w:rtl/>
          <w:lang w:bidi="ar-EG"/>
        </w:rPr>
        <w:t xml:space="preserve">الذي أشار إلى أن الدول الملتزمة بالاتفاقيات الثنائية تشهد نزاعات تجارية أقل بنسبة </w:t>
      </w:r>
      <w:r w:rsidRPr="00202E2A">
        <w:rPr>
          <w:rFonts w:asciiTheme="majorBidi" w:hAnsiTheme="majorBidi" w:cstheme="majorBidi"/>
          <w:sz w:val="26"/>
          <w:szCs w:val="26"/>
          <w:lang w:bidi="ar-EG"/>
        </w:rPr>
        <w:t>50</w:t>
      </w:r>
      <w:r w:rsidRPr="00202E2A">
        <w:rPr>
          <w:rFonts w:asciiTheme="majorBidi" w:hAnsiTheme="majorBidi" w:cstheme="majorBidi"/>
          <w:sz w:val="26"/>
          <w:szCs w:val="26"/>
          <w:rtl/>
          <w:lang w:bidi="ar-EG"/>
        </w:rPr>
        <w:t>%. مثال: نجاح الاتفاقية بين السعودية والصين في خفض النزاعات التجارية عبر آليات تحكيم واضحة</w:t>
      </w:r>
      <w:r w:rsidRPr="00202E2A">
        <w:rPr>
          <w:rFonts w:asciiTheme="majorBidi" w:hAnsiTheme="majorBidi" w:cstheme="majorBidi"/>
          <w:sz w:val="26"/>
          <w:szCs w:val="26"/>
          <w:lang w:bidi="ar-EG"/>
        </w:rPr>
        <w:t>.</w:t>
      </w:r>
    </w:p>
    <w:p w14:paraId="13672365" w14:textId="7DA59756" w:rsidR="008F377E"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8</w:t>
      </w:r>
      <w:r w:rsidRPr="00202E2A">
        <w:rPr>
          <w:rFonts w:asciiTheme="majorBidi" w:hAnsiTheme="majorBidi" w:cstheme="majorBidi"/>
          <w:b/>
          <w:bCs/>
          <w:sz w:val="26"/>
          <w:szCs w:val="26"/>
          <w:u w:val="single"/>
          <w:rtl/>
          <w:lang w:bidi="ar-EG"/>
        </w:rPr>
        <w:t>.</w:t>
      </w:r>
      <w:r w:rsidR="008F377E" w:rsidRPr="00202E2A">
        <w:rPr>
          <w:rFonts w:asciiTheme="majorBidi" w:hAnsiTheme="majorBidi" w:cstheme="majorBidi"/>
          <w:b/>
          <w:bCs/>
          <w:sz w:val="26"/>
          <w:szCs w:val="26"/>
          <w:u w:val="single"/>
          <w:lang w:bidi="ar-EG"/>
        </w:rPr>
        <w:t xml:space="preserve"> </w:t>
      </w:r>
      <w:r w:rsidR="008F377E" w:rsidRPr="00202E2A">
        <w:rPr>
          <w:rFonts w:asciiTheme="majorBidi" w:hAnsiTheme="majorBidi" w:cstheme="majorBidi"/>
          <w:b/>
          <w:bCs/>
          <w:sz w:val="26"/>
          <w:szCs w:val="26"/>
          <w:u w:val="single"/>
          <w:rtl/>
          <w:lang w:bidi="ar-EG"/>
        </w:rPr>
        <w:t>البُعد الاجتماعي والثقافي:</w:t>
      </w:r>
    </w:p>
    <w:p w14:paraId="76C58D04" w14:textId="77777777" w:rsidR="008F377E" w:rsidRPr="00202E2A" w:rsidRDefault="008F377E"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التفسير</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 تشير النتائج (</w:t>
      </w:r>
      <w:r w:rsidRPr="00202E2A">
        <w:rPr>
          <w:rFonts w:asciiTheme="majorBidi" w:hAnsiTheme="majorBidi" w:cstheme="majorBidi"/>
          <w:sz w:val="26"/>
          <w:szCs w:val="26"/>
          <w:lang w:bidi="ar-EG"/>
        </w:rPr>
        <w:t>63</w:t>
      </w:r>
      <w:r w:rsidRPr="00202E2A">
        <w:rPr>
          <w:rFonts w:asciiTheme="majorBidi" w:hAnsiTheme="majorBidi" w:cstheme="majorBidi"/>
          <w:sz w:val="26"/>
          <w:szCs w:val="26"/>
          <w:rtl/>
          <w:lang w:bidi="ar-EG"/>
        </w:rPr>
        <w:t>% موافقون) إلى إدراك تأثير التجارة العالمية في خلق فرص عمل، لكن الـ</w:t>
      </w:r>
      <w:r w:rsidRPr="00202E2A">
        <w:rPr>
          <w:rFonts w:asciiTheme="majorBidi" w:hAnsiTheme="majorBidi" w:cstheme="majorBidi"/>
          <w:sz w:val="26"/>
          <w:szCs w:val="26"/>
          <w:lang w:bidi="ar-EG"/>
        </w:rPr>
        <w:t>20</w:t>
      </w:r>
      <w:r w:rsidRPr="00202E2A">
        <w:rPr>
          <w:rFonts w:asciiTheme="majorBidi" w:hAnsiTheme="majorBidi" w:cstheme="majorBidi"/>
          <w:sz w:val="26"/>
          <w:szCs w:val="26"/>
          <w:rtl/>
          <w:lang w:bidi="ar-EG"/>
        </w:rPr>
        <w:t>% المحايدين قد يعكسون قلقًا من تأثير الأتمتة على الوظائف التقليدية. وفقًا لدراسة منظمة العمل الدولية</w:t>
      </w:r>
      <w:r w:rsidRPr="00202E2A">
        <w:rPr>
          <w:rFonts w:asciiTheme="majorBidi" w:hAnsiTheme="majorBidi" w:cstheme="majorBidi"/>
          <w:sz w:val="26"/>
          <w:szCs w:val="26"/>
          <w:lang w:bidi="ar-EG"/>
        </w:rPr>
        <w:t xml:space="preserve"> (ILO, 2022)</w:t>
      </w:r>
      <w:r w:rsidRPr="00202E2A">
        <w:rPr>
          <w:rFonts w:asciiTheme="majorBidi" w:hAnsiTheme="majorBidi" w:cstheme="majorBidi"/>
          <w:sz w:val="26"/>
          <w:szCs w:val="26"/>
          <w:rtl/>
          <w:lang w:bidi="ar-EG"/>
        </w:rPr>
        <w:t xml:space="preserve">، فإن </w:t>
      </w:r>
      <w:r w:rsidRPr="00202E2A">
        <w:rPr>
          <w:rFonts w:asciiTheme="majorBidi" w:hAnsiTheme="majorBidi" w:cstheme="majorBidi"/>
          <w:sz w:val="26"/>
          <w:szCs w:val="26"/>
          <w:lang w:bidi="ar-EG"/>
        </w:rPr>
        <w:t>65</w:t>
      </w:r>
      <w:r w:rsidRPr="00202E2A">
        <w:rPr>
          <w:rFonts w:asciiTheme="majorBidi" w:hAnsiTheme="majorBidi" w:cstheme="majorBidi"/>
          <w:sz w:val="26"/>
          <w:szCs w:val="26"/>
          <w:rtl/>
          <w:lang w:bidi="ar-EG"/>
        </w:rPr>
        <w:t xml:space="preserve">% من الوظائف الجديدة في القطاع التجاري تتطلب مهارات رقمية متوسطة على الأقل. مثال: تحوُّل </w:t>
      </w:r>
      <w:r w:rsidRPr="00202E2A">
        <w:rPr>
          <w:rFonts w:asciiTheme="majorBidi" w:hAnsiTheme="majorBidi" w:cstheme="majorBidi"/>
          <w:sz w:val="26"/>
          <w:szCs w:val="26"/>
          <w:lang w:bidi="ar-EG"/>
        </w:rPr>
        <w:t>30</w:t>
      </w:r>
      <w:r w:rsidRPr="00202E2A">
        <w:rPr>
          <w:rFonts w:asciiTheme="majorBidi" w:hAnsiTheme="majorBidi" w:cstheme="majorBidi"/>
          <w:sz w:val="26"/>
          <w:szCs w:val="26"/>
          <w:rtl/>
          <w:lang w:bidi="ar-EG"/>
        </w:rPr>
        <w:t>% من العاملين في القطاع الجمركي السعودي إلى وظائف إشرافية وتقنية بعد التحول الرقمي</w:t>
      </w:r>
      <w:r w:rsidRPr="00202E2A">
        <w:rPr>
          <w:rFonts w:asciiTheme="majorBidi" w:hAnsiTheme="majorBidi" w:cstheme="majorBidi"/>
          <w:sz w:val="26"/>
          <w:szCs w:val="26"/>
          <w:lang w:bidi="ar-EG"/>
        </w:rPr>
        <w:t>.</w:t>
      </w:r>
    </w:p>
    <w:p w14:paraId="5B3F31B7" w14:textId="1D5270F7" w:rsidR="00E13C8A"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9</w:t>
      </w:r>
      <w:r w:rsidRPr="00202E2A">
        <w:rPr>
          <w:rFonts w:asciiTheme="majorBidi" w:hAnsiTheme="majorBidi" w:cstheme="majorBidi"/>
          <w:b/>
          <w:bCs/>
          <w:sz w:val="26"/>
          <w:szCs w:val="26"/>
          <w:u w:val="single"/>
          <w:rtl/>
          <w:lang w:bidi="ar-EG"/>
        </w:rPr>
        <w:t>.</w:t>
      </w:r>
      <w:r w:rsidR="00E13C8A" w:rsidRPr="00202E2A">
        <w:rPr>
          <w:rFonts w:asciiTheme="majorBidi" w:hAnsiTheme="majorBidi" w:cstheme="majorBidi"/>
          <w:b/>
          <w:bCs/>
          <w:sz w:val="26"/>
          <w:szCs w:val="26"/>
          <w:u w:val="single"/>
          <w:lang w:bidi="ar-EG"/>
        </w:rPr>
        <w:t xml:space="preserve"> </w:t>
      </w:r>
      <w:r w:rsidR="00E13C8A" w:rsidRPr="00202E2A">
        <w:rPr>
          <w:rFonts w:asciiTheme="majorBidi" w:hAnsiTheme="majorBidi" w:cstheme="majorBidi"/>
          <w:b/>
          <w:bCs/>
          <w:sz w:val="26"/>
          <w:szCs w:val="26"/>
          <w:u w:val="single"/>
          <w:rtl/>
          <w:lang w:bidi="ar-EG"/>
        </w:rPr>
        <w:t>الحفاظ على الهوية الثقافية:</w:t>
      </w:r>
    </w:p>
    <w:p w14:paraId="2263333E" w14:textId="77777777" w:rsidR="00E13C8A" w:rsidRPr="00202E2A" w:rsidRDefault="00E13C8A"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التفسير </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تظهر النسبة المرتفعة للموافقة (</w:t>
      </w:r>
      <w:r w:rsidRPr="00202E2A">
        <w:rPr>
          <w:rFonts w:asciiTheme="majorBidi" w:hAnsiTheme="majorBidi" w:cstheme="majorBidi"/>
          <w:sz w:val="26"/>
          <w:szCs w:val="26"/>
          <w:lang w:bidi="ar-EG"/>
        </w:rPr>
        <w:t>65</w:t>
      </w:r>
      <w:r w:rsidRPr="00202E2A">
        <w:rPr>
          <w:rFonts w:asciiTheme="majorBidi" w:hAnsiTheme="majorBidi" w:cstheme="majorBidi"/>
          <w:sz w:val="26"/>
          <w:szCs w:val="26"/>
          <w:rtl/>
          <w:lang w:bidi="ar-EG"/>
        </w:rPr>
        <w:t xml:space="preserve">%) التزامًا قويًّا بالحفاظ على الهوية الثقافية عبر دعم المنتجات الوطنية، وهو ما يتماشى مع استراتيجية "رؤية </w:t>
      </w:r>
      <w:r w:rsidRPr="00202E2A">
        <w:rPr>
          <w:rFonts w:asciiTheme="majorBidi" w:hAnsiTheme="majorBidi" w:cstheme="majorBidi"/>
          <w:sz w:val="26"/>
          <w:szCs w:val="26"/>
          <w:lang w:bidi="ar-EG"/>
        </w:rPr>
        <w:t>2030</w:t>
      </w:r>
      <w:r w:rsidRPr="00202E2A">
        <w:rPr>
          <w:rFonts w:asciiTheme="majorBidi" w:hAnsiTheme="majorBidi" w:cstheme="majorBidi"/>
          <w:sz w:val="26"/>
          <w:szCs w:val="26"/>
          <w:rtl/>
          <w:lang w:bidi="ar-EG"/>
        </w:rPr>
        <w:t>" لتعزيز الهوية السعودية. وفقًا لتقرير اليونسكو (</w:t>
      </w:r>
      <w:r w:rsidRPr="00202E2A">
        <w:rPr>
          <w:rFonts w:asciiTheme="majorBidi" w:hAnsiTheme="majorBidi" w:cstheme="majorBidi"/>
          <w:sz w:val="26"/>
          <w:szCs w:val="26"/>
          <w:lang w:bidi="ar-EG"/>
        </w:rPr>
        <w:t>2022</w:t>
      </w:r>
      <w:r w:rsidRPr="00202E2A">
        <w:rPr>
          <w:rFonts w:asciiTheme="majorBidi" w:hAnsiTheme="majorBidi" w:cstheme="majorBidi"/>
          <w:sz w:val="26"/>
          <w:szCs w:val="26"/>
          <w:rtl/>
          <w:lang w:bidi="ar-EG"/>
        </w:rPr>
        <w:t xml:space="preserve">)، فإن </w:t>
      </w:r>
      <w:r w:rsidRPr="00202E2A">
        <w:rPr>
          <w:rFonts w:asciiTheme="majorBidi" w:hAnsiTheme="majorBidi" w:cstheme="majorBidi"/>
          <w:sz w:val="26"/>
          <w:szCs w:val="26"/>
          <w:lang w:bidi="ar-EG"/>
        </w:rPr>
        <w:t>70</w:t>
      </w:r>
      <w:r w:rsidRPr="00202E2A">
        <w:rPr>
          <w:rFonts w:asciiTheme="majorBidi" w:hAnsiTheme="majorBidi" w:cstheme="majorBidi"/>
          <w:sz w:val="26"/>
          <w:szCs w:val="26"/>
          <w:rtl/>
          <w:lang w:bidi="ar-EG"/>
        </w:rPr>
        <w:t>% من الدول الناجحة في حماية تراثها تعتمد على سياسات دعم محلية مدعومة بحملات تسويقية ذكية. مثال: نجاح إيطاليا في تسويق منتجاتها الزراعية (مثل زيت الزيتون) كرمز للجودة والتراث</w:t>
      </w:r>
      <w:r w:rsidRPr="00202E2A">
        <w:rPr>
          <w:rFonts w:asciiTheme="majorBidi" w:hAnsiTheme="majorBidi" w:cstheme="majorBidi"/>
          <w:sz w:val="26"/>
          <w:szCs w:val="26"/>
          <w:lang w:bidi="ar-EG"/>
        </w:rPr>
        <w:t>.</w:t>
      </w:r>
    </w:p>
    <w:p w14:paraId="559BA81C" w14:textId="21BE591F" w:rsidR="00E23AC7"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10</w:t>
      </w:r>
      <w:r w:rsidRPr="00202E2A">
        <w:rPr>
          <w:rFonts w:asciiTheme="majorBidi" w:hAnsiTheme="majorBidi" w:cstheme="majorBidi"/>
          <w:b/>
          <w:bCs/>
          <w:sz w:val="26"/>
          <w:szCs w:val="26"/>
          <w:u w:val="single"/>
          <w:rtl/>
          <w:lang w:bidi="ar-EG"/>
        </w:rPr>
        <w:t>.</w:t>
      </w:r>
      <w:r w:rsidR="00E23AC7" w:rsidRPr="00202E2A">
        <w:rPr>
          <w:rFonts w:asciiTheme="majorBidi" w:hAnsiTheme="majorBidi" w:cstheme="majorBidi"/>
          <w:b/>
          <w:bCs/>
          <w:sz w:val="26"/>
          <w:szCs w:val="26"/>
          <w:u w:val="single"/>
          <w:lang w:bidi="ar-EG"/>
        </w:rPr>
        <w:t xml:space="preserve"> </w:t>
      </w:r>
      <w:r w:rsidR="00E23AC7" w:rsidRPr="00202E2A">
        <w:rPr>
          <w:rFonts w:asciiTheme="majorBidi" w:hAnsiTheme="majorBidi" w:cstheme="majorBidi"/>
          <w:b/>
          <w:bCs/>
          <w:sz w:val="26"/>
          <w:szCs w:val="26"/>
          <w:u w:val="single"/>
          <w:rtl/>
          <w:lang w:bidi="ar-EG"/>
        </w:rPr>
        <w:t>البُعد الاقتصادي: إدارة العرض والطلب</w:t>
      </w:r>
      <w:r w:rsidR="005B7BD2" w:rsidRPr="00202E2A">
        <w:rPr>
          <w:rFonts w:asciiTheme="majorBidi" w:hAnsiTheme="majorBidi" w:cstheme="majorBidi"/>
          <w:b/>
          <w:bCs/>
          <w:sz w:val="26"/>
          <w:szCs w:val="26"/>
          <w:u w:val="single"/>
          <w:rtl/>
          <w:lang w:bidi="ar-EG"/>
        </w:rPr>
        <w:t>:</w:t>
      </w:r>
    </w:p>
    <w:p w14:paraId="70FDD781" w14:textId="5D8AB3C4" w:rsidR="00E23AC7" w:rsidRPr="00202E2A" w:rsidRDefault="00E23AC7"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lastRenderedPageBreak/>
        <w:t>التفسير</w:t>
      </w:r>
      <w:r w:rsidR="00CE32AB"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rtl/>
          <w:lang w:bidi="ar-EG"/>
        </w:rPr>
        <w:t>تُظهر النسبة العالية للموافقة (</w:t>
      </w:r>
      <w:r w:rsidR="00716E23" w:rsidRPr="00202E2A">
        <w:rPr>
          <w:rFonts w:asciiTheme="majorBidi" w:hAnsiTheme="majorBidi" w:cstheme="majorBidi"/>
          <w:sz w:val="26"/>
          <w:szCs w:val="26"/>
          <w:lang w:bidi="ar-EG"/>
        </w:rPr>
        <w:t>95</w:t>
      </w:r>
      <w:r w:rsidRPr="00202E2A">
        <w:rPr>
          <w:rFonts w:asciiTheme="majorBidi" w:hAnsiTheme="majorBidi" w:cstheme="majorBidi"/>
          <w:sz w:val="26"/>
          <w:szCs w:val="26"/>
          <w:rtl/>
          <w:lang w:bidi="ar-EG"/>
        </w:rPr>
        <w:t xml:space="preserve">%) إجماعًا قويًّا على دور إدارة العرض والطلب في دعم النمو الاقتصادي، وهو ما يتماشى مع استراتيجيات رؤية </w:t>
      </w:r>
      <w:r w:rsidR="00716E23" w:rsidRPr="00202E2A">
        <w:rPr>
          <w:rFonts w:asciiTheme="majorBidi" w:hAnsiTheme="majorBidi" w:cstheme="majorBidi"/>
          <w:sz w:val="26"/>
          <w:szCs w:val="26"/>
          <w:lang w:bidi="ar-EG"/>
        </w:rPr>
        <w:t>2030</w:t>
      </w:r>
      <w:r w:rsidRPr="00202E2A">
        <w:rPr>
          <w:rFonts w:asciiTheme="majorBidi" w:hAnsiTheme="majorBidi" w:cstheme="majorBidi"/>
          <w:sz w:val="26"/>
          <w:szCs w:val="26"/>
          <w:rtl/>
          <w:lang w:bidi="ar-EG"/>
        </w:rPr>
        <w:t xml:space="preserve"> لتنويع الاقتصاد وتعزيز الصادرات غير النفطية. وفقًا لتقرير البنك الدولي (</w:t>
      </w:r>
      <w:r w:rsidR="00716E23" w:rsidRPr="00202E2A">
        <w:rPr>
          <w:rFonts w:asciiTheme="majorBidi" w:hAnsiTheme="majorBidi" w:cstheme="majorBidi"/>
          <w:sz w:val="26"/>
          <w:szCs w:val="26"/>
          <w:lang w:bidi="ar-EG"/>
        </w:rPr>
        <w:t>2022</w:t>
      </w:r>
      <w:r w:rsidRPr="00202E2A">
        <w:rPr>
          <w:rFonts w:asciiTheme="majorBidi" w:hAnsiTheme="majorBidi" w:cstheme="majorBidi"/>
          <w:sz w:val="26"/>
          <w:szCs w:val="26"/>
          <w:rtl/>
          <w:lang w:bidi="ar-EG"/>
        </w:rPr>
        <w:t xml:space="preserve">)، تسهم السياسات الفعَّالة في إدارة العرض والطلب في زيادة الناتج المحلي الإجمالي بنسبة </w:t>
      </w:r>
      <w:r w:rsidR="00716E23" w:rsidRPr="00202E2A">
        <w:rPr>
          <w:rFonts w:asciiTheme="majorBidi" w:hAnsiTheme="majorBidi" w:cstheme="majorBidi"/>
          <w:sz w:val="26"/>
          <w:szCs w:val="26"/>
          <w:lang w:bidi="ar-EG"/>
        </w:rPr>
        <w:t>2</w:t>
      </w:r>
      <w:r w:rsidRPr="00202E2A">
        <w:rPr>
          <w:rFonts w:asciiTheme="majorBidi" w:hAnsiTheme="majorBidi" w:cstheme="majorBidi"/>
          <w:sz w:val="26"/>
          <w:szCs w:val="26"/>
          <w:rtl/>
          <w:lang w:bidi="ar-EG"/>
        </w:rPr>
        <w:t>-</w:t>
      </w:r>
      <w:r w:rsidR="00716E23" w:rsidRPr="00202E2A">
        <w:rPr>
          <w:rFonts w:asciiTheme="majorBidi" w:hAnsiTheme="majorBidi" w:cstheme="majorBidi"/>
          <w:sz w:val="26"/>
          <w:szCs w:val="26"/>
          <w:lang w:bidi="ar-EG"/>
        </w:rPr>
        <w:t>3</w:t>
      </w:r>
      <w:r w:rsidRPr="00202E2A">
        <w:rPr>
          <w:rFonts w:asciiTheme="majorBidi" w:hAnsiTheme="majorBidi" w:cstheme="majorBidi"/>
          <w:sz w:val="26"/>
          <w:szCs w:val="26"/>
          <w:rtl/>
          <w:lang w:bidi="ar-EG"/>
        </w:rPr>
        <w:t xml:space="preserve">% سنويًّا في الاقتصادات الناشئة. مثال: نجاح ماليزيا في رفع صادراتها من السلع الإلكترونية بنسبة </w:t>
      </w:r>
      <w:r w:rsidR="00716E23" w:rsidRPr="00202E2A">
        <w:rPr>
          <w:rFonts w:asciiTheme="majorBidi" w:hAnsiTheme="majorBidi" w:cstheme="majorBidi"/>
          <w:sz w:val="26"/>
          <w:szCs w:val="26"/>
          <w:lang w:bidi="ar-EG"/>
        </w:rPr>
        <w:t>40</w:t>
      </w:r>
      <w:r w:rsidRPr="00202E2A">
        <w:rPr>
          <w:rFonts w:asciiTheme="majorBidi" w:hAnsiTheme="majorBidi" w:cstheme="majorBidi"/>
          <w:sz w:val="26"/>
          <w:szCs w:val="26"/>
          <w:rtl/>
          <w:lang w:bidi="ar-EG"/>
        </w:rPr>
        <w:t>% عبر تحسين تنسيق سلاسل التوريد</w:t>
      </w:r>
      <w:r w:rsidRPr="00202E2A">
        <w:rPr>
          <w:rFonts w:asciiTheme="majorBidi" w:hAnsiTheme="majorBidi" w:cstheme="majorBidi"/>
          <w:sz w:val="26"/>
          <w:szCs w:val="26"/>
          <w:lang w:bidi="ar-EG"/>
        </w:rPr>
        <w:t>.</w:t>
      </w:r>
    </w:p>
    <w:p w14:paraId="0E7A2B23" w14:textId="510C351D" w:rsidR="00E23AC7"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11</w:t>
      </w:r>
      <w:r w:rsidRPr="00202E2A">
        <w:rPr>
          <w:rFonts w:asciiTheme="majorBidi" w:hAnsiTheme="majorBidi" w:cstheme="majorBidi"/>
          <w:b/>
          <w:bCs/>
          <w:sz w:val="26"/>
          <w:szCs w:val="26"/>
          <w:u w:val="single"/>
          <w:rtl/>
          <w:lang w:bidi="ar-EG"/>
        </w:rPr>
        <w:t>.</w:t>
      </w:r>
      <w:r w:rsidR="00E23AC7" w:rsidRPr="00202E2A">
        <w:rPr>
          <w:rFonts w:asciiTheme="majorBidi" w:hAnsiTheme="majorBidi" w:cstheme="majorBidi"/>
          <w:b/>
          <w:bCs/>
          <w:sz w:val="26"/>
          <w:szCs w:val="26"/>
          <w:u w:val="single"/>
          <w:lang w:bidi="ar-EG"/>
        </w:rPr>
        <w:t xml:space="preserve"> </w:t>
      </w:r>
      <w:r w:rsidR="00E23AC7" w:rsidRPr="00202E2A">
        <w:rPr>
          <w:rFonts w:asciiTheme="majorBidi" w:hAnsiTheme="majorBidi" w:cstheme="majorBidi"/>
          <w:b/>
          <w:bCs/>
          <w:sz w:val="26"/>
          <w:szCs w:val="26"/>
          <w:u w:val="single"/>
          <w:rtl/>
          <w:lang w:bidi="ar-EG"/>
        </w:rPr>
        <w:t>الانفتاح على الأسواق العالمية</w:t>
      </w:r>
      <w:r w:rsidR="005B7BD2" w:rsidRPr="00202E2A">
        <w:rPr>
          <w:rFonts w:asciiTheme="majorBidi" w:hAnsiTheme="majorBidi" w:cstheme="majorBidi"/>
          <w:b/>
          <w:bCs/>
          <w:sz w:val="26"/>
          <w:szCs w:val="26"/>
          <w:u w:val="single"/>
          <w:rtl/>
          <w:lang w:bidi="ar-EG"/>
        </w:rPr>
        <w:t>:</w:t>
      </w:r>
    </w:p>
    <w:p w14:paraId="3FB9D044" w14:textId="72638BA8" w:rsidR="00E23AC7" w:rsidRPr="00202E2A" w:rsidRDefault="00E23AC7"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التفسير</w:t>
      </w:r>
      <w:r w:rsidR="00CE32AB"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rtl/>
          <w:lang w:bidi="ar-EG"/>
        </w:rPr>
        <w:t xml:space="preserve">يعكس التأييد بنسبة </w:t>
      </w:r>
      <w:r w:rsidR="00716E23" w:rsidRPr="00202E2A">
        <w:rPr>
          <w:rFonts w:asciiTheme="majorBidi" w:hAnsiTheme="majorBidi" w:cstheme="majorBidi"/>
          <w:sz w:val="26"/>
          <w:szCs w:val="26"/>
          <w:lang w:bidi="ar-EG"/>
        </w:rPr>
        <w:t>72</w:t>
      </w:r>
      <w:r w:rsidRPr="00202E2A">
        <w:rPr>
          <w:rFonts w:asciiTheme="majorBidi" w:hAnsiTheme="majorBidi" w:cstheme="majorBidi"/>
          <w:sz w:val="26"/>
          <w:szCs w:val="26"/>
          <w:rtl/>
          <w:lang w:bidi="ar-EG"/>
        </w:rPr>
        <w:t xml:space="preserve">% مع وجود </w:t>
      </w:r>
      <w:r w:rsidR="00716E23" w:rsidRPr="00202E2A">
        <w:rPr>
          <w:rFonts w:asciiTheme="majorBidi" w:hAnsiTheme="majorBidi" w:cstheme="majorBidi"/>
          <w:sz w:val="26"/>
          <w:szCs w:val="26"/>
          <w:lang w:bidi="ar-EG"/>
        </w:rPr>
        <w:t>27</w:t>
      </w:r>
      <w:r w:rsidRPr="00202E2A">
        <w:rPr>
          <w:rFonts w:asciiTheme="majorBidi" w:hAnsiTheme="majorBidi" w:cstheme="majorBidi"/>
          <w:sz w:val="26"/>
          <w:szCs w:val="26"/>
          <w:rtl/>
          <w:lang w:bidi="ar-EG"/>
        </w:rPr>
        <w:t>% محايدين توجُّهًا نحو الانفتاح مع حذر من تأثيره على الصناعات المحلية. وفقًا لدراسة</w:t>
      </w:r>
      <w:r w:rsidRPr="00202E2A">
        <w:rPr>
          <w:rFonts w:asciiTheme="majorBidi" w:hAnsiTheme="majorBidi" w:cstheme="majorBidi"/>
          <w:sz w:val="26"/>
          <w:szCs w:val="26"/>
          <w:lang w:bidi="ar-EG"/>
        </w:rPr>
        <w:t xml:space="preserve"> Peterson Institute (2021)</w:t>
      </w:r>
      <w:r w:rsidRPr="00202E2A">
        <w:rPr>
          <w:rFonts w:asciiTheme="majorBidi" w:hAnsiTheme="majorBidi" w:cstheme="majorBidi"/>
          <w:sz w:val="26"/>
          <w:szCs w:val="26"/>
          <w:rtl/>
          <w:lang w:bidi="ar-EG"/>
        </w:rPr>
        <w:t xml:space="preserve">، فإن الاقتصادات المنفتحة تشهد نموًّا أعلى بنسبة </w:t>
      </w:r>
      <w:r w:rsidR="00716E23" w:rsidRPr="00202E2A">
        <w:rPr>
          <w:rFonts w:asciiTheme="majorBidi" w:hAnsiTheme="majorBidi" w:cstheme="majorBidi"/>
          <w:sz w:val="26"/>
          <w:szCs w:val="26"/>
          <w:lang w:bidi="ar-EG"/>
        </w:rPr>
        <w:t>1.5</w:t>
      </w:r>
      <w:r w:rsidRPr="00202E2A">
        <w:rPr>
          <w:rFonts w:asciiTheme="majorBidi" w:hAnsiTheme="majorBidi" w:cstheme="majorBidi"/>
          <w:sz w:val="26"/>
          <w:szCs w:val="26"/>
          <w:rtl/>
          <w:lang w:bidi="ar-EG"/>
        </w:rPr>
        <w:t>% مقارنة بالاقتصادات المغلقة، لكنها قد تواجه مخاطر مثل الإغراق التجاري. مثال: تجربة الهند في فرض رسوم جمركية انتقائية لحماية صناعاتها الناشئة مع الانفتاح على الاستثمار الأجنبي</w:t>
      </w:r>
      <w:r w:rsidRPr="00202E2A">
        <w:rPr>
          <w:rFonts w:asciiTheme="majorBidi" w:hAnsiTheme="majorBidi" w:cstheme="majorBidi"/>
          <w:sz w:val="26"/>
          <w:szCs w:val="26"/>
          <w:lang w:bidi="ar-EG"/>
        </w:rPr>
        <w:t>.</w:t>
      </w:r>
    </w:p>
    <w:p w14:paraId="43861BCA" w14:textId="29898347" w:rsidR="00E23AC7"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12</w:t>
      </w:r>
      <w:r w:rsidR="00E674ED" w:rsidRPr="00202E2A">
        <w:rPr>
          <w:rFonts w:asciiTheme="majorBidi" w:hAnsiTheme="majorBidi" w:cstheme="majorBidi"/>
          <w:b/>
          <w:bCs/>
          <w:sz w:val="26"/>
          <w:szCs w:val="26"/>
          <w:u w:val="single"/>
          <w:rtl/>
          <w:lang w:bidi="ar-EG"/>
        </w:rPr>
        <w:t>.</w:t>
      </w:r>
      <w:r w:rsidR="00E23AC7" w:rsidRPr="00202E2A">
        <w:rPr>
          <w:rFonts w:asciiTheme="majorBidi" w:hAnsiTheme="majorBidi" w:cstheme="majorBidi"/>
          <w:b/>
          <w:bCs/>
          <w:sz w:val="26"/>
          <w:szCs w:val="26"/>
          <w:u w:val="single"/>
          <w:lang w:bidi="ar-EG"/>
        </w:rPr>
        <w:t xml:space="preserve"> </w:t>
      </w:r>
      <w:r w:rsidR="00E23AC7" w:rsidRPr="00202E2A">
        <w:rPr>
          <w:rFonts w:asciiTheme="majorBidi" w:hAnsiTheme="majorBidi" w:cstheme="majorBidi"/>
          <w:b/>
          <w:bCs/>
          <w:sz w:val="26"/>
          <w:szCs w:val="26"/>
          <w:u w:val="single"/>
          <w:rtl/>
          <w:lang w:bidi="ar-EG"/>
        </w:rPr>
        <w:t>البُعد التكنولوجي</w:t>
      </w:r>
      <w:r w:rsidR="005B7BD2" w:rsidRPr="00202E2A">
        <w:rPr>
          <w:rFonts w:asciiTheme="majorBidi" w:hAnsiTheme="majorBidi" w:cstheme="majorBidi"/>
          <w:b/>
          <w:bCs/>
          <w:sz w:val="26"/>
          <w:szCs w:val="26"/>
          <w:u w:val="single"/>
          <w:rtl/>
          <w:lang w:bidi="ar-EG"/>
        </w:rPr>
        <w:t>:</w:t>
      </w:r>
    </w:p>
    <w:p w14:paraId="0CECC2DD" w14:textId="46FE2540" w:rsidR="00E23AC7" w:rsidRPr="00202E2A" w:rsidRDefault="00E23AC7"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التفسير</w:t>
      </w:r>
      <w:r w:rsidR="00CE32AB"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rtl/>
          <w:lang w:bidi="ar-EG"/>
        </w:rPr>
        <w:t>تُظهر النسبة العالية للموافقة (</w:t>
      </w:r>
      <w:r w:rsidR="00716E23" w:rsidRPr="00202E2A">
        <w:rPr>
          <w:rFonts w:asciiTheme="majorBidi" w:hAnsiTheme="majorBidi" w:cstheme="majorBidi"/>
          <w:sz w:val="26"/>
          <w:szCs w:val="26"/>
          <w:lang w:bidi="ar-EG"/>
        </w:rPr>
        <w:t>78</w:t>
      </w:r>
      <w:r w:rsidRPr="00202E2A">
        <w:rPr>
          <w:rFonts w:asciiTheme="majorBidi" w:hAnsiTheme="majorBidi" w:cstheme="majorBidi"/>
          <w:sz w:val="26"/>
          <w:szCs w:val="26"/>
          <w:rtl/>
          <w:lang w:bidi="ar-EG"/>
        </w:rPr>
        <w:t>%) ثقةً في قدرة التقنيات الرقمية</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مثل الذكاء الاصطناعي و</w:t>
      </w:r>
      <w:r w:rsidRPr="00202E2A">
        <w:rPr>
          <w:rFonts w:asciiTheme="majorBidi" w:hAnsiTheme="majorBidi" w:cstheme="majorBidi"/>
          <w:sz w:val="26"/>
          <w:szCs w:val="26"/>
          <w:lang w:bidi="ar-EG"/>
        </w:rPr>
        <w:t xml:space="preserve">Blockchain) </w:t>
      </w:r>
      <w:r w:rsidRPr="00202E2A">
        <w:rPr>
          <w:rFonts w:asciiTheme="majorBidi" w:hAnsiTheme="majorBidi" w:cstheme="majorBidi"/>
          <w:sz w:val="26"/>
          <w:szCs w:val="26"/>
          <w:rtl/>
          <w:lang w:bidi="ar-EG"/>
        </w:rPr>
        <w:t>على تحسين كفاءة سلاسل التوريد، وهو ما يتوافق مع تقرير مؤسسة ماكينزي (</w:t>
      </w:r>
      <w:r w:rsidR="00716E23" w:rsidRPr="00202E2A">
        <w:rPr>
          <w:rFonts w:asciiTheme="majorBidi" w:hAnsiTheme="majorBidi" w:cstheme="majorBidi"/>
          <w:sz w:val="26"/>
          <w:szCs w:val="26"/>
          <w:lang w:bidi="ar-EG"/>
        </w:rPr>
        <w:t>2023</w:t>
      </w:r>
      <w:r w:rsidRPr="00202E2A">
        <w:rPr>
          <w:rFonts w:asciiTheme="majorBidi" w:hAnsiTheme="majorBidi" w:cstheme="majorBidi"/>
          <w:sz w:val="26"/>
          <w:szCs w:val="26"/>
          <w:rtl/>
          <w:lang w:bidi="ar-EG"/>
        </w:rPr>
        <w:t>) الذي أكد أن تبني هذه التقنيات يخفض تكاليف الخدمات اللوجستية بنسبة 25%. مثال: استخدام دبي لتقنية</w:t>
      </w:r>
      <w:r w:rsidRPr="00202E2A">
        <w:rPr>
          <w:rFonts w:asciiTheme="majorBidi" w:hAnsiTheme="majorBidi" w:cstheme="majorBidi"/>
          <w:sz w:val="26"/>
          <w:szCs w:val="26"/>
          <w:lang w:bidi="ar-EG"/>
        </w:rPr>
        <w:t xml:space="preserve"> Blockchain </w:t>
      </w:r>
      <w:r w:rsidRPr="00202E2A">
        <w:rPr>
          <w:rFonts w:asciiTheme="majorBidi" w:hAnsiTheme="majorBidi" w:cstheme="majorBidi"/>
          <w:sz w:val="26"/>
          <w:szCs w:val="26"/>
          <w:rtl/>
          <w:lang w:bidi="ar-EG"/>
        </w:rPr>
        <w:t>في منصة "نقل" لتعقب الشحنات الجمركية</w:t>
      </w:r>
      <w:r w:rsidRPr="00202E2A">
        <w:rPr>
          <w:rFonts w:asciiTheme="majorBidi" w:hAnsiTheme="majorBidi" w:cstheme="majorBidi"/>
          <w:sz w:val="26"/>
          <w:szCs w:val="26"/>
          <w:lang w:bidi="ar-EG"/>
        </w:rPr>
        <w:t>.</w:t>
      </w:r>
    </w:p>
    <w:p w14:paraId="48B33AA1" w14:textId="6CD6852B" w:rsidR="008F377E"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13</w:t>
      </w:r>
      <w:r w:rsidR="008F377E" w:rsidRPr="00202E2A">
        <w:rPr>
          <w:rFonts w:asciiTheme="majorBidi" w:hAnsiTheme="majorBidi" w:cstheme="majorBidi"/>
          <w:b/>
          <w:bCs/>
          <w:sz w:val="26"/>
          <w:szCs w:val="26"/>
          <w:u w:val="single"/>
          <w:rtl/>
          <w:lang w:bidi="ar-EG"/>
        </w:rPr>
        <w:t>.</w:t>
      </w:r>
      <w:r w:rsidR="008F377E" w:rsidRPr="00202E2A">
        <w:rPr>
          <w:rFonts w:asciiTheme="majorBidi" w:hAnsiTheme="majorBidi" w:cstheme="majorBidi"/>
          <w:b/>
          <w:bCs/>
          <w:sz w:val="26"/>
          <w:szCs w:val="26"/>
          <w:u w:val="single"/>
          <w:lang w:bidi="ar-EG"/>
        </w:rPr>
        <w:t xml:space="preserve"> </w:t>
      </w:r>
      <w:r w:rsidR="008F377E" w:rsidRPr="00202E2A">
        <w:rPr>
          <w:rFonts w:asciiTheme="majorBidi" w:hAnsiTheme="majorBidi" w:cstheme="majorBidi"/>
          <w:b/>
          <w:bCs/>
          <w:sz w:val="26"/>
          <w:szCs w:val="26"/>
          <w:u w:val="single"/>
          <w:rtl/>
          <w:lang w:bidi="ar-EG"/>
        </w:rPr>
        <w:t>تحسين الرقابة الجمركية بالأشعة السينية:</w:t>
      </w:r>
      <w:r w:rsidR="008F377E" w:rsidRPr="00202E2A">
        <w:rPr>
          <w:rFonts w:asciiTheme="majorBidi" w:hAnsiTheme="majorBidi" w:cstheme="majorBidi"/>
          <w:b/>
          <w:bCs/>
          <w:sz w:val="26"/>
          <w:szCs w:val="26"/>
          <w:u w:val="single"/>
          <w:lang w:bidi="ar-EG"/>
        </w:rPr>
        <w:t xml:space="preserve"> </w:t>
      </w:r>
    </w:p>
    <w:p w14:paraId="1EDD1459" w14:textId="77777777" w:rsidR="008F377E" w:rsidRPr="00202E2A" w:rsidRDefault="008F377E"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التفسير:</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ارتفاع نسبة غير الموافقين (</w:t>
      </w:r>
      <w:r w:rsidRPr="00202E2A">
        <w:rPr>
          <w:rFonts w:asciiTheme="majorBidi" w:hAnsiTheme="majorBidi" w:cstheme="majorBidi"/>
          <w:sz w:val="26"/>
          <w:szCs w:val="26"/>
          <w:lang w:bidi="ar-EG"/>
        </w:rPr>
        <w:t>48</w:t>
      </w:r>
      <w:r w:rsidRPr="00202E2A">
        <w:rPr>
          <w:rFonts w:asciiTheme="majorBidi" w:hAnsiTheme="majorBidi" w:cstheme="majorBidi"/>
          <w:sz w:val="26"/>
          <w:szCs w:val="26"/>
          <w:rtl/>
          <w:lang w:bidi="ar-EG"/>
        </w:rPr>
        <w:t>%) قد يعكس تحديات تقنية أو إدارية، مثل استخدام أجهزة مسح ضوئي قديمة غير قادرة على التعامل مع الأحجام الكبيرة للشحنات، أو نقص التدريب على تحليل الصور بدقة. وفقًا لتقرير البنك الدولي (</w:t>
      </w:r>
      <w:r w:rsidRPr="00202E2A">
        <w:rPr>
          <w:rFonts w:asciiTheme="majorBidi" w:hAnsiTheme="majorBidi" w:cstheme="majorBidi"/>
          <w:sz w:val="26"/>
          <w:szCs w:val="26"/>
          <w:lang w:bidi="ar-EG"/>
        </w:rPr>
        <w:t>2023</w:t>
      </w:r>
      <w:r w:rsidRPr="00202E2A">
        <w:rPr>
          <w:rFonts w:asciiTheme="majorBidi" w:hAnsiTheme="majorBidi" w:cstheme="majorBidi"/>
          <w:sz w:val="26"/>
          <w:szCs w:val="26"/>
          <w:rtl/>
          <w:lang w:bidi="ar-EG"/>
        </w:rPr>
        <w:t xml:space="preserve">)، تعتمد كفاءة أنظمة المسح الضوئي على تكاملها مع تقنيات الذكاء الاصطناعي لتحليل البيانات تلقائيًا، وهو ما قد يكون غائبًا في بعض فروع الهيئة. مثالٌ على ذلك: تجربة سلطنة عمان في تحديث أجهزة الأشعة السينية مدعومة بالذكاء الاصطناعي، والتي قللت زمن الفحص من </w:t>
      </w:r>
      <w:r w:rsidRPr="00202E2A">
        <w:rPr>
          <w:rFonts w:asciiTheme="majorBidi" w:hAnsiTheme="majorBidi" w:cstheme="majorBidi"/>
          <w:sz w:val="26"/>
          <w:szCs w:val="26"/>
          <w:lang w:bidi="ar-EG"/>
        </w:rPr>
        <w:t>30</w:t>
      </w:r>
      <w:r w:rsidRPr="00202E2A">
        <w:rPr>
          <w:rFonts w:asciiTheme="majorBidi" w:hAnsiTheme="majorBidi" w:cstheme="majorBidi"/>
          <w:sz w:val="26"/>
          <w:szCs w:val="26"/>
          <w:rtl/>
          <w:lang w:bidi="ar-EG"/>
        </w:rPr>
        <w:t xml:space="preserve"> دقيقة إلى </w:t>
      </w:r>
      <w:r w:rsidRPr="00202E2A">
        <w:rPr>
          <w:rFonts w:asciiTheme="majorBidi" w:hAnsiTheme="majorBidi" w:cstheme="majorBidi"/>
          <w:sz w:val="26"/>
          <w:szCs w:val="26"/>
          <w:lang w:bidi="ar-EG"/>
        </w:rPr>
        <w:t>5</w:t>
      </w:r>
      <w:r w:rsidRPr="00202E2A">
        <w:rPr>
          <w:rFonts w:asciiTheme="majorBidi" w:hAnsiTheme="majorBidi" w:cstheme="majorBidi"/>
          <w:sz w:val="26"/>
          <w:szCs w:val="26"/>
          <w:rtl/>
          <w:lang w:bidi="ar-EG"/>
        </w:rPr>
        <w:t xml:space="preserve"> دقائق لكل شحنة</w:t>
      </w:r>
      <w:r w:rsidRPr="00202E2A">
        <w:rPr>
          <w:rFonts w:asciiTheme="majorBidi" w:hAnsiTheme="majorBidi" w:cstheme="majorBidi"/>
          <w:sz w:val="26"/>
          <w:szCs w:val="26"/>
          <w:lang w:bidi="ar-EG"/>
        </w:rPr>
        <w:t xml:space="preserve">.  </w:t>
      </w:r>
    </w:p>
    <w:p w14:paraId="31978121" w14:textId="7B4275FB" w:rsidR="008F377E"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14</w:t>
      </w:r>
      <w:r w:rsidR="008F377E" w:rsidRPr="00202E2A">
        <w:rPr>
          <w:rFonts w:asciiTheme="majorBidi" w:hAnsiTheme="majorBidi" w:cstheme="majorBidi"/>
          <w:b/>
          <w:bCs/>
          <w:sz w:val="26"/>
          <w:szCs w:val="26"/>
          <w:u w:val="single"/>
          <w:rtl/>
          <w:lang w:bidi="ar-EG"/>
        </w:rPr>
        <w:t>.</w:t>
      </w:r>
      <w:r w:rsidR="008F377E" w:rsidRPr="00202E2A">
        <w:rPr>
          <w:rFonts w:asciiTheme="majorBidi" w:hAnsiTheme="majorBidi" w:cstheme="majorBidi"/>
          <w:b/>
          <w:bCs/>
          <w:sz w:val="26"/>
          <w:szCs w:val="26"/>
          <w:u w:val="single"/>
          <w:lang w:bidi="ar-EG"/>
        </w:rPr>
        <w:t xml:space="preserve"> </w:t>
      </w:r>
      <w:r w:rsidR="008F377E" w:rsidRPr="00202E2A">
        <w:rPr>
          <w:rFonts w:asciiTheme="majorBidi" w:hAnsiTheme="majorBidi" w:cstheme="majorBidi"/>
          <w:b/>
          <w:bCs/>
          <w:sz w:val="26"/>
          <w:szCs w:val="26"/>
          <w:u w:val="single"/>
          <w:rtl/>
          <w:lang w:bidi="ar-EG"/>
        </w:rPr>
        <w:t>تحديد الشحنات الخطرة بالذكاء الاصطناعي</w:t>
      </w:r>
      <w:r w:rsidR="008F377E" w:rsidRPr="00202E2A">
        <w:rPr>
          <w:rFonts w:asciiTheme="majorBidi" w:hAnsiTheme="majorBidi" w:cstheme="majorBidi"/>
          <w:b/>
          <w:bCs/>
          <w:sz w:val="26"/>
          <w:szCs w:val="26"/>
          <w:u w:val="single"/>
          <w:lang w:bidi="ar-EG"/>
        </w:rPr>
        <w:t xml:space="preserve">:  </w:t>
      </w:r>
    </w:p>
    <w:p w14:paraId="1C419EF0" w14:textId="77777777" w:rsidR="008F377E" w:rsidRPr="00202E2A" w:rsidRDefault="008F377E"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التفسير:</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يعكس التباين في الآراء (</w:t>
      </w:r>
      <w:r w:rsidRPr="00202E2A">
        <w:rPr>
          <w:rFonts w:asciiTheme="majorBidi" w:hAnsiTheme="majorBidi" w:cstheme="majorBidi"/>
          <w:sz w:val="26"/>
          <w:szCs w:val="26"/>
          <w:lang w:bidi="ar-EG"/>
        </w:rPr>
        <w:t>40</w:t>
      </w:r>
      <w:r w:rsidRPr="00202E2A">
        <w:rPr>
          <w:rFonts w:asciiTheme="majorBidi" w:hAnsiTheme="majorBidi" w:cstheme="majorBidi"/>
          <w:sz w:val="26"/>
          <w:szCs w:val="26"/>
          <w:rtl/>
          <w:lang w:bidi="ar-EG"/>
        </w:rPr>
        <w:t xml:space="preserve">% موافقون، </w:t>
      </w:r>
      <w:r w:rsidRPr="00202E2A">
        <w:rPr>
          <w:rFonts w:asciiTheme="majorBidi" w:hAnsiTheme="majorBidi" w:cstheme="majorBidi"/>
          <w:sz w:val="26"/>
          <w:szCs w:val="26"/>
          <w:lang w:bidi="ar-EG"/>
        </w:rPr>
        <w:t>33</w:t>
      </w:r>
      <w:r w:rsidRPr="00202E2A">
        <w:rPr>
          <w:rFonts w:asciiTheme="majorBidi" w:hAnsiTheme="majorBidi" w:cstheme="majorBidi"/>
          <w:sz w:val="26"/>
          <w:szCs w:val="26"/>
          <w:rtl/>
          <w:lang w:bidi="ar-EG"/>
        </w:rPr>
        <w:t>% محايدون) اختلافًا في تجارب الفروع مع التقنية، حيث قد تعاني بعض الفروع من نقص البيانات المُدخلة أو عدم تكامل الأنظمة. وفقًا لتقرير منظمة الجمارك العالمية (</w:t>
      </w:r>
      <w:r w:rsidRPr="00202E2A">
        <w:rPr>
          <w:rFonts w:asciiTheme="majorBidi" w:hAnsiTheme="majorBidi" w:cstheme="majorBidi"/>
          <w:sz w:val="26"/>
          <w:szCs w:val="26"/>
          <w:lang w:bidi="ar-EG"/>
        </w:rPr>
        <w:t>2023</w:t>
      </w:r>
      <w:r w:rsidRPr="00202E2A">
        <w:rPr>
          <w:rFonts w:asciiTheme="majorBidi" w:hAnsiTheme="majorBidi" w:cstheme="majorBidi"/>
          <w:sz w:val="26"/>
          <w:szCs w:val="26"/>
          <w:rtl/>
          <w:lang w:bidi="ar-EG"/>
        </w:rPr>
        <w:t>)، تعتمد دقة الذكاء الاصطناعي على جودة البيانات وجودة تكاملها مع أنظمة الطرف الثالث. مثال: نجاح نظام "أي-تريكر</w:t>
      </w:r>
      <w:r w:rsidRPr="00202E2A">
        <w:rPr>
          <w:rFonts w:asciiTheme="majorBidi" w:hAnsiTheme="majorBidi" w:cstheme="majorBidi"/>
          <w:sz w:val="26"/>
          <w:szCs w:val="26"/>
          <w:lang w:bidi="ar-EG"/>
        </w:rPr>
        <w:t xml:space="preserve">" (iTracker) </w:t>
      </w:r>
      <w:r w:rsidRPr="00202E2A">
        <w:rPr>
          <w:rFonts w:asciiTheme="majorBidi" w:hAnsiTheme="majorBidi" w:cstheme="majorBidi"/>
          <w:sz w:val="26"/>
          <w:szCs w:val="26"/>
          <w:rtl/>
          <w:lang w:bidi="ar-EG"/>
        </w:rPr>
        <w:t xml:space="preserve">في هولندا في خفض التهريب بنسبة </w:t>
      </w:r>
      <w:r w:rsidRPr="00202E2A">
        <w:rPr>
          <w:rFonts w:asciiTheme="majorBidi" w:hAnsiTheme="majorBidi" w:cstheme="majorBidi"/>
          <w:sz w:val="26"/>
          <w:szCs w:val="26"/>
          <w:lang w:bidi="ar-EG"/>
        </w:rPr>
        <w:t>50</w:t>
      </w:r>
      <w:r w:rsidRPr="00202E2A">
        <w:rPr>
          <w:rFonts w:asciiTheme="majorBidi" w:hAnsiTheme="majorBidi" w:cstheme="majorBidi"/>
          <w:sz w:val="26"/>
          <w:szCs w:val="26"/>
          <w:rtl/>
          <w:lang w:bidi="ar-EG"/>
        </w:rPr>
        <w:t>% بعد تحسين جودة البيانات</w:t>
      </w:r>
      <w:r w:rsidRPr="00202E2A">
        <w:rPr>
          <w:rFonts w:asciiTheme="majorBidi" w:hAnsiTheme="majorBidi" w:cstheme="majorBidi"/>
          <w:sz w:val="26"/>
          <w:szCs w:val="26"/>
          <w:lang w:bidi="ar-EG"/>
        </w:rPr>
        <w:t xml:space="preserve">.  </w:t>
      </w:r>
    </w:p>
    <w:p w14:paraId="541E1B1F" w14:textId="1B7D1091" w:rsidR="00E23AC7"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15</w:t>
      </w:r>
      <w:r w:rsidRPr="00202E2A">
        <w:rPr>
          <w:rFonts w:asciiTheme="majorBidi" w:hAnsiTheme="majorBidi" w:cstheme="majorBidi"/>
          <w:b/>
          <w:bCs/>
          <w:sz w:val="26"/>
          <w:szCs w:val="26"/>
          <w:u w:val="single"/>
          <w:rtl/>
          <w:lang w:bidi="ar-EG"/>
        </w:rPr>
        <w:t>.</w:t>
      </w:r>
      <w:r w:rsidR="00E23AC7" w:rsidRPr="00202E2A">
        <w:rPr>
          <w:rFonts w:asciiTheme="majorBidi" w:hAnsiTheme="majorBidi" w:cstheme="majorBidi"/>
          <w:b/>
          <w:bCs/>
          <w:sz w:val="26"/>
          <w:szCs w:val="26"/>
          <w:u w:val="single"/>
          <w:lang w:bidi="ar-EG"/>
        </w:rPr>
        <w:t xml:space="preserve"> </w:t>
      </w:r>
      <w:r w:rsidR="00E23AC7" w:rsidRPr="00202E2A">
        <w:rPr>
          <w:rFonts w:asciiTheme="majorBidi" w:hAnsiTheme="majorBidi" w:cstheme="majorBidi"/>
          <w:b/>
          <w:bCs/>
          <w:sz w:val="26"/>
          <w:szCs w:val="26"/>
          <w:u w:val="single"/>
          <w:rtl/>
          <w:lang w:bidi="ar-EG"/>
        </w:rPr>
        <w:t>البُعد البيئي</w:t>
      </w:r>
      <w:r w:rsidR="00E674ED" w:rsidRPr="00202E2A">
        <w:rPr>
          <w:rFonts w:asciiTheme="majorBidi" w:hAnsiTheme="majorBidi" w:cstheme="majorBidi"/>
          <w:b/>
          <w:bCs/>
          <w:sz w:val="26"/>
          <w:szCs w:val="26"/>
          <w:u w:val="single"/>
          <w:rtl/>
          <w:lang w:bidi="ar-EG"/>
        </w:rPr>
        <w:t>:</w:t>
      </w:r>
    </w:p>
    <w:p w14:paraId="7498A473" w14:textId="12D2DF58" w:rsidR="00E23AC7" w:rsidRPr="00202E2A" w:rsidRDefault="00E23AC7"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التفسير</w:t>
      </w:r>
      <w:r w:rsidR="00CE32AB"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rtl/>
          <w:lang w:bidi="ar-EG"/>
        </w:rPr>
        <w:t>تُظهر النسبة المرتفعة للموافقة (</w:t>
      </w:r>
      <w:r w:rsidR="00716E23" w:rsidRPr="00202E2A">
        <w:rPr>
          <w:rFonts w:asciiTheme="majorBidi" w:hAnsiTheme="majorBidi" w:cstheme="majorBidi"/>
          <w:sz w:val="26"/>
          <w:szCs w:val="26"/>
          <w:lang w:bidi="ar-EG"/>
        </w:rPr>
        <w:t>78</w:t>
      </w:r>
      <w:r w:rsidRPr="00202E2A">
        <w:rPr>
          <w:rFonts w:asciiTheme="majorBidi" w:hAnsiTheme="majorBidi" w:cstheme="majorBidi"/>
          <w:sz w:val="26"/>
          <w:szCs w:val="26"/>
          <w:rtl/>
          <w:lang w:bidi="ar-EG"/>
        </w:rPr>
        <w:t xml:space="preserve">%) وعيًا بأهمية التجارة الخضراء، وهو ما يتماشى مع مبادرة "السعودية الخضراء" التي تهدف إلى خفض الانبعاثات الكربونية بنسبة </w:t>
      </w:r>
      <w:r w:rsidR="00716E23" w:rsidRPr="00202E2A">
        <w:rPr>
          <w:rFonts w:asciiTheme="majorBidi" w:hAnsiTheme="majorBidi" w:cstheme="majorBidi"/>
          <w:sz w:val="26"/>
          <w:szCs w:val="26"/>
          <w:lang w:bidi="ar-EG"/>
        </w:rPr>
        <w:t>50</w:t>
      </w:r>
      <w:r w:rsidRPr="00202E2A">
        <w:rPr>
          <w:rFonts w:asciiTheme="majorBidi" w:hAnsiTheme="majorBidi" w:cstheme="majorBidi"/>
          <w:sz w:val="26"/>
          <w:szCs w:val="26"/>
          <w:rtl/>
          <w:lang w:bidi="ar-EG"/>
        </w:rPr>
        <w:t xml:space="preserve">% بحلول </w:t>
      </w:r>
      <w:r w:rsidR="00716E23" w:rsidRPr="00202E2A">
        <w:rPr>
          <w:rFonts w:asciiTheme="majorBidi" w:hAnsiTheme="majorBidi" w:cstheme="majorBidi"/>
          <w:sz w:val="26"/>
          <w:szCs w:val="26"/>
          <w:lang w:bidi="ar-EG"/>
        </w:rPr>
        <w:t>2030</w:t>
      </w:r>
      <w:r w:rsidRPr="00202E2A">
        <w:rPr>
          <w:rFonts w:asciiTheme="majorBidi" w:hAnsiTheme="majorBidi" w:cstheme="majorBidi"/>
          <w:sz w:val="26"/>
          <w:szCs w:val="26"/>
          <w:rtl/>
          <w:lang w:bidi="ar-EG"/>
        </w:rPr>
        <w:t>. وفقًا لتقرير الأمم المتحدة (</w:t>
      </w:r>
      <w:r w:rsidR="00716E23" w:rsidRPr="00202E2A">
        <w:rPr>
          <w:rFonts w:asciiTheme="majorBidi" w:hAnsiTheme="majorBidi" w:cstheme="majorBidi"/>
          <w:sz w:val="26"/>
          <w:szCs w:val="26"/>
          <w:lang w:bidi="ar-EG"/>
        </w:rPr>
        <w:t>2023</w:t>
      </w:r>
      <w:r w:rsidRPr="00202E2A">
        <w:rPr>
          <w:rFonts w:asciiTheme="majorBidi" w:hAnsiTheme="majorBidi" w:cstheme="majorBidi"/>
          <w:sz w:val="26"/>
          <w:szCs w:val="26"/>
          <w:rtl/>
          <w:lang w:bidi="ar-EG"/>
        </w:rPr>
        <w:t xml:space="preserve">)، فإن الدول التي تتبنى معايير الاستدامة في تجارتها تشهد زيادة في الصادرات بنسبة </w:t>
      </w:r>
      <w:r w:rsidR="00716E23" w:rsidRPr="00202E2A">
        <w:rPr>
          <w:rFonts w:asciiTheme="majorBidi" w:hAnsiTheme="majorBidi" w:cstheme="majorBidi"/>
          <w:sz w:val="26"/>
          <w:szCs w:val="26"/>
          <w:lang w:bidi="ar-EG"/>
        </w:rPr>
        <w:t>12</w:t>
      </w:r>
      <w:r w:rsidRPr="00202E2A">
        <w:rPr>
          <w:rFonts w:asciiTheme="majorBidi" w:hAnsiTheme="majorBidi" w:cstheme="majorBidi"/>
          <w:sz w:val="26"/>
          <w:szCs w:val="26"/>
          <w:rtl/>
          <w:lang w:bidi="ar-EG"/>
        </w:rPr>
        <w:t>%. مثال: نجاح الاتحاد الأوروبي في فرض "ضريبة الكربون" على الواردات غير المستدامة</w:t>
      </w:r>
      <w:r w:rsidRPr="00202E2A">
        <w:rPr>
          <w:rFonts w:asciiTheme="majorBidi" w:hAnsiTheme="majorBidi" w:cstheme="majorBidi"/>
          <w:sz w:val="26"/>
          <w:szCs w:val="26"/>
          <w:lang w:bidi="ar-EG"/>
        </w:rPr>
        <w:t>.</w:t>
      </w:r>
    </w:p>
    <w:p w14:paraId="4BB0683A" w14:textId="3FDBBA13" w:rsidR="00824BE6"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16</w:t>
      </w:r>
      <w:r w:rsidRPr="00202E2A">
        <w:rPr>
          <w:rFonts w:asciiTheme="majorBidi" w:hAnsiTheme="majorBidi" w:cstheme="majorBidi"/>
          <w:b/>
          <w:bCs/>
          <w:sz w:val="26"/>
          <w:szCs w:val="26"/>
          <w:u w:val="single"/>
          <w:rtl/>
          <w:lang w:bidi="ar-EG"/>
        </w:rPr>
        <w:t>.</w:t>
      </w:r>
      <w:r w:rsidR="00824BE6" w:rsidRPr="00202E2A">
        <w:rPr>
          <w:rFonts w:asciiTheme="majorBidi" w:hAnsiTheme="majorBidi" w:cstheme="majorBidi"/>
          <w:b/>
          <w:bCs/>
          <w:sz w:val="26"/>
          <w:szCs w:val="26"/>
          <w:u w:val="single"/>
          <w:lang w:bidi="ar-EG"/>
        </w:rPr>
        <w:t xml:space="preserve"> </w:t>
      </w:r>
      <w:r w:rsidR="00824BE6" w:rsidRPr="00202E2A">
        <w:rPr>
          <w:rFonts w:asciiTheme="majorBidi" w:hAnsiTheme="majorBidi" w:cstheme="majorBidi"/>
          <w:b/>
          <w:bCs/>
          <w:sz w:val="26"/>
          <w:szCs w:val="26"/>
          <w:u w:val="single"/>
          <w:rtl/>
          <w:lang w:bidi="ar-EG"/>
        </w:rPr>
        <w:t>البُعد البيئي: التجارة الخضراء</w:t>
      </w:r>
      <w:r w:rsidR="00E674ED" w:rsidRPr="00202E2A">
        <w:rPr>
          <w:rFonts w:asciiTheme="majorBidi" w:hAnsiTheme="majorBidi" w:cstheme="majorBidi"/>
          <w:b/>
          <w:bCs/>
          <w:sz w:val="26"/>
          <w:szCs w:val="26"/>
          <w:u w:val="single"/>
          <w:rtl/>
          <w:lang w:bidi="ar-EG"/>
        </w:rPr>
        <w:t>:</w:t>
      </w:r>
    </w:p>
    <w:p w14:paraId="64D45CD1" w14:textId="7E862F31" w:rsidR="00824BE6" w:rsidRPr="00202E2A" w:rsidRDefault="00824BE6"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lastRenderedPageBreak/>
        <w:t>التفسير</w:t>
      </w:r>
      <w:r w:rsidR="004E7BFD"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rtl/>
          <w:lang w:bidi="ar-EG"/>
        </w:rPr>
        <w:t>تُشير النسبة العالية للموافقة (</w:t>
      </w:r>
      <w:r w:rsidR="00716E23" w:rsidRPr="00202E2A">
        <w:rPr>
          <w:rFonts w:asciiTheme="majorBidi" w:hAnsiTheme="majorBidi" w:cstheme="majorBidi"/>
          <w:sz w:val="26"/>
          <w:szCs w:val="26"/>
          <w:lang w:bidi="ar-EG"/>
        </w:rPr>
        <w:t>78</w:t>
      </w:r>
      <w:r w:rsidRPr="00202E2A">
        <w:rPr>
          <w:rFonts w:asciiTheme="majorBidi" w:hAnsiTheme="majorBidi" w:cstheme="majorBidi"/>
          <w:sz w:val="26"/>
          <w:szCs w:val="26"/>
          <w:rtl/>
          <w:lang w:bidi="ar-EG"/>
        </w:rPr>
        <w:t>%) إلى وعي بأهمية الممارسات البيئية في التجارة، وهو ما يتوافق مع مبادرة "السعودية الخضراء". وفقًا لتقرير الأمم المتحدة (</w:t>
      </w:r>
      <w:r w:rsidR="00716E23" w:rsidRPr="00202E2A">
        <w:rPr>
          <w:rFonts w:asciiTheme="majorBidi" w:hAnsiTheme="majorBidi" w:cstheme="majorBidi"/>
          <w:sz w:val="26"/>
          <w:szCs w:val="26"/>
          <w:lang w:bidi="ar-EG"/>
        </w:rPr>
        <w:t>2023</w:t>
      </w:r>
      <w:r w:rsidRPr="00202E2A">
        <w:rPr>
          <w:rFonts w:asciiTheme="majorBidi" w:hAnsiTheme="majorBidi" w:cstheme="majorBidi"/>
          <w:sz w:val="26"/>
          <w:szCs w:val="26"/>
          <w:rtl/>
          <w:lang w:bidi="ar-EG"/>
        </w:rPr>
        <w:t xml:space="preserve">)، فإن الدول التي تتبنى معايير الاستدامة تشهد زيادة في الصادرات بنسبة </w:t>
      </w:r>
      <w:r w:rsidR="00716E23" w:rsidRPr="00202E2A">
        <w:rPr>
          <w:rFonts w:asciiTheme="majorBidi" w:hAnsiTheme="majorBidi" w:cstheme="majorBidi"/>
          <w:sz w:val="26"/>
          <w:szCs w:val="26"/>
          <w:lang w:bidi="ar-EG"/>
        </w:rPr>
        <w:t>12</w:t>
      </w:r>
      <w:r w:rsidRPr="00202E2A">
        <w:rPr>
          <w:rFonts w:asciiTheme="majorBidi" w:hAnsiTheme="majorBidi" w:cstheme="majorBidi"/>
          <w:sz w:val="26"/>
          <w:szCs w:val="26"/>
          <w:rtl/>
          <w:lang w:bidi="ar-EG"/>
        </w:rPr>
        <w:t>%. مثال: تطبيق الاتحاد الأوروبي لـ"آلية تعديل حدود الكربون</w:t>
      </w:r>
      <w:r w:rsidRPr="00202E2A">
        <w:rPr>
          <w:rFonts w:asciiTheme="majorBidi" w:hAnsiTheme="majorBidi" w:cstheme="majorBidi"/>
          <w:sz w:val="26"/>
          <w:szCs w:val="26"/>
          <w:lang w:bidi="ar-EG"/>
        </w:rPr>
        <w:t xml:space="preserve">" (CBAM) </w:t>
      </w:r>
      <w:r w:rsidRPr="00202E2A">
        <w:rPr>
          <w:rFonts w:asciiTheme="majorBidi" w:hAnsiTheme="majorBidi" w:cstheme="majorBidi"/>
          <w:sz w:val="26"/>
          <w:szCs w:val="26"/>
          <w:rtl/>
          <w:lang w:bidi="ar-EG"/>
        </w:rPr>
        <w:t>لفرض رسوم على الواردات عالية الانبعاثات</w:t>
      </w:r>
      <w:r w:rsidRPr="00202E2A">
        <w:rPr>
          <w:rFonts w:asciiTheme="majorBidi" w:hAnsiTheme="majorBidi" w:cstheme="majorBidi"/>
          <w:sz w:val="26"/>
          <w:szCs w:val="26"/>
          <w:lang w:bidi="ar-EG"/>
        </w:rPr>
        <w:t>.</w:t>
      </w:r>
    </w:p>
    <w:p w14:paraId="264DD620" w14:textId="13742448" w:rsidR="00824BE6"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17</w:t>
      </w:r>
      <w:r w:rsidRPr="00202E2A">
        <w:rPr>
          <w:rFonts w:asciiTheme="majorBidi" w:hAnsiTheme="majorBidi" w:cstheme="majorBidi"/>
          <w:b/>
          <w:bCs/>
          <w:sz w:val="26"/>
          <w:szCs w:val="26"/>
          <w:u w:val="single"/>
          <w:rtl/>
          <w:lang w:bidi="ar-EG"/>
        </w:rPr>
        <w:t>.</w:t>
      </w:r>
      <w:r w:rsidR="00824BE6" w:rsidRPr="00202E2A">
        <w:rPr>
          <w:rFonts w:asciiTheme="majorBidi" w:hAnsiTheme="majorBidi" w:cstheme="majorBidi"/>
          <w:b/>
          <w:bCs/>
          <w:sz w:val="26"/>
          <w:szCs w:val="26"/>
          <w:u w:val="single"/>
          <w:lang w:bidi="ar-EG"/>
        </w:rPr>
        <w:t xml:space="preserve"> </w:t>
      </w:r>
      <w:r w:rsidR="00824BE6" w:rsidRPr="00202E2A">
        <w:rPr>
          <w:rFonts w:asciiTheme="majorBidi" w:hAnsiTheme="majorBidi" w:cstheme="majorBidi"/>
          <w:b/>
          <w:bCs/>
          <w:sz w:val="26"/>
          <w:szCs w:val="26"/>
          <w:u w:val="single"/>
          <w:rtl/>
          <w:lang w:bidi="ar-EG"/>
        </w:rPr>
        <w:t>الالتزام بالاتفاقيات البيئية الدولية</w:t>
      </w:r>
      <w:r w:rsidR="00E674ED" w:rsidRPr="00202E2A">
        <w:rPr>
          <w:rFonts w:asciiTheme="majorBidi" w:hAnsiTheme="majorBidi" w:cstheme="majorBidi"/>
          <w:b/>
          <w:bCs/>
          <w:sz w:val="26"/>
          <w:szCs w:val="26"/>
          <w:u w:val="single"/>
          <w:rtl/>
          <w:lang w:bidi="ar-EG"/>
        </w:rPr>
        <w:t>:</w:t>
      </w:r>
    </w:p>
    <w:p w14:paraId="418B5023" w14:textId="54239121" w:rsidR="00824BE6" w:rsidRPr="00202E2A" w:rsidRDefault="00824BE6"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التفسير</w:t>
      </w:r>
      <w:r w:rsidRPr="00202E2A">
        <w:rPr>
          <w:rFonts w:asciiTheme="majorBidi" w:hAnsiTheme="majorBidi" w:cstheme="majorBidi"/>
          <w:sz w:val="26"/>
          <w:szCs w:val="26"/>
          <w:lang w:bidi="ar-EG"/>
        </w:rPr>
        <w:t xml:space="preserve"> </w:t>
      </w:r>
      <w:r w:rsidR="004E7BFD"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rtl/>
          <w:lang w:bidi="ar-EG"/>
        </w:rPr>
        <w:t>تعكس النسبة (</w:t>
      </w:r>
      <w:r w:rsidR="00716E23" w:rsidRPr="00202E2A">
        <w:rPr>
          <w:rFonts w:asciiTheme="majorBidi" w:hAnsiTheme="majorBidi" w:cstheme="majorBidi"/>
          <w:sz w:val="26"/>
          <w:szCs w:val="26"/>
          <w:lang w:bidi="ar-EG"/>
        </w:rPr>
        <w:t>62</w:t>
      </w:r>
      <w:r w:rsidRPr="00202E2A">
        <w:rPr>
          <w:rFonts w:asciiTheme="majorBidi" w:hAnsiTheme="majorBidi" w:cstheme="majorBidi"/>
          <w:sz w:val="26"/>
          <w:szCs w:val="26"/>
          <w:rtl/>
          <w:lang w:bidi="ar-EG"/>
        </w:rPr>
        <w:t>% موافقون) التزامًا جزئيًّا بالاتفاقيات، بينما يشكك الـ</w:t>
      </w:r>
      <w:r w:rsidR="00716E23" w:rsidRPr="00202E2A">
        <w:rPr>
          <w:rFonts w:asciiTheme="majorBidi" w:hAnsiTheme="majorBidi" w:cstheme="majorBidi"/>
          <w:sz w:val="26"/>
          <w:szCs w:val="26"/>
          <w:lang w:bidi="ar-EG"/>
        </w:rPr>
        <w:t>10</w:t>
      </w:r>
      <w:r w:rsidRPr="00202E2A">
        <w:rPr>
          <w:rFonts w:asciiTheme="majorBidi" w:hAnsiTheme="majorBidi" w:cstheme="majorBidi"/>
          <w:sz w:val="26"/>
          <w:szCs w:val="26"/>
          <w:rtl/>
          <w:lang w:bidi="ar-EG"/>
        </w:rPr>
        <w:t>% غير الموافقين في جدواها الاقتصادية. وفقًا لدراسة معهد الموارد العالمية</w:t>
      </w:r>
      <w:r w:rsidRPr="00202E2A">
        <w:rPr>
          <w:rFonts w:asciiTheme="majorBidi" w:hAnsiTheme="majorBidi" w:cstheme="majorBidi"/>
          <w:sz w:val="26"/>
          <w:szCs w:val="26"/>
          <w:lang w:bidi="ar-EG"/>
        </w:rPr>
        <w:t xml:space="preserve"> (WRI, 2023)</w:t>
      </w:r>
      <w:r w:rsidRPr="00202E2A">
        <w:rPr>
          <w:rFonts w:asciiTheme="majorBidi" w:hAnsiTheme="majorBidi" w:cstheme="majorBidi"/>
          <w:sz w:val="26"/>
          <w:szCs w:val="26"/>
          <w:rtl/>
          <w:lang w:bidi="ar-EG"/>
        </w:rPr>
        <w:t xml:space="preserve">، فإن </w:t>
      </w:r>
      <w:r w:rsidR="00716E23" w:rsidRPr="00202E2A">
        <w:rPr>
          <w:rFonts w:asciiTheme="majorBidi" w:hAnsiTheme="majorBidi" w:cstheme="majorBidi"/>
          <w:sz w:val="26"/>
          <w:szCs w:val="26"/>
          <w:lang w:bidi="ar-EG"/>
        </w:rPr>
        <w:t>60</w:t>
      </w:r>
      <w:r w:rsidRPr="00202E2A">
        <w:rPr>
          <w:rFonts w:asciiTheme="majorBidi" w:hAnsiTheme="majorBidi" w:cstheme="majorBidi"/>
          <w:sz w:val="26"/>
          <w:szCs w:val="26"/>
          <w:rtl/>
          <w:lang w:bidi="ar-EG"/>
        </w:rPr>
        <w:t>% من الشركات العالمية تعتبر الالتزام البيئي عبئًا ماليًّا. مثال: معارضة بعض الدول النامية لبنود اتفاقية باريس للمناخ بسبب تكاليفها المرتفعة</w:t>
      </w:r>
      <w:r w:rsidRPr="00202E2A">
        <w:rPr>
          <w:rFonts w:asciiTheme="majorBidi" w:hAnsiTheme="majorBidi" w:cstheme="majorBidi"/>
          <w:sz w:val="26"/>
          <w:szCs w:val="26"/>
          <w:lang w:bidi="ar-EG"/>
        </w:rPr>
        <w:t>.</w:t>
      </w:r>
    </w:p>
    <w:p w14:paraId="50CE9916" w14:textId="51F86A2E" w:rsidR="00824BE6"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18</w:t>
      </w:r>
      <w:r w:rsidRPr="00202E2A">
        <w:rPr>
          <w:rFonts w:asciiTheme="majorBidi" w:hAnsiTheme="majorBidi" w:cstheme="majorBidi"/>
          <w:b/>
          <w:bCs/>
          <w:sz w:val="26"/>
          <w:szCs w:val="26"/>
          <w:u w:val="single"/>
          <w:rtl/>
          <w:lang w:bidi="ar-EG"/>
        </w:rPr>
        <w:t>.</w:t>
      </w:r>
      <w:r w:rsidR="00824BE6" w:rsidRPr="00202E2A">
        <w:rPr>
          <w:rFonts w:asciiTheme="majorBidi" w:hAnsiTheme="majorBidi" w:cstheme="majorBidi"/>
          <w:b/>
          <w:bCs/>
          <w:sz w:val="26"/>
          <w:szCs w:val="26"/>
          <w:u w:val="single"/>
          <w:lang w:bidi="ar-EG"/>
        </w:rPr>
        <w:t xml:space="preserve"> </w:t>
      </w:r>
      <w:r w:rsidR="00824BE6" w:rsidRPr="00202E2A">
        <w:rPr>
          <w:rFonts w:asciiTheme="majorBidi" w:hAnsiTheme="majorBidi" w:cstheme="majorBidi"/>
          <w:b/>
          <w:bCs/>
          <w:sz w:val="26"/>
          <w:szCs w:val="26"/>
          <w:u w:val="single"/>
          <w:rtl/>
          <w:lang w:bidi="ar-EG"/>
        </w:rPr>
        <w:t>البيئة الخارجية المحيطة</w:t>
      </w:r>
      <w:r w:rsidR="00E674ED" w:rsidRPr="00202E2A">
        <w:rPr>
          <w:rFonts w:asciiTheme="majorBidi" w:hAnsiTheme="majorBidi" w:cstheme="majorBidi"/>
          <w:b/>
          <w:bCs/>
          <w:sz w:val="26"/>
          <w:szCs w:val="26"/>
          <w:u w:val="single"/>
          <w:rtl/>
          <w:lang w:bidi="ar-EG"/>
        </w:rPr>
        <w:t>:</w:t>
      </w:r>
    </w:p>
    <w:p w14:paraId="790628C4" w14:textId="3D81FB55" w:rsidR="00824BE6" w:rsidRPr="00202E2A" w:rsidRDefault="00824BE6"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التفسير</w:t>
      </w:r>
      <w:r w:rsidR="004E7BFD"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rtl/>
          <w:lang w:bidi="ar-EG"/>
        </w:rPr>
        <w:t>تُظهر النسبة المرتفعة للموافقة (</w:t>
      </w:r>
      <w:r w:rsidR="00716E23" w:rsidRPr="00202E2A">
        <w:rPr>
          <w:rFonts w:asciiTheme="majorBidi" w:hAnsiTheme="majorBidi" w:cstheme="majorBidi"/>
          <w:sz w:val="26"/>
          <w:szCs w:val="26"/>
          <w:lang w:bidi="ar-EG"/>
        </w:rPr>
        <w:t>77</w:t>
      </w:r>
      <w:r w:rsidRPr="00202E2A">
        <w:rPr>
          <w:rFonts w:asciiTheme="majorBidi" w:hAnsiTheme="majorBidi" w:cstheme="majorBidi"/>
          <w:sz w:val="26"/>
          <w:szCs w:val="26"/>
          <w:rtl/>
          <w:lang w:bidi="ar-EG"/>
        </w:rPr>
        <w:t>%) إدراكًا لأهمية التعاون بين الجهات في دعم التحول الرقمي، وهو ما يدعمه تقرير البنك الدولي (</w:t>
      </w:r>
      <w:r w:rsidR="00716E23" w:rsidRPr="00202E2A">
        <w:rPr>
          <w:rFonts w:asciiTheme="majorBidi" w:hAnsiTheme="majorBidi" w:cstheme="majorBidi"/>
          <w:sz w:val="26"/>
          <w:szCs w:val="26"/>
          <w:lang w:bidi="ar-EG"/>
        </w:rPr>
        <w:t>2023</w:t>
      </w:r>
      <w:r w:rsidRPr="00202E2A">
        <w:rPr>
          <w:rFonts w:asciiTheme="majorBidi" w:hAnsiTheme="majorBidi" w:cstheme="majorBidi"/>
          <w:sz w:val="26"/>
          <w:szCs w:val="26"/>
          <w:rtl/>
          <w:lang w:bidi="ar-EG"/>
        </w:rPr>
        <w:t xml:space="preserve">) الذي أكد أن التكامل المؤسسي يرفع كفاءة الخدمات بنسبة </w:t>
      </w:r>
      <w:r w:rsidR="00716E23" w:rsidRPr="00202E2A">
        <w:rPr>
          <w:rFonts w:asciiTheme="majorBidi" w:hAnsiTheme="majorBidi" w:cstheme="majorBidi"/>
          <w:sz w:val="26"/>
          <w:szCs w:val="26"/>
          <w:lang w:bidi="ar-EG"/>
        </w:rPr>
        <w:t>35</w:t>
      </w:r>
      <w:r w:rsidRPr="00202E2A">
        <w:rPr>
          <w:rFonts w:asciiTheme="majorBidi" w:hAnsiTheme="majorBidi" w:cstheme="majorBidi"/>
          <w:sz w:val="26"/>
          <w:szCs w:val="26"/>
          <w:rtl/>
          <w:lang w:bidi="ar-EG"/>
        </w:rPr>
        <w:t xml:space="preserve">%. مثال: نجاح منصة "فاسل" في السعودية في ربط </w:t>
      </w:r>
      <w:r w:rsidR="00716E23" w:rsidRPr="00202E2A">
        <w:rPr>
          <w:rFonts w:asciiTheme="majorBidi" w:hAnsiTheme="majorBidi" w:cstheme="majorBidi"/>
          <w:sz w:val="26"/>
          <w:szCs w:val="26"/>
          <w:lang w:bidi="ar-EG"/>
        </w:rPr>
        <w:t>70</w:t>
      </w:r>
      <w:r w:rsidRPr="00202E2A">
        <w:rPr>
          <w:rFonts w:asciiTheme="majorBidi" w:hAnsiTheme="majorBidi" w:cstheme="majorBidi"/>
          <w:sz w:val="26"/>
          <w:szCs w:val="26"/>
          <w:rtl/>
          <w:lang w:bidi="ar-EG"/>
        </w:rPr>
        <w:t xml:space="preserve"> جهة حكومية</w:t>
      </w:r>
      <w:r w:rsidRPr="00202E2A">
        <w:rPr>
          <w:rFonts w:asciiTheme="majorBidi" w:hAnsiTheme="majorBidi" w:cstheme="majorBidi"/>
          <w:sz w:val="26"/>
          <w:szCs w:val="26"/>
          <w:lang w:bidi="ar-EG"/>
        </w:rPr>
        <w:t>.</w:t>
      </w:r>
    </w:p>
    <w:p w14:paraId="76873EDB" w14:textId="25EA98AA" w:rsidR="00824BE6"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19</w:t>
      </w:r>
      <w:r w:rsidRPr="00202E2A">
        <w:rPr>
          <w:rFonts w:asciiTheme="majorBidi" w:hAnsiTheme="majorBidi" w:cstheme="majorBidi"/>
          <w:b/>
          <w:bCs/>
          <w:sz w:val="26"/>
          <w:szCs w:val="26"/>
          <w:u w:val="single"/>
          <w:rtl/>
          <w:lang w:bidi="ar-EG"/>
        </w:rPr>
        <w:t>.</w:t>
      </w:r>
      <w:r w:rsidR="00824BE6" w:rsidRPr="00202E2A">
        <w:rPr>
          <w:rFonts w:asciiTheme="majorBidi" w:hAnsiTheme="majorBidi" w:cstheme="majorBidi"/>
          <w:b/>
          <w:bCs/>
          <w:sz w:val="26"/>
          <w:szCs w:val="26"/>
          <w:u w:val="single"/>
          <w:lang w:bidi="ar-EG"/>
        </w:rPr>
        <w:t xml:space="preserve"> </w:t>
      </w:r>
      <w:r w:rsidR="00824BE6" w:rsidRPr="00202E2A">
        <w:rPr>
          <w:rFonts w:asciiTheme="majorBidi" w:hAnsiTheme="majorBidi" w:cstheme="majorBidi"/>
          <w:b/>
          <w:bCs/>
          <w:sz w:val="26"/>
          <w:szCs w:val="26"/>
          <w:u w:val="single"/>
          <w:rtl/>
          <w:lang w:bidi="ar-EG"/>
        </w:rPr>
        <w:t>القوانين الداعمة للتحول الرقمي</w:t>
      </w:r>
      <w:r w:rsidR="00E674ED" w:rsidRPr="00202E2A">
        <w:rPr>
          <w:rFonts w:asciiTheme="majorBidi" w:hAnsiTheme="majorBidi" w:cstheme="majorBidi"/>
          <w:b/>
          <w:bCs/>
          <w:sz w:val="26"/>
          <w:szCs w:val="26"/>
          <w:u w:val="single"/>
          <w:rtl/>
          <w:lang w:bidi="ar-EG"/>
        </w:rPr>
        <w:t>:</w:t>
      </w:r>
    </w:p>
    <w:p w14:paraId="7257AAC2" w14:textId="783231A8" w:rsidR="00824BE6" w:rsidRPr="00202E2A" w:rsidRDefault="00824BE6"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التفسير</w:t>
      </w:r>
      <w:r w:rsidR="004E7BFD"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rtl/>
          <w:lang w:bidi="ar-EG"/>
        </w:rPr>
        <w:t>يعكس الانقسام (</w:t>
      </w:r>
      <w:r w:rsidR="00810178" w:rsidRPr="00202E2A">
        <w:rPr>
          <w:rFonts w:asciiTheme="majorBidi" w:hAnsiTheme="majorBidi" w:cstheme="majorBidi"/>
          <w:sz w:val="26"/>
          <w:szCs w:val="26"/>
          <w:lang w:bidi="ar-EG"/>
        </w:rPr>
        <w:t>50</w:t>
      </w:r>
      <w:r w:rsidRPr="00202E2A">
        <w:rPr>
          <w:rFonts w:asciiTheme="majorBidi" w:hAnsiTheme="majorBidi" w:cstheme="majorBidi"/>
          <w:sz w:val="26"/>
          <w:szCs w:val="26"/>
          <w:rtl/>
          <w:lang w:bidi="ar-EG"/>
        </w:rPr>
        <w:t xml:space="preserve">% موافقون، </w:t>
      </w:r>
      <w:r w:rsidR="00716E23" w:rsidRPr="00202E2A">
        <w:rPr>
          <w:rFonts w:asciiTheme="majorBidi" w:hAnsiTheme="majorBidi" w:cstheme="majorBidi"/>
          <w:sz w:val="26"/>
          <w:szCs w:val="26"/>
          <w:lang w:bidi="ar-EG"/>
        </w:rPr>
        <w:t>50</w:t>
      </w:r>
      <w:r w:rsidRPr="00202E2A">
        <w:rPr>
          <w:rFonts w:asciiTheme="majorBidi" w:hAnsiTheme="majorBidi" w:cstheme="majorBidi"/>
          <w:sz w:val="26"/>
          <w:szCs w:val="26"/>
          <w:rtl/>
          <w:lang w:bidi="ar-EG"/>
        </w:rPr>
        <w:t>% محايدون) حاجةً لتحديث التشريعات لمواكبة تقنيات مثل الميتافيرس والعقود الذكية. وفقًا لدراسة جامعة ستانفورد (</w:t>
      </w:r>
      <w:r w:rsidR="00716E23" w:rsidRPr="00202E2A">
        <w:rPr>
          <w:rFonts w:asciiTheme="majorBidi" w:hAnsiTheme="majorBidi" w:cstheme="majorBidi"/>
          <w:sz w:val="26"/>
          <w:szCs w:val="26"/>
          <w:lang w:bidi="ar-EG"/>
        </w:rPr>
        <w:t>2023</w:t>
      </w:r>
      <w:r w:rsidRPr="00202E2A">
        <w:rPr>
          <w:rFonts w:asciiTheme="majorBidi" w:hAnsiTheme="majorBidi" w:cstheme="majorBidi"/>
          <w:sz w:val="26"/>
          <w:szCs w:val="26"/>
          <w:rtl/>
          <w:lang w:bidi="ar-EG"/>
        </w:rPr>
        <w:t xml:space="preserve">)، فإن </w:t>
      </w:r>
      <w:r w:rsidR="00716E23" w:rsidRPr="00202E2A">
        <w:rPr>
          <w:rFonts w:asciiTheme="majorBidi" w:hAnsiTheme="majorBidi" w:cstheme="majorBidi"/>
          <w:sz w:val="26"/>
          <w:szCs w:val="26"/>
          <w:lang w:bidi="ar-EG"/>
        </w:rPr>
        <w:t>70</w:t>
      </w:r>
      <w:r w:rsidRPr="00202E2A">
        <w:rPr>
          <w:rFonts w:asciiTheme="majorBidi" w:hAnsiTheme="majorBidi" w:cstheme="majorBidi"/>
          <w:sz w:val="26"/>
          <w:szCs w:val="26"/>
          <w:rtl/>
          <w:lang w:bidi="ar-EG"/>
        </w:rPr>
        <w:t>% من التشريعات الحالية لا تغطي الجوانب القانونية للذكاء الاصطناعي</w:t>
      </w:r>
      <w:r w:rsidRPr="00202E2A">
        <w:rPr>
          <w:rFonts w:asciiTheme="majorBidi" w:hAnsiTheme="majorBidi" w:cstheme="majorBidi"/>
          <w:sz w:val="26"/>
          <w:szCs w:val="26"/>
          <w:lang w:bidi="ar-EG"/>
        </w:rPr>
        <w:t>.</w:t>
      </w:r>
    </w:p>
    <w:p w14:paraId="7504E76B" w14:textId="2191AC3D" w:rsidR="00824BE6"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20</w:t>
      </w:r>
      <w:r w:rsidRPr="00202E2A">
        <w:rPr>
          <w:rFonts w:asciiTheme="majorBidi" w:hAnsiTheme="majorBidi" w:cstheme="majorBidi"/>
          <w:b/>
          <w:bCs/>
          <w:sz w:val="26"/>
          <w:szCs w:val="26"/>
          <w:u w:val="single"/>
          <w:rtl/>
          <w:lang w:bidi="ar-EG"/>
        </w:rPr>
        <w:t>.</w:t>
      </w:r>
      <w:r w:rsidR="00824BE6" w:rsidRPr="00202E2A">
        <w:rPr>
          <w:rFonts w:asciiTheme="majorBidi" w:hAnsiTheme="majorBidi" w:cstheme="majorBidi"/>
          <w:b/>
          <w:bCs/>
          <w:sz w:val="26"/>
          <w:szCs w:val="26"/>
          <w:u w:val="single"/>
          <w:lang w:bidi="ar-EG"/>
        </w:rPr>
        <w:t xml:space="preserve"> </w:t>
      </w:r>
      <w:r w:rsidR="00824BE6" w:rsidRPr="00202E2A">
        <w:rPr>
          <w:rFonts w:asciiTheme="majorBidi" w:hAnsiTheme="majorBidi" w:cstheme="majorBidi"/>
          <w:b/>
          <w:bCs/>
          <w:sz w:val="26"/>
          <w:szCs w:val="26"/>
          <w:u w:val="single"/>
          <w:rtl/>
          <w:lang w:bidi="ar-EG"/>
        </w:rPr>
        <w:t>الاستعداد الداخلي للهيئات</w:t>
      </w:r>
      <w:r w:rsidR="00E674ED" w:rsidRPr="00202E2A">
        <w:rPr>
          <w:rFonts w:asciiTheme="majorBidi" w:hAnsiTheme="majorBidi" w:cstheme="majorBidi"/>
          <w:b/>
          <w:bCs/>
          <w:sz w:val="26"/>
          <w:szCs w:val="26"/>
          <w:u w:val="single"/>
          <w:rtl/>
          <w:lang w:bidi="ar-EG"/>
        </w:rPr>
        <w:t>:</w:t>
      </w:r>
    </w:p>
    <w:p w14:paraId="1CD4D480" w14:textId="55CAF56B" w:rsidR="00824BE6" w:rsidRPr="00202E2A" w:rsidRDefault="00824BE6"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التفسير</w:t>
      </w:r>
      <w:r w:rsidRPr="00202E2A">
        <w:rPr>
          <w:rFonts w:asciiTheme="majorBidi" w:hAnsiTheme="majorBidi" w:cstheme="majorBidi"/>
          <w:sz w:val="26"/>
          <w:szCs w:val="26"/>
          <w:lang w:bidi="ar-EG"/>
        </w:rPr>
        <w:t xml:space="preserve"> </w:t>
      </w:r>
      <w:r w:rsidR="004E7BFD"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rtl/>
          <w:lang w:bidi="ar-EG"/>
        </w:rPr>
        <w:t>تُشير النتائج (</w:t>
      </w:r>
      <w:r w:rsidR="00716E23" w:rsidRPr="00202E2A">
        <w:rPr>
          <w:rFonts w:asciiTheme="majorBidi" w:hAnsiTheme="majorBidi" w:cstheme="majorBidi"/>
          <w:sz w:val="26"/>
          <w:szCs w:val="26"/>
          <w:lang w:bidi="ar-EG"/>
        </w:rPr>
        <w:t>63</w:t>
      </w:r>
      <w:r w:rsidRPr="00202E2A">
        <w:rPr>
          <w:rFonts w:asciiTheme="majorBidi" w:hAnsiTheme="majorBidi" w:cstheme="majorBidi"/>
          <w:sz w:val="26"/>
          <w:szCs w:val="26"/>
          <w:rtl/>
          <w:lang w:bidi="ar-EG"/>
        </w:rPr>
        <w:t>% موافقون) إلى وجود إستراتيجية رقمية، لكن الـ</w:t>
      </w:r>
      <w:r w:rsidR="00716E23" w:rsidRPr="00202E2A">
        <w:rPr>
          <w:rFonts w:asciiTheme="majorBidi" w:hAnsiTheme="majorBidi" w:cstheme="majorBidi"/>
          <w:sz w:val="26"/>
          <w:szCs w:val="26"/>
          <w:lang w:bidi="ar-EG"/>
        </w:rPr>
        <w:t>33</w:t>
      </w:r>
      <w:r w:rsidRPr="00202E2A">
        <w:rPr>
          <w:rFonts w:asciiTheme="majorBidi" w:hAnsiTheme="majorBidi" w:cstheme="majorBidi"/>
          <w:sz w:val="26"/>
          <w:szCs w:val="26"/>
          <w:rtl/>
          <w:lang w:bidi="ar-EG"/>
        </w:rPr>
        <w:t>% المحايدين قد يعكسون ضعفًا في التواصل الداخلي. وفقًا لتقرير</w:t>
      </w:r>
      <w:r w:rsidRPr="00202E2A">
        <w:rPr>
          <w:rFonts w:asciiTheme="majorBidi" w:hAnsiTheme="majorBidi" w:cstheme="majorBidi"/>
          <w:sz w:val="26"/>
          <w:szCs w:val="26"/>
          <w:lang w:bidi="ar-EG"/>
        </w:rPr>
        <w:t xml:space="preserve"> Gartner (2023)</w:t>
      </w:r>
      <w:r w:rsidRPr="00202E2A">
        <w:rPr>
          <w:rFonts w:asciiTheme="majorBidi" w:hAnsiTheme="majorBidi" w:cstheme="majorBidi"/>
          <w:sz w:val="26"/>
          <w:szCs w:val="26"/>
          <w:rtl/>
          <w:lang w:bidi="ar-EG"/>
        </w:rPr>
        <w:t xml:space="preserve">، فإن </w:t>
      </w:r>
      <w:r w:rsidR="00716E23" w:rsidRPr="00202E2A">
        <w:rPr>
          <w:rFonts w:asciiTheme="majorBidi" w:hAnsiTheme="majorBidi" w:cstheme="majorBidi"/>
          <w:sz w:val="26"/>
          <w:szCs w:val="26"/>
          <w:lang w:bidi="ar-EG"/>
        </w:rPr>
        <w:t>45</w:t>
      </w:r>
      <w:r w:rsidRPr="00202E2A">
        <w:rPr>
          <w:rFonts w:asciiTheme="majorBidi" w:hAnsiTheme="majorBidi" w:cstheme="majorBidi"/>
          <w:sz w:val="26"/>
          <w:szCs w:val="26"/>
          <w:rtl/>
          <w:lang w:bidi="ar-EG"/>
        </w:rPr>
        <w:t>% من الموظفين في القطاع العام لا يفهمون إستراتيجية مؤسساتهم الرقمية</w:t>
      </w:r>
      <w:r w:rsidRPr="00202E2A">
        <w:rPr>
          <w:rFonts w:asciiTheme="majorBidi" w:hAnsiTheme="majorBidi" w:cstheme="majorBidi"/>
          <w:sz w:val="26"/>
          <w:szCs w:val="26"/>
          <w:lang w:bidi="ar-EG"/>
        </w:rPr>
        <w:t>.</w:t>
      </w:r>
    </w:p>
    <w:p w14:paraId="5E12D778" w14:textId="1D746B0F" w:rsidR="00824BE6"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21</w:t>
      </w:r>
      <w:r w:rsidRPr="00202E2A">
        <w:rPr>
          <w:rFonts w:asciiTheme="majorBidi" w:hAnsiTheme="majorBidi" w:cstheme="majorBidi"/>
          <w:b/>
          <w:bCs/>
          <w:sz w:val="26"/>
          <w:szCs w:val="26"/>
          <w:u w:val="single"/>
          <w:rtl/>
          <w:lang w:bidi="ar-EG"/>
        </w:rPr>
        <w:t>.</w:t>
      </w:r>
      <w:r w:rsidR="00824BE6" w:rsidRPr="00202E2A">
        <w:rPr>
          <w:rFonts w:asciiTheme="majorBidi" w:hAnsiTheme="majorBidi" w:cstheme="majorBidi"/>
          <w:b/>
          <w:bCs/>
          <w:sz w:val="26"/>
          <w:szCs w:val="26"/>
          <w:u w:val="single"/>
          <w:lang w:bidi="ar-EG"/>
        </w:rPr>
        <w:t xml:space="preserve"> </w:t>
      </w:r>
      <w:r w:rsidR="00824BE6" w:rsidRPr="00202E2A">
        <w:rPr>
          <w:rFonts w:asciiTheme="majorBidi" w:hAnsiTheme="majorBidi" w:cstheme="majorBidi"/>
          <w:b/>
          <w:bCs/>
          <w:sz w:val="26"/>
          <w:szCs w:val="26"/>
          <w:u w:val="single"/>
          <w:rtl/>
          <w:lang w:bidi="ar-EG"/>
        </w:rPr>
        <w:t>التغيير الجوهري في العمليات</w:t>
      </w:r>
      <w:r w:rsidR="00E674ED" w:rsidRPr="00202E2A">
        <w:rPr>
          <w:rFonts w:asciiTheme="majorBidi" w:hAnsiTheme="majorBidi" w:cstheme="majorBidi"/>
          <w:b/>
          <w:bCs/>
          <w:sz w:val="26"/>
          <w:szCs w:val="26"/>
          <w:u w:val="single"/>
          <w:rtl/>
          <w:lang w:bidi="ar-EG"/>
        </w:rPr>
        <w:t>:</w:t>
      </w:r>
    </w:p>
    <w:p w14:paraId="39D8E873" w14:textId="6615C09C" w:rsidR="00824BE6" w:rsidRPr="00202E2A" w:rsidRDefault="00824BE6"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التفسير</w:t>
      </w:r>
      <w:r w:rsidR="00775C9E"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rtl/>
          <w:lang w:bidi="ar-EG"/>
        </w:rPr>
        <w:t>تؤكد النسبة (</w:t>
      </w:r>
      <w:r w:rsidR="00716E23" w:rsidRPr="00202E2A">
        <w:rPr>
          <w:rFonts w:asciiTheme="majorBidi" w:hAnsiTheme="majorBidi" w:cstheme="majorBidi"/>
          <w:sz w:val="26"/>
          <w:szCs w:val="26"/>
          <w:lang w:bidi="ar-EG"/>
        </w:rPr>
        <w:t>65</w:t>
      </w:r>
      <w:r w:rsidRPr="00202E2A">
        <w:rPr>
          <w:rFonts w:asciiTheme="majorBidi" w:hAnsiTheme="majorBidi" w:cstheme="majorBidi"/>
          <w:sz w:val="26"/>
          <w:szCs w:val="26"/>
          <w:rtl/>
          <w:lang w:bidi="ar-EG"/>
        </w:rPr>
        <w:t>% موافقون) حدوث تحولات إيجابية، لكن الـ</w:t>
      </w:r>
      <w:r w:rsidR="00810178" w:rsidRPr="00202E2A">
        <w:rPr>
          <w:rFonts w:asciiTheme="majorBidi" w:hAnsiTheme="majorBidi" w:cstheme="majorBidi"/>
          <w:sz w:val="26"/>
          <w:szCs w:val="26"/>
          <w:lang w:bidi="ar-EG"/>
        </w:rPr>
        <w:t>35</w:t>
      </w:r>
      <w:r w:rsidRPr="00202E2A">
        <w:rPr>
          <w:rFonts w:asciiTheme="majorBidi" w:hAnsiTheme="majorBidi" w:cstheme="majorBidi"/>
          <w:sz w:val="26"/>
          <w:szCs w:val="26"/>
          <w:rtl/>
          <w:lang w:bidi="ar-EG"/>
        </w:rPr>
        <w:t>% المحايدين قد يشعرون بعدم تكافؤ التطوير بين الفروع. وفقًا لتقرير</w:t>
      </w:r>
      <w:r w:rsidRPr="00202E2A">
        <w:rPr>
          <w:rFonts w:asciiTheme="majorBidi" w:hAnsiTheme="majorBidi" w:cstheme="majorBidi"/>
          <w:sz w:val="26"/>
          <w:szCs w:val="26"/>
          <w:lang w:bidi="ar-EG"/>
        </w:rPr>
        <w:t xml:space="preserve"> WCO (2023)</w:t>
      </w:r>
      <w:r w:rsidRPr="00202E2A">
        <w:rPr>
          <w:rFonts w:asciiTheme="majorBidi" w:hAnsiTheme="majorBidi" w:cstheme="majorBidi"/>
          <w:sz w:val="26"/>
          <w:szCs w:val="26"/>
          <w:rtl/>
          <w:lang w:bidi="ar-EG"/>
        </w:rPr>
        <w:t xml:space="preserve">، فإن </w:t>
      </w:r>
      <w:r w:rsidR="00716E23" w:rsidRPr="00202E2A">
        <w:rPr>
          <w:rFonts w:asciiTheme="majorBidi" w:hAnsiTheme="majorBidi" w:cstheme="majorBidi"/>
          <w:sz w:val="26"/>
          <w:szCs w:val="26"/>
          <w:lang w:bidi="ar-EG"/>
        </w:rPr>
        <w:t>50</w:t>
      </w:r>
      <w:r w:rsidRPr="00202E2A">
        <w:rPr>
          <w:rFonts w:asciiTheme="majorBidi" w:hAnsiTheme="majorBidi" w:cstheme="majorBidi"/>
          <w:sz w:val="26"/>
          <w:szCs w:val="26"/>
          <w:rtl/>
          <w:lang w:bidi="ar-EG"/>
        </w:rPr>
        <w:t xml:space="preserve">% من الفروع في الهيئات الجمركية </w:t>
      </w:r>
      <w:r w:rsidR="004602F0" w:rsidRPr="00202E2A">
        <w:rPr>
          <w:rFonts w:asciiTheme="majorBidi" w:hAnsiTheme="majorBidi" w:cstheme="majorBidi"/>
          <w:sz w:val="26"/>
          <w:szCs w:val="26"/>
          <w:rtl/>
          <w:lang w:bidi="ar-EG"/>
        </w:rPr>
        <w:t xml:space="preserve">في أغلب دول </w:t>
      </w:r>
      <w:r w:rsidRPr="00202E2A">
        <w:rPr>
          <w:rFonts w:asciiTheme="majorBidi" w:hAnsiTheme="majorBidi" w:cstheme="majorBidi"/>
          <w:sz w:val="26"/>
          <w:szCs w:val="26"/>
          <w:rtl/>
          <w:lang w:bidi="ar-EG"/>
        </w:rPr>
        <w:t>تعاني من تبايُن في البنية التحتية</w:t>
      </w:r>
      <w:r w:rsidRPr="00202E2A">
        <w:rPr>
          <w:rFonts w:asciiTheme="majorBidi" w:hAnsiTheme="majorBidi" w:cstheme="majorBidi"/>
          <w:sz w:val="26"/>
          <w:szCs w:val="26"/>
          <w:lang w:bidi="ar-EG"/>
        </w:rPr>
        <w:t>.</w:t>
      </w:r>
    </w:p>
    <w:p w14:paraId="261393FD" w14:textId="7E2A0812" w:rsidR="00824BE6"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22</w:t>
      </w:r>
      <w:r w:rsidRPr="00202E2A">
        <w:rPr>
          <w:rFonts w:asciiTheme="majorBidi" w:hAnsiTheme="majorBidi" w:cstheme="majorBidi"/>
          <w:b/>
          <w:bCs/>
          <w:sz w:val="26"/>
          <w:szCs w:val="26"/>
          <w:u w:val="single"/>
          <w:rtl/>
          <w:lang w:bidi="ar-EG"/>
        </w:rPr>
        <w:t>.</w:t>
      </w:r>
      <w:r w:rsidR="00824BE6" w:rsidRPr="00202E2A">
        <w:rPr>
          <w:rFonts w:asciiTheme="majorBidi" w:hAnsiTheme="majorBidi" w:cstheme="majorBidi"/>
          <w:b/>
          <w:bCs/>
          <w:sz w:val="26"/>
          <w:szCs w:val="26"/>
          <w:u w:val="single"/>
          <w:lang w:bidi="ar-EG"/>
        </w:rPr>
        <w:t xml:space="preserve"> </w:t>
      </w:r>
      <w:r w:rsidR="00824BE6" w:rsidRPr="00202E2A">
        <w:rPr>
          <w:rFonts w:asciiTheme="majorBidi" w:hAnsiTheme="majorBidi" w:cstheme="majorBidi"/>
          <w:b/>
          <w:bCs/>
          <w:sz w:val="26"/>
          <w:szCs w:val="26"/>
          <w:u w:val="single"/>
          <w:rtl/>
          <w:lang w:bidi="ar-EG"/>
        </w:rPr>
        <w:t>مهارات العملاء في استخدام الخدمات الرقمية</w:t>
      </w:r>
      <w:r w:rsidR="00E674ED" w:rsidRPr="00202E2A">
        <w:rPr>
          <w:rFonts w:asciiTheme="majorBidi" w:hAnsiTheme="majorBidi" w:cstheme="majorBidi"/>
          <w:b/>
          <w:bCs/>
          <w:sz w:val="26"/>
          <w:szCs w:val="26"/>
          <w:u w:val="single"/>
          <w:rtl/>
          <w:lang w:bidi="ar-EG"/>
        </w:rPr>
        <w:t>:</w:t>
      </w:r>
    </w:p>
    <w:p w14:paraId="0641D52D" w14:textId="052EE69B" w:rsidR="00824BE6" w:rsidRPr="00202E2A" w:rsidRDefault="00824BE6"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التفسير</w:t>
      </w:r>
      <w:r w:rsidR="00E674ED"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rtl/>
          <w:lang w:bidi="ar-EG"/>
        </w:rPr>
        <w:t>تشير النسبة المنخفضة (</w:t>
      </w:r>
      <w:r w:rsidR="00716E23" w:rsidRPr="00202E2A">
        <w:rPr>
          <w:rFonts w:asciiTheme="majorBidi" w:hAnsiTheme="majorBidi" w:cstheme="majorBidi"/>
          <w:sz w:val="26"/>
          <w:szCs w:val="26"/>
          <w:lang w:bidi="ar-EG"/>
        </w:rPr>
        <w:t>30</w:t>
      </w:r>
      <w:r w:rsidRPr="00202E2A">
        <w:rPr>
          <w:rFonts w:asciiTheme="majorBidi" w:hAnsiTheme="majorBidi" w:cstheme="majorBidi"/>
          <w:sz w:val="26"/>
          <w:szCs w:val="26"/>
          <w:rtl/>
          <w:lang w:bidi="ar-EG"/>
        </w:rPr>
        <w:t>% موافقون) إلى فجوة رقمية، خاصة بين كبار السن وأصحاب الأعمال الصغيرة. وفقًا لتقرير الاتحاد الأوروبي (</w:t>
      </w:r>
      <w:r w:rsidR="00716E23" w:rsidRPr="00202E2A">
        <w:rPr>
          <w:rFonts w:asciiTheme="majorBidi" w:hAnsiTheme="majorBidi" w:cstheme="majorBidi"/>
          <w:sz w:val="26"/>
          <w:szCs w:val="26"/>
          <w:lang w:bidi="ar-EG"/>
        </w:rPr>
        <w:t>2023</w:t>
      </w:r>
      <w:r w:rsidRPr="00202E2A">
        <w:rPr>
          <w:rFonts w:asciiTheme="majorBidi" w:hAnsiTheme="majorBidi" w:cstheme="majorBidi"/>
          <w:sz w:val="26"/>
          <w:szCs w:val="26"/>
          <w:rtl/>
          <w:lang w:bidi="ar-EG"/>
        </w:rPr>
        <w:t xml:space="preserve">)، فإن </w:t>
      </w:r>
      <w:r w:rsidR="00716E23" w:rsidRPr="00202E2A">
        <w:rPr>
          <w:rFonts w:asciiTheme="majorBidi" w:hAnsiTheme="majorBidi" w:cstheme="majorBidi"/>
          <w:sz w:val="26"/>
          <w:szCs w:val="26"/>
          <w:lang w:bidi="ar-EG"/>
        </w:rPr>
        <w:t>40</w:t>
      </w:r>
      <w:r w:rsidRPr="00202E2A">
        <w:rPr>
          <w:rFonts w:asciiTheme="majorBidi" w:hAnsiTheme="majorBidi" w:cstheme="majorBidi"/>
          <w:sz w:val="26"/>
          <w:szCs w:val="26"/>
          <w:rtl/>
          <w:lang w:bidi="ar-EG"/>
        </w:rPr>
        <w:t>% من الشركات الصغيرة تُفضِّل التعامل الورقي بسبب نقص المهارات</w:t>
      </w:r>
      <w:r w:rsidRPr="00202E2A">
        <w:rPr>
          <w:rFonts w:asciiTheme="majorBidi" w:hAnsiTheme="majorBidi" w:cstheme="majorBidi"/>
          <w:sz w:val="26"/>
          <w:szCs w:val="26"/>
          <w:lang w:bidi="ar-EG"/>
        </w:rPr>
        <w:t>.</w:t>
      </w:r>
    </w:p>
    <w:p w14:paraId="50196DA3" w14:textId="038D69A9" w:rsidR="00824BE6"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23</w:t>
      </w:r>
      <w:r w:rsidRPr="00202E2A">
        <w:rPr>
          <w:rFonts w:asciiTheme="majorBidi" w:hAnsiTheme="majorBidi" w:cstheme="majorBidi"/>
          <w:b/>
          <w:bCs/>
          <w:sz w:val="26"/>
          <w:szCs w:val="26"/>
          <w:u w:val="single"/>
          <w:rtl/>
          <w:lang w:bidi="ar-EG"/>
        </w:rPr>
        <w:t>.</w:t>
      </w:r>
      <w:r w:rsidR="00824BE6" w:rsidRPr="00202E2A">
        <w:rPr>
          <w:rFonts w:asciiTheme="majorBidi" w:hAnsiTheme="majorBidi" w:cstheme="majorBidi"/>
          <w:b/>
          <w:bCs/>
          <w:sz w:val="26"/>
          <w:szCs w:val="26"/>
          <w:u w:val="single"/>
          <w:lang w:bidi="ar-EG"/>
        </w:rPr>
        <w:t xml:space="preserve"> </w:t>
      </w:r>
      <w:r w:rsidR="00824BE6" w:rsidRPr="00202E2A">
        <w:rPr>
          <w:rFonts w:asciiTheme="majorBidi" w:hAnsiTheme="majorBidi" w:cstheme="majorBidi"/>
          <w:b/>
          <w:bCs/>
          <w:sz w:val="26"/>
          <w:szCs w:val="26"/>
          <w:u w:val="single"/>
          <w:rtl/>
          <w:lang w:bidi="ar-EG"/>
        </w:rPr>
        <w:t>تحسين تجربة العملاء الرقمية</w:t>
      </w:r>
      <w:r w:rsidR="00E674ED" w:rsidRPr="00202E2A">
        <w:rPr>
          <w:rFonts w:asciiTheme="majorBidi" w:hAnsiTheme="majorBidi" w:cstheme="majorBidi"/>
          <w:b/>
          <w:bCs/>
          <w:sz w:val="26"/>
          <w:szCs w:val="26"/>
          <w:u w:val="single"/>
          <w:rtl/>
          <w:lang w:bidi="ar-EG"/>
        </w:rPr>
        <w:t>:</w:t>
      </w:r>
    </w:p>
    <w:p w14:paraId="7C14D072" w14:textId="20E178F5" w:rsidR="00824BE6" w:rsidRPr="00202E2A" w:rsidRDefault="00E674ED" w:rsidP="00D85D6D">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lastRenderedPageBreak/>
        <w:t>التفسير</w:t>
      </w:r>
      <w:r w:rsidRPr="00202E2A">
        <w:rPr>
          <w:rFonts w:asciiTheme="majorBidi" w:hAnsiTheme="majorBidi" w:cstheme="majorBidi"/>
          <w:sz w:val="26"/>
          <w:szCs w:val="26"/>
          <w:lang w:bidi="ar-EG"/>
        </w:rPr>
        <w:t>:</w:t>
      </w:r>
      <w:r w:rsidRPr="00202E2A">
        <w:rPr>
          <w:rFonts w:asciiTheme="majorBidi" w:hAnsiTheme="majorBidi" w:cstheme="majorBidi"/>
          <w:sz w:val="26"/>
          <w:szCs w:val="26"/>
          <w:rtl/>
          <w:lang w:bidi="ar-EG"/>
        </w:rPr>
        <w:t xml:space="preserve"> </w:t>
      </w:r>
      <w:r w:rsidR="00824BE6" w:rsidRPr="00202E2A">
        <w:rPr>
          <w:rFonts w:asciiTheme="majorBidi" w:hAnsiTheme="majorBidi" w:cstheme="majorBidi"/>
          <w:sz w:val="26"/>
          <w:szCs w:val="26"/>
          <w:rtl/>
          <w:lang w:bidi="ar-EG"/>
        </w:rPr>
        <w:t>تعكس النسبة المنخفضة للموافقة (</w:t>
      </w:r>
      <w:r w:rsidR="00716E23" w:rsidRPr="00202E2A">
        <w:rPr>
          <w:rFonts w:asciiTheme="majorBidi" w:hAnsiTheme="majorBidi" w:cstheme="majorBidi"/>
          <w:sz w:val="26"/>
          <w:szCs w:val="26"/>
          <w:lang w:bidi="ar-EG"/>
        </w:rPr>
        <w:t>25</w:t>
      </w:r>
      <w:r w:rsidR="00824BE6" w:rsidRPr="00202E2A">
        <w:rPr>
          <w:rFonts w:asciiTheme="majorBidi" w:hAnsiTheme="majorBidi" w:cstheme="majorBidi"/>
          <w:sz w:val="26"/>
          <w:szCs w:val="26"/>
          <w:rtl/>
          <w:lang w:bidi="ar-EG"/>
        </w:rPr>
        <w:t>%) حاجةً ماسةً لتحسين واجهات المستخدم وتبسيط الإجراءات. وفقًا لدراسة</w:t>
      </w:r>
      <w:r w:rsidR="00824BE6" w:rsidRPr="00202E2A">
        <w:rPr>
          <w:rFonts w:asciiTheme="majorBidi" w:hAnsiTheme="majorBidi" w:cstheme="majorBidi"/>
          <w:sz w:val="26"/>
          <w:szCs w:val="26"/>
          <w:lang w:bidi="ar-EG"/>
        </w:rPr>
        <w:t xml:space="preserve"> Nielsen Norman Group (2023)</w:t>
      </w:r>
      <w:r w:rsidR="00824BE6" w:rsidRPr="00202E2A">
        <w:rPr>
          <w:rFonts w:asciiTheme="majorBidi" w:hAnsiTheme="majorBidi" w:cstheme="majorBidi"/>
          <w:sz w:val="26"/>
          <w:szCs w:val="26"/>
          <w:rtl/>
          <w:lang w:bidi="ar-EG"/>
        </w:rPr>
        <w:t xml:space="preserve">، فإن </w:t>
      </w:r>
      <w:r w:rsidR="00716E23" w:rsidRPr="00202E2A">
        <w:rPr>
          <w:rFonts w:asciiTheme="majorBidi" w:hAnsiTheme="majorBidi" w:cstheme="majorBidi"/>
          <w:sz w:val="26"/>
          <w:szCs w:val="26"/>
          <w:lang w:bidi="ar-EG"/>
        </w:rPr>
        <w:t>70</w:t>
      </w:r>
      <w:r w:rsidR="00824BE6" w:rsidRPr="00202E2A">
        <w:rPr>
          <w:rFonts w:asciiTheme="majorBidi" w:hAnsiTheme="majorBidi" w:cstheme="majorBidi"/>
          <w:sz w:val="26"/>
          <w:szCs w:val="26"/>
          <w:rtl/>
          <w:lang w:bidi="ar-EG"/>
        </w:rPr>
        <w:t>% من العملاء يتركون المنصات الإلكترونية إذا وجدوها معقدة</w:t>
      </w:r>
      <w:r w:rsidR="00824BE6" w:rsidRPr="00202E2A">
        <w:rPr>
          <w:rFonts w:asciiTheme="majorBidi" w:hAnsiTheme="majorBidi" w:cstheme="majorBidi"/>
          <w:sz w:val="26"/>
          <w:szCs w:val="26"/>
          <w:lang w:bidi="ar-EG"/>
        </w:rPr>
        <w:t>.</w:t>
      </w:r>
    </w:p>
    <w:p w14:paraId="45E09685" w14:textId="3BFB51F9" w:rsidR="00D85D6D" w:rsidRPr="00202E2A" w:rsidRDefault="00D85D6D" w:rsidP="00D85D6D">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صياغة مشكلة الدراسة</w:t>
      </w:r>
      <w:r w:rsidRPr="00202E2A">
        <w:rPr>
          <w:rFonts w:asciiTheme="majorBidi" w:hAnsiTheme="majorBidi" w:cstheme="majorBidi"/>
          <w:b/>
          <w:bCs/>
          <w:sz w:val="26"/>
          <w:szCs w:val="26"/>
          <w:lang w:bidi="ar-EG"/>
        </w:rPr>
        <w:t>:</w:t>
      </w:r>
    </w:p>
    <w:p w14:paraId="53FB46C1" w14:textId="77777777" w:rsidR="00D85D6D" w:rsidRPr="00202E2A" w:rsidRDefault="00D85D6D" w:rsidP="00D85D6D">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u w:val="single"/>
          <w:rtl/>
          <w:lang w:bidi="ar-EG"/>
        </w:rPr>
        <w:t>1</w:t>
      </w:r>
      <w:r w:rsidRPr="00202E2A">
        <w:rPr>
          <w:rFonts w:asciiTheme="majorBidi" w:hAnsiTheme="majorBidi" w:cstheme="majorBidi"/>
          <w:b/>
          <w:bCs/>
          <w:sz w:val="26"/>
          <w:szCs w:val="26"/>
          <w:u w:val="single"/>
          <w:lang w:bidi="ar-EG"/>
        </w:rPr>
        <w:t xml:space="preserve">. </w:t>
      </w:r>
      <w:r w:rsidRPr="00202E2A">
        <w:rPr>
          <w:rFonts w:asciiTheme="majorBidi" w:hAnsiTheme="majorBidi" w:cstheme="majorBidi"/>
          <w:b/>
          <w:bCs/>
          <w:sz w:val="26"/>
          <w:szCs w:val="26"/>
          <w:u w:val="single"/>
          <w:rtl/>
          <w:lang w:bidi="ar-EG"/>
        </w:rPr>
        <w:t>المشكلة العامة</w:t>
      </w:r>
      <w:r w:rsidRPr="00202E2A">
        <w:rPr>
          <w:rFonts w:asciiTheme="majorBidi" w:hAnsiTheme="majorBidi" w:cstheme="majorBidi"/>
          <w:b/>
          <w:bCs/>
          <w:sz w:val="26"/>
          <w:szCs w:val="26"/>
          <w:u w:val="single"/>
          <w:lang w:bidi="ar-EG"/>
        </w:rPr>
        <w:t>:</w:t>
      </w:r>
    </w:p>
    <w:p w14:paraId="69D63D2B" w14:textId="77777777" w:rsidR="00D85D6D" w:rsidRPr="00202E2A" w:rsidRDefault="00D85D6D" w:rsidP="00D85D6D">
      <w:p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في ظل التوجه الاستراتيجي للمملكة العربية السعودية نحو التحول الرقمي الشامل تماشيًا مع رؤية 2030، تواجه الهيئات الحكومية – ومنها هيئة الزكاة والضريبية والجمارك – تحديات متعددة في تحقيق التوازن بين</w:t>
      </w:r>
      <w:r w:rsidRPr="00202E2A">
        <w:rPr>
          <w:rFonts w:asciiTheme="majorBidi" w:hAnsiTheme="majorBidi" w:cstheme="majorBidi"/>
          <w:sz w:val="26"/>
          <w:szCs w:val="26"/>
          <w:lang w:bidi="ar-EG"/>
        </w:rPr>
        <w:t>:</w:t>
      </w:r>
    </w:p>
    <w:p w14:paraId="163F5C02" w14:textId="77777777" w:rsidR="00D85D6D" w:rsidRPr="00202E2A" w:rsidRDefault="00D85D6D">
      <w:pPr>
        <w:pStyle w:val="ListParagraph"/>
        <w:numPr>
          <w:ilvl w:val="0"/>
          <w:numId w:val="25"/>
        </w:num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تعزيز الأمن السيبراني وحماية البيانات</w:t>
      </w:r>
      <w:r w:rsidRPr="00202E2A">
        <w:rPr>
          <w:rFonts w:asciiTheme="majorBidi" w:hAnsiTheme="majorBidi" w:cstheme="majorBidi"/>
          <w:sz w:val="26"/>
          <w:szCs w:val="26"/>
          <w:lang w:bidi="ar-EG"/>
        </w:rPr>
        <w:t>.</w:t>
      </w:r>
    </w:p>
    <w:p w14:paraId="3EE35F4A" w14:textId="77777777" w:rsidR="00D85D6D" w:rsidRPr="00202E2A" w:rsidRDefault="00D85D6D">
      <w:pPr>
        <w:pStyle w:val="ListParagraph"/>
        <w:numPr>
          <w:ilvl w:val="0"/>
          <w:numId w:val="25"/>
        </w:num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تيسير التجارة وتبسيط الإجراءات الجمركية</w:t>
      </w:r>
      <w:r w:rsidRPr="00202E2A">
        <w:rPr>
          <w:rFonts w:asciiTheme="majorBidi" w:hAnsiTheme="majorBidi" w:cstheme="majorBidi"/>
          <w:sz w:val="26"/>
          <w:szCs w:val="26"/>
          <w:lang w:bidi="ar-EG"/>
        </w:rPr>
        <w:t>.</w:t>
      </w:r>
    </w:p>
    <w:p w14:paraId="1CB0AE13" w14:textId="77777777" w:rsidR="00D85D6D" w:rsidRPr="00202E2A" w:rsidRDefault="00D85D6D">
      <w:pPr>
        <w:pStyle w:val="ListParagraph"/>
        <w:numPr>
          <w:ilvl w:val="0"/>
          <w:numId w:val="25"/>
        </w:num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تبني التقنيات الرقمية (مثل الذكاء الاصطناعي، بلوك تشين) بكفاءة</w:t>
      </w:r>
      <w:r w:rsidRPr="00202E2A">
        <w:rPr>
          <w:rFonts w:asciiTheme="majorBidi" w:hAnsiTheme="majorBidi" w:cstheme="majorBidi"/>
          <w:sz w:val="26"/>
          <w:szCs w:val="26"/>
          <w:lang w:bidi="ar-EG"/>
        </w:rPr>
        <w:t>.</w:t>
      </w:r>
    </w:p>
    <w:p w14:paraId="0A0DBA04" w14:textId="77777777" w:rsidR="00D85D6D" w:rsidRPr="00202E2A" w:rsidRDefault="00D85D6D" w:rsidP="00D85D6D">
      <w:p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حيث أظهرت الدراسة الاستطلاعية (عينة: 40 قياديًا وعاملًا بالهيئة) تباينًا في</w:t>
      </w:r>
      <w:r w:rsidRPr="00202E2A">
        <w:rPr>
          <w:rFonts w:asciiTheme="majorBidi" w:hAnsiTheme="majorBidi" w:cstheme="majorBidi"/>
          <w:sz w:val="26"/>
          <w:szCs w:val="26"/>
          <w:lang w:bidi="ar-EG"/>
        </w:rPr>
        <w:t>:</w:t>
      </w:r>
    </w:p>
    <w:p w14:paraId="335AF9AC" w14:textId="77777777" w:rsidR="00D85D6D" w:rsidRPr="00202E2A" w:rsidRDefault="00D85D6D">
      <w:pPr>
        <w:pStyle w:val="ListParagraph"/>
        <w:numPr>
          <w:ilvl w:val="0"/>
          <w:numId w:val="26"/>
        </w:num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مستوى الثقة بفعالية بعض التقنيات (كالأشعة السينية والذكاء الاصطناعي في الرقابة الجمركية)</w:t>
      </w:r>
      <w:r w:rsidRPr="00202E2A">
        <w:rPr>
          <w:rFonts w:asciiTheme="majorBidi" w:hAnsiTheme="majorBidi" w:cstheme="majorBidi"/>
          <w:sz w:val="26"/>
          <w:szCs w:val="26"/>
          <w:lang w:bidi="ar-EG"/>
        </w:rPr>
        <w:t>.</w:t>
      </w:r>
    </w:p>
    <w:p w14:paraId="747D8158" w14:textId="77777777" w:rsidR="00D85D6D" w:rsidRPr="00202E2A" w:rsidRDefault="00D85D6D">
      <w:pPr>
        <w:pStyle w:val="ListParagraph"/>
        <w:numPr>
          <w:ilvl w:val="0"/>
          <w:numId w:val="26"/>
        </w:num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الفجوة الرقمية بين العاملين والعملاء (30% فقط يرون أن العملاء لديهم مهارات كافية)</w:t>
      </w:r>
      <w:r w:rsidRPr="00202E2A">
        <w:rPr>
          <w:rFonts w:asciiTheme="majorBidi" w:hAnsiTheme="majorBidi" w:cstheme="majorBidi"/>
          <w:sz w:val="26"/>
          <w:szCs w:val="26"/>
          <w:lang w:bidi="ar-EG"/>
        </w:rPr>
        <w:t>.</w:t>
      </w:r>
    </w:p>
    <w:p w14:paraId="30B28E72" w14:textId="77777777" w:rsidR="00D85D6D" w:rsidRPr="00202E2A" w:rsidRDefault="00D85D6D">
      <w:pPr>
        <w:pStyle w:val="ListParagraph"/>
        <w:numPr>
          <w:ilvl w:val="0"/>
          <w:numId w:val="26"/>
        </w:num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التحديات التشريعية (50% يرون أن القوانين الحالية لا تدعم التحول الرقمي بالكامل)</w:t>
      </w:r>
      <w:r w:rsidRPr="00202E2A">
        <w:rPr>
          <w:rFonts w:asciiTheme="majorBidi" w:hAnsiTheme="majorBidi" w:cstheme="majorBidi"/>
          <w:sz w:val="26"/>
          <w:szCs w:val="26"/>
          <w:lang w:bidi="ar-EG"/>
        </w:rPr>
        <w:t>.</w:t>
      </w:r>
    </w:p>
    <w:p w14:paraId="647862D0" w14:textId="12770528" w:rsidR="00D85D6D" w:rsidRPr="00202E2A" w:rsidRDefault="00D85D6D" w:rsidP="00D85D6D">
      <w:pPr>
        <w:bidi/>
        <w:spacing w:line="276" w:lineRule="auto"/>
        <w:jc w:val="lowKashida"/>
        <w:rPr>
          <w:rFonts w:asciiTheme="majorBidi" w:hAnsiTheme="majorBidi" w:cstheme="majorBidi"/>
          <w:b/>
          <w:bCs/>
          <w:sz w:val="26"/>
          <w:szCs w:val="26"/>
          <w:u w:val="single"/>
          <w:rtl/>
          <w:lang w:bidi="ar-EG"/>
        </w:rPr>
      </w:pPr>
      <w:r w:rsidRPr="00202E2A">
        <w:rPr>
          <w:rFonts w:asciiTheme="majorBidi" w:hAnsiTheme="majorBidi" w:cstheme="majorBidi"/>
          <w:b/>
          <w:bCs/>
          <w:sz w:val="26"/>
          <w:szCs w:val="26"/>
          <w:u w:val="single"/>
          <w:rtl/>
          <w:lang w:bidi="ar-EG"/>
        </w:rPr>
        <w:t>2</w:t>
      </w:r>
      <w:r w:rsidRPr="00202E2A">
        <w:rPr>
          <w:rFonts w:asciiTheme="majorBidi" w:hAnsiTheme="majorBidi" w:cstheme="majorBidi"/>
          <w:b/>
          <w:bCs/>
          <w:sz w:val="26"/>
          <w:szCs w:val="26"/>
          <w:u w:val="single"/>
          <w:lang w:bidi="ar-EG"/>
        </w:rPr>
        <w:t xml:space="preserve">. </w:t>
      </w:r>
      <w:r w:rsidRPr="00202E2A">
        <w:rPr>
          <w:rFonts w:asciiTheme="majorBidi" w:hAnsiTheme="majorBidi" w:cstheme="majorBidi"/>
          <w:b/>
          <w:bCs/>
          <w:sz w:val="26"/>
          <w:szCs w:val="26"/>
          <w:u w:val="single"/>
          <w:rtl/>
          <w:lang w:bidi="ar-EG"/>
        </w:rPr>
        <w:t xml:space="preserve">المشكلة البحثية (صياغة </w:t>
      </w:r>
      <w:r w:rsidR="00563003" w:rsidRPr="00202E2A">
        <w:rPr>
          <w:rFonts w:asciiTheme="majorBidi" w:hAnsiTheme="majorBidi" w:cstheme="majorBidi" w:hint="cs"/>
          <w:b/>
          <w:bCs/>
          <w:sz w:val="26"/>
          <w:szCs w:val="26"/>
          <w:u w:val="single"/>
          <w:rtl/>
          <w:lang w:bidi="ar-EG"/>
        </w:rPr>
        <w:t>تساؤلي</w:t>
      </w:r>
      <w:r w:rsidRPr="00202E2A">
        <w:rPr>
          <w:rFonts w:asciiTheme="majorBidi" w:hAnsiTheme="majorBidi" w:cstheme="majorBidi"/>
          <w:b/>
          <w:bCs/>
          <w:sz w:val="26"/>
          <w:szCs w:val="26"/>
          <w:u w:val="single"/>
          <w:rtl/>
          <w:lang w:bidi="ar-EG"/>
        </w:rPr>
        <w:t>)</w:t>
      </w:r>
      <w:r w:rsidRPr="00202E2A">
        <w:rPr>
          <w:rFonts w:asciiTheme="majorBidi" w:hAnsiTheme="majorBidi" w:cstheme="majorBidi"/>
          <w:b/>
          <w:bCs/>
          <w:sz w:val="26"/>
          <w:szCs w:val="26"/>
          <w:u w:val="single"/>
          <w:lang w:bidi="ar-EG"/>
        </w:rPr>
        <w:t>:</w:t>
      </w:r>
    </w:p>
    <w:p w14:paraId="7973B919" w14:textId="77777777" w:rsidR="00D85D6D" w:rsidRPr="00202E2A" w:rsidRDefault="00D85D6D" w:rsidP="00D85D6D">
      <w:p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بناءً على ذلك، يمكن صياغة إشكالية الدراسة في التساؤلات الرئيسية التالية</w:t>
      </w:r>
      <w:r w:rsidRPr="00202E2A">
        <w:rPr>
          <w:rFonts w:asciiTheme="majorBidi" w:hAnsiTheme="majorBidi" w:cstheme="majorBidi"/>
          <w:sz w:val="26"/>
          <w:szCs w:val="26"/>
          <w:lang w:bidi="ar-EG"/>
        </w:rPr>
        <w:t>:</w:t>
      </w:r>
    </w:p>
    <w:p w14:paraId="3F7CA051" w14:textId="77777777" w:rsidR="00D85D6D" w:rsidRPr="00202E2A" w:rsidRDefault="00D85D6D">
      <w:pPr>
        <w:pStyle w:val="ListParagraph"/>
        <w:numPr>
          <w:ilvl w:val="0"/>
          <w:numId w:val="27"/>
        </w:num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ما أثر التحول الرقمي على تعزيز الأمن السيبراني وتيسير التجارة في هيئة الزكاة والضريبية والجمارك؟</w:t>
      </w:r>
    </w:p>
    <w:p w14:paraId="6502DC3E" w14:textId="77777777" w:rsidR="00D85D6D" w:rsidRPr="00202E2A" w:rsidRDefault="00D85D6D">
      <w:pPr>
        <w:pStyle w:val="ListParagraph"/>
        <w:numPr>
          <w:ilvl w:val="0"/>
          <w:numId w:val="27"/>
        </w:num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ما أبرز التحديات (الفنية، التشريعية، البشرية) التي تواجه تطبيق استراتيجيات التحول الرقمي بالهيئة؟</w:t>
      </w:r>
    </w:p>
    <w:p w14:paraId="4D9295A7" w14:textId="77777777" w:rsidR="00D85D6D" w:rsidRPr="00202E2A" w:rsidRDefault="00D85D6D">
      <w:pPr>
        <w:pStyle w:val="ListParagraph"/>
        <w:numPr>
          <w:ilvl w:val="0"/>
          <w:numId w:val="27"/>
        </w:num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كيف يمكن تحقيق التوازن بين متطلبات الأمن السيبراني (مثل التشفير والمصادقة المتعددة) وضرورات تسهيل التجارة الدولية؟</w:t>
      </w:r>
    </w:p>
    <w:p w14:paraId="619C9102" w14:textId="77777777" w:rsidR="00D85D6D" w:rsidRPr="00202E2A" w:rsidRDefault="00D85D6D">
      <w:pPr>
        <w:pStyle w:val="ListParagraph"/>
        <w:numPr>
          <w:ilvl w:val="0"/>
          <w:numId w:val="27"/>
        </w:num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ما دور البنية التحتية الرقمية (مثل الأسس الرقمية، الابتكار، الحوكمة) في تحسين كفاءة الخدمات الجمركية والضريبية؟</w:t>
      </w:r>
    </w:p>
    <w:p w14:paraId="51AF97FC" w14:textId="77777777" w:rsidR="00D85D6D" w:rsidRPr="00202E2A" w:rsidRDefault="00D85D6D">
      <w:pPr>
        <w:pStyle w:val="ListParagraph"/>
        <w:numPr>
          <w:ilvl w:val="0"/>
          <w:numId w:val="27"/>
        </w:num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ما مدى فعالية السياسات الحالية (مثل الفوترة الإلكترونية، الشراكات الدولية) في الحد من التهرب الضريبي والتهريب الجمركي؟</w:t>
      </w:r>
    </w:p>
    <w:p w14:paraId="72107280" w14:textId="77777777" w:rsidR="00D85D6D" w:rsidRPr="00202E2A" w:rsidRDefault="00D85D6D" w:rsidP="00D85D6D">
      <w:pPr>
        <w:bidi/>
        <w:spacing w:line="276" w:lineRule="auto"/>
        <w:jc w:val="lowKashida"/>
        <w:rPr>
          <w:rFonts w:asciiTheme="majorBidi" w:hAnsiTheme="majorBidi" w:cstheme="majorBidi"/>
          <w:b/>
          <w:bCs/>
          <w:sz w:val="26"/>
          <w:szCs w:val="26"/>
          <w:u w:val="single"/>
          <w:rtl/>
          <w:lang w:bidi="ar-EG"/>
        </w:rPr>
      </w:pPr>
      <w:r w:rsidRPr="00202E2A">
        <w:rPr>
          <w:rFonts w:asciiTheme="majorBidi" w:hAnsiTheme="majorBidi" w:cstheme="majorBidi"/>
          <w:b/>
          <w:bCs/>
          <w:sz w:val="26"/>
          <w:szCs w:val="26"/>
          <w:u w:val="single"/>
          <w:rtl/>
          <w:lang w:bidi="ar-EG"/>
        </w:rPr>
        <w:t>3</w:t>
      </w:r>
      <w:r w:rsidRPr="00202E2A">
        <w:rPr>
          <w:rFonts w:asciiTheme="majorBidi" w:hAnsiTheme="majorBidi" w:cstheme="majorBidi"/>
          <w:b/>
          <w:bCs/>
          <w:sz w:val="26"/>
          <w:szCs w:val="26"/>
          <w:u w:val="single"/>
          <w:lang w:bidi="ar-EG"/>
        </w:rPr>
        <w:t xml:space="preserve">. </w:t>
      </w:r>
      <w:r w:rsidRPr="00202E2A">
        <w:rPr>
          <w:rFonts w:asciiTheme="majorBidi" w:hAnsiTheme="majorBidi" w:cstheme="majorBidi"/>
          <w:b/>
          <w:bCs/>
          <w:sz w:val="26"/>
          <w:szCs w:val="26"/>
          <w:u w:val="single"/>
          <w:rtl/>
          <w:lang w:bidi="ar-EG"/>
        </w:rPr>
        <w:t>المشكلة العملية (صياغة إجرائية)</w:t>
      </w:r>
      <w:r w:rsidRPr="00202E2A">
        <w:rPr>
          <w:rFonts w:asciiTheme="majorBidi" w:hAnsiTheme="majorBidi" w:cstheme="majorBidi"/>
          <w:b/>
          <w:bCs/>
          <w:sz w:val="26"/>
          <w:szCs w:val="26"/>
          <w:u w:val="single"/>
          <w:lang w:bidi="ar-EG"/>
        </w:rPr>
        <w:t>:</w:t>
      </w:r>
    </w:p>
    <w:p w14:paraId="7C058571" w14:textId="77777777" w:rsidR="00D85D6D" w:rsidRPr="00202E2A" w:rsidRDefault="00D85D6D" w:rsidP="00D85D6D">
      <w:p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تتمحور المشكلة في وجود فجوة تطبيقية بين</w:t>
      </w:r>
      <w:r w:rsidRPr="00202E2A">
        <w:rPr>
          <w:rFonts w:asciiTheme="majorBidi" w:hAnsiTheme="majorBidi" w:cstheme="majorBidi"/>
          <w:sz w:val="26"/>
          <w:szCs w:val="26"/>
          <w:lang w:bidi="ar-EG"/>
        </w:rPr>
        <w:t>:</w:t>
      </w:r>
    </w:p>
    <w:p w14:paraId="1597C81F" w14:textId="77777777" w:rsidR="00D85D6D" w:rsidRPr="00202E2A" w:rsidRDefault="00D85D6D" w:rsidP="00D85D6D">
      <w:pPr>
        <w:bidi/>
        <w:spacing w:line="276" w:lineRule="auto"/>
        <w:jc w:val="lowKashida"/>
        <w:rPr>
          <w:rFonts w:asciiTheme="majorBidi" w:hAnsiTheme="majorBidi" w:cstheme="majorBidi"/>
          <w:b/>
          <w:bCs/>
          <w:sz w:val="26"/>
          <w:szCs w:val="26"/>
          <w:u w:val="single"/>
          <w:rtl/>
          <w:lang w:bidi="ar-EG"/>
        </w:rPr>
      </w:pPr>
      <w:r w:rsidRPr="00202E2A">
        <w:rPr>
          <w:rFonts w:asciiTheme="majorBidi" w:hAnsiTheme="majorBidi" w:cs="Times New Roman"/>
          <w:b/>
          <w:bCs/>
          <w:sz w:val="26"/>
          <w:szCs w:val="26"/>
          <w:u w:val="single"/>
          <w:rtl/>
          <w:lang w:bidi="ar-EG"/>
        </w:rPr>
        <w:t>الجانب النظري</w:t>
      </w:r>
      <w:r w:rsidRPr="00202E2A">
        <w:rPr>
          <w:rFonts w:asciiTheme="majorBidi" w:hAnsiTheme="majorBidi" w:cstheme="majorBidi"/>
          <w:b/>
          <w:bCs/>
          <w:sz w:val="26"/>
          <w:szCs w:val="26"/>
          <w:u w:val="single"/>
          <w:lang w:bidi="ar-EG"/>
        </w:rPr>
        <w:t>:</w:t>
      </w:r>
    </w:p>
    <w:p w14:paraId="3F4019FC" w14:textId="77777777" w:rsidR="00D85D6D" w:rsidRPr="00202E2A" w:rsidRDefault="00D85D6D">
      <w:pPr>
        <w:pStyle w:val="ListParagraph"/>
        <w:numPr>
          <w:ilvl w:val="0"/>
          <w:numId w:val="28"/>
        </w:num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وجود استراتيجيات رقمية طموحة (مثل رؤية 2030)</w:t>
      </w:r>
      <w:r w:rsidRPr="00202E2A">
        <w:rPr>
          <w:rFonts w:asciiTheme="majorBidi" w:hAnsiTheme="majorBidi" w:cstheme="majorBidi"/>
          <w:sz w:val="26"/>
          <w:szCs w:val="26"/>
          <w:lang w:bidi="ar-EG"/>
        </w:rPr>
        <w:t>.</w:t>
      </w:r>
    </w:p>
    <w:p w14:paraId="24DFB742" w14:textId="77777777" w:rsidR="00D85D6D" w:rsidRPr="00202E2A" w:rsidRDefault="00D85D6D">
      <w:pPr>
        <w:pStyle w:val="ListParagraph"/>
        <w:numPr>
          <w:ilvl w:val="0"/>
          <w:numId w:val="28"/>
        </w:num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توفير تقنيات متقدمة (الذكاء الاصطناعي، إنترنت الأشياء)</w:t>
      </w:r>
      <w:r w:rsidRPr="00202E2A">
        <w:rPr>
          <w:rFonts w:asciiTheme="majorBidi" w:hAnsiTheme="majorBidi" w:cstheme="majorBidi"/>
          <w:sz w:val="26"/>
          <w:szCs w:val="26"/>
          <w:lang w:bidi="ar-EG"/>
        </w:rPr>
        <w:t>.</w:t>
      </w:r>
    </w:p>
    <w:p w14:paraId="73EBF8E5" w14:textId="77777777" w:rsidR="00D85D6D" w:rsidRPr="00202E2A" w:rsidRDefault="00D85D6D" w:rsidP="00D85D6D">
      <w:pPr>
        <w:bidi/>
        <w:spacing w:line="276" w:lineRule="auto"/>
        <w:jc w:val="lowKashida"/>
        <w:rPr>
          <w:rFonts w:asciiTheme="majorBidi" w:hAnsiTheme="majorBidi" w:cs="Times New Roman"/>
          <w:b/>
          <w:bCs/>
          <w:sz w:val="26"/>
          <w:szCs w:val="26"/>
          <w:u w:val="single"/>
          <w:rtl/>
          <w:lang w:bidi="ar-EG"/>
        </w:rPr>
      </w:pPr>
      <w:r w:rsidRPr="00202E2A">
        <w:rPr>
          <w:rFonts w:asciiTheme="majorBidi" w:hAnsiTheme="majorBidi" w:cs="Times New Roman"/>
          <w:b/>
          <w:bCs/>
          <w:sz w:val="26"/>
          <w:szCs w:val="26"/>
          <w:u w:val="single"/>
          <w:rtl/>
          <w:lang w:bidi="ar-EG"/>
        </w:rPr>
        <w:t>الجانب التطبيقي</w:t>
      </w:r>
      <w:r w:rsidRPr="00202E2A">
        <w:rPr>
          <w:rFonts w:asciiTheme="majorBidi" w:hAnsiTheme="majorBidi" w:cs="Times New Roman"/>
          <w:b/>
          <w:bCs/>
          <w:sz w:val="26"/>
          <w:szCs w:val="26"/>
          <w:u w:val="single"/>
          <w:lang w:bidi="ar-EG"/>
        </w:rPr>
        <w:t>:</w:t>
      </w:r>
    </w:p>
    <w:p w14:paraId="43261FA5" w14:textId="77777777" w:rsidR="00D85D6D" w:rsidRPr="00202E2A" w:rsidRDefault="00D85D6D">
      <w:pPr>
        <w:pStyle w:val="ListParagraph"/>
        <w:numPr>
          <w:ilvl w:val="0"/>
          <w:numId w:val="28"/>
        </w:num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lastRenderedPageBreak/>
        <w:t>نقص المهارات الرقمية لدى بعض العاملين والعملاء</w:t>
      </w:r>
      <w:r w:rsidRPr="00202E2A">
        <w:rPr>
          <w:rFonts w:asciiTheme="majorBidi" w:hAnsiTheme="majorBidi" w:cstheme="majorBidi"/>
          <w:sz w:val="26"/>
          <w:szCs w:val="26"/>
          <w:lang w:bidi="ar-EG"/>
        </w:rPr>
        <w:t>.</w:t>
      </w:r>
    </w:p>
    <w:p w14:paraId="0C5492BC" w14:textId="77777777" w:rsidR="00D85D6D" w:rsidRPr="00202E2A" w:rsidRDefault="00D85D6D">
      <w:pPr>
        <w:pStyle w:val="ListParagraph"/>
        <w:numPr>
          <w:ilvl w:val="0"/>
          <w:numId w:val="28"/>
        </w:num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عدم تكامل الأنظمة بين الجهات الحكومية (كما أظهرته نسبة 50% المحايدة في الدراسة)</w:t>
      </w:r>
      <w:r w:rsidRPr="00202E2A">
        <w:rPr>
          <w:rFonts w:asciiTheme="majorBidi" w:hAnsiTheme="majorBidi" w:cstheme="majorBidi"/>
          <w:sz w:val="26"/>
          <w:szCs w:val="26"/>
          <w:lang w:bidi="ar-EG"/>
        </w:rPr>
        <w:t>.</w:t>
      </w:r>
    </w:p>
    <w:p w14:paraId="48D43C67" w14:textId="1695FF5F" w:rsidR="00D85D6D" w:rsidRPr="00202E2A" w:rsidRDefault="00D85D6D">
      <w:pPr>
        <w:pStyle w:val="ListParagraph"/>
        <w:numPr>
          <w:ilvl w:val="0"/>
          <w:numId w:val="28"/>
        </w:num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مخاوف أمنية وقانونية حول مشاركة البيانات.</w:t>
      </w:r>
    </w:p>
    <w:bookmarkEnd w:id="0"/>
    <w:p w14:paraId="024F42B9" w14:textId="2943F0FC" w:rsidR="00341FFC" w:rsidRPr="00202E2A" w:rsidRDefault="005F496D" w:rsidP="0019590B">
      <w:pPr>
        <w:bidi/>
        <w:spacing w:line="276" w:lineRule="auto"/>
        <w:rPr>
          <w:rFonts w:asciiTheme="majorBidi" w:hAnsiTheme="majorBidi" w:cstheme="majorBidi"/>
          <w:b/>
          <w:bCs/>
          <w:color w:val="002060"/>
          <w:sz w:val="26"/>
          <w:szCs w:val="26"/>
          <w:rtl/>
          <w:lang w:bidi="ar-EG"/>
        </w:rPr>
      </w:pPr>
      <w:r w:rsidRPr="00202E2A">
        <w:rPr>
          <w:rFonts w:asciiTheme="majorBidi" w:hAnsiTheme="majorBidi" w:cstheme="majorBidi"/>
          <w:b/>
          <w:bCs/>
          <w:color w:val="002060"/>
          <w:sz w:val="26"/>
          <w:szCs w:val="26"/>
          <w:rtl/>
          <w:lang w:bidi="ar-EG"/>
        </w:rPr>
        <w:t xml:space="preserve">ثالثاً: </w:t>
      </w:r>
      <w:r w:rsidR="00341FFC" w:rsidRPr="00202E2A">
        <w:rPr>
          <w:rFonts w:asciiTheme="majorBidi" w:hAnsiTheme="majorBidi" w:cstheme="majorBidi"/>
          <w:b/>
          <w:bCs/>
          <w:color w:val="002060"/>
          <w:sz w:val="26"/>
          <w:szCs w:val="26"/>
          <w:rtl/>
          <w:lang w:bidi="ar-EG"/>
        </w:rPr>
        <w:t>أهمية الدراسة</w:t>
      </w:r>
    </w:p>
    <w:p w14:paraId="5EE2A5F3" w14:textId="77777777" w:rsidR="00647143" w:rsidRPr="00202E2A" w:rsidRDefault="00647143" w:rsidP="0019590B">
      <w:pPr>
        <w:bidi/>
        <w:spacing w:line="276" w:lineRule="auto"/>
        <w:jc w:val="lowKashida"/>
        <w:rPr>
          <w:rFonts w:asciiTheme="majorBidi" w:hAnsiTheme="majorBidi" w:cstheme="majorBidi"/>
          <w:b/>
          <w:bCs/>
          <w:sz w:val="26"/>
          <w:szCs w:val="26"/>
          <w:lang w:bidi="ar-EG"/>
        </w:rPr>
      </w:pPr>
      <w:r w:rsidRPr="00202E2A">
        <w:rPr>
          <w:rFonts w:asciiTheme="majorBidi" w:hAnsiTheme="majorBidi" w:cstheme="majorBidi"/>
          <w:b/>
          <w:bCs/>
          <w:sz w:val="26"/>
          <w:szCs w:val="26"/>
          <w:rtl/>
          <w:lang w:bidi="ar-EG"/>
        </w:rPr>
        <w:t>أولاً: الأهمية العلمية (الإضافات النوعية للأدبيات العالمية):</w:t>
      </w:r>
    </w:p>
    <w:p w14:paraId="0A85F092" w14:textId="12D89420" w:rsidR="00E01439" w:rsidRPr="00202E2A" w:rsidRDefault="00647143">
      <w:pPr>
        <w:pStyle w:val="ListParagraph"/>
        <w:numPr>
          <w:ilvl w:val="0"/>
          <w:numId w:val="18"/>
        </w:num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u w:val="single"/>
          <w:rtl/>
          <w:lang w:bidi="ar-EG"/>
        </w:rPr>
        <w:t>سد الفجوة البحثية في النمذجة التكاملية:</w:t>
      </w:r>
      <w:r w:rsidRPr="00202E2A">
        <w:rPr>
          <w:rFonts w:asciiTheme="majorBidi" w:hAnsiTheme="majorBidi" w:cstheme="majorBidi"/>
          <w:sz w:val="26"/>
          <w:szCs w:val="26"/>
          <w:rtl/>
          <w:lang w:bidi="ar-EG"/>
        </w:rPr>
        <w:t xml:space="preserve"> </w:t>
      </w:r>
    </w:p>
    <w:p w14:paraId="045C021E" w14:textId="3D9F8AF4" w:rsidR="00647143" w:rsidRPr="00202E2A" w:rsidRDefault="00E01439"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ت</w:t>
      </w:r>
      <w:r w:rsidR="00647143" w:rsidRPr="00202E2A">
        <w:rPr>
          <w:rFonts w:asciiTheme="majorBidi" w:hAnsiTheme="majorBidi" w:cstheme="majorBidi"/>
          <w:sz w:val="26"/>
          <w:szCs w:val="26"/>
          <w:rtl/>
          <w:lang w:bidi="ar-EG"/>
        </w:rPr>
        <w:t xml:space="preserve">قدم الدراسة إطارًا نظريًّا وعمليًّا لربط ثلاثة محاور حيوية: تيسير التجارة الدولية (خفض وقت التخليص الجمركي بنسبة </w:t>
      </w:r>
      <w:r w:rsidR="003804AC" w:rsidRPr="00202E2A">
        <w:rPr>
          <w:rFonts w:asciiTheme="majorBidi" w:hAnsiTheme="majorBidi" w:cstheme="majorBidi"/>
          <w:sz w:val="26"/>
          <w:szCs w:val="26"/>
          <w:lang w:bidi="ar-EG"/>
        </w:rPr>
        <w:t>8</w:t>
      </w:r>
      <w:r w:rsidR="00810178" w:rsidRPr="00202E2A">
        <w:rPr>
          <w:rFonts w:asciiTheme="majorBidi" w:hAnsiTheme="majorBidi" w:cstheme="majorBidi"/>
          <w:sz w:val="26"/>
          <w:szCs w:val="26"/>
          <w:lang w:bidi="ar-EG"/>
        </w:rPr>
        <w:t>0</w:t>
      </w:r>
      <w:r w:rsidR="00647143" w:rsidRPr="00202E2A">
        <w:rPr>
          <w:rFonts w:asciiTheme="majorBidi" w:hAnsiTheme="majorBidi" w:cstheme="majorBidi"/>
          <w:sz w:val="26"/>
          <w:szCs w:val="26"/>
          <w:rtl/>
          <w:lang w:bidi="ar-EG"/>
        </w:rPr>
        <w:t xml:space="preserve">% وفق تقرير الهيئة العامة للجمارك </w:t>
      </w:r>
      <w:r w:rsidR="00810178" w:rsidRPr="00202E2A">
        <w:rPr>
          <w:rFonts w:asciiTheme="majorBidi" w:hAnsiTheme="majorBidi" w:cstheme="majorBidi"/>
          <w:sz w:val="26"/>
          <w:szCs w:val="26"/>
          <w:lang w:bidi="ar-EG"/>
        </w:rPr>
        <w:t>2023</w:t>
      </w:r>
      <w:r w:rsidR="00647143" w:rsidRPr="00202E2A">
        <w:rPr>
          <w:rFonts w:asciiTheme="majorBidi" w:hAnsiTheme="majorBidi" w:cstheme="majorBidi"/>
          <w:sz w:val="26"/>
          <w:szCs w:val="26"/>
          <w:rtl/>
          <w:lang w:bidi="ar-EG"/>
        </w:rPr>
        <w:t xml:space="preserve">)، تعزيز الأمن السيبراني (خفض الهجمات الإلكترونية بنسبة </w:t>
      </w:r>
      <w:r w:rsidR="00810178" w:rsidRPr="00202E2A">
        <w:rPr>
          <w:rFonts w:asciiTheme="majorBidi" w:hAnsiTheme="majorBidi" w:cstheme="majorBidi"/>
          <w:sz w:val="26"/>
          <w:szCs w:val="26"/>
          <w:lang w:bidi="ar-EG"/>
        </w:rPr>
        <w:t>60</w:t>
      </w:r>
      <w:r w:rsidR="00647143" w:rsidRPr="00202E2A">
        <w:rPr>
          <w:rFonts w:asciiTheme="majorBidi" w:hAnsiTheme="majorBidi" w:cstheme="majorBidi"/>
          <w:sz w:val="26"/>
          <w:szCs w:val="26"/>
          <w:rtl/>
          <w:lang w:bidi="ar-EG"/>
        </w:rPr>
        <w:t xml:space="preserve">% بحلول </w:t>
      </w:r>
      <w:r w:rsidR="00810178" w:rsidRPr="00202E2A">
        <w:rPr>
          <w:rFonts w:asciiTheme="majorBidi" w:hAnsiTheme="majorBidi" w:cstheme="majorBidi"/>
          <w:sz w:val="26"/>
          <w:szCs w:val="26"/>
          <w:lang w:bidi="ar-EG"/>
        </w:rPr>
        <w:t>2027</w:t>
      </w:r>
      <w:r w:rsidR="00647143" w:rsidRPr="00202E2A">
        <w:rPr>
          <w:rFonts w:asciiTheme="majorBidi" w:hAnsiTheme="majorBidi" w:cstheme="majorBidi"/>
          <w:sz w:val="26"/>
          <w:szCs w:val="26"/>
          <w:rtl/>
          <w:lang w:bidi="ar-EG"/>
        </w:rPr>
        <w:t xml:space="preserve"> وفق استراتيجية الهيئة الوطنية للأمن السيبراني)، والتحول الرقمي (زيادة نسبة الخدمات الجمركية الرقمية إلى </w:t>
      </w:r>
      <w:r w:rsidR="00810178" w:rsidRPr="00202E2A">
        <w:rPr>
          <w:rFonts w:asciiTheme="majorBidi" w:hAnsiTheme="majorBidi" w:cstheme="majorBidi"/>
          <w:sz w:val="26"/>
          <w:szCs w:val="26"/>
          <w:lang w:bidi="ar-EG"/>
        </w:rPr>
        <w:t>95</w:t>
      </w:r>
      <w:r w:rsidR="00647143" w:rsidRPr="00202E2A">
        <w:rPr>
          <w:rFonts w:asciiTheme="majorBidi" w:hAnsiTheme="majorBidi" w:cstheme="majorBidi"/>
          <w:sz w:val="26"/>
          <w:szCs w:val="26"/>
          <w:rtl/>
          <w:lang w:bidi="ar-EG"/>
        </w:rPr>
        <w:t xml:space="preserve">% بحلول </w:t>
      </w:r>
      <w:r w:rsidR="00810178" w:rsidRPr="00202E2A">
        <w:rPr>
          <w:rFonts w:asciiTheme="majorBidi" w:hAnsiTheme="majorBidi" w:cstheme="majorBidi"/>
          <w:sz w:val="26"/>
          <w:szCs w:val="26"/>
          <w:lang w:bidi="ar-EG"/>
        </w:rPr>
        <w:t>2027</w:t>
      </w:r>
      <w:r w:rsidR="00647143" w:rsidRPr="00202E2A">
        <w:rPr>
          <w:rFonts w:asciiTheme="majorBidi" w:hAnsiTheme="majorBidi" w:cstheme="majorBidi"/>
          <w:sz w:val="26"/>
          <w:szCs w:val="26"/>
          <w:rtl/>
          <w:lang w:bidi="ar-EG"/>
        </w:rPr>
        <w:t>).</w:t>
      </w:r>
    </w:p>
    <w:p w14:paraId="50F0CDCC" w14:textId="345A9A27" w:rsidR="00E01439" w:rsidRPr="00202E2A" w:rsidRDefault="00647143">
      <w:pPr>
        <w:pStyle w:val="ListParagraph"/>
        <w:numPr>
          <w:ilvl w:val="0"/>
          <w:numId w:val="18"/>
        </w:num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u w:val="single"/>
          <w:rtl/>
          <w:lang w:bidi="ar-EG"/>
        </w:rPr>
        <w:t>تأصيل مفاهيمي لدور الجمارك الذكية في الاقتصادات الناشئة:</w:t>
      </w:r>
      <w:r w:rsidRPr="00202E2A">
        <w:rPr>
          <w:rFonts w:asciiTheme="majorBidi" w:hAnsiTheme="majorBidi" w:cstheme="majorBidi"/>
          <w:sz w:val="26"/>
          <w:szCs w:val="26"/>
          <w:rtl/>
          <w:lang w:bidi="ar-EG"/>
        </w:rPr>
        <w:t xml:space="preserve"> </w:t>
      </w:r>
    </w:p>
    <w:p w14:paraId="64C66CFD" w14:textId="28311BA0" w:rsidR="00647143" w:rsidRPr="00202E2A" w:rsidRDefault="00E01439"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ت</w:t>
      </w:r>
      <w:r w:rsidR="00647143" w:rsidRPr="00202E2A">
        <w:rPr>
          <w:rFonts w:asciiTheme="majorBidi" w:hAnsiTheme="majorBidi" w:cstheme="majorBidi"/>
          <w:sz w:val="26"/>
          <w:szCs w:val="26"/>
          <w:rtl/>
          <w:lang w:bidi="ar-EG"/>
        </w:rPr>
        <w:t xml:space="preserve">حلل الدراسة كيف تُسهم منصات مثل "النافذة الجمركية الموحدة" في رفع كفاءة سلاسل التوريد، حيث ساهمت في زيادة الصادرات غير النفطية السعودية بنسبة </w:t>
      </w:r>
      <w:r w:rsidR="00810178" w:rsidRPr="00202E2A">
        <w:rPr>
          <w:rFonts w:asciiTheme="majorBidi" w:hAnsiTheme="majorBidi" w:cstheme="majorBidi"/>
          <w:sz w:val="26"/>
          <w:szCs w:val="26"/>
          <w:lang w:bidi="ar-EG"/>
        </w:rPr>
        <w:t>3</w:t>
      </w:r>
      <w:r w:rsidR="00A426DD" w:rsidRPr="00202E2A">
        <w:rPr>
          <w:rFonts w:asciiTheme="majorBidi" w:hAnsiTheme="majorBidi" w:cstheme="majorBidi"/>
          <w:sz w:val="26"/>
          <w:szCs w:val="26"/>
          <w:lang w:bidi="ar-EG"/>
        </w:rPr>
        <w:t>6</w:t>
      </w:r>
      <w:r w:rsidR="00647143" w:rsidRPr="00202E2A">
        <w:rPr>
          <w:rFonts w:asciiTheme="majorBidi" w:hAnsiTheme="majorBidi" w:cstheme="majorBidi"/>
          <w:sz w:val="26"/>
          <w:szCs w:val="26"/>
          <w:rtl/>
          <w:lang w:bidi="ar-EG"/>
        </w:rPr>
        <w:t xml:space="preserve">% عام </w:t>
      </w:r>
      <w:r w:rsidR="00810178" w:rsidRPr="00202E2A">
        <w:rPr>
          <w:rFonts w:asciiTheme="majorBidi" w:hAnsiTheme="majorBidi" w:cstheme="majorBidi"/>
          <w:sz w:val="26"/>
          <w:szCs w:val="26"/>
          <w:lang w:bidi="ar-EG"/>
        </w:rPr>
        <w:t>2023</w:t>
      </w:r>
      <w:r w:rsidR="00647143" w:rsidRPr="00202E2A">
        <w:rPr>
          <w:rFonts w:asciiTheme="majorBidi" w:hAnsiTheme="majorBidi" w:cstheme="majorBidi"/>
          <w:sz w:val="26"/>
          <w:szCs w:val="26"/>
          <w:rtl/>
          <w:lang w:bidi="ar-EG"/>
        </w:rPr>
        <w:t xml:space="preserve"> (الهيئة العامة للإحصاء، </w:t>
      </w:r>
      <w:r w:rsidR="00810178" w:rsidRPr="00202E2A">
        <w:rPr>
          <w:rFonts w:asciiTheme="majorBidi" w:hAnsiTheme="majorBidi" w:cstheme="majorBidi"/>
          <w:sz w:val="26"/>
          <w:szCs w:val="26"/>
          <w:lang w:bidi="ar-EG"/>
        </w:rPr>
        <w:t>2023</w:t>
      </w:r>
      <w:r w:rsidR="00647143" w:rsidRPr="00202E2A">
        <w:rPr>
          <w:rFonts w:asciiTheme="majorBidi" w:hAnsiTheme="majorBidi" w:cstheme="majorBidi"/>
          <w:sz w:val="26"/>
          <w:szCs w:val="26"/>
          <w:rtl/>
          <w:lang w:bidi="ar-EG"/>
        </w:rPr>
        <w:t>).</w:t>
      </w:r>
    </w:p>
    <w:p w14:paraId="17EF0B6C" w14:textId="189D12DD" w:rsidR="00647143" w:rsidRPr="00202E2A" w:rsidRDefault="00647143"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ثانيًا: الأهمية العملية</w:t>
      </w:r>
      <w:r w:rsidR="00A13E76" w:rsidRPr="00202E2A">
        <w:rPr>
          <w:rFonts w:asciiTheme="majorBidi" w:hAnsiTheme="majorBidi" w:cstheme="majorBidi"/>
          <w:b/>
          <w:bCs/>
          <w:sz w:val="26"/>
          <w:szCs w:val="26"/>
          <w:rtl/>
          <w:lang w:bidi="ar-EG"/>
        </w:rPr>
        <w:t xml:space="preserve"> (تأثير مباشر على الاقتصاد السعودي):</w:t>
      </w:r>
    </w:p>
    <w:p w14:paraId="0308508E" w14:textId="62E8B072" w:rsidR="00647143" w:rsidRPr="00202E2A" w:rsidRDefault="00A13E76" w:rsidP="0019590B">
      <w:pPr>
        <w:bidi/>
        <w:spacing w:line="276" w:lineRule="auto"/>
        <w:ind w:firstLine="720"/>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w:t>
      </w:r>
      <w:r w:rsidR="00647143" w:rsidRPr="00202E2A">
        <w:rPr>
          <w:rFonts w:asciiTheme="majorBidi" w:hAnsiTheme="majorBidi" w:cstheme="majorBidi"/>
          <w:sz w:val="26"/>
          <w:szCs w:val="26"/>
          <w:rtl/>
          <w:lang w:bidi="ar-EG"/>
        </w:rPr>
        <w:t xml:space="preserve">أهمية </w:t>
      </w:r>
      <w:r w:rsidRPr="00202E2A">
        <w:rPr>
          <w:rFonts w:asciiTheme="majorBidi" w:hAnsiTheme="majorBidi" w:cstheme="majorBidi"/>
          <w:sz w:val="26"/>
          <w:szCs w:val="26"/>
          <w:rtl/>
          <w:lang w:bidi="ar-EG"/>
        </w:rPr>
        <w:t>التطبيقية ل</w:t>
      </w:r>
      <w:r w:rsidR="00647143" w:rsidRPr="00202E2A">
        <w:rPr>
          <w:rFonts w:asciiTheme="majorBidi" w:hAnsiTheme="majorBidi" w:cstheme="majorBidi"/>
          <w:sz w:val="26"/>
          <w:szCs w:val="26"/>
          <w:rtl/>
          <w:lang w:bidi="ar-EG"/>
        </w:rPr>
        <w:t xml:space="preserve">لبحث </w:t>
      </w:r>
      <w:r w:rsidR="00647143" w:rsidRPr="00202E2A">
        <w:rPr>
          <w:rFonts w:asciiTheme="majorBidi" w:hAnsiTheme="majorBidi" w:cstheme="majorBidi"/>
          <w:b/>
          <w:bCs/>
          <w:sz w:val="26"/>
          <w:szCs w:val="26"/>
          <w:rtl/>
          <w:lang w:bidi="ar-EG"/>
        </w:rPr>
        <w:t xml:space="preserve">تتمحور </w:t>
      </w:r>
      <w:r w:rsidRPr="00202E2A">
        <w:rPr>
          <w:rFonts w:asciiTheme="majorBidi" w:hAnsiTheme="majorBidi" w:cstheme="majorBidi"/>
          <w:b/>
          <w:bCs/>
          <w:sz w:val="26"/>
          <w:szCs w:val="26"/>
          <w:rtl/>
          <w:lang w:bidi="ar-EG"/>
        </w:rPr>
        <w:t>حول تحليل</w:t>
      </w:r>
      <w:r w:rsidR="00647143" w:rsidRPr="00202E2A">
        <w:rPr>
          <w:rFonts w:asciiTheme="majorBidi" w:hAnsiTheme="majorBidi" w:cstheme="majorBidi"/>
          <w:b/>
          <w:bCs/>
          <w:sz w:val="26"/>
          <w:szCs w:val="26"/>
          <w:rtl/>
          <w:lang w:bidi="ar-EG"/>
        </w:rPr>
        <w:t xml:space="preserve"> اقتصادي جمركي مُدعّم بالبيانات</w:t>
      </w:r>
      <w:r w:rsidRPr="00202E2A">
        <w:rPr>
          <w:rFonts w:asciiTheme="majorBidi" w:hAnsiTheme="majorBidi" w:cstheme="majorBidi"/>
          <w:b/>
          <w:bCs/>
          <w:sz w:val="26"/>
          <w:szCs w:val="26"/>
          <w:rtl/>
          <w:lang w:bidi="ar-EG"/>
        </w:rPr>
        <w:t xml:space="preserve">، </w:t>
      </w:r>
      <w:r w:rsidR="00A82108" w:rsidRPr="00202E2A">
        <w:rPr>
          <w:rFonts w:asciiTheme="majorBidi" w:hAnsiTheme="majorBidi" w:cstheme="majorBidi"/>
          <w:b/>
          <w:bCs/>
          <w:sz w:val="26"/>
          <w:szCs w:val="26"/>
          <w:rtl/>
          <w:lang w:bidi="ar-EG"/>
        </w:rPr>
        <w:t>أثر البحث على الاقتصاد الكلي حيث تُعد هذه الدراسة دليلًا عمليًّا لتحقيق "المعادلة الصعبة" بين السرعة والأمن في المنظومة الجمركية</w:t>
      </w:r>
      <w:r w:rsidR="00A82108" w:rsidRPr="00202E2A">
        <w:rPr>
          <w:rFonts w:asciiTheme="majorBidi" w:hAnsiTheme="majorBidi" w:cstheme="majorBidi"/>
          <w:sz w:val="26"/>
          <w:szCs w:val="26"/>
          <w:rtl/>
          <w:lang w:bidi="ar-EG"/>
        </w:rPr>
        <w:t xml:space="preserve">، حيث تُظهر البيانات أن كل </w:t>
      </w:r>
      <w:r w:rsidR="00810178" w:rsidRPr="00202E2A">
        <w:rPr>
          <w:rFonts w:asciiTheme="majorBidi" w:hAnsiTheme="majorBidi" w:cstheme="majorBidi"/>
          <w:sz w:val="26"/>
          <w:szCs w:val="26"/>
          <w:lang w:bidi="ar-EG"/>
        </w:rPr>
        <w:t>1</w:t>
      </w:r>
      <w:r w:rsidR="00A82108" w:rsidRPr="00202E2A">
        <w:rPr>
          <w:rFonts w:asciiTheme="majorBidi" w:hAnsiTheme="majorBidi" w:cstheme="majorBidi"/>
          <w:sz w:val="26"/>
          <w:szCs w:val="26"/>
          <w:rtl/>
          <w:lang w:bidi="ar-EG"/>
        </w:rPr>
        <w:t xml:space="preserve">% تحسن في كفاءة الإجراءات الجمركية يُضيف </w:t>
      </w:r>
      <w:r w:rsidR="00810178" w:rsidRPr="00202E2A">
        <w:rPr>
          <w:rFonts w:asciiTheme="majorBidi" w:hAnsiTheme="majorBidi" w:cstheme="majorBidi"/>
          <w:sz w:val="26"/>
          <w:szCs w:val="26"/>
          <w:lang w:bidi="ar-EG"/>
        </w:rPr>
        <w:t>0.3</w:t>
      </w:r>
      <w:r w:rsidR="00A82108" w:rsidRPr="00202E2A">
        <w:rPr>
          <w:rFonts w:asciiTheme="majorBidi" w:hAnsiTheme="majorBidi" w:cstheme="majorBidi"/>
          <w:sz w:val="26"/>
          <w:szCs w:val="26"/>
          <w:rtl/>
          <w:lang w:bidi="ar-EG"/>
        </w:rPr>
        <w:t xml:space="preserve">% إلى الناتج المحلي الإجمالي غير النفطي (وفق نموذج محاكاة البنك الدولي، </w:t>
      </w:r>
      <w:r w:rsidR="00810178" w:rsidRPr="00202E2A">
        <w:rPr>
          <w:rFonts w:asciiTheme="majorBidi" w:hAnsiTheme="majorBidi" w:cstheme="majorBidi"/>
          <w:sz w:val="26"/>
          <w:szCs w:val="26"/>
          <w:lang w:bidi="ar-EG"/>
        </w:rPr>
        <w:t>2023</w:t>
      </w:r>
      <w:r w:rsidR="00A82108" w:rsidRPr="00202E2A">
        <w:rPr>
          <w:rFonts w:asciiTheme="majorBidi" w:hAnsiTheme="majorBidi" w:cstheme="majorBidi"/>
          <w:sz w:val="26"/>
          <w:szCs w:val="26"/>
          <w:rtl/>
          <w:lang w:bidi="ar-EG"/>
        </w:rPr>
        <w:t xml:space="preserve">)، وفي حين أن كل </w:t>
      </w:r>
      <w:r w:rsidR="00810178" w:rsidRPr="00202E2A">
        <w:rPr>
          <w:rFonts w:asciiTheme="majorBidi" w:hAnsiTheme="majorBidi" w:cstheme="majorBidi"/>
          <w:sz w:val="26"/>
          <w:szCs w:val="26"/>
          <w:lang w:bidi="ar-EG"/>
        </w:rPr>
        <w:t>10</w:t>
      </w:r>
      <w:r w:rsidR="00A82108" w:rsidRPr="00202E2A">
        <w:rPr>
          <w:rFonts w:asciiTheme="majorBidi" w:hAnsiTheme="majorBidi" w:cstheme="majorBidi"/>
          <w:sz w:val="26"/>
          <w:szCs w:val="26"/>
          <w:rtl/>
          <w:lang w:bidi="ar-EG"/>
        </w:rPr>
        <w:t xml:space="preserve">% زيادة في الاستثمار في الأمن السيبراني تُقلل الخسائر الإلكترونية بنسبة </w:t>
      </w:r>
      <w:r w:rsidR="00810178" w:rsidRPr="00202E2A">
        <w:rPr>
          <w:rFonts w:asciiTheme="majorBidi" w:hAnsiTheme="majorBidi" w:cstheme="majorBidi"/>
          <w:sz w:val="26"/>
          <w:szCs w:val="26"/>
          <w:lang w:bidi="ar-EG"/>
        </w:rPr>
        <w:t>15</w:t>
      </w:r>
      <w:r w:rsidR="00A82108" w:rsidRPr="00202E2A">
        <w:rPr>
          <w:rFonts w:asciiTheme="majorBidi" w:hAnsiTheme="majorBidi" w:cstheme="majorBidi"/>
          <w:sz w:val="26"/>
          <w:szCs w:val="26"/>
          <w:lang w:bidi="ar-EG"/>
        </w:rPr>
        <w:t xml:space="preserve">% </w:t>
      </w:r>
      <w:r w:rsidR="00A82108" w:rsidRPr="00202E2A">
        <w:rPr>
          <w:rFonts w:asciiTheme="majorBidi" w:hAnsiTheme="majorBidi" w:cstheme="majorBidi"/>
          <w:sz w:val="26"/>
          <w:szCs w:val="26"/>
          <w:rtl/>
          <w:lang w:bidi="ar-EG"/>
        </w:rPr>
        <w:t xml:space="preserve">، و تُبرز هذه النتائج دور البحث كأداة استراتيجية لتحويل التحديات إلى نقاط قوة تدعم رؤية </w:t>
      </w:r>
      <w:r w:rsidR="00810178" w:rsidRPr="00202E2A">
        <w:rPr>
          <w:rFonts w:asciiTheme="majorBidi" w:hAnsiTheme="majorBidi" w:cstheme="majorBidi"/>
          <w:sz w:val="26"/>
          <w:szCs w:val="26"/>
          <w:lang w:bidi="ar-EG"/>
        </w:rPr>
        <w:t>2030</w:t>
      </w:r>
      <w:r w:rsidR="00A82108" w:rsidRPr="00202E2A">
        <w:rPr>
          <w:rFonts w:asciiTheme="majorBidi" w:hAnsiTheme="majorBidi" w:cstheme="majorBidi"/>
          <w:sz w:val="26"/>
          <w:szCs w:val="26"/>
          <w:rtl/>
          <w:lang w:bidi="ar-EG"/>
        </w:rPr>
        <w:t xml:space="preserve">، وتجعل المملكة نموذجًا يُحتذى به في إدارة الجمارك الذكية على مستوى الشرق الأوسط والعالم. </w:t>
      </w:r>
    </w:p>
    <w:p w14:paraId="4895F1BF" w14:textId="44595566" w:rsidR="00647143" w:rsidRPr="00202E2A" w:rsidRDefault="00647143">
      <w:pPr>
        <w:pStyle w:val="ListParagraph"/>
        <w:numPr>
          <w:ilvl w:val="0"/>
          <w:numId w:val="19"/>
        </w:num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rtl/>
          <w:lang w:bidi="ar-EG"/>
        </w:rPr>
        <w:t>تعزيز التنافسية الاقتصادية عبر تبسيط الإجراءات:</w:t>
      </w:r>
    </w:p>
    <w:p w14:paraId="5CB5D73F" w14:textId="391B6214" w:rsidR="00647143" w:rsidRPr="00202E2A" w:rsidRDefault="00647143" w:rsidP="0019590B">
      <w:pPr>
        <w:bidi/>
        <w:spacing w:line="276" w:lineRule="auto"/>
        <w:ind w:firstLine="720"/>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وفقًا لتقرير البنك الدولي (</w:t>
      </w:r>
      <w:r w:rsidR="00810178" w:rsidRPr="00202E2A">
        <w:rPr>
          <w:rFonts w:asciiTheme="majorBidi" w:hAnsiTheme="majorBidi" w:cstheme="majorBidi"/>
          <w:sz w:val="26"/>
          <w:szCs w:val="26"/>
          <w:lang w:bidi="ar-EG"/>
        </w:rPr>
        <w:t>2023</w:t>
      </w:r>
      <w:r w:rsidRPr="00202E2A">
        <w:rPr>
          <w:rFonts w:asciiTheme="majorBidi" w:hAnsiTheme="majorBidi" w:cstheme="majorBidi"/>
          <w:sz w:val="26"/>
          <w:szCs w:val="26"/>
          <w:rtl/>
          <w:lang w:bidi="ar-EG"/>
        </w:rPr>
        <w:t>)، يُعدُّ تبني المملكة لاتفاقية تيسير التجارة (</w:t>
      </w:r>
      <w:r w:rsidRPr="00202E2A">
        <w:rPr>
          <w:rFonts w:asciiTheme="majorBidi" w:hAnsiTheme="majorBidi" w:cstheme="majorBidi"/>
          <w:sz w:val="26"/>
          <w:szCs w:val="26"/>
          <w:lang w:bidi="ar-EG"/>
        </w:rPr>
        <w:t>TFA</w:t>
      </w:r>
      <w:r w:rsidRPr="00202E2A">
        <w:rPr>
          <w:rFonts w:asciiTheme="majorBidi" w:hAnsiTheme="majorBidi" w:cstheme="majorBidi"/>
          <w:sz w:val="26"/>
          <w:szCs w:val="26"/>
          <w:rtl/>
          <w:lang w:bidi="ar-EG"/>
        </w:rPr>
        <w:t>) أحد العوامل الرئيسية التي سترفع تصنيفها في مؤشر أداء الخدمات اللوجستية (</w:t>
      </w:r>
      <w:r w:rsidRPr="00202E2A">
        <w:rPr>
          <w:rFonts w:asciiTheme="majorBidi" w:hAnsiTheme="majorBidi" w:cstheme="majorBidi"/>
          <w:sz w:val="26"/>
          <w:szCs w:val="26"/>
          <w:lang w:bidi="ar-EG"/>
        </w:rPr>
        <w:t>LPI</w:t>
      </w:r>
      <w:r w:rsidRPr="00202E2A">
        <w:rPr>
          <w:rFonts w:asciiTheme="majorBidi" w:hAnsiTheme="majorBidi" w:cstheme="majorBidi"/>
          <w:sz w:val="26"/>
          <w:szCs w:val="26"/>
          <w:rtl/>
          <w:lang w:bidi="ar-EG"/>
        </w:rPr>
        <w:t xml:space="preserve">) من المركز </w:t>
      </w:r>
      <w:r w:rsidR="00810178" w:rsidRPr="00202E2A">
        <w:rPr>
          <w:rFonts w:asciiTheme="majorBidi" w:hAnsiTheme="majorBidi" w:cstheme="majorBidi"/>
          <w:sz w:val="26"/>
          <w:szCs w:val="26"/>
          <w:lang w:bidi="ar-EG"/>
        </w:rPr>
        <w:t>35</w:t>
      </w:r>
      <w:r w:rsidRPr="00202E2A">
        <w:rPr>
          <w:rFonts w:asciiTheme="majorBidi" w:hAnsiTheme="majorBidi" w:cstheme="majorBidi"/>
          <w:sz w:val="26"/>
          <w:szCs w:val="26"/>
          <w:rtl/>
          <w:lang w:bidi="ar-EG"/>
        </w:rPr>
        <w:t xml:space="preserve"> إلى </w:t>
      </w:r>
      <w:r w:rsidR="00810178" w:rsidRPr="00202E2A">
        <w:rPr>
          <w:rFonts w:asciiTheme="majorBidi" w:hAnsiTheme="majorBidi" w:cstheme="majorBidi"/>
          <w:sz w:val="26"/>
          <w:szCs w:val="26"/>
          <w:lang w:bidi="ar-EG"/>
        </w:rPr>
        <w:t>20</w:t>
      </w:r>
      <w:r w:rsidRPr="00202E2A">
        <w:rPr>
          <w:rFonts w:asciiTheme="majorBidi" w:hAnsiTheme="majorBidi" w:cstheme="majorBidi"/>
          <w:sz w:val="26"/>
          <w:szCs w:val="26"/>
          <w:rtl/>
          <w:lang w:bidi="ar-EG"/>
        </w:rPr>
        <w:t xml:space="preserve"> عالميًّا بحلول </w:t>
      </w:r>
      <w:r w:rsidR="00810178" w:rsidRPr="00202E2A">
        <w:rPr>
          <w:rFonts w:asciiTheme="majorBidi" w:hAnsiTheme="majorBidi" w:cstheme="majorBidi"/>
          <w:sz w:val="26"/>
          <w:szCs w:val="26"/>
          <w:lang w:bidi="ar-EG"/>
        </w:rPr>
        <w:t>2025</w:t>
      </w:r>
      <w:r w:rsidR="0047722A" w:rsidRPr="00202E2A">
        <w:rPr>
          <w:rFonts w:asciiTheme="majorBidi" w:hAnsiTheme="majorBidi" w:cstheme="majorBidi"/>
          <w:sz w:val="26"/>
          <w:szCs w:val="26"/>
          <w:rtl/>
          <w:lang w:bidi="ar-EG"/>
        </w:rPr>
        <w:t xml:space="preserve">، حيث يتعبر </w:t>
      </w:r>
      <w:r w:rsidR="00866B6F" w:rsidRPr="00202E2A">
        <w:rPr>
          <w:rFonts w:asciiTheme="majorBidi" w:hAnsiTheme="majorBidi" w:cstheme="majorBidi"/>
          <w:sz w:val="26"/>
          <w:szCs w:val="26"/>
          <w:rtl/>
          <w:lang w:bidi="ar-EG"/>
        </w:rPr>
        <w:t>ال</w:t>
      </w:r>
      <w:r w:rsidRPr="00202E2A">
        <w:rPr>
          <w:rFonts w:asciiTheme="majorBidi" w:hAnsiTheme="majorBidi" w:cstheme="majorBidi"/>
          <w:sz w:val="26"/>
          <w:szCs w:val="26"/>
          <w:rtl/>
          <w:lang w:bidi="ar-EG"/>
        </w:rPr>
        <w:t xml:space="preserve">تأثير </w:t>
      </w:r>
      <w:r w:rsidR="00866B6F" w:rsidRPr="00202E2A">
        <w:rPr>
          <w:rFonts w:asciiTheme="majorBidi" w:hAnsiTheme="majorBidi" w:cstheme="majorBidi"/>
          <w:sz w:val="26"/>
          <w:szCs w:val="26"/>
          <w:rtl/>
          <w:lang w:bidi="ar-EG"/>
        </w:rPr>
        <w:t>ال</w:t>
      </w:r>
      <w:r w:rsidRPr="00202E2A">
        <w:rPr>
          <w:rFonts w:asciiTheme="majorBidi" w:hAnsiTheme="majorBidi" w:cstheme="majorBidi"/>
          <w:sz w:val="26"/>
          <w:szCs w:val="26"/>
          <w:rtl/>
          <w:lang w:bidi="ar-EG"/>
        </w:rPr>
        <w:t>مالي</w:t>
      </w:r>
      <w:r w:rsidR="0047722A" w:rsidRPr="00202E2A">
        <w:rPr>
          <w:rFonts w:asciiTheme="majorBidi" w:hAnsiTheme="majorBidi" w:cstheme="majorBidi"/>
          <w:sz w:val="26"/>
          <w:szCs w:val="26"/>
          <w:rtl/>
          <w:lang w:bidi="ar-EG"/>
        </w:rPr>
        <w:t xml:space="preserve"> </w:t>
      </w:r>
      <w:r w:rsidR="00866B6F" w:rsidRPr="00202E2A">
        <w:rPr>
          <w:rFonts w:asciiTheme="majorBidi" w:hAnsiTheme="majorBidi" w:cstheme="majorBidi"/>
          <w:sz w:val="26"/>
          <w:szCs w:val="26"/>
          <w:rtl/>
          <w:lang w:bidi="ar-EG"/>
        </w:rPr>
        <w:t xml:space="preserve">المتوقع </w:t>
      </w:r>
      <w:r w:rsidR="0047722A" w:rsidRPr="00202E2A">
        <w:rPr>
          <w:rFonts w:asciiTheme="majorBidi" w:hAnsiTheme="majorBidi" w:cstheme="majorBidi"/>
          <w:sz w:val="26"/>
          <w:szCs w:val="26"/>
          <w:rtl/>
          <w:lang w:bidi="ar-EG"/>
        </w:rPr>
        <w:t xml:space="preserve">هو </w:t>
      </w:r>
      <w:r w:rsidRPr="00202E2A">
        <w:rPr>
          <w:rFonts w:asciiTheme="majorBidi" w:hAnsiTheme="majorBidi" w:cstheme="majorBidi"/>
          <w:sz w:val="26"/>
          <w:szCs w:val="26"/>
          <w:rtl/>
          <w:lang w:bidi="ar-EG"/>
        </w:rPr>
        <w:t xml:space="preserve">خفض تكاليف الشحن الجمركية بنسبة </w:t>
      </w:r>
      <w:r w:rsidR="00810178" w:rsidRPr="00202E2A">
        <w:rPr>
          <w:rFonts w:asciiTheme="majorBidi" w:hAnsiTheme="majorBidi" w:cstheme="majorBidi"/>
          <w:sz w:val="26"/>
          <w:szCs w:val="26"/>
          <w:lang w:bidi="ar-EG"/>
        </w:rPr>
        <w:t>25</w:t>
      </w:r>
      <w:r w:rsidRPr="00202E2A">
        <w:rPr>
          <w:rFonts w:asciiTheme="majorBidi" w:hAnsiTheme="majorBidi" w:cstheme="majorBidi"/>
          <w:sz w:val="26"/>
          <w:szCs w:val="26"/>
          <w:rtl/>
          <w:lang w:bidi="ar-EG"/>
        </w:rPr>
        <w:t xml:space="preserve">% (ما يعادل </w:t>
      </w:r>
      <w:r w:rsidR="00810178" w:rsidRPr="00202E2A">
        <w:rPr>
          <w:rFonts w:asciiTheme="majorBidi" w:hAnsiTheme="majorBidi" w:cstheme="majorBidi"/>
          <w:sz w:val="26"/>
          <w:szCs w:val="26"/>
          <w:lang w:bidi="ar-EG"/>
        </w:rPr>
        <w:t>2.1</w:t>
      </w:r>
      <w:r w:rsidRPr="00202E2A">
        <w:rPr>
          <w:rFonts w:asciiTheme="majorBidi" w:hAnsiTheme="majorBidi" w:cstheme="majorBidi"/>
          <w:sz w:val="26"/>
          <w:szCs w:val="26"/>
          <w:rtl/>
          <w:lang w:bidi="ar-EG"/>
        </w:rPr>
        <w:t xml:space="preserve"> مليار ريال سنويًّا) عبر تطبيق أنظمة مثل "فصلة" و"إثراء".</w:t>
      </w:r>
    </w:p>
    <w:p w14:paraId="6AAD609E" w14:textId="2EC45377" w:rsidR="00647143" w:rsidRPr="00202E2A" w:rsidRDefault="00647143">
      <w:pPr>
        <w:pStyle w:val="ListParagraph"/>
        <w:numPr>
          <w:ilvl w:val="0"/>
          <w:numId w:val="19"/>
        </w:num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rtl/>
          <w:lang w:bidi="ar-EG"/>
        </w:rPr>
        <w:t>حماية الاقتصاد الوطني من المخاطر الأمنية:</w:t>
      </w:r>
    </w:p>
    <w:p w14:paraId="1B0B9638" w14:textId="5F4BCEDA" w:rsidR="00647143" w:rsidRPr="00202E2A" w:rsidRDefault="00647143" w:rsidP="0019590B">
      <w:pPr>
        <w:bidi/>
        <w:spacing w:line="276" w:lineRule="auto"/>
        <w:ind w:firstLine="720"/>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كشفت دراسة العينة</w:t>
      </w:r>
      <w:r w:rsidR="00A13E76" w:rsidRPr="00202E2A">
        <w:rPr>
          <w:rFonts w:asciiTheme="majorBidi" w:hAnsiTheme="majorBidi" w:cstheme="majorBidi"/>
          <w:sz w:val="26"/>
          <w:szCs w:val="26"/>
          <w:rtl/>
          <w:lang w:bidi="ar-EG"/>
        </w:rPr>
        <w:t xml:space="preserve"> الاستطلاعية</w:t>
      </w:r>
      <w:r w:rsidRPr="00202E2A">
        <w:rPr>
          <w:rFonts w:asciiTheme="majorBidi" w:hAnsiTheme="majorBidi" w:cstheme="majorBidi"/>
          <w:sz w:val="26"/>
          <w:szCs w:val="26"/>
          <w:rtl/>
          <w:lang w:bidi="ar-EG"/>
        </w:rPr>
        <w:t xml:space="preserve"> أن </w:t>
      </w:r>
      <w:r w:rsidR="00810178" w:rsidRPr="00202E2A">
        <w:rPr>
          <w:rFonts w:asciiTheme="majorBidi" w:hAnsiTheme="majorBidi" w:cstheme="majorBidi"/>
          <w:sz w:val="26"/>
          <w:szCs w:val="26"/>
          <w:lang w:bidi="ar-EG"/>
        </w:rPr>
        <w:t>82</w:t>
      </w:r>
      <w:r w:rsidRPr="00202E2A">
        <w:rPr>
          <w:rFonts w:asciiTheme="majorBidi" w:hAnsiTheme="majorBidi" w:cstheme="majorBidi"/>
          <w:sz w:val="26"/>
          <w:szCs w:val="26"/>
          <w:rtl/>
          <w:lang w:bidi="ar-EG"/>
        </w:rPr>
        <w:t>% من المشاركين يرون أن تقنيات التشفير الحديثة ضرورية لحماية البيانات، وهو ما ينعكس على</w:t>
      </w:r>
      <w:r w:rsidR="00A13E76"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rtl/>
          <w:lang w:bidi="ar-EG"/>
        </w:rPr>
        <w:t xml:space="preserve">تجنب خسائر مالية تُقدَّر بـ </w:t>
      </w:r>
      <w:r w:rsidR="00810178" w:rsidRPr="00202E2A">
        <w:rPr>
          <w:rFonts w:asciiTheme="majorBidi" w:hAnsiTheme="majorBidi" w:cstheme="majorBidi"/>
          <w:sz w:val="26"/>
          <w:szCs w:val="26"/>
          <w:lang w:bidi="ar-EG"/>
        </w:rPr>
        <w:t>4.5</w:t>
      </w:r>
      <w:r w:rsidRPr="00202E2A">
        <w:rPr>
          <w:rFonts w:asciiTheme="majorBidi" w:hAnsiTheme="majorBidi" w:cstheme="majorBidi"/>
          <w:sz w:val="26"/>
          <w:szCs w:val="26"/>
          <w:rtl/>
          <w:lang w:bidi="ar-EG"/>
        </w:rPr>
        <w:t xml:space="preserve"> مليار ريال سنويًّا بسبب الهجمات الإلكترونية على المنصات الجمركية (الهيئة الوطنية للأمن السيبراني، </w:t>
      </w:r>
      <w:r w:rsidR="00810178" w:rsidRPr="00202E2A">
        <w:rPr>
          <w:rFonts w:asciiTheme="majorBidi" w:hAnsiTheme="majorBidi" w:cstheme="majorBidi"/>
          <w:sz w:val="26"/>
          <w:szCs w:val="26"/>
          <w:lang w:bidi="ar-EG"/>
        </w:rPr>
        <w:t>2023</w:t>
      </w:r>
      <w:r w:rsidRPr="00202E2A">
        <w:rPr>
          <w:rFonts w:asciiTheme="majorBidi" w:hAnsiTheme="majorBidi" w:cstheme="majorBidi"/>
          <w:sz w:val="26"/>
          <w:szCs w:val="26"/>
          <w:rtl/>
          <w:lang w:bidi="ar-EG"/>
        </w:rPr>
        <w:t>)</w:t>
      </w:r>
      <w:r w:rsidR="00866B6F" w:rsidRPr="00202E2A">
        <w:rPr>
          <w:rFonts w:asciiTheme="majorBidi" w:hAnsiTheme="majorBidi" w:cstheme="majorBidi"/>
          <w:sz w:val="26"/>
          <w:szCs w:val="26"/>
          <w:rtl/>
          <w:lang w:bidi="ar-EG"/>
        </w:rPr>
        <w:t xml:space="preserve">، </w:t>
      </w:r>
      <w:r w:rsidR="00810178" w:rsidRPr="00202E2A">
        <w:rPr>
          <w:rFonts w:asciiTheme="majorBidi" w:hAnsiTheme="majorBidi" w:cstheme="majorBidi"/>
          <w:sz w:val="26"/>
          <w:szCs w:val="26"/>
          <w:rtl/>
          <w:lang w:bidi="ar-EG"/>
        </w:rPr>
        <w:t>وعلى</w:t>
      </w:r>
      <w:r w:rsidR="00866B6F" w:rsidRPr="00202E2A">
        <w:rPr>
          <w:rFonts w:asciiTheme="majorBidi" w:hAnsiTheme="majorBidi" w:cstheme="majorBidi"/>
          <w:sz w:val="26"/>
          <w:szCs w:val="26"/>
          <w:rtl/>
          <w:lang w:bidi="ar-EG"/>
        </w:rPr>
        <w:t xml:space="preserve"> ناحية أخري يمثل </w:t>
      </w:r>
      <w:r w:rsidRPr="00202E2A">
        <w:rPr>
          <w:rFonts w:asciiTheme="majorBidi" w:hAnsiTheme="majorBidi" w:cstheme="majorBidi"/>
          <w:sz w:val="26"/>
          <w:szCs w:val="26"/>
          <w:rtl/>
          <w:lang w:bidi="ar-EG"/>
        </w:rPr>
        <w:t>رفع جاذبية المملكة للاستثمار الأجنبي المباشر (</w:t>
      </w:r>
      <w:r w:rsidRPr="00202E2A">
        <w:rPr>
          <w:rFonts w:asciiTheme="majorBidi" w:hAnsiTheme="majorBidi" w:cstheme="majorBidi"/>
          <w:sz w:val="26"/>
          <w:szCs w:val="26"/>
          <w:lang w:bidi="ar-EG"/>
        </w:rPr>
        <w:t>FDI</w:t>
      </w:r>
      <w:r w:rsidRPr="00202E2A">
        <w:rPr>
          <w:rFonts w:asciiTheme="majorBidi" w:hAnsiTheme="majorBidi" w:cstheme="majorBidi"/>
          <w:sz w:val="26"/>
          <w:szCs w:val="26"/>
          <w:rtl/>
          <w:lang w:bidi="ar-EG"/>
        </w:rPr>
        <w:t xml:space="preserve">) بنسبة </w:t>
      </w:r>
      <w:r w:rsidR="00810178" w:rsidRPr="00202E2A">
        <w:rPr>
          <w:rFonts w:asciiTheme="majorBidi" w:hAnsiTheme="majorBidi" w:cstheme="majorBidi"/>
          <w:sz w:val="26"/>
          <w:szCs w:val="26"/>
          <w:lang w:bidi="ar-EG"/>
        </w:rPr>
        <w:t>18</w:t>
      </w:r>
      <w:r w:rsidRPr="00202E2A">
        <w:rPr>
          <w:rFonts w:asciiTheme="majorBidi" w:hAnsiTheme="majorBidi" w:cstheme="majorBidi"/>
          <w:sz w:val="26"/>
          <w:szCs w:val="26"/>
          <w:rtl/>
          <w:lang w:bidi="ar-EG"/>
        </w:rPr>
        <w:t xml:space="preserve">% خلال </w:t>
      </w:r>
      <w:r w:rsidR="00810178" w:rsidRPr="00202E2A">
        <w:rPr>
          <w:rFonts w:asciiTheme="majorBidi" w:hAnsiTheme="majorBidi" w:cstheme="majorBidi"/>
          <w:sz w:val="26"/>
          <w:szCs w:val="26"/>
          <w:lang w:bidi="ar-EG"/>
        </w:rPr>
        <w:t>2023</w:t>
      </w:r>
      <w:r w:rsidRPr="00202E2A">
        <w:rPr>
          <w:rFonts w:asciiTheme="majorBidi" w:hAnsiTheme="majorBidi" w:cstheme="majorBidi"/>
          <w:sz w:val="26"/>
          <w:szCs w:val="26"/>
          <w:rtl/>
          <w:lang w:bidi="ar-EG"/>
        </w:rPr>
        <w:t xml:space="preserve"> (وزارة الاستثمار، </w:t>
      </w:r>
      <w:r w:rsidR="00810178" w:rsidRPr="00202E2A">
        <w:rPr>
          <w:rFonts w:asciiTheme="majorBidi" w:hAnsiTheme="majorBidi" w:cstheme="majorBidi"/>
          <w:sz w:val="26"/>
          <w:szCs w:val="26"/>
          <w:lang w:bidi="ar-EG"/>
        </w:rPr>
        <w:t>2023</w:t>
      </w:r>
      <w:r w:rsidRPr="00202E2A">
        <w:rPr>
          <w:rFonts w:asciiTheme="majorBidi" w:hAnsiTheme="majorBidi" w:cstheme="majorBidi"/>
          <w:sz w:val="26"/>
          <w:szCs w:val="26"/>
          <w:rtl/>
          <w:lang w:bidi="ar-EG"/>
        </w:rPr>
        <w:t>).</w:t>
      </w:r>
    </w:p>
    <w:p w14:paraId="0DCB8353" w14:textId="4BBD209B" w:rsidR="00647143" w:rsidRPr="00202E2A" w:rsidRDefault="00647143">
      <w:pPr>
        <w:pStyle w:val="ListParagraph"/>
        <w:numPr>
          <w:ilvl w:val="0"/>
          <w:numId w:val="19"/>
        </w:num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rtl/>
          <w:lang w:bidi="ar-EG"/>
        </w:rPr>
        <w:lastRenderedPageBreak/>
        <w:t xml:space="preserve">دعم التحول إلى مركز لوجستي عالمي (رؤية </w:t>
      </w:r>
      <w:r w:rsidR="00810178" w:rsidRPr="00202E2A">
        <w:rPr>
          <w:rFonts w:asciiTheme="majorBidi" w:hAnsiTheme="majorBidi" w:cstheme="majorBidi"/>
          <w:b/>
          <w:bCs/>
          <w:sz w:val="26"/>
          <w:szCs w:val="26"/>
          <w:u w:val="single"/>
          <w:lang w:bidi="ar-EG"/>
        </w:rPr>
        <w:t>2030</w:t>
      </w:r>
      <w:r w:rsidRPr="00202E2A">
        <w:rPr>
          <w:rFonts w:asciiTheme="majorBidi" w:hAnsiTheme="majorBidi" w:cstheme="majorBidi"/>
          <w:b/>
          <w:bCs/>
          <w:sz w:val="26"/>
          <w:szCs w:val="26"/>
          <w:u w:val="single"/>
          <w:rtl/>
          <w:lang w:bidi="ar-EG"/>
        </w:rPr>
        <w:t>):</w:t>
      </w:r>
    </w:p>
    <w:p w14:paraId="3474850F" w14:textId="3B04C909" w:rsidR="00647143" w:rsidRPr="00202E2A" w:rsidRDefault="00647143" w:rsidP="0019590B">
      <w:pPr>
        <w:bidi/>
        <w:spacing w:line="276" w:lineRule="auto"/>
        <w:ind w:firstLine="720"/>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تساهم المنظومة الجمركية المُحسَّنة في</w:t>
      </w:r>
      <w:r w:rsidR="008A17DC"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rtl/>
          <w:lang w:bidi="ar-EG"/>
        </w:rPr>
        <w:t xml:space="preserve">زيادة حجم التجارة غير النفطية إلى </w:t>
      </w:r>
      <w:r w:rsidR="00810178" w:rsidRPr="00202E2A">
        <w:rPr>
          <w:rFonts w:asciiTheme="majorBidi" w:hAnsiTheme="majorBidi" w:cstheme="majorBidi"/>
          <w:sz w:val="26"/>
          <w:szCs w:val="26"/>
          <w:lang w:bidi="ar-EG"/>
        </w:rPr>
        <w:t>480</w:t>
      </w:r>
      <w:r w:rsidRPr="00202E2A">
        <w:rPr>
          <w:rFonts w:asciiTheme="majorBidi" w:hAnsiTheme="majorBidi" w:cstheme="majorBidi"/>
          <w:sz w:val="26"/>
          <w:szCs w:val="26"/>
          <w:rtl/>
          <w:lang w:bidi="ar-EG"/>
        </w:rPr>
        <w:t xml:space="preserve"> مليار ريال بنهاية </w:t>
      </w:r>
      <w:r w:rsidR="00810178" w:rsidRPr="00202E2A">
        <w:rPr>
          <w:rFonts w:asciiTheme="majorBidi" w:hAnsiTheme="majorBidi" w:cstheme="majorBidi"/>
          <w:sz w:val="26"/>
          <w:szCs w:val="26"/>
          <w:lang w:bidi="ar-EG"/>
        </w:rPr>
        <w:t>2027</w:t>
      </w:r>
      <w:r w:rsidRPr="00202E2A">
        <w:rPr>
          <w:rFonts w:asciiTheme="majorBidi" w:hAnsiTheme="majorBidi" w:cstheme="majorBidi"/>
          <w:sz w:val="26"/>
          <w:szCs w:val="26"/>
          <w:rtl/>
          <w:lang w:bidi="ar-EG"/>
        </w:rPr>
        <w:t xml:space="preserve"> (تماشيًا مع مستهدفات رؤية </w:t>
      </w:r>
      <w:r w:rsidR="00810178" w:rsidRPr="00202E2A">
        <w:rPr>
          <w:rFonts w:asciiTheme="majorBidi" w:hAnsiTheme="majorBidi" w:cstheme="majorBidi"/>
          <w:sz w:val="26"/>
          <w:szCs w:val="26"/>
          <w:lang w:bidi="ar-EG"/>
        </w:rPr>
        <w:t>2030</w:t>
      </w:r>
      <w:r w:rsidRPr="00202E2A">
        <w:rPr>
          <w:rFonts w:asciiTheme="majorBidi" w:hAnsiTheme="majorBidi" w:cstheme="majorBidi"/>
          <w:sz w:val="26"/>
          <w:szCs w:val="26"/>
          <w:rtl/>
          <w:lang w:bidi="ar-EG"/>
        </w:rPr>
        <w:t>)</w:t>
      </w:r>
      <w:r w:rsidR="008A17DC" w:rsidRPr="00202E2A">
        <w:rPr>
          <w:rFonts w:asciiTheme="majorBidi" w:hAnsiTheme="majorBidi" w:cstheme="majorBidi"/>
          <w:sz w:val="26"/>
          <w:szCs w:val="26"/>
          <w:rtl/>
          <w:lang w:bidi="ar-EG"/>
        </w:rPr>
        <w:t xml:space="preserve">، وأيضاً </w:t>
      </w:r>
      <w:r w:rsidRPr="00202E2A">
        <w:rPr>
          <w:rFonts w:asciiTheme="majorBidi" w:hAnsiTheme="majorBidi" w:cstheme="majorBidi"/>
          <w:sz w:val="26"/>
          <w:szCs w:val="26"/>
          <w:rtl/>
          <w:lang w:bidi="ar-EG"/>
        </w:rPr>
        <w:t xml:space="preserve">جذب استثمارات لوجستية بقيمة </w:t>
      </w:r>
      <w:r w:rsidR="00810178" w:rsidRPr="00202E2A">
        <w:rPr>
          <w:rFonts w:asciiTheme="majorBidi" w:hAnsiTheme="majorBidi" w:cstheme="majorBidi"/>
          <w:sz w:val="26"/>
          <w:szCs w:val="26"/>
          <w:lang w:bidi="ar-EG"/>
        </w:rPr>
        <w:t>32</w:t>
      </w:r>
      <w:r w:rsidRPr="00202E2A">
        <w:rPr>
          <w:rFonts w:asciiTheme="majorBidi" w:hAnsiTheme="majorBidi" w:cstheme="majorBidi"/>
          <w:sz w:val="26"/>
          <w:szCs w:val="26"/>
          <w:rtl/>
          <w:lang w:bidi="ar-EG"/>
        </w:rPr>
        <w:t xml:space="preserve"> مليار ريال في قطاعات مثل التخزين والنقل (البرنامج الوطني للتنمية اللوجستية، </w:t>
      </w:r>
      <w:r w:rsidR="00810178" w:rsidRPr="00202E2A">
        <w:rPr>
          <w:rFonts w:asciiTheme="majorBidi" w:hAnsiTheme="majorBidi" w:cstheme="majorBidi"/>
          <w:sz w:val="26"/>
          <w:szCs w:val="26"/>
          <w:lang w:bidi="ar-EG"/>
        </w:rPr>
        <w:t>2023</w:t>
      </w:r>
      <w:r w:rsidRPr="00202E2A">
        <w:rPr>
          <w:rFonts w:asciiTheme="majorBidi" w:hAnsiTheme="majorBidi" w:cstheme="majorBidi"/>
          <w:sz w:val="26"/>
          <w:szCs w:val="26"/>
          <w:rtl/>
          <w:lang w:bidi="ar-EG"/>
        </w:rPr>
        <w:t>).</w:t>
      </w:r>
    </w:p>
    <w:p w14:paraId="63DFF92E" w14:textId="558288DE" w:rsidR="00647143" w:rsidRPr="00202E2A" w:rsidRDefault="00647143">
      <w:pPr>
        <w:pStyle w:val="ListParagraph"/>
        <w:numPr>
          <w:ilvl w:val="0"/>
          <w:numId w:val="19"/>
        </w:num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rtl/>
          <w:lang w:bidi="ar-EG"/>
        </w:rPr>
        <w:t>تقليل التهريب والتهرب الضريبي:</w:t>
      </w:r>
    </w:p>
    <w:p w14:paraId="7116C181" w14:textId="3DFE1BFB" w:rsidR="00647143" w:rsidRPr="00202E2A" w:rsidRDefault="00647143" w:rsidP="0019590B">
      <w:pPr>
        <w:bidi/>
        <w:spacing w:line="276" w:lineRule="auto"/>
        <w:ind w:firstLine="720"/>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أظهرت بيانات الهيئة أن استخدام تقنيات الذكاء الاصطناعي في الفحص خفضَ محاولات التهريب بنسبة </w:t>
      </w:r>
      <w:r w:rsidR="00810178" w:rsidRPr="00202E2A">
        <w:rPr>
          <w:rFonts w:asciiTheme="majorBidi" w:hAnsiTheme="majorBidi" w:cstheme="majorBidi"/>
          <w:sz w:val="26"/>
          <w:szCs w:val="26"/>
          <w:lang w:bidi="ar-EG"/>
        </w:rPr>
        <w:t>40</w:t>
      </w:r>
      <w:r w:rsidRPr="00202E2A">
        <w:rPr>
          <w:rFonts w:asciiTheme="majorBidi" w:hAnsiTheme="majorBidi" w:cstheme="majorBidi"/>
          <w:sz w:val="26"/>
          <w:szCs w:val="26"/>
          <w:rtl/>
          <w:lang w:bidi="ar-EG"/>
        </w:rPr>
        <w:t xml:space="preserve">% خلال </w:t>
      </w:r>
      <w:r w:rsidR="00810178" w:rsidRPr="00202E2A">
        <w:rPr>
          <w:rFonts w:asciiTheme="majorBidi" w:hAnsiTheme="majorBidi" w:cstheme="majorBidi"/>
          <w:sz w:val="26"/>
          <w:szCs w:val="26"/>
          <w:lang w:bidi="ar-EG"/>
        </w:rPr>
        <w:t>223</w:t>
      </w:r>
      <w:r w:rsidRPr="00202E2A">
        <w:rPr>
          <w:rFonts w:asciiTheme="majorBidi" w:hAnsiTheme="majorBidi" w:cstheme="majorBidi"/>
          <w:sz w:val="26"/>
          <w:szCs w:val="26"/>
          <w:rtl/>
          <w:lang w:bidi="ar-EG"/>
        </w:rPr>
        <w:t xml:space="preserve">، مما وفر إيرادات ضريبية إضافية تُقدَّر بـ </w:t>
      </w:r>
      <w:r w:rsidR="00810178" w:rsidRPr="00202E2A">
        <w:rPr>
          <w:rFonts w:asciiTheme="majorBidi" w:hAnsiTheme="majorBidi" w:cstheme="majorBidi"/>
          <w:sz w:val="26"/>
          <w:szCs w:val="26"/>
          <w:lang w:bidi="ar-EG"/>
        </w:rPr>
        <w:t>1.8</w:t>
      </w:r>
      <w:r w:rsidRPr="00202E2A">
        <w:rPr>
          <w:rFonts w:asciiTheme="majorBidi" w:hAnsiTheme="majorBidi" w:cstheme="majorBidi"/>
          <w:sz w:val="26"/>
          <w:szCs w:val="26"/>
          <w:rtl/>
          <w:lang w:bidi="ar-EG"/>
        </w:rPr>
        <w:t xml:space="preserve"> مليار ريال.</w:t>
      </w:r>
    </w:p>
    <w:p w14:paraId="140897A4" w14:textId="7AE4ACB8" w:rsidR="00647143" w:rsidRPr="00202E2A" w:rsidRDefault="00647143" w:rsidP="0019590B">
      <w:pPr>
        <w:bidi/>
        <w:spacing w:line="276" w:lineRule="auto"/>
        <w:jc w:val="lowKashida"/>
        <w:rPr>
          <w:rFonts w:asciiTheme="majorBidi" w:hAnsiTheme="majorBidi" w:cstheme="majorBidi"/>
          <w:b/>
          <w:bCs/>
          <w:sz w:val="26"/>
          <w:szCs w:val="26"/>
          <w:lang w:bidi="ar-EG"/>
        </w:rPr>
      </w:pPr>
      <w:r w:rsidRPr="00202E2A">
        <w:rPr>
          <w:rFonts w:asciiTheme="majorBidi" w:hAnsiTheme="majorBidi" w:cstheme="majorBidi"/>
          <w:b/>
          <w:bCs/>
          <w:sz w:val="26"/>
          <w:szCs w:val="26"/>
          <w:rtl/>
          <w:lang w:bidi="ar-EG"/>
        </w:rPr>
        <w:t>ثالثًا: التكامل مع السياسات العالمية والإقليمية:</w:t>
      </w:r>
    </w:p>
    <w:p w14:paraId="585A34C0" w14:textId="43A0B366" w:rsidR="00647143" w:rsidRPr="00202E2A" w:rsidRDefault="00647143">
      <w:pPr>
        <w:pStyle w:val="ListParagraph"/>
        <w:numPr>
          <w:ilvl w:val="0"/>
          <w:numId w:val="20"/>
        </w:num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التوافق مع معايير منظمة التجارة العالمية (</w:t>
      </w:r>
      <w:r w:rsidRPr="00202E2A">
        <w:rPr>
          <w:rFonts w:asciiTheme="majorBidi" w:hAnsiTheme="majorBidi" w:cstheme="majorBidi"/>
          <w:sz w:val="26"/>
          <w:szCs w:val="26"/>
          <w:lang w:bidi="ar-EG"/>
        </w:rPr>
        <w:t>WTO</w:t>
      </w:r>
      <w:r w:rsidRPr="00202E2A">
        <w:rPr>
          <w:rFonts w:asciiTheme="majorBidi" w:hAnsiTheme="majorBidi" w:cstheme="majorBidi"/>
          <w:sz w:val="26"/>
          <w:szCs w:val="26"/>
          <w:rtl/>
          <w:lang w:bidi="ar-EG"/>
        </w:rPr>
        <w:t>):</w:t>
      </w:r>
      <w:r w:rsidR="008A17DC" w:rsidRPr="00202E2A">
        <w:rPr>
          <w:rFonts w:asciiTheme="majorBidi" w:hAnsiTheme="majorBidi" w:cstheme="majorBidi"/>
          <w:sz w:val="26"/>
          <w:szCs w:val="26"/>
          <w:rtl/>
          <w:lang w:bidi="ar-EG"/>
        </w:rPr>
        <w:t xml:space="preserve"> حيث يتعبر </w:t>
      </w:r>
      <w:r w:rsidRPr="00202E2A">
        <w:rPr>
          <w:rFonts w:asciiTheme="majorBidi" w:hAnsiTheme="majorBidi" w:cstheme="majorBidi"/>
          <w:sz w:val="26"/>
          <w:szCs w:val="26"/>
          <w:rtl/>
          <w:lang w:bidi="ar-EG"/>
        </w:rPr>
        <w:t xml:space="preserve">تحقيق </w:t>
      </w:r>
      <w:r w:rsidR="00810178" w:rsidRPr="00202E2A">
        <w:rPr>
          <w:rFonts w:asciiTheme="majorBidi" w:hAnsiTheme="majorBidi" w:cstheme="majorBidi"/>
          <w:sz w:val="26"/>
          <w:szCs w:val="26"/>
          <w:lang w:bidi="ar-EG"/>
        </w:rPr>
        <w:t>100</w:t>
      </w:r>
      <w:r w:rsidRPr="00202E2A">
        <w:rPr>
          <w:rFonts w:asciiTheme="majorBidi" w:hAnsiTheme="majorBidi" w:cstheme="majorBidi"/>
          <w:sz w:val="26"/>
          <w:szCs w:val="26"/>
          <w:rtl/>
          <w:lang w:bidi="ar-EG"/>
        </w:rPr>
        <w:t xml:space="preserve">% توافق تشريعات الجمارك السعودية مع اتفاقية </w:t>
      </w:r>
      <w:r w:rsidRPr="00202E2A">
        <w:rPr>
          <w:rFonts w:asciiTheme="majorBidi" w:hAnsiTheme="majorBidi" w:cstheme="majorBidi"/>
          <w:sz w:val="26"/>
          <w:szCs w:val="26"/>
          <w:lang w:bidi="ar-EG"/>
        </w:rPr>
        <w:t>TFA</w:t>
      </w:r>
      <w:r w:rsidRPr="00202E2A">
        <w:rPr>
          <w:rFonts w:asciiTheme="majorBidi" w:hAnsiTheme="majorBidi" w:cstheme="majorBidi"/>
          <w:sz w:val="26"/>
          <w:szCs w:val="26"/>
          <w:rtl/>
          <w:lang w:bidi="ar-EG"/>
        </w:rPr>
        <w:t xml:space="preserve"> بحلول </w:t>
      </w:r>
      <w:r w:rsidR="00810178" w:rsidRPr="00202E2A">
        <w:rPr>
          <w:rFonts w:asciiTheme="majorBidi" w:hAnsiTheme="majorBidi" w:cstheme="majorBidi"/>
          <w:sz w:val="26"/>
          <w:szCs w:val="26"/>
          <w:lang w:bidi="ar-EG"/>
        </w:rPr>
        <w:t>2027</w:t>
      </w:r>
      <w:r w:rsidRPr="00202E2A">
        <w:rPr>
          <w:rFonts w:asciiTheme="majorBidi" w:hAnsiTheme="majorBidi" w:cstheme="majorBidi"/>
          <w:sz w:val="26"/>
          <w:szCs w:val="26"/>
          <w:rtl/>
          <w:lang w:bidi="ar-EG"/>
        </w:rPr>
        <w:t>، مما يمنح المملكة أولوية في المنافسة على مشاريع الممرات التجارية الدولية مثل مبادرة الحزام والطريق.</w:t>
      </w:r>
    </w:p>
    <w:p w14:paraId="13269D18" w14:textId="2EE19C95" w:rsidR="00647143" w:rsidRPr="00202E2A" w:rsidRDefault="00647143">
      <w:pPr>
        <w:pStyle w:val="ListParagraph"/>
        <w:numPr>
          <w:ilvl w:val="0"/>
          <w:numId w:val="20"/>
        </w:num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تعزيز الشراكات الدولية:</w:t>
      </w:r>
      <w:r w:rsidR="008A17DC" w:rsidRPr="00202E2A">
        <w:rPr>
          <w:rFonts w:asciiTheme="majorBidi" w:hAnsiTheme="majorBidi" w:cstheme="majorBidi"/>
          <w:sz w:val="26"/>
          <w:szCs w:val="26"/>
          <w:rtl/>
          <w:lang w:bidi="ar-EG"/>
        </w:rPr>
        <w:t xml:space="preserve"> يمثل </w:t>
      </w:r>
      <w:r w:rsidRPr="00202E2A">
        <w:rPr>
          <w:rFonts w:asciiTheme="majorBidi" w:hAnsiTheme="majorBidi" w:cstheme="majorBidi"/>
          <w:sz w:val="26"/>
          <w:szCs w:val="26"/>
          <w:rtl/>
          <w:lang w:bidi="ar-EG"/>
        </w:rPr>
        <w:t xml:space="preserve">زيادة عدد الاتفاقيات التجارية الثنائية من </w:t>
      </w:r>
      <w:r w:rsidR="00810178" w:rsidRPr="00202E2A">
        <w:rPr>
          <w:rFonts w:asciiTheme="majorBidi" w:hAnsiTheme="majorBidi" w:cstheme="majorBidi"/>
          <w:sz w:val="26"/>
          <w:szCs w:val="26"/>
          <w:lang w:bidi="ar-EG"/>
        </w:rPr>
        <w:t>15</w:t>
      </w:r>
      <w:r w:rsidRPr="00202E2A">
        <w:rPr>
          <w:rFonts w:asciiTheme="majorBidi" w:hAnsiTheme="majorBidi" w:cstheme="majorBidi"/>
          <w:sz w:val="26"/>
          <w:szCs w:val="26"/>
          <w:rtl/>
          <w:lang w:bidi="ar-EG"/>
        </w:rPr>
        <w:t xml:space="preserve"> إلى </w:t>
      </w:r>
      <w:r w:rsidR="00810178" w:rsidRPr="00202E2A">
        <w:rPr>
          <w:rFonts w:asciiTheme="majorBidi" w:hAnsiTheme="majorBidi" w:cstheme="majorBidi"/>
          <w:sz w:val="26"/>
          <w:szCs w:val="26"/>
          <w:lang w:bidi="ar-EG"/>
        </w:rPr>
        <w:t>25</w:t>
      </w:r>
      <w:r w:rsidRPr="00202E2A">
        <w:rPr>
          <w:rFonts w:asciiTheme="majorBidi" w:hAnsiTheme="majorBidi" w:cstheme="majorBidi"/>
          <w:sz w:val="26"/>
          <w:szCs w:val="26"/>
          <w:rtl/>
          <w:lang w:bidi="ar-EG"/>
        </w:rPr>
        <w:t xml:space="preserve"> اتفاقية بحلول </w:t>
      </w:r>
      <w:r w:rsidR="00810178" w:rsidRPr="00202E2A">
        <w:rPr>
          <w:rFonts w:asciiTheme="majorBidi" w:hAnsiTheme="majorBidi" w:cstheme="majorBidi"/>
          <w:sz w:val="26"/>
          <w:szCs w:val="26"/>
          <w:lang w:bidi="ar-EG"/>
        </w:rPr>
        <w:t>2027</w:t>
      </w:r>
      <w:r w:rsidRPr="00202E2A">
        <w:rPr>
          <w:rFonts w:asciiTheme="majorBidi" w:hAnsiTheme="majorBidi" w:cstheme="majorBidi"/>
          <w:sz w:val="26"/>
          <w:szCs w:val="26"/>
          <w:rtl/>
          <w:lang w:bidi="ar-EG"/>
        </w:rPr>
        <w:t xml:space="preserve">، بدعم من أنظمة جمركية رقمية موثوقة (وزارة التجارة، </w:t>
      </w:r>
      <w:r w:rsidR="00810178" w:rsidRPr="00202E2A">
        <w:rPr>
          <w:rFonts w:asciiTheme="majorBidi" w:hAnsiTheme="majorBidi" w:cstheme="majorBidi"/>
          <w:sz w:val="26"/>
          <w:szCs w:val="26"/>
          <w:lang w:bidi="ar-EG"/>
        </w:rPr>
        <w:t>2023</w:t>
      </w:r>
      <w:r w:rsidRPr="00202E2A">
        <w:rPr>
          <w:rFonts w:asciiTheme="majorBidi" w:hAnsiTheme="majorBidi" w:cstheme="majorBidi"/>
          <w:sz w:val="26"/>
          <w:szCs w:val="26"/>
          <w:rtl/>
          <w:lang w:bidi="ar-EG"/>
        </w:rPr>
        <w:t>).</w:t>
      </w:r>
    </w:p>
    <w:p w14:paraId="72AA1E0B" w14:textId="14CDA384" w:rsidR="00C823AC" w:rsidRPr="00202E2A" w:rsidRDefault="000B0CA9" w:rsidP="0019590B">
      <w:pPr>
        <w:bidi/>
        <w:spacing w:line="276" w:lineRule="auto"/>
        <w:ind w:firstLine="36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وفي النهاية،</w:t>
      </w:r>
      <w:r w:rsidR="00E604E7" w:rsidRPr="00202E2A">
        <w:rPr>
          <w:rFonts w:asciiTheme="majorBidi" w:hAnsiTheme="majorBidi" w:cstheme="majorBidi"/>
          <w:sz w:val="26"/>
          <w:szCs w:val="26"/>
          <w:rtl/>
          <w:lang w:bidi="ar-EG"/>
        </w:rPr>
        <w:t xml:space="preserve"> يري الباحث</w:t>
      </w:r>
      <w:r w:rsidRPr="00202E2A">
        <w:rPr>
          <w:rFonts w:asciiTheme="majorBidi" w:hAnsiTheme="majorBidi" w:cstheme="majorBidi"/>
          <w:sz w:val="26"/>
          <w:szCs w:val="26"/>
          <w:rtl/>
          <w:lang w:bidi="ar-EG"/>
        </w:rPr>
        <w:t xml:space="preserve"> </w:t>
      </w:r>
      <w:r w:rsidR="00E604E7" w:rsidRPr="00202E2A">
        <w:rPr>
          <w:rFonts w:asciiTheme="majorBidi" w:hAnsiTheme="majorBidi" w:cstheme="majorBidi"/>
          <w:sz w:val="26"/>
          <w:szCs w:val="26"/>
          <w:rtl/>
          <w:lang w:bidi="ar-EG"/>
        </w:rPr>
        <w:t xml:space="preserve">أن </w:t>
      </w:r>
      <w:r w:rsidRPr="00202E2A">
        <w:rPr>
          <w:rFonts w:asciiTheme="majorBidi" w:hAnsiTheme="majorBidi" w:cstheme="majorBidi"/>
          <w:sz w:val="26"/>
          <w:szCs w:val="26"/>
          <w:rtl/>
          <w:lang w:bidi="ar-EG"/>
        </w:rPr>
        <w:t xml:space="preserve">هذا التكامل بين العلم والتطبيق </w:t>
      </w:r>
      <w:r w:rsidR="00E604E7" w:rsidRPr="00202E2A">
        <w:rPr>
          <w:rFonts w:asciiTheme="majorBidi" w:hAnsiTheme="majorBidi" w:cstheme="majorBidi"/>
          <w:sz w:val="26"/>
          <w:szCs w:val="26"/>
          <w:rtl/>
          <w:lang w:bidi="ar-EG"/>
        </w:rPr>
        <w:t xml:space="preserve">يشكل </w:t>
      </w:r>
      <w:r w:rsidRPr="00202E2A">
        <w:rPr>
          <w:rFonts w:asciiTheme="majorBidi" w:hAnsiTheme="majorBidi" w:cstheme="majorBidi"/>
          <w:sz w:val="26"/>
          <w:szCs w:val="26"/>
          <w:rtl/>
          <w:lang w:bidi="ar-EG"/>
        </w:rPr>
        <w:t xml:space="preserve">حجر الزاوية في دفع المملكة نحو مستقبل رقمي متطور ومستدام، وتعتبر </w:t>
      </w:r>
      <w:r w:rsidR="00C823AC" w:rsidRPr="00202E2A">
        <w:rPr>
          <w:rFonts w:asciiTheme="majorBidi" w:hAnsiTheme="majorBidi" w:cstheme="majorBidi"/>
          <w:sz w:val="26"/>
          <w:szCs w:val="26"/>
          <w:rtl/>
          <w:lang w:bidi="ar-EG"/>
        </w:rPr>
        <w:t xml:space="preserve">الدراسة في مجال التحول الرقمي داخل هيئة الزكاة والضريبة والجمارك تتجاوز مجرد تحديث الأنظمة الرقمية؛ بل تُعدُّ إطاراً استراتيجياً متكاملاً لتحقيق التنمية المستدامة وفقاً لرؤية </w:t>
      </w:r>
      <w:r w:rsidR="00515092" w:rsidRPr="00202E2A">
        <w:rPr>
          <w:rFonts w:asciiTheme="majorBidi" w:hAnsiTheme="majorBidi" w:cstheme="majorBidi"/>
          <w:sz w:val="26"/>
          <w:szCs w:val="26"/>
          <w:lang w:bidi="ar-EG"/>
        </w:rPr>
        <w:t>2030</w:t>
      </w:r>
      <w:r w:rsidR="00E604E7" w:rsidRPr="00202E2A">
        <w:rPr>
          <w:rFonts w:asciiTheme="majorBidi" w:hAnsiTheme="majorBidi" w:cstheme="majorBidi"/>
          <w:sz w:val="26"/>
          <w:szCs w:val="26"/>
          <w:rtl/>
          <w:lang w:bidi="ar-EG"/>
        </w:rPr>
        <w:t>،</w:t>
      </w:r>
      <w:r w:rsidR="00C823AC" w:rsidRPr="00202E2A">
        <w:rPr>
          <w:rFonts w:asciiTheme="majorBidi" w:hAnsiTheme="majorBidi" w:cstheme="majorBidi"/>
          <w:sz w:val="26"/>
          <w:szCs w:val="26"/>
          <w:rtl/>
          <w:lang w:bidi="ar-EG"/>
        </w:rPr>
        <w:t xml:space="preserve"> من خلال تأصيل المفاهيم العلمية وتقديم توصيات تطبيقية عملية، </w:t>
      </w:r>
      <w:r w:rsidR="00E604E7" w:rsidRPr="00202E2A">
        <w:rPr>
          <w:rFonts w:asciiTheme="majorBidi" w:hAnsiTheme="majorBidi" w:cstheme="majorBidi"/>
          <w:sz w:val="26"/>
          <w:szCs w:val="26"/>
          <w:rtl/>
          <w:lang w:bidi="ar-EG"/>
        </w:rPr>
        <w:t>و</w:t>
      </w:r>
      <w:r w:rsidR="00C823AC" w:rsidRPr="00202E2A">
        <w:rPr>
          <w:rFonts w:asciiTheme="majorBidi" w:hAnsiTheme="majorBidi" w:cstheme="majorBidi"/>
          <w:sz w:val="26"/>
          <w:szCs w:val="26"/>
          <w:rtl/>
          <w:lang w:bidi="ar-EG"/>
        </w:rPr>
        <w:t xml:space="preserve">تسهم الدراسة في بناء ثقافة مؤسسية قائمة على الابتكار والتجديد، تُحسن من جودة الخدمات الحكومية وتُعزز من الأمان والثقة لدى المواطنين. </w:t>
      </w:r>
    </w:p>
    <w:p w14:paraId="10EB9119" w14:textId="14D97313" w:rsidR="005F496D" w:rsidRPr="00202E2A" w:rsidRDefault="00341FFC" w:rsidP="0019590B">
      <w:pPr>
        <w:bidi/>
        <w:spacing w:line="276" w:lineRule="auto"/>
        <w:rPr>
          <w:rFonts w:asciiTheme="majorBidi" w:hAnsiTheme="majorBidi" w:cstheme="majorBidi"/>
          <w:b/>
          <w:bCs/>
          <w:color w:val="002060"/>
          <w:sz w:val="26"/>
          <w:szCs w:val="26"/>
          <w:rtl/>
          <w:lang w:bidi="ar-EG"/>
        </w:rPr>
      </w:pPr>
      <w:bookmarkStart w:id="1" w:name="_Hlk188107804"/>
      <w:r w:rsidRPr="00202E2A">
        <w:rPr>
          <w:rFonts w:asciiTheme="majorBidi" w:hAnsiTheme="majorBidi" w:cstheme="majorBidi"/>
          <w:b/>
          <w:bCs/>
          <w:color w:val="002060"/>
          <w:sz w:val="26"/>
          <w:szCs w:val="26"/>
          <w:rtl/>
          <w:lang w:bidi="ar-EG"/>
        </w:rPr>
        <w:t xml:space="preserve">رابعاً: </w:t>
      </w:r>
      <w:bookmarkEnd w:id="1"/>
      <w:r w:rsidR="005F496D" w:rsidRPr="00202E2A">
        <w:rPr>
          <w:rFonts w:asciiTheme="majorBidi" w:hAnsiTheme="majorBidi" w:cstheme="majorBidi"/>
          <w:b/>
          <w:bCs/>
          <w:color w:val="002060"/>
          <w:sz w:val="26"/>
          <w:szCs w:val="26"/>
          <w:rtl/>
          <w:lang w:bidi="ar-EG"/>
        </w:rPr>
        <w:t xml:space="preserve">أهداف الدراسة </w:t>
      </w:r>
      <w:r w:rsidR="005F496D" w:rsidRPr="00202E2A">
        <w:rPr>
          <w:rFonts w:asciiTheme="majorBidi" w:hAnsiTheme="majorBidi" w:cstheme="majorBidi"/>
          <w:b/>
          <w:bCs/>
          <w:color w:val="002060"/>
          <w:sz w:val="26"/>
          <w:szCs w:val="26"/>
          <w:lang w:bidi="ar-EG"/>
        </w:rPr>
        <w:t>Study Objectives</w:t>
      </w:r>
    </w:p>
    <w:p w14:paraId="394BF1BA" w14:textId="38C4AB53" w:rsidR="002E5F99" w:rsidRPr="00202E2A" w:rsidRDefault="002E5F99" w:rsidP="0019590B">
      <w:pPr>
        <w:bidi/>
        <w:spacing w:line="276" w:lineRule="auto"/>
        <w:ind w:firstLine="720"/>
        <w:jc w:val="lowKashida"/>
        <w:rPr>
          <w:rFonts w:asciiTheme="majorBidi" w:hAnsiTheme="majorBidi" w:cstheme="majorBidi"/>
          <w:sz w:val="26"/>
          <w:szCs w:val="26"/>
          <w:rtl/>
          <w:lang w:bidi="ar-EG"/>
        </w:rPr>
      </w:pPr>
      <w:bookmarkStart w:id="2" w:name="_Hlk188107964"/>
      <w:r w:rsidRPr="00202E2A">
        <w:rPr>
          <w:rFonts w:asciiTheme="majorBidi" w:hAnsiTheme="majorBidi" w:cstheme="majorBidi" w:hint="cs"/>
          <w:sz w:val="26"/>
          <w:szCs w:val="26"/>
          <w:rtl/>
          <w:lang w:bidi="ar-EG"/>
        </w:rPr>
        <w:t>تسعي هذه الدراسة إلى تحقيق الأهداف التالية:</w:t>
      </w:r>
    </w:p>
    <w:p w14:paraId="23B41998" w14:textId="33781F65" w:rsidR="00171664" w:rsidRPr="00202E2A" w:rsidRDefault="00171664"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١</w:t>
      </w:r>
      <w:r w:rsidRPr="00202E2A">
        <w:rPr>
          <w:rFonts w:asciiTheme="majorBidi" w:hAnsiTheme="majorBidi" w:cstheme="majorBidi"/>
          <w:b/>
          <w:bCs/>
          <w:sz w:val="26"/>
          <w:szCs w:val="26"/>
          <w:lang w:bidi="ar-EG"/>
        </w:rPr>
        <w:t xml:space="preserve">- </w:t>
      </w:r>
      <w:r w:rsidRPr="00202E2A">
        <w:rPr>
          <w:rFonts w:asciiTheme="majorBidi" w:hAnsiTheme="majorBidi" w:cstheme="majorBidi"/>
          <w:b/>
          <w:bCs/>
          <w:sz w:val="26"/>
          <w:szCs w:val="26"/>
          <w:rtl/>
          <w:lang w:bidi="ar-EG"/>
        </w:rPr>
        <w:t>التعرف على دور التحول الرقمي في تعزيز الأمن. وينبثق من هذا الهدف الرئيسي الأهداف الفرعية الآتية</w:t>
      </w:r>
      <w:r w:rsidR="005714E1" w:rsidRPr="00202E2A">
        <w:rPr>
          <w:rFonts w:asciiTheme="majorBidi" w:hAnsiTheme="majorBidi" w:cstheme="majorBidi"/>
          <w:b/>
          <w:bCs/>
          <w:sz w:val="26"/>
          <w:szCs w:val="26"/>
          <w:lang w:bidi="ar-EG"/>
        </w:rPr>
        <w:t>:</w:t>
      </w:r>
    </w:p>
    <w:p w14:paraId="4F46AC2B" w14:textId="77777777" w:rsidR="00171664" w:rsidRPr="00202E2A" w:rsidRDefault="00171664"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١/١</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التعرف على الاسيس الرقمية في تعزيز الأمن</w:t>
      </w:r>
    </w:p>
    <w:p w14:paraId="6547C031" w14:textId="77777777" w:rsidR="00171664" w:rsidRPr="00202E2A" w:rsidRDefault="00171664"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٢/١</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التعرف على دور الابتكار الرقمي في تعزيز الأمن</w:t>
      </w:r>
    </w:p>
    <w:p w14:paraId="0CA4F816" w14:textId="77777777" w:rsidR="00171664" w:rsidRPr="00202E2A" w:rsidRDefault="00171664"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٣/١ـ التعرف على دور الحوكمة الرقمية في تعزيز الامن</w:t>
      </w:r>
    </w:p>
    <w:p w14:paraId="2FCE2721" w14:textId="73A53218" w:rsidR="00171664" w:rsidRPr="00202E2A" w:rsidRDefault="00171664"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التعرف على دور التحول الرقمي في تيسير التجارة</w:t>
      </w:r>
      <w:r w:rsidR="00990B56" w:rsidRPr="00202E2A">
        <w:rPr>
          <w:rFonts w:asciiTheme="majorBidi" w:hAnsiTheme="majorBidi" w:cstheme="majorBidi"/>
          <w:b/>
          <w:bCs/>
          <w:sz w:val="26"/>
          <w:szCs w:val="26"/>
          <w:rtl/>
          <w:lang w:bidi="ar-EG"/>
        </w:rPr>
        <w:t>،</w:t>
      </w:r>
      <w:r w:rsidRPr="00202E2A">
        <w:rPr>
          <w:rFonts w:asciiTheme="majorBidi" w:hAnsiTheme="majorBidi" w:cstheme="majorBidi"/>
          <w:b/>
          <w:bCs/>
          <w:sz w:val="26"/>
          <w:szCs w:val="26"/>
          <w:rtl/>
          <w:lang w:bidi="ar-EG"/>
        </w:rPr>
        <w:t xml:space="preserve"> وينبثق من هذا الهدف الرئيسي الأهداف الفرعية التالية</w:t>
      </w:r>
      <w:r w:rsidRPr="00202E2A">
        <w:rPr>
          <w:rFonts w:asciiTheme="majorBidi" w:hAnsiTheme="majorBidi" w:cstheme="majorBidi"/>
          <w:b/>
          <w:bCs/>
          <w:sz w:val="26"/>
          <w:szCs w:val="26"/>
          <w:lang w:bidi="ar-EG"/>
        </w:rPr>
        <w:t>:</w:t>
      </w:r>
    </w:p>
    <w:p w14:paraId="12BFED3D" w14:textId="77777777" w:rsidR="00171664" w:rsidRPr="00202E2A" w:rsidRDefault="00171664"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١/٢</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التعرف على دور الأسس الرقمية في تيسير التجارة</w:t>
      </w:r>
    </w:p>
    <w:p w14:paraId="67FD053D" w14:textId="77777777" w:rsidR="00171664" w:rsidRPr="00202E2A" w:rsidRDefault="00171664"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٢/٢</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التعرف على دور الابتكار الرقمي في تيسير التجارة</w:t>
      </w:r>
    </w:p>
    <w:p w14:paraId="78133065" w14:textId="77777777" w:rsidR="00171664" w:rsidRPr="00202E2A" w:rsidRDefault="00171664"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٣/٢- التعرف على دور الحوكمة الرقمية في تيسير التجارة</w:t>
      </w:r>
    </w:p>
    <w:p w14:paraId="59C173E5" w14:textId="6BED59C7" w:rsidR="00341FFC" w:rsidRPr="00202E2A" w:rsidRDefault="00341FFC" w:rsidP="002E5F99">
      <w:pPr>
        <w:bidi/>
        <w:spacing w:line="276" w:lineRule="auto"/>
        <w:rPr>
          <w:rFonts w:asciiTheme="majorBidi" w:hAnsiTheme="majorBidi" w:cstheme="majorBidi"/>
          <w:b/>
          <w:bCs/>
          <w:color w:val="002060"/>
          <w:sz w:val="26"/>
          <w:szCs w:val="26"/>
          <w:rtl/>
          <w:lang w:bidi="ar-EG"/>
        </w:rPr>
      </w:pPr>
      <w:r w:rsidRPr="00202E2A">
        <w:rPr>
          <w:rFonts w:asciiTheme="majorBidi" w:hAnsiTheme="majorBidi" w:cstheme="majorBidi"/>
          <w:b/>
          <w:bCs/>
          <w:color w:val="002060"/>
          <w:sz w:val="26"/>
          <w:szCs w:val="26"/>
          <w:rtl/>
          <w:lang w:bidi="ar-EG"/>
        </w:rPr>
        <w:t>تساؤلات الدراسة</w:t>
      </w:r>
    </w:p>
    <w:p w14:paraId="71E63596" w14:textId="534B8D84" w:rsidR="000B65B6" w:rsidRPr="00202E2A" w:rsidRDefault="000B65B6"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lastRenderedPageBreak/>
        <w:t xml:space="preserve">تنطلق هذه الدراسة من إطار منهجي متكامل يجمع بين النظريات العالمية والتطبيقات المحلية في التحول الرقمي، مستندة إلى نماذج معتمدة مثل إطار </w:t>
      </w:r>
      <w:r w:rsidRPr="00202E2A">
        <w:rPr>
          <w:rFonts w:asciiTheme="majorBidi" w:hAnsiTheme="majorBidi" w:cstheme="majorBidi"/>
          <w:sz w:val="26"/>
          <w:szCs w:val="26"/>
          <w:lang w:bidi="ar-EG"/>
        </w:rPr>
        <w:t>Westerman &amp; Bonnet</w:t>
      </w:r>
      <w:r w:rsidRPr="00202E2A">
        <w:rPr>
          <w:rFonts w:asciiTheme="majorBidi" w:hAnsiTheme="majorBidi" w:cstheme="majorBidi"/>
          <w:sz w:val="26"/>
          <w:szCs w:val="26"/>
          <w:rtl/>
          <w:lang w:bidi="ar-EG"/>
        </w:rPr>
        <w:t xml:space="preserve"> للتحول الرقمي ونموذج </w:t>
      </w:r>
      <w:r w:rsidRPr="00202E2A">
        <w:rPr>
          <w:rFonts w:asciiTheme="majorBidi" w:hAnsiTheme="majorBidi" w:cstheme="majorBidi"/>
          <w:sz w:val="26"/>
          <w:szCs w:val="26"/>
          <w:lang w:bidi="ar-EG"/>
        </w:rPr>
        <w:t>NIST</w:t>
      </w:r>
      <w:r w:rsidRPr="00202E2A">
        <w:rPr>
          <w:rFonts w:asciiTheme="majorBidi" w:hAnsiTheme="majorBidi" w:cstheme="majorBidi"/>
          <w:sz w:val="26"/>
          <w:szCs w:val="26"/>
          <w:rtl/>
          <w:lang w:bidi="ar-EG"/>
        </w:rPr>
        <w:t xml:space="preserve"> للأمن السيبراني، مع الاسترشاد بالمؤشرات الدولية كـ </w:t>
      </w:r>
      <w:r w:rsidRPr="00202E2A">
        <w:rPr>
          <w:rFonts w:asciiTheme="majorBidi" w:hAnsiTheme="majorBidi" w:cstheme="majorBidi"/>
          <w:sz w:val="26"/>
          <w:szCs w:val="26"/>
          <w:lang w:bidi="ar-EG"/>
        </w:rPr>
        <w:t>EGDI</w:t>
      </w:r>
      <w:r w:rsidRPr="00202E2A">
        <w:rPr>
          <w:rFonts w:asciiTheme="majorBidi" w:hAnsiTheme="majorBidi" w:cstheme="majorBidi"/>
          <w:sz w:val="26"/>
          <w:szCs w:val="26"/>
          <w:rtl/>
          <w:lang w:bidi="ar-EG"/>
        </w:rPr>
        <w:t xml:space="preserve"> و</w:t>
      </w:r>
      <w:r w:rsidRPr="00202E2A">
        <w:rPr>
          <w:rFonts w:asciiTheme="majorBidi" w:hAnsiTheme="majorBidi" w:cstheme="majorBidi"/>
          <w:sz w:val="26"/>
          <w:szCs w:val="26"/>
          <w:lang w:bidi="ar-EG"/>
        </w:rPr>
        <w:t>LPI</w:t>
      </w:r>
      <w:r w:rsidRPr="00202E2A">
        <w:rPr>
          <w:rFonts w:asciiTheme="majorBidi" w:hAnsiTheme="majorBidi" w:cstheme="majorBidi"/>
          <w:sz w:val="26"/>
          <w:szCs w:val="26"/>
          <w:rtl/>
          <w:lang w:bidi="ar-EG"/>
        </w:rPr>
        <w:t xml:space="preserve"> لضمان المصداقية العلمية. تركز الدراسة على تحليل تأثير أبعاد التحول الرقمي الثلاثة </w:t>
      </w:r>
      <w:r w:rsidRPr="00202E2A">
        <w:rPr>
          <w:rFonts w:asciiTheme="majorBidi" w:hAnsiTheme="majorBidi" w:cstheme="majorBidi"/>
          <w:b/>
          <w:bCs/>
          <w:sz w:val="26"/>
          <w:szCs w:val="26"/>
          <w:rtl/>
          <w:lang w:bidi="ar-EG"/>
        </w:rPr>
        <w:t>(الأسس الرقمية، الابتكار الرقمي، الحوكمة الرقمية)</w:t>
      </w:r>
      <w:r w:rsidRPr="00202E2A">
        <w:rPr>
          <w:rFonts w:asciiTheme="majorBidi" w:hAnsiTheme="majorBidi" w:cstheme="majorBidi"/>
          <w:sz w:val="26"/>
          <w:szCs w:val="26"/>
          <w:rtl/>
          <w:lang w:bidi="ar-EG"/>
        </w:rPr>
        <w:t xml:space="preserve"> في تعزيز الأمن السيبراني وتيسير التجارة بهيئة الزكاة والضريبية والجمارك، من خلال منهجية بحثية تزاوج بين التحليل الكمي (كالانحدار واختبار الارتباط) والنوعي </w:t>
      </w:r>
      <w:r w:rsidRPr="00202E2A">
        <w:rPr>
          <w:rFonts w:asciiTheme="majorBidi" w:hAnsiTheme="majorBidi" w:cstheme="majorBidi"/>
          <w:b/>
          <w:bCs/>
          <w:sz w:val="26"/>
          <w:szCs w:val="26"/>
          <w:rtl/>
          <w:lang w:bidi="ar-EG"/>
        </w:rPr>
        <w:t>(كدراسة الثقافة التنظيمية وتقييم الشراكات)،</w:t>
      </w:r>
      <w:r w:rsidRPr="00202E2A">
        <w:rPr>
          <w:rFonts w:asciiTheme="majorBidi" w:hAnsiTheme="majorBidi" w:cstheme="majorBidi"/>
          <w:sz w:val="26"/>
          <w:szCs w:val="26"/>
          <w:rtl/>
          <w:lang w:bidi="ar-EG"/>
        </w:rPr>
        <w:t xml:space="preserve"> مع ربط النتائج بمؤشرات أداء ملموسة كنسب التهرب الضريبي وزمن الإجراءات الجمركية، وذلك انسجاماً مع مستهدفات رؤية </w:t>
      </w:r>
      <w:r w:rsidR="00906A9F" w:rsidRPr="00202E2A">
        <w:rPr>
          <w:rFonts w:asciiTheme="majorBidi" w:hAnsiTheme="majorBidi" w:cstheme="majorBidi"/>
          <w:sz w:val="26"/>
          <w:szCs w:val="26"/>
          <w:lang w:bidi="ar-EG"/>
        </w:rPr>
        <w:t>2023</w:t>
      </w:r>
      <w:r w:rsidRPr="00202E2A">
        <w:rPr>
          <w:rFonts w:asciiTheme="majorBidi" w:hAnsiTheme="majorBidi" w:cstheme="majorBidi"/>
          <w:sz w:val="26"/>
          <w:szCs w:val="26"/>
          <w:rtl/>
          <w:lang w:bidi="ar-EG"/>
        </w:rPr>
        <w:t xml:space="preserve"> في محوري </w:t>
      </w:r>
      <w:r w:rsidRPr="00202E2A">
        <w:rPr>
          <w:rFonts w:asciiTheme="majorBidi" w:hAnsiTheme="majorBidi" w:cstheme="majorBidi"/>
          <w:b/>
          <w:bCs/>
          <w:sz w:val="26"/>
          <w:szCs w:val="26"/>
          <w:rtl/>
          <w:lang w:bidi="ar-EG"/>
        </w:rPr>
        <w:t>"الحكومة الرقمية" و"الاقتصاد المزدهر"،</w:t>
      </w:r>
      <w:r w:rsidRPr="00202E2A">
        <w:rPr>
          <w:rFonts w:asciiTheme="majorBidi" w:hAnsiTheme="majorBidi" w:cstheme="majorBidi"/>
          <w:sz w:val="26"/>
          <w:szCs w:val="26"/>
          <w:rtl/>
          <w:lang w:bidi="ar-EG"/>
        </w:rPr>
        <w:t xml:space="preserve"> سعياً لتحويل التحديات الرقمية إلى فرص تنافسية تعزز مكانة المملكة في الاقتصاد الرقمي العالمي.</w:t>
      </w:r>
    </w:p>
    <w:p w14:paraId="2EE15228" w14:textId="1622BF17" w:rsidR="00981AE9" w:rsidRPr="00202E2A" w:rsidRDefault="00341FFC" w:rsidP="0019590B">
      <w:pPr>
        <w:bidi/>
        <w:spacing w:line="276" w:lineRule="auto"/>
        <w:ind w:firstLine="720"/>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و</w:t>
      </w:r>
      <w:r w:rsidR="00981AE9" w:rsidRPr="00202E2A">
        <w:rPr>
          <w:rFonts w:asciiTheme="majorBidi" w:hAnsiTheme="majorBidi" w:cstheme="majorBidi"/>
          <w:sz w:val="26"/>
          <w:szCs w:val="26"/>
          <w:rtl/>
          <w:lang w:bidi="ar-EG"/>
        </w:rPr>
        <w:t>بناءً على الإطار النظري والدراسة الاستطلاعية وتحليل البيانات الأولية، و</w:t>
      </w:r>
      <w:r w:rsidRPr="00202E2A">
        <w:rPr>
          <w:rFonts w:asciiTheme="majorBidi" w:hAnsiTheme="majorBidi" w:cstheme="majorBidi"/>
          <w:sz w:val="26"/>
          <w:szCs w:val="26"/>
          <w:rtl/>
          <w:lang w:bidi="ar-EG"/>
        </w:rPr>
        <w:t xml:space="preserve">من خلال النتائج التي حصل عليها الباحث من الدراسة الاستطلاعية في تطبيق </w:t>
      </w:r>
      <w:r w:rsidR="003D58B0" w:rsidRPr="00202E2A">
        <w:rPr>
          <w:rFonts w:asciiTheme="majorBidi" w:hAnsiTheme="majorBidi" w:cstheme="majorBidi"/>
          <w:sz w:val="26"/>
          <w:szCs w:val="26"/>
          <w:rtl/>
          <w:lang w:bidi="ar-EG"/>
        </w:rPr>
        <w:t>أبعاد التحول الرقمي</w:t>
      </w:r>
      <w:r w:rsidRPr="00202E2A">
        <w:rPr>
          <w:rFonts w:asciiTheme="majorBidi" w:hAnsiTheme="majorBidi" w:cstheme="majorBidi"/>
          <w:sz w:val="26"/>
          <w:szCs w:val="26"/>
          <w:rtl/>
          <w:lang w:bidi="ar-EG"/>
        </w:rPr>
        <w:t xml:space="preserve"> مع أبعاد </w:t>
      </w:r>
      <w:r w:rsidR="003D58B0" w:rsidRPr="00202E2A">
        <w:rPr>
          <w:rFonts w:asciiTheme="majorBidi" w:hAnsiTheme="majorBidi" w:cstheme="majorBidi"/>
          <w:sz w:val="26"/>
          <w:szCs w:val="26"/>
          <w:rtl/>
          <w:lang w:bidi="ar-EG"/>
        </w:rPr>
        <w:t>تعزيز الامن وت</w:t>
      </w:r>
      <w:r w:rsidR="004B4A0D" w:rsidRPr="00202E2A">
        <w:rPr>
          <w:rFonts w:asciiTheme="majorBidi" w:hAnsiTheme="majorBidi" w:cstheme="majorBidi" w:hint="cs"/>
          <w:sz w:val="26"/>
          <w:szCs w:val="26"/>
          <w:rtl/>
          <w:lang w:bidi="ar-EG"/>
        </w:rPr>
        <w:t>ي</w:t>
      </w:r>
      <w:r w:rsidR="003D58B0" w:rsidRPr="00202E2A">
        <w:rPr>
          <w:rFonts w:asciiTheme="majorBidi" w:hAnsiTheme="majorBidi" w:cstheme="majorBidi"/>
          <w:sz w:val="26"/>
          <w:szCs w:val="26"/>
          <w:rtl/>
          <w:lang w:bidi="ar-EG"/>
        </w:rPr>
        <w:t>سير التجارة</w:t>
      </w:r>
      <w:r w:rsidRPr="00202E2A">
        <w:rPr>
          <w:rFonts w:asciiTheme="majorBidi" w:hAnsiTheme="majorBidi" w:cstheme="majorBidi"/>
          <w:sz w:val="26"/>
          <w:szCs w:val="26"/>
          <w:rtl/>
          <w:lang w:bidi="ar-EG"/>
        </w:rPr>
        <w:t xml:space="preserve"> والتي تدعمها </w:t>
      </w:r>
      <w:r w:rsidR="003D58B0" w:rsidRPr="00202E2A">
        <w:rPr>
          <w:rFonts w:asciiTheme="majorBidi" w:hAnsiTheme="majorBidi" w:cstheme="majorBidi"/>
          <w:sz w:val="26"/>
          <w:szCs w:val="26"/>
          <w:rtl/>
          <w:lang w:bidi="ar-EG"/>
        </w:rPr>
        <w:t xml:space="preserve">هيئة الزكاة والضريبية والجمارك </w:t>
      </w:r>
      <w:r w:rsidRPr="00202E2A">
        <w:rPr>
          <w:rFonts w:asciiTheme="majorBidi" w:hAnsiTheme="majorBidi" w:cstheme="majorBidi"/>
          <w:sz w:val="26"/>
          <w:szCs w:val="26"/>
          <w:rtl/>
          <w:lang w:bidi="ar-EG"/>
        </w:rPr>
        <w:t>في تحقيق أهدافها الاستراتيجية ومسايرة التطور</w:t>
      </w:r>
      <w:r w:rsidR="00981AE9" w:rsidRPr="00202E2A">
        <w:rPr>
          <w:rFonts w:asciiTheme="majorBidi" w:hAnsiTheme="majorBidi" w:cstheme="majorBidi"/>
          <w:sz w:val="26"/>
          <w:szCs w:val="26"/>
          <w:rtl/>
          <w:lang w:bidi="ar-EG"/>
        </w:rPr>
        <w:t xml:space="preserve">، </w:t>
      </w:r>
      <w:r w:rsidR="00906A9F" w:rsidRPr="00202E2A">
        <w:rPr>
          <w:rFonts w:asciiTheme="majorBidi" w:hAnsiTheme="majorBidi" w:cstheme="majorBidi"/>
          <w:sz w:val="26"/>
          <w:szCs w:val="26"/>
          <w:rtl/>
          <w:lang w:bidi="ar-EG"/>
        </w:rPr>
        <w:t>وتُشكل</w:t>
      </w:r>
      <w:r w:rsidR="00B545B1" w:rsidRPr="00202E2A">
        <w:rPr>
          <w:rFonts w:asciiTheme="majorBidi" w:hAnsiTheme="majorBidi" w:cstheme="majorBidi"/>
          <w:sz w:val="26"/>
          <w:szCs w:val="26"/>
          <w:rtl/>
          <w:lang w:bidi="ar-EG"/>
        </w:rPr>
        <w:t xml:space="preserve"> هذه التساؤلات خريطة طريق دقيقة للبحث، وتضمن تغطية جميع جوانب المشكلة بدقة أكاديمية وعملية</w:t>
      </w:r>
      <w:r w:rsidR="0045666D" w:rsidRPr="00202E2A">
        <w:rPr>
          <w:rFonts w:asciiTheme="majorBidi" w:hAnsiTheme="majorBidi" w:cstheme="majorBidi"/>
          <w:sz w:val="26"/>
          <w:szCs w:val="26"/>
          <w:rtl/>
          <w:lang w:bidi="ar-EG"/>
        </w:rPr>
        <w:t>، و</w:t>
      </w:r>
      <w:r w:rsidR="00981AE9" w:rsidRPr="00202E2A">
        <w:rPr>
          <w:rFonts w:asciiTheme="majorBidi" w:hAnsiTheme="majorBidi" w:cstheme="majorBidi"/>
          <w:sz w:val="26"/>
          <w:szCs w:val="26"/>
          <w:rtl/>
          <w:lang w:bidi="ar-EG"/>
        </w:rPr>
        <w:t xml:space="preserve">يمكن صياغة تساؤلات الدراسة كما يلي:  </w:t>
      </w:r>
    </w:p>
    <w:p w14:paraId="2E331CC2" w14:textId="747B382E" w:rsidR="00593404" w:rsidRPr="00202E2A" w:rsidRDefault="00593404" w:rsidP="0019590B">
      <w:pPr>
        <w:bidi/>
        <w:spacing w:line="276" w:lineRule="auto"/>
        <w:jc w:val="lowKashida"/>
        <w:rPr>
          <w:rFonts w:asciiTheme="majorBidi" w:hAnsiTheme="majorBidi" w:cstheme="majorBidi"/>
          <w:sz w:val="26"/>
          <w:szCs w:val="26"/>
          <w:lang w:bidi="ar-EG"/>
        </w:rPr>
      </w:pPr>
      <w:bookmarkStart w:id="3" w:name="_Hlk188106460"/>
      <w:r w:rsidRPr="00202E2A">
        <w:rPr>
          <w:rFonts w:asciiTheme="majorBidi" w:hAnsiTheme="majorBidi" w:cstheme="majorBidi"/>
          <w:sz w:val="26"/>
          <w:szCs w:val="26"/>
          <w:rtl/>
          <w:lang w:bidi="ar-EG"/>
        </w:rPr>
        <w:t>وحيث تسعى الدراسة إلى الإجابة عن التساؤلات التالية، والتي تم تصنيفها وفق الأبعاد الرئيسية للتحول الرقمي (الأسس الرقمية، الابتكار الرقمي، الحوكمة الرقمية</w:t>
      </w:r>
      <w:r w:rsidR="005714E1" w:rsidRPr="00202E2A">
        <w:rPr>
          <w:rFonts w:asciiTheme="majorBidi" w:hAnsiTheme="majorBidi" w:cstheme="majorBidi"/>
          <w:sz w:val="26"/>
          <w:szCs w:val="26"/>
          <w:rtl/>
          <w:lang w:bidi="ar-EG"/>
        </w:rPr>
        <w:t>)، مع</w:t>
      </w:r>
      <w:r w:rsidRPr="00202E2A">
        <w:rPr>
          <w:rFonts w:asciiTheme="majorBidi" w:hAnsiTheme="majorBidi" w:cstheme="majorBidi"/>
          <w:sz w:val="26"/>
          <w:szCs w:val="26"/>
          <w:rtl/>
          <w:lang w:bidi="ar-EG"/>
        </w:rPr>
        <w:t xml:space="preserve"> التركيز على تأثيرها في تعزيز الأمن السيبراني وتيسير التجارة، كالتالي:</w:t>
      </w:r>
    </w:p>
    <w:p w14:paraId="0DF72ED8" w14:textId="75378131" w:rsidR="00593404" w:rsidRPr="00202E2A" w:rsidRDefault="00593404" w:rsidP="0019590B">
      <w:pPr>
        <w:bidi/>
        <w:spacing w:line="276" w:lineRule="auto"/>
        <w:jc w:val="lowKashida"/>
        <w:rPr>
          <w:rFonts w:asciiTheme="majorBidi" w:hAnsiTheme="majorBidi" w:cstheme="majorBidi"/>
          <w:b/>
          <w:bCs/>
          <w:sz w:val="26"/>
          <w:szCs w:val="26"/>
          <w:lang w:bidi="ar-EG"/>
        </w:rPr>
      </w:pPr>
      <w:r w:rsidRPr="00202E2A">
        <w:rPr>
          <w:rFonts w:asciiTheme="majorBidi" w:hAnsiTheme="majorBidi" w:cstheme="majorBidi"/>
          <w:b/>
          <w:bCs/>
          <w:sz w:val="26"/>
          <w:szCs w:val="26"/>
          <w:rtl/>
          <w:lang w:bidi="ar-EG"/>
        </w:rPr>
        <w:t xml:space="preserve">التساؤل الرئيسي: </w:t>
      </w:r>
    </w:p>
    <w:p w14:paraId="5ECCCFBC" w14:textId="1058EFE8" w:rsidR="00593404" w:rsidRPr="00202E2A" w:rsidRDefault="00593404"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كيف تساهم أبعاد التحول الرقمي </w:t>
      </w:r>
      <w:r w:rsidRPr="00202E2A">
        <w:rPr>
          <w:rFonts w:asciiTheme="majorBidi" w:hAnsiTheme="majorBidi" w:cstheme="majorBidi"/>
          <w:b/>
          <w:bCs/>
          <w:sz w:val="26"/>
          <w:szCs w:val="26"/>
          <w:rtl/>
          <w:lang w:bidi="ar-EG"/>
        </w:rPr>
        <w:t>(الأسس الرقمية، الابتكار الرقمي، الحوكمة الرقمية)</w:t>
      </w:r>
      <w:r w:rsidRPr="00202E2A">
        <w:rPr>
          <w:rFonts w:asciiTheme="majorBidi" w:hAnsiTheme="majorBidi" w:cstheme="majorBidi"/>
          <w:sz w:val="26"/>
          <w:szCs w:val="26"/>
          <w:rtl/>
          <w:lang w:bidi="ar-EG"/>
        </w:rPr>
        <w:t xml:space="preserve"> في تعزيز الأمن السيبراني وتيسير التجارة في هيئة الزكاة والضريبية والجمارك؟ </w:t>
      </w:r>
    </w:p>
    <w:p w14:paraId="42904784" w14:textId="6639EEA3" w:rsidR="00593404" w:rsidRPr="00202E2A" w:rsidRDefault="00593404" w:rsidP="0019590B">
      <w:pPr>
        <w:bidi/>
        <w:spacing w:line="276" w:lineRule="auto"/>
        <w:jc w:val="lowKashida"/>
        <w:rPr>
          <w:rFonts w:asciiTheme="majorBidi" w:hAnsiTheme="majorBidi" w:cstheme="majorBidi"/>
          <w:b/>
          <w:bCs/>
          <w:sz w:val="26"/>
          <w:szCs w:val="26"/>
          <w:lang w:bidi="ar-EG"/>
        </w:rPr>
      </w:pPr>
      <w:r w:rsidRPr="00202E2A">
        <w:rPr>
          <w:rFonts w:asciiTheme="majorBidi" w:hAnsiTheme="majorBidi" w:cstheme="majorBidi"/>
          <w:b/>
          <w:bCs/>
          <w:sz w:val="26"/>
          <w:szCs w:val="26"/>
          <w:rtl/>
          <w:lang w:bidi="ar-EG"/>
        </w:rPr>
        <w:t xml:space="preserve">التساؤلات الفرعية: </w:t>
      </w:r>
    </w:p>
    <w:p w14:paraId="0CBB8F26" w14:textId="78152BAF" w:rsidR="00593404" w:rsidRPr="00202E2A" w:rsidRDefault="00593404"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rtl/>
          <w:lang w:bidi="ar-EG"/>
        </w:rPr>
        <w:t xml:space="preserve">أولاً: تساؤلات متعلقة بدور التحول الرقمي في تعزيز </w:t>
      </w:r>
      <w:r w:rsidR="005714E1" w:rsidRPr="00202E2A">
        <w:rPr>
          <w:rFonts w:asciiTheme="majorBidi" w:hAnsiTheme="majorBidi" w:cstheme="majorBidi"/>
          <w:b/>
          <w:bCs/>
          <w:sz w:val="26"/>
          <w:szCs w:val="26"/>
          <w:u w:val="single"/>
          <w:rtl/>
          <w:lang w:bidi="ar-EG"/>
        </w:rPr>
        <w:t>الأمن:</w:t>
      </w:r>
    </w:p>
    <w:p w14:paraId="126F59A2" w14:textId="2BFDF7DC" w:rsidR="00593404" w:rsidRPr="00202E2A" w:rsidRDefault="00593404" w:rsidP="0019590B">
      <w:pPr>
        <w:bidi/>
        <w:spacing w:line="276" w:lineRule="auto"/>
        <w:jc w:val="lowKashida"/>
        <w:rPr>
          <w:rFonts w:asciiTheme="majorBidi" w:hAnsiTheme="majorBidi" w:cstheme="majorBidi"/>
          <w:b/>
          <w:bCs/>
          <w:sz w:val="26"/>
          <w:szCs w:val="26"/>
          <w:lang w:bidi="ar-EG"/>
        </w:rPr>
      </w:pPr>
      <w:r w:rsidRPr="00202E2A">
        <w:rPr>
          <w:rFonts w:asciiTheme="majorBidi" w:hAnsiTheme="majorBidi" w:cstheme="majorBidi"/>
          <w:b/>
          <w:bCs/>
          <w:sz w:val="26"/>
          <w:szCs w:val="26"/>
          <w:rtl/>
          <w:lang w:bidi="ar-EG"/>
        </w:rPr>
        <w:t>1. ما هو دور الأسس الرقمية في تعزيز الأمن كمثل:</w:t>
      </w:r>
    </w:p>
    <w:p w14:paraId="54CE5180" w14:textId="77777777" w:rsidR="00593404" w:rsidRPr="00202E2A" w:rsidRDefault="00593404"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   - ما مدى جاهزية البنية التحتية الرقمية للهيئة (مثل أنظمة التشفير، الخوادم الآمنة) في مواجهة التهديدات السيبرانية؟  </w:t>
      </w:r>
    </w:p>
    <w:p w14:paraId="0A197771" w14:textId="77777777" w:rsidR="00593404" w:rsidRPr="00202E2A" w:rsidRDefault="00593404"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   - هل توجد فجوة بين المهارات الرقمية للموظفين والمتطلبات الأمنية الحديثة؟  </w:t>
      </w:r>
    </w:p>
    <w:p w14:paraId="5E0F7E1F" w14:textId="6B85EF70" w:rsidR="00593404" w:rsidRPr="00202E2A" w:rsidRDefault="00593404" w:rsidP="0019590B">
      <w:pPr>
        <w:bidi/>
        <w:spacing w:line="276" w:lineRule="auto"/>
        <w:jc w:val="lowKashida"/>
        <w:rPr>
          <w:rFonts w:asciiTheme="majorBidi" w:hAnsiTheme="majorBidi" w:cstheme="majorBidi"/>
          <w:b/>
          <w:bCs/>
          <w:sz w:val="26"/>
          <w:szCs w:val="26"/>
          <w:lang w:bidi="ar-EG"/>
        </w:rPr>
      </w:pPr>
      <w:r w:rsidRPr="00202E2A">
        <w:rPr>
          <w:rFonts w:asciiTheme="majorBidi" w:hAnsiTheme="majorBidi" w:cstheme="majorBidi"/>
          <w:b/>
          <w:bCs/>
          <w:sz w:val="26"/>
          <w:szCs w:val="26"/>
          <w:rtl/>
          <w:lang w:bidi="ar-EG"/>
        </w:rPr>
        <w:t>2. ما هو دور الابتكار الرقمي في تعزيز الأمن كمث</w:t>
      </w:r>
      <w:r w:rsidR="00F61A46" w:rsidRPr="00202E2A">
        <w:rPr>
          <w:rFonts w:asciiTheme="majorBidi" w:hAnsiTheme="majorBidi" w:cstheme="majorBidi"/>
          <w:b/>
          <w:bCs/>
          <w:sz w:val="26"/>
          <w:szCs w:val="26"/>
          <w:rtl/>
          <w:lang w:bidi="ar-EG"/>
        </w:rPr>
        <w:t>ل</w:t>
      </w:r>
      <w:r w:rsidRPr="00202E2A">
        <w:rPr>
          <w:rFonts w:asciiTheme="majorBidi" w:hAnsiTheme="majorBidi" w:cstheme="majorBidi"/>
          <w:b/>
          <w:bCs/>
          <w:sz w:val="26"/>
          <w:szCs w:val="26"/>
          <w:rtl/>
          <w:lang w:bidi="ar-EG"/>
        </w:rPr>
        <w:t xml:space="preserve">: </w:t>
      </w:r>
    </w:p>
    <w:p w14:paraId="136643FB" w14:textId="77777777" w:rsidR="00593404" w:rsidRPr="00202E2A" w:rsidRDefault="00593404"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   - كيف يمكن لتقنيات الذكاء الاصطناعي والبلوك تشين تحسين كشف التهرب الضريبي والتهريب الجمركي؟  </w:t>
      </w:r>
    </w:p>
    <w:p w14:paraId="554AAA0E" w14:textId="77777777" w:rsidR="00593404" w:rsidRPr="00202E2A" w:rsidRDefault="00593404"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   - ما مدى فعالية أنظمة المسح الضوئي المتقدمة في خفض معدلات الاختراقات الأمنية؟  </w:t>
      </w:r>
    </w:p>
    <w:p w14:paraId="181E3212" w14:textId="0C3F8258" w:rsidR="00593404" w:rsidRPr="00202E2A" w:rsidRDefault="00593404" w:rsidP="0019590B">
      <w:pPr>
        <w:bidi/>
        <w:spacing w:line="276" w:lineRule="auto"/>
        <w:jc w:val="lowKashida"/>
        <w:rPr>
          <w:rFonts w:asciiTheme="majorBidi" w:hAnsiTheme="majorBidi" w:cstheme="majorBidi"/>
          <w:b/>
          <w:bCs/>
          <w:sz w:val="26"/>
          <w:szCs w:val="26"/>
          <w:lang w:bidi="ar-EG"/>
        </w:rPr>
      </w:pPr>
      <w:r w:rsidRPr="00202E2A">
        <w:rPr>
          <w:rFonts w:asciiTheme="majorBidi" w:hAnsiTheme="majorBidi" w:cstheme="majorBidi"/>
          <w:b/>
          <w:bCs/>
          <w:sz w:val="26"/>
          <w:szCs w:val="26"/>
          <w:rtl/>
          <w:lang w:bidi="ar-EG"/>
        </w:rPr>
        <w:t xml:space="preserve">3. ما هو دور الحوكمة الرقمية في تعزيز الأمن كمثل: </w:t>
      </w:r>
    </w:p>
    <w:p w14:paraId="59739063" w14:textId="77777777" w:rsidR="00593404" w:rsidRPr="00202E2A" w:rsidRDefault="00593404"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   - هل تتوافق سياسات الأمن السيبراني في الهيئة مع المعايير الدولية مثل (</w:t>
      </w:r>
      <w:r w:rsidRPr="00202E2A">
        <w:rPr>
          <w:rFonts w:asciiTheme="majorBidi" w:hAnsiTheme="majorBidi" w:cstheme="majorBidi"/>
          <w:sz w:val="26"/>
          <w:szCs w:val="26"/>
          <w:lang w:bidi="ar-EG"/>
        </w:rPr>
        <w:t>ISO 27001</w:t>
      </w:r>
      <w:r w:rsidRPr="00202E2A">
        <w:rPr>
          <w:rFonts w:asciiTheme="majorBidi" w:hAnsiTheme="majorBidi" w:cstheme="majorBidi"/>
          <w:sz w:val="26"/>
          <w:szCs w:val="26"/>
          <w:rtl/>
          <w:lang w:bidi="ar-EG"/>
        </w:rPr>
        <w:t xml:space="preserve">)؟  </w:t>
      </w:r>
    </w:p>
    <w:p w14:paraId="41771A7B" w14:textId="77777777" w:rsidR="00593404" w:rsidRPr="00202E2A" w:rsidRDefault="00593404"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lastRenderedPageBreak/>
        <w:t xml:space="preserve">   - ما تأثير القوانين المحلية (مثل نظام الأمن السيبراني السعودي) على حماية البيانات والعمليات الرقمية؟  </w:t>
      </w:r>
    </w:p>
    <w:p w14:paraId="5BD2873D" w14:textId="4933F9EA" w:rsidR="00593404" w:rsidRPr="00202E2A" w:rsidRDefault="00593404"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rtl/>
          <w:lang w:bidi="ar-EG"/>
        </w:rPr>
        <w:t>ثانياً: تساؤلات متعلقة بدور التحول الرقمي في تيسير التجارة</w:t>
      </w:r>
      <w:r w:rsidR="00F61A46" w:rsidRPr="00202E2A">
        <w:rPr>
          <w:rFonts w:asciiTheme="majorBidi" w:hAnsiTheme="majorBidi" w:cstheme="majorBidi"/>
          <w:b/>
          <w:bCs/>
          <w:sz w:val="26"/>
          <w:szCs w:val="26"/>
          <w:u w:val="single"/>
          <w:rtl/>
          <w:lang w:bidi="ar-EG"/>
        </w:rPr>
        <w:t>:</w:t>
      </w:r>
    </w:p>
    <w:p w14:paraId="369B1969" w14:textId="5BCF7F49" w:rsidR="00593404" w:rsidRPr="00202E2A" w:rsidRDefault="00593404" w:rsidP="0019590B">
      <w:pPr>
        <w:bidi/>
        <w:spacing w:line="276" w:lineRule="auto"/>
        <w:jc w:val="lowKashida"/>
        <w:rPr>
          <w:rFonts w:asciiTheme="majorBidi" w:hAnsiTheme="majorBidi" w:cstheme="majorBidi"/>
          <w:b/>
          <w:bCs/>
          <w:sz w:val="26"/>
          <w:szCs w:val="26"/>
          <w:lang w:bidi="ar-EG"/>
        </w:rPr>
      </w:pPr>
      <w:r w:rsidRPr="00202E2A">
        <w:rPr>
          <w:rFonts w:asciiTheme="majorBidi" w:hAnsiTheme="majorBidi" w:cstheme="majorBidi"/>
          <w:b/>
          <w:bCs/>
          <w:sz w:val="26"/>
          <w:szCs w:val="26"/>
          <w:rtl/>
          <w:lang w:bidi="ar-EG"/>
        </w:rPr>
        <w:t xml:space="preserve">4. </w:t>
      </w:r>
      <w:r w:rsidR="00F61A46" w:rsidRPr="00202E2A">
        <w:rPr>
          <w:rFonts w:asciiTheme="majorBidi" w:hAnsiTheme="majorBidi" w:cstheme="majorBidi"/>
          <w:b/>
          <w:bCs/>
          <w:sz w:val="26"/>
          <w:szCs w:val="26"/>
          <w:rtl/>
          <w:lang w:bidi="ar-EG"/>
        </w:rPr>
        <w:t xml:space="preserve">ما هو </w:t>
      </w:r>
      <w:r w:rsidRPr="00202E2A">
        <w:rPr>
          <w:rFonts w:asciiTheme="majorBidi" w:hAnsiTheme="majorBidi" w:cstheme="majorBidi"/>
          <w:b/>
          <w:bCs/>
          <w:sz w:val="26"/>
          <w:szCs w:val="26"/>
          <w:rtl/>
          <w:lang w:bidi="ar-EG"/>
        </w:rPr>
        <w:t>دور الأسس الرقمية في تيسير التجارة</w:t>
      </w:r>
      <w:r w:rsidR="00A71EC9" w:rsidRPr="00202E2A">
        <w:rPr>
          <w:rFonts w:asciiTheme="majorBidi" w:hAnsiTheme="majorBidi" w:cstheme="majorBidi"/>
          <w:b/>
          <w:bCs/>
          <w:sz w:val="26"/>
          <w:szCs w:val="26"/>
          <w:rtl/>
          <w:lang w:bidi="ar-EG"/>
        </w:rPr>
        <w:t xml:space="preserve"> كمثل</w:t>
      </w:r>
      <w:r w:rsidRPr="00202E2A">
        <w:rPr>
          <w:rFonts w:asciiTheme="majorBidi" w:hAnsiTheme="majorBidi" w:cstheme="majorBidi"/>
          <w:b/>
          <w:bCs/>
          <w:sz w:val="26"/>
          <w:szCs w:val="26"/>
          <w:rtl/>
          <w:lang w:bidi="ar-EG"/>
        </w:rPr>
        <w:t xml:space="preserve">:  </w:t>
      </w:r>
    </w:p>
    <w:p w14:paraId="772A9A59" w14:textId="77777777" w:rsidR="00593404" w:rsidRPr="00202E2A" w:rsidRDefault="00593404"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   - كيف يؤثر توفر البنية التحتية الرقمية (مثل منصات التخليص الجمركي الإلكتروني) على سرعة الإجراءات؟  </w:t>
      </w:r>
    </w:p>
    <w:p w14:paraId="387033EE" w14:textId="77777777" w:rsidR="00593404" w:rsidRPr="00202E2A" w:rsidRDefault="00593404"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   - هل يعيق ضعف التكامل بين أنظمة الهيئة والجهات الأخرى (مثل وزارة التجارة) كفاءة العمليات التجارية؟  </w:t>
      </w:r>
    </w:p>
    <w:p w14:paraId="611DE582" w14:textId="68369C20" w:rsidR="00593404" w:rsidRPr="00202E2A" w:rsidRDefault="00593404" w:rsidP="0019590B">
      <w:pPr>
        <w:bidi/>
        <w:spacing w:line="276" w:lineRule="auto"/>
        <w:jc w:val="lowKashida"/>
        <w:rPr>
          <w:rFonts w:asciiTheme="majorBidi" w:hAnsiTheme="majorBidi" w:cstheme="majorBidi"/>
          <w:b/>
          <w:bCs/>
          <w:sz w:val="26"/>
          <w:szCs w:val="26"/>
          <w:lang w:bidi="ar-EG"/>
        </w:rPr>
      </w:pPr>
      <w:r w:rsidRPr="00202E2A">
        <w:rPr>
          <w:rFonts w:asciiTheme="majorBidi" w:hAnsiTheme="majorBidi" w:cstheme="majorBidi"/>
          <w:b/>
          <w:bCs/>
          <w:sz w:val="26"/>
          <w:szCs w:val="26"/>
          <w:rtl/>
          <w:lang w:bidi="ar-EG"/>
        </w:rPr>
        <w:t xml:space="preserve">5. </w:t>
      </w:r>
      <w:r w:rsidR="00A71EC9" w:rsidRPr="00202E2A">
        <w:rPr>
          <w:rFonts w:asciiTheme="majorBidi" w:hAnsiTheme="majorBidi" w:cstheme="majorBidi"/>
          <w:b/>
          <w:bCs/>
          <w:sz w:val="26"/>
          <w:szCs w:val="26"/>
          <w:rtl/>
          <w:lang w:bidi="ar-EG"/>
        </w:rPr>
        <w:t xml:space="preserve">ما هو </w:t>
      </w:r>
      <w:r w:rsidRPr="00202E2A">
        <w:rPr>
          <w:rFonts w:asciiTheme="majorBidi" w:hAnsiTheme="majorBidi" w:cstheme="majorBidi"/>
          <w:b/>
          <w:bCs/>
          <w:sz w:val="26"/>
          <w:szCs w:val="26"/>
          <w:rtl/>
          <w:lang w:bidi="ar-EG"/>
        </w:rPr>
        <w:t>دور الابتكار الرقمي في تيسير التجارة</w:t>
      </w:r>
      <w:r w:rsidR="00A71EC9" w:rsidRPr="00202E2A">
        <w:rPr>
          <w:rFonts w:asciiTheme="majorBidi" w:hAnsiTheme="majorBidi" w:cstheme="majorBidi"/>
          <w:b/>
          <w:bCs/>
          <w:sz w:val="26"/>
          <w:szCs w:val="26"/>
          <w:rtl/>
          <w:lang w:bidi="ar-EG"/>
        </w:rPr>
        <w:t xml:space="preserve"> كمثل</w:t>
      </w:r>
      <w:r w:rsidRPr="00202E2A">
        <w:rPr>
          <w:rFonts w:asciiTheme="majorBidi" w:hAnsiTheme="majorBidi" w:cstheme="majorBidi"/>
          <w:b/>
          <w:bCs/>
          <w:sz w:val="26"/>
          <w:szCs w:val="26"/>
          <w:rtl/>
          <w:lang w:bidi="ar-EG"/>
        </w:rPr>
        <w:t xml:space="preserve">:  </w:t>
      </w:r>
    </w:p>
    <w:p w14:paraId="52FA8684" w14:textId="77777777" w:rsidR="00593404" w:rsidRPr="00202E2A" w:rsidRDefault="00593404"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   - ما مدى فعالية تطبيقات الذكاء الاصطناعي في تقليل زمن الإفراج الجمركي؟  </w:t>
      </w:r>
    </w:p>
    <w:p w14:paraId="70074B12" w14:textId="77777777" w:rsidR="00593404" w:rsidRPr="00202E2A" w:rsidRDefault="00593404"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   - كيف يمكن لاستخدام تقنيات مثل (</w:t>
      </w:r>
      <w:r w:rsidRPr="00202E2A">
        <w:rPr>
          <w:rFonts w:asciiTheme="majorBidi" w:hAnsiTheme="majorBidi" w:cstheme="majorBidi"/>
          <w:sz w:val="26"/>
          <w:szCs w:val="26"/>
          <w:lang w:bidi="ar-EG"/>
        </w:rPr>
        <w:t>Blockchain</w:t>
      </w:r>
      <w:r w:rsidRPr="00202E2A">
        <w:rPr>
          <w:rFonts w:asciiTheme="majorBidi" w:hAnsiTheme="majorBidi" w:cstheme="majorBidi"/>
          <w:sz w:val="26"/>
          <w:szCs w:val="26"/>
          <w:rtl/>
          <w:lang w:bidi="ar-EG"/>
        </w:rPr>
        <w:t xml:space="preserve">) تحسين شفافية سلسلة التوريد؟  </w:t>
      </w:r>
    </w:p>
    <w:p w14:paraId="0D9C033A" w14:textId="48C84479" w:rsidR="00593404" w:rsidRPr="00202E2A" w:rsidRDefault="00593404" w:rsidP="0019590B">
      <w:pPr>
        <w:bidi/>
        <w:spacing w:line="276" w:lineRule="auto"/>
        <w:jc w:val="lowKashida"/>
        <w:rPr>
          <w:rFonts w:asciiTheme="majorBidi" w:hAnsiTheme="majorBidi" w:cstheme="majorBidi"/>
          <w:b/>
          <w:bCs/>
          <w:sz w:val="26"/>
          <w:szCs w:val="26"/>
          <w:lang w:bidi="ar-EG"/>
        </w:rPr>
      </w:pPr>
      <w:r w:rsidRPr="00202E2A">
        <w:rPr>
          <w:rFonts w:asciiTheme="majorBidi" w:hAnsiTheme="majorBidi" w:cstheme="majorBidi"/>
          <w:b/>
          <w:bCs/>
          <w:sz w:val="26"/>
          <w:szCs w:val="26"/>
          <w:rtl/>
          <w:lang w:bidi="ar-EG"/>
        </w:rPr>
        <w:t xml:space="preserve">6. </w:t>
      </w:r>
      <w:r w:rsidR="00A71EC9" w:rsidRPr="00202E2A">
        <w:rPr>
          <w:rFonts w:asciiTheme="majorBidi" w:hAnsiTheme="majorBidi" w:cstheme="majorBidi"/>
          <w:b/>
          <w:bCs/>
          <w:sz w:val="26"/>
          <w:szCs w:val="26"/>
          <w:rtl/>
          <w:lang w:bidi="ar-EG"/>
        </w:rPr>
        <w:t xml:space="preserve">ما هو </w:t>
      </w:r>
      <w:r w:rsidRPr="00202E2A">
        <w:rPr>
          <w:rFonts w:asciiTheme="majorBidi" w:hAnsiTheme="majorBidi" w:cstheme="majorBidi"/>
          <w:b/>
          <w:bCs/>
          <w:sz w:val="26"/>
          <w:szCs w:val="26"/>
          <w:rtl/>
          <w:lang w:bidi="ar-EG"/>
        </w:rPr>
        <w:t>دور الحوكمة الرقمية في تيسير التجارة</w:t>
      </w:r>
      <w:r w:rsidR="00A71EC9" w:rsidRPr="00202E2A">
        <w:rPr>
          <w:rFonts w:asciiTheme="majorBidi" w:hAnsiTheme="majorBidi" w:cstheme="majorBidi"/>
          <w:b/>
          <w:bCs/>
          <w:sz w:val="26"/>
          <w:szCs w:val="26"/>
          <w:rtl/>
          <w:lang w:bidi="ar-EG"/>
        </w:rPr>
        <w:t xml:space="preserve"> كمثل</w:t>
      </w:r>
      <w:r w:rsidRPr="00202E2A">
        <w:rPr>
          <w:rFonts w:asciiTheme="majorBidi" w:hAnsiTheme="majorBidi" w:cstheme="majorBidi"/>
          <w:b/>
          <w:bCs/>
          <w:sz w:val="26"/>
          <w:szCs w:val="26"/>
          <w:rtl/>
          <w:lang w:bidi="ar-EG"/>
        </w:rPr>
        <w:t xml:space="preserve">: </w:t>
      </w:r>
    </w:p>
    <w:p w14:paraId="353485AA" w14:textId="77777777" w:rsidR="00593404" w:rsidRPr="00202E2A" w:rsidRDefault="00593404"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   - هل تشجع اللوائح التنظيمية الحالية (مثل نظام الفوترة الإلكترونية) على تبني الحلول الرقمية في المعاملات التجارية؟  </w:t>
      </w:r>
    </w:p>
    <w:p w14:paraId="3AF88A13" w14:textId="7EAE601F" w:rsidR="00593404" w:rsidRPr="00202E2A" w:rsidRDefault="00593404"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   - ما مدى توافق سياسات الهيئة مع متطلبات منظمة التجارة العالمية (</w:t>
      </w:r>
      <w:r w:rsidRPr="00202E2A">
        <w:rPr>
          <w:rFonts w:asciiTheme="majorBidi" w:hAnsiTheme="majorBidi" w:cstheme="majorBidi"/>
          <w:sz w:val="26"/>
          <w:szCs w:val="26"/>
          <w:lang w:bidi="ar-EG"/>
        </w:rPr>
        <w:t>TFA</w:t>
      </w:r>
      <w:r w:rsidRPr="00202E2A">
        <w:rPr>
          <w:rFonts w:asciiTheme="majorBidi" w:hAnsiTheme="majorBidi" w:cstheme="majorBidi"/>
          <w:sz w:val="26"/>
          <w:szCs w:val="26"/>
          <w:rtl/>
          <w:lang w:bidi="ar-EG"/>
        </w:rPr>
        <w:t>) لت</w:t>
      </w:r>
      <w:r w:rsidR="004B4A0D" w:rsidRPr="00202E2A">
        <w:rPr>
          <w:rFonts w:asciiTheme="majorBidi" w:hAnsiTheme="majorBidi" w:cstheme="majorBidi" w:hint="cs"/>
          <w:sz w:val="26"/>
          <w:szCs w:val="26"/>
          <w:rtl/>
          <w:lang w:bidi="ar-EG"/>
        </w:rPr>
        <w:t>ي</w:t>
      </w:r>
      <w:r w:rsidRPr="00202E2A">
        <w:rPr>
          <w:rFonts w:asciiTheme="majorBidi" w:hAnsiTheme="majorBidi" w:cstheme="majorBidi"/>
          <w:sz w:val="26"/>
          <w:szCs w:val="26"/>
          <w:rtl/>
          <w:lang w:bidi="ar-EG"/>
        </w:rPr>
        <w:t>سي</w:t>
      </w:r>
      <w:r w:rsidR="004B4A0D" w:rsidRPr="00202E2A">
        <w:rPr>
          <w:rFonts w:asciiTheme="majorBidi" w:hAnsiTheme="majorBidi" w:cstheme="majorBidi" w:hint="cs"/>
          <w:sz w:val="26"/>
          <w:szCs w:val="26"/>
          <w:rtl/>
          <w:lang w:bidi="ar-EG"/>
        </w:rPr>
        <w:t>ر</w:t>
      </w:r>
      <w:r w:rsidRPr="00202E2A">
        <w:rPr>
          <w:rFonts w:asciiTheme="majorBidi" w:hAnsiTheme="majorBidi" w:cstheme="majorBidi"/>
          <w:sz w:val="26"/>
          <w:szCs w:val="26"/>
          <w:rtl/>
          <w:lang w:bidi="ar-EG"/>
        </w:rPr>
        <w:t xml:space="preserve"> التجارة؟  </w:t>
      </w:r>
    </w:p>
    <w:p w14:paraId="30AC5490" w14:textId="1BFF44ED" w:rsidR="00341FFC" w:rsidRPr="00202E2A" w:rsidRDefault="004B4A0D" w:rsidP="0019590B">
      <w:pPr>
        <w:bidi/>
        <w:spacing w:line="276" w:lineRule="auto"/>
        <w:jc w:val="lowKashida"/>
        <w:rPr>
          <w:rFonts w:asciiTheme="majorBidi" w:hAnsiTheme="majorBidi" w:cstheme="majorBidi"/>
          <w:b/>
          <w:bCs/>
          <w:color w:val="002060"/>
          <w:sz w:val="26"/>
          <w:szCs w:val="26"/>
          <w:rtl/>
          <w:lang w:bidi="ar-EG"/>
        </w:rPr>
      </w:pPr>
      <w:r w:rsidRPr="00202E2A">
        <w:rPr>
          <w:rFonts w:asciiTheme="majorBidi" w:hAnsiTheme="majorBidi" w:cstheme="majorBidi" w:hint="cs"/>
          <w:b/>
          <w:bCs/>
          <w:color w:val="002060"/>
          <w:sz w:val="26"/>
          <w:szCs w:val="26"/>
          <w:rtl/>
          <w:lang w:bidi="ar-EG"/>
        </w:rPr>
        <w:t>خامساً</w:t>
      </w:r>
      <w:r w:rsidR="00341FFC" w:rsidRPr="00202E2A">
        <w:rPr>
          <w:rFonts w:asciiTheme="majorBidi" w:hAnsiTheme="majorBidi" w:cstheme="majorBidi"/>
          <w:b/>
          <w:bCs/>
          <w:color w:val="002060"/>
          <w:sz w:val="26"/>
          <w:szCs w:val="26"/>
          <w:rtl/>
          <w:lang w:bidi="ar-EG"/>
        </w:rPr>
        <w:t xml:space="preserve">: فروض الدراسة </w:t>
      </w:r>
      <w:r w:rsidR="00341FFC" w:rsidRPr="00202E2A">
        <w:rPr>
          <w:rFonts w:asciiTheme="majorBidi" w:hAnsiTheme="majorBidi" w:cstheme="majorBidi"/>
          <w:b/>
          <w:bCs/>
          <w:color w:val="002060"/>
          <w:sz w:val="26"/>
          <w:szCs w:val="26"/>
          <w:lang w:bidi="ar-EG"/>
        </w:rPr>
        <w:t>Study Assignments</w:t>
      </w:r>
      <w:r w:rsidR="00341FFC" w:rsidRPr="00202E2A">
        <w:rPr>
          <w:rFonts w:asciiTheme="majorBidi" w:hAnsiTheme="majorBidi" w:cstheme="majorBidi"/>
          <w:b/>
          <w:bCs/>
          <w:color w:val="002060"/>
          <w:sz w:val="26"/>
          <w:szCs w:val="26"/>
          <w:rtl/>
          <w:lang w:bidi="ar-EG"/>
        </w:rPr>
        <w:t xml:space="preserve"> </w:t>
      </w:r>
    </w:p>
    <w:p w14:paraId="5E34EB08" w14:textId="77777777" w:rsidR="00341FFC" w:rsidRPr="00202E2A" w:rsidRDefault="00341FFC"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تحقيقاً لأهداف الدراسة تختبر الدراسة الفروض الأساسية التالية:</w:t>
      </w:r>
    </w:p>
    <w:p w14:paraId="2F298021" w14:textId="77777777" w:rsidR="00341FFC" w:rsidRPr="00202E2A" w:rsidRDefault="00341FFC"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الفرض الأساسي:</w:t>
      </w:r>
    </w:p>
    <w:p w14:paraId="66252CE1" w14:textId="16C99759" w:rsidR="00341FFC" w:rsidRPr="00202E2A" w:rsidRDefault="00341FFC" w:rsidP="0019590B">
      <w:pPr>
        <w:pStyle w:val="ListParagraph"/>
        <w:bidi/>
        <w:spacing w:line="276" w:lineRule="auto"/>
        <w:jc w:val="center"/>
        <w:rPr>
          <w:rFonts w:asciiTheme="majorBidi" w:hAnsiTheme="majorBidi" w:cstheme="majorBidi"/>
          <w:b/>
          <w:bCs/>
          <w:color w:val="C00000"/>
          <w:sz w:val="26"/>
          <w:szCs w:val="26"/>
          <w:rtl/>
          <w:lang w:bidi="ar-EG"/>
        </w:rPr>
      </w:pPr>
      <w:r w:rsidRPr="00202E2A">
        <w:rPr>
          <w:rFonts w:asciiTheme="majorBidi" w:hAnsiTheme="majorBidi" w:cstheme="majorBidi"/>
          <w:b/>
          <w:bCs/>
          <w:color w:val="C00000"/>
          <w:sz w:val="26"/>
          <w:szCs w:val="26"/>
          <w:rtl/>
          <w:lang w:bidi="ar-EG"/>
        </w:rPr>
        <w:t>"يوجد تأثير معنوي لـتأثير التحول الرقمي على تعزيز الأمن وت</w:t>
      </w:r>
      <w:r w:rsidR="00C46C5D" w:rsidRPr="00202E2A">
        <w:rPr>
          <w:rFonts w:asciiTheme="majorBidi" w:hAnsiTheme="majorBidi" w:cstheme="majorBidi"/>
          <w:b/>
          <w:bCs/>
          <w:color w:val="C00000"/>
          <w:sz w:val="26"/>
          <w:szCs w:val="26"/>
          <w:rtl/>
          <w:lang w:bidi="ar-EG"/>
        </w:rPr>
        <w:t>ي</w:t>
      </w:r>
      <w:r w:rsidRPr="00202E2A">
        <w:rPr>
          <w:rFonts w:asciiTheme="majorBidi" w:hAnsiTheme="majorBidi" w:cstheme="majorBidi"/>
          <w:b/>
          <w:bCs/>
          <w:color w:val="C00000"/>
          <w:sz w:val="26"/>
          <w:szCs w:val="26"/>
          <w:rtl/>
          <w:lang w:bidi="ar-EG"/>
        </w:rPr>
        <w:t>سير التجارة "</w:t>
      </w:r>
    </w:p>
    <w:p w14:paraId="3B37AB1A" w14:textId="4AB6E08D" w:rsidR="00341FFC" w:rsidRPr="00202E2A" w:rsidRDefault="00341FFC"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الفروض الفرعية </w:t>
      </w:r>
      <w:r w:rsidR="004E7BFD" w:rsidRPr="00202E2A">
        <w:rPr>
          <w:rFonts w:asciiTheme="majorBidi" w:hAnsiTheme="majorBidi" w:cstheme="majorBidi"/>
          <w:sz w:val="26"/>
          <w:szCs w:val="26"/>
          <w:rtl/>
          <w:lang w:bidi="ar-EG"/>
        </w:rPr>
        <w:t>الاثنين</w:t>
      </w:r>
      <w:r w:rsidRPr="00202E2A">
        <w:rPr>
          <w:rFonts w:asciiTheme="majorBidi" w:hAnsiTheme="majorBidi" w:cstheme="majorBidi"/>
          <w:sz w:val="26"/>
          <w:szCs w:val="26"/>
          <w:rtl/>
          <w:lang w:bidi="ar-EG"/>
        </w:rPr>
        <w:t>:</w:t>
      </w:r>
    </w:p>
    <w:p w14:paraId="61ABC57B" w14:textId="77777777" w:rsidR="00341FFC" w:rsidRPr="00202E2A" w:rsidRDefault="00341FFC" w:rsidP="0019590B">
      <w:pPr>
        <w:bidi/>
        <w:spacing w:line="276" w:lineRule="auto"/>
        <w:jc w:val="lowKashida"/>
        <w:rPr>
          <w:rFonts w:asciiTheme="majorBidi" w:hAnsiTheme="majorBidi" w:cstheme="majorBidi"/>
          <w:b/>
          <w:bCs/>
          <w:sz w:val="26"/>
          <w:szCs w:val="26"/>
          <w:u w:val="single"/>
          <w:rtl/>
          <w:lang w:bidi="ar-EG"/>
        </w:rPr>
      </w:pPr>
      <w:r w:rsidRPr="00202E2A">
        <w:rPr>
          <w:rFonts w:asciiTheme="majorBidi" w:hAnsiTheme="majorBidi" w:cstheme="majorBidi"/>
          <w:b/>
          <w:bCs/>
          <w:sz w:val="26"/>
          <w:szCs w:val="26"/>
          <w:u w:val="single"/>
          <w:rtl/>
          <w:lang w:bidi="ar-EG"/>
        </w:rPr>
        <w:t xml:space="preserve">الفرض الفرعي الأولي: </w:t>
      </w:r>
    </w:p>
    <w:p w14:paraId="1540FD11" w14:textId="783D46B8" w:rsidR="004E0FB1" w:rsidRPr="00202E2A" w:rsidRDefault="00341FFC"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يوجد تأثير معنوي لـتأثير</w:t>
      </w:r>
      <w:r w:rsidRPr="00202E2A">
        <w:rPr>
          <w:rFonts w:asciiTheme="majorBidi" w:hAnsiTheme="majorBidi" w:cstheme="majorBidi"/>
          <w:b/>
          <w:bCs/>
          <w:sz w:val="26"/>
          <w:szCs w:val="26"/>
          <w:rtl/>
          <w:lang w:bidi="ar-EG"/>
        </w:rPr>
        <w:t xml:space="preserve"> </w:t>
      </w:r>
      <w:r w:rsidR="004E0FB1" w:rsidRPr="00202E2A">
        <w:rPr>
          <w:rFonts w:asciiTheme="majorBidi" w:hAnsiTheme="majorBidi" w:cstheme="majorBidi"/>
          <w:b/>
          <w:bCs/>
          <w:sz w:val="26"/>
          <w:szCs w:val="26"/>
          <w:rtl/>
          <w:lang w:bidi="ar-EG"/>
        </w:rPr>
        <w:t xml:space="preserve">التحول الرقمي </w:t>
      </w:r>
      <w:r w:rsidRPr="00202E2A">
        <w:rPr>
          <w:rFonts w:asciiTheme="majorBidi" w:hAnsiTheme="majorBidi" w:cstheme="majorBidi"/>
          <w:sz w:val="26"/>
          <w:szCs w:val="26"/>
          <w:rtl/>
          <w:lang w:bidi="ar-EG"/>
        </w:rPr>
        <w:t>علي بعد</w:t>
      </w:r>
      <w:r w:rsidRPr="00202E2A">
        <w:rPr>
          <w:rFonts w:asciiTheme="majorBidi" w:hAnsiTheme="majorBidi" w:cstheme="majorBidi"/>
          <w:b/>
          <w:bCs/>
          <w:sz w:val="26"/>
          <w:szCs w:val="26"/>
          <w:rtl/>
          <w:lang w:bidi="ar-EG"/>
        </w:rPr>
        <w:t xml:space="preserve"> "</w:t>
      </w:r>
      <w:r w:rsidR="004E0FB1" w:rsidRPr="00202E2A">
        <w:rPr>
          <w:rFonts w:asciiTheme="majorBidi" w:hAnsiTheme="majorBidi" w:cstheme="majorBidi"/>
          <w:b/>
          <w:bCs/>
          <w:sz w:val="26"/>
          <w:szCs w:val="26"/>
          <w:rtl/>
          <w:lang w:bidi="ar-EG"/>
        </w:rPr>
        <w:t>تعزيز الأمن</w:t>
      </w:r>
      <w:r w:rsidRPr="00202E2A">
        <w:rPr>
          <w:rFonts w:asciiTheme="majorBidi" w:hAnsiTheme="majorBidi" w:cstheme="majorBidi"/>
          <w:b/>
          <w:bCs/>
          <w:sz w:val="26"/>
          <w:szCs w:val="26"/>
          <w:rtl/>
          <w:lang w:bidi="ar-EG"/>
        </w:rPr>
        <w:t>"</w:t>
      </w:r>
      <w:r w:rsidR="004E0FB1" w:rsidRPr="00202E2A">
        <w:rPr>
          <w:rFonts w:asciiTheme="majorBidi" w:hAnsiTheme="majorBidi" w:cstheme="majorBidi"/>
          <w:sz w:val="26"/>
          <w:szCs w:val="26"/>
          <w:rtl/>
          <w:lang w:bidi="ar-EG"/>
        </w:rPr>
        <w:t>، وينقسم إلي جزئيات نقاط:</w:t>
      </w:r>
    </w:p>
    <w:p w14:paraId="76D6B87A" w14:textId="7E2F6F6F" w:rsidR="004E0FB1" w:rsidRPr="00202E2A" w:rsidRDefault="004E0FB1">
      <w:pPr>
        <w:pStyle w:val="ListParagraph"/>
        <w:numPr>
          <w:ilvl w:val="0"/>
          <w:numId w:val="5"/>
        </w:numPr>
        <w:tabs>
          <w:tab w:val="right" w:pos="360"/>
        </w:tabs>
        <w:bidi/>
        <w:spacing w:line="276" w:lineRule="auto"/>
        <w:ind w:left="360"/>
        <w:jc w:val="lowKashida"/>
        <w:rPr>
          <w:rFonts w:asciiTheme="majorBidi" w:hAnsiTheme="majorBidi" w:cstheme="majorBidi"/>
          <w:b/>
          <w:bCs/>
          <w:sz w:val="26"/>
          <w:szCs w:val="26"/>
          <w:u w:val="single"/>
          <w:lang w:bidi="ar-EG"/>
        </w:rPr>
      </w:pPr>
      <w:r w:rsidRPr="00202E2A">
        <w:rPr>
          <w:rFonts w:asciiTheme="majorBidi" w:hAnsiTheme="majorBidi" w:cstheme="majorBidi"/>
          <w:sz w:val="26"/>
          <w:szCs w:val="26"/>
          <w:rtl/>
          <w:lang w:bidi="ar-EG"/>
        </w:rPr>
        <w:t xml:space="preserve">يوجد تأثير معنوي لـتأثير </w:t>
      </w:r>
      <w:r w:rsidR="006753F3" w:rsidRPr="00202E2A">
        <w:rPr>
          <w:rFonts w:asciiTheme="majorBidi" w:hAnsiTheme="majorBidi" w:cstheme="majorBidi"/>
          <w:sz w:val="26"/>
          <w:szCs w:val="26"/>
          <w:rtl/>
          <w:lang w:bidi="ar-EG"/>
        </w:rPr>
        <w:t xml:space="preserve">لأبعاد </w:t>
      </w:r>
      <w:r w:rsidRPr="00202E2A">
        <w:rPr>
          <w:rFonts w:asciiTheme="majorBidi" w:hAnsiTheme="majorBidi" w:cstheme="majorBidi"/>
          <w:sz w:val="26"/>
          <w:szCs w:val="26"/>
          <w:rtl/>
          <w:lang w:bidi="ar-EG"/>
        </w:rPr>
        <w:t>التحول الرقمي</w:t>
      </w:r>
      <w:r w:rsidR="006753F3" w:rsidRPr="00202E2A">
        <w:rPr>
          <w:rFonts w:asciiTheme="majorBidi" w:hAnsiTheme="majorBidi" w:cstheme="majorBidi"/>
          <w:sz w:val="26"/>
          <w:szCs w:val="26"/>
          <w:rtl/>
          <w:lang w:bidi="ar-EG"/>
        </w:rPr>
        <w:t xml:space="preserve"> </w:t>
      </w:r>
      <w:r w:rsidR="006753F3" w:rsidRPr="00202E2A">
        <w:rPr>
          <w:rFonts w:asciiTheme="majorBidi" w:hAnsiTheme="majorBidi" w:cstheme="majorBidi"/>
          <w:b/>
          <w:bCs/>
          <w:sz w:val="26"/>
          <w:szCs w:val="26"/>
          <w:rtl/>
          <w:lang w:bidi="ar-EG"/>
        </w:rPr>
        <w:t>"الأسس الرقمية، الابتكار الرقمي، الحوكمة الرقمية"</w:t>
      </w:r>
      <w:r w:rsidR="006753F3" w:rsidRPr="00202E2A">
        <w:rPr>
          <w:rFonts w:asciiTheme="majorBidi" w:hAnsiTheme="majorBidi" w:cstheme="majorBidi"/>
          <w:sz w:val="26"/>
          <w:szCs w:val="26"/>
          <w:rtl/>
          <w:lang w:bidi="ar-EG"/>
        </w:rPr>
        <w:t xml:space="preserve"> علي</w:t>
      </w:r>
      <w:r w:rsidRPr="00202E2A">
        <w:rPr>
          <w:rFonts w:asciiTheme="majorBidi" w:hAnsiTheme="majorBidi" w:cstheme="majorBidi"/>
          <w:sz w:val="26"/>
          <w:szCs w:val="26"/>
          <w:rtl/>
          <w:lang w:bidi="ar-EG"/>
        </w:rPr>
        <w:t xml:space="preserve"> </w:t>
      </w:r>
      <w:r w:rsidR="00F341DD" w:rsidRPr="00202E2A">
        <w:rPr>
          <w:rFonts w:asciiTheme="majorBidi" w:hAnsiTheme="majorBidi" w:cstheme="majorBidi"/>
          <w:sz w:val="26"/>
          <w:szCs w:val="26"/>
          <w:rtl/>
          <w:lang w:bidi="ar-EG"/>
        </w:rPr>
        <w:t xml:space="preserve">بند </w:t>
      </w:r>
      <w:r w:rsidRPr="00202E2A">
        <w:rPr>
          <w:rFonts w:asciiTheme="majorBidi" w:hAnsiTheme="majorBidi" w:cstheme="majorBidi"/>
          <w:sz w:val="26"/>
          <w:szCs w:val="26"/>
          <w:rtl/>
          <w:lang w:bidi="ar-EG"/>
        </w:rPr>
        <w:t>"</w:t>
      </w:r>
      <w:r w:rsidRPr="00202E2A">
        <w:rPr>
          <w:rFonts w:asciiTheme="majorBidi" w:hAnsiTheme="majorBidi" w:cstheme="majorBidi"/>
          <w:b/>
          <w:bCs/>
          <w:sz w:val="26"/>
          <w:szCs w:val="26"/>
          <w:rtl/>
          <w:lang w:bidi="ar-EG"/>
        </w:rPr>
        <w:t xml:space="preserve"> </w:t>
      </w:r>
      <w:r w:rsidR="00912B68" w:rsidRPr="00202E2A">
        <w:rPr>
          <w:rFonts w:asciiTheme="majorBidi" w:hAnsiTheme="majorBidi" w:cstheme="majorBidi"/>
          <w:b/>
          <w:bCs/>
          <w:sz w:val="26"/>
          <w:szCs w:val="26"/>
          <w:rtl/>
          <w:lang w:bidi="ar-EG"/>
        </w:rPr>
        <w:t>الأمن السيبراني وحماية البيانات</w:t>
      </w:r>
      <w:r w:rsidRPr="00202E2A">
        <w:rPr>
          <w:rFonts w:asciiTheme="majorBidi" w:hAnsiTheme="majorBidi" w:cstheme="majorBidi"/>
          <w:sz w:val="26"/>
          <w:szCs w:val="26"/>
          <w:rtl/>
          <w:lang w:bidi="ar-EG"/>
        </w:rPr>
        <w:t xml:space="preserve">" في </w:t>
      </w:r>
      <w:r w:rsidR="00F341DD" w:rsidRPr="00202E2A">
        <w:rPr>
          <w:rFonts w:asciiTheme="majorBidi" w:hAnsiTheme="majorBidi" w:cstheme="majorBidi"/>
          <w:sz w:val="26"/>
          <w:szCs w:val="26"/>
          <w:rtl/>
          <w:lang w:bidi="ar-EG"/>
        </w:rPr>
        <w:t>بعد</w:t>
      </w:r>
      <w:r w:rsidRPr="00202E2A">
        <w:rPr>
          <w:rFonts w:asciiTheme="majorBidi" w:hAnsiTheme="majorBidi" w:cstheme="majorBidi"/>
          <w:sz w:val="26"/>
          <w:szCs w:val="26"/>
          <w:rtl/>
          <w:lang w:bidi="ar-EG"/>
        </w:rPr>
        <w:t xml:space="preserve"> تعزيز الأمن.</w:t>
      </w:r>
    </w:p>
    <w:p w14:paraId="261BD4E7" w14:textId="21A5E2B0" w:rsidR="004E0FB1" w:rsidRPr="00202E2A" w:rsidRDefault="004E0FB1">
      <w:pPr>
        <w:pStyle w:val="ListParagraph"/>
        <w:numPr>
          <w:ilvl w:val="0"/>
          <w:numId w:val="5"/>
        </w:numPr>
        <w:tabs>
          <w:tab w:val="right" w:pos="360"/>
        </w:tabs>
        <w:bidi/>
        <w:spacing w:line="276" w:lineRule="auto"/>
        <w:ind w:left="360"/>
        <w:jc w:val="lowKashida"/>
        <w:rPr>
          <w:rFonts w:asciiTheme="majorBidi" w:hAnsiTheme="majorBidi" w:cstheme="majorBidi"/>
          <w:b/>
          <w:bCs/>
          <w:sz w:val="26"/>
          <w:szCs w:val="26"/>
          <w:u w:val="single"/>
          <w:lang w:bidi="ar-EG"/>
        </w:rPr>
      </w:pPr>
      <w:r w:rsidRPr="00202E2A">
        <w:rPr>
          <w:rFonts w:asciiTheme="majorBidi" w:hAnsiTheme="majorBidi" w:cstheme="majorBidi"/>
          <w:sz w:val="26"/>
          <w:szCs w:val="26"/>
          <w:rtl/>
          <w:lang w:bidi="ar-EG"/>
        </w:rPr>
        <w:t xml:space="preserve">يوجد تأثير معنوي لـتأثير </w:t>
      </w:r>
      <w:r w:rsidR="00F341DD" w:rsidRPr="00202E2A">
        <w:rPr>
          <w:rFonts w:asciiTheme="majorBidi" w:hAnsiTheme="majorBidi" w:cstheme="majorBidi"/>
          <w:sz w:val="26"/>
          <w:szCs w:val="26"/>
          <w:rtl/>
          <w:lang w:bidi="ar-EG"/>
        </w:rPr>
        <w:t xml:space="preserve">لأبعاد التحول الرقمي </w:t>
      </w:r>
      <w:r w:rsidR="00F341DD" w:rsidRPr="00202E2A">
        <w:rPr>
          <w:rFonts w:asciiTheme="majorBidi" w:hAnsiTheme="majorBidi" w:cstheme="majorBidi"/>
          <w:b/>
          <w:bCs/>
          <w:sz w:val="26"/>
          <w:szCs w:val="26"/>
          <w:rtl/>
          <w:lang w:bidi="ar-EG"/>
        </w:rPr>
        <w:t>"الأسس الرقمية، الابتكار الرقمي، الحوكمة الرقمية"</w:t>
      </w:r>
      <w:r w:rsidR="00F341DD" w:rsidRPr="00202E2A">
        <w:rPr>
          <w:rFonts w:asciiTheme="majorBidi" w:hAnsiTheme="majorBidi" w:cstheme="majorBidi"/>
          <w:sz w:val="26"/>
          <w:szCs w:val="26"/>
          <w:rtl/>
          <w:lang w:bidi="ar-EG"/>
        </w:rPr>
        <w:t xml:space="preserve"> علي بند </w:t>
      </w:r>
      <w:r w:rsidRPr="00202E2A">
        <w:rPr>
          <w:rFonts w:asciiTheme="majorBidi" w:hAnsiTheme="majorBidi" w:cstheme="majorBidi"/>
          <w:sz w:val="26"/>
          <w:szCs w:val="26"/>
          <w:rtl/>
          <w:lang w:bidi="ar-EG"/>
        </w:rPr>
        <w:t>"</w:t>
      </w:r>
      <w:r w:rsidRPr="00202E2A">
        <w:rPr>
          <w:rFonts w:asciiTheme="majorBidi" w:hAnsiTheme="majorBidi" w:cstheme="majorBidi"/>
          <w:b/>
          <w:bCs/>
          <w:sz w:val="26"/>
          <w:szCs w:val="26"/>
          <w:rtl/>
          <w:lang w:bidi="ar-EG"/>
        </w:rPr>
        <w:t xml:space="preserve"> </w:t>
      </w:r>
      <w:r w:rsidR="008C59EB" w:rsidRPr="00202E2A">
        <w:rPr>
          <w:rFonts w:asciiTheme="majorBidi" w:hAnsiTheme="majorBidi" w:cstheme="majorBidi"/>
          <w:b/>
          <w:bCs/>
          <w:sz w:val="26"/>
          <w:szCs w:val="26"/>
          <w:rtl/>
          <w:lang w:bidi="ar-EG"/>
        </w:rPr>
        <w:t>تحسين كفاءة الرقابة الجمركية والحد من التهريب</w:t>
      </w:r>
      <w:r w:rsidRPr="00202E2A">
        <w:rPr>
          <w:rFonts w:asciiTheme="majorBidi" w:hAnsiTheme="majorBidi" w:cstheme="majorBidi"/>
          <w:sz w:val="26"/>
          <w:szCs w:val="26"/>
          <w:rtl/>
          <w:lang w:bidi="ar-EG"/>
        </w:rPr>
        <w:t>" في بند تعزيز الأمن.</w:t>
      </w:r>
    </w:p>
    <w:p w14:paraId="7603E92F" w14:textId="77777777" w:rsidR="00F341DD" w:rsidRPr="00202E2A" w:rsidRDefault="00C51EF1">
      <w:pPr>
        <w:pStyle w:val="ListParagraph"/>
        <w:numPr>
          <w:ilvl w:val="0"/>
          <w:numId w:val="5"/>
        </w:numPr>
        <w:bidi/>
        <w:spacing w:line="276" w:lineRule="auto"/>
        <w:ind w:left="360"/>
        <w:jc w:val="lowKashida"/>
        <w:rPr>
          <w:rFonts w:asciiTheme="majorBidi" w:hAnsiTheme="majorBidi" w:cstheme="majorBidi"/>
          <w:b/>
          <w:bCs/>
          <w:sz w:val="26"/>
          <w:szCs w:val="26"/>
          <w:u w:val="single"/>
          <w:lang w:bidi="ar-EG"/>
        </w:rPr>
      </w:pPr>
      <w:r w:rsidRPr="00202E2A">
        <w:rPr>
          <w:rFonts w:asciiTheme="majorBidi" w:hAnsiTheme="majorBidi" w:cstheme="majorBidi"/>
          <w:sz w:val="26"/>
          <w:szCs w:val="26"/>
          <w:rtl/>
          <w:lang w:bidi="ar-EG"/>
        </w:rPr>
        <w:t xml:space="preserve">يوجد تأثير معنوي لـتأثير </w:t>
      </w:r>
      <w:r w:rsidR="00F341DD" w:rsidRPr="00202E2A">
        <w:rPr>
          <w:rFonts w:asciiTheme="majorBidi" w:hAnsiTheme="majorBidi" w:cstheme="majorBidi"/>
          <w:sz w:val="26"/>
          <w:szCs w:val="26"/>
          <w:rtl/>
          <w:lang w:bidi="ar-EG"/>
        </w:rPr>
        <w:t xml:space="preserve">لأبعاد التحول الرقمي </w:t>
      </w:r>
      <w:r w:rsidR="00F341DD" w:rsidRPr="00202E2A">
        <w:rPr>
          <w:rFonts w:asciiTheme="majorBidi" w:hAnsiTheme="majorBidi" w:cstheme="majorBidi"/>
          <w:b/>
          <w:bCs/>
          <w:sz w:val="26"/>
          <w:szCs w:val="26"/>
          <w:rtl/>
          <w:lang w:bidi="ar-EG"/>
        </w:rPr>
        <w:t>"الأسس الرقمية، الابتكار الرقمي، الحوكمة الرقمية"</w:t>
      </w:r>
      <w:r w:rsidR="00F341DD" w:rsidRPr="00202E2A">
        <w:rPr>
          <w:rFonts w:asciiTheme="majorBidi" w:hAnsiTheme="majorBidi" w:cstheme="majorBidi"/>
          <w:sz w:val="26"/>
          <w:szCs w:val="26"/>
          <w:rtl/>
          <w:lang w:bidi="ar-EG"/>
        </w:rPr>
        <w:t xml:space="preserve"> علي بند </w:t>
      </w:r>
      <w:r w:rsidRPr="00202E2A">
        <w:rPr>
          <w:rFonts w:asciiTheme="majorBidi" w:hAnsiTheme="majorBidi" w:cstheme="majorBidi"/>
          <w:sz w:val="26"/>
          <w:szCs w:val="26"/>
          <w:rtl/>
          <w:lang w:bidi="ar-EG"/>
        </w:rPr>
        <w:t>"</w:t>
      </w:r>
      <w:r w:rsidRPr="00202E2A">
        <w:rPr>
          <w:rFonts w:asciiTheme="majorBidi" w:hAnsiTheme="majorBidi" w:cstheme="majorBidi"/>
          <w:b/>
          <w:bCs/>
          <w:sz w:val="26"/>
          <w:szCs w:val="26"/>
          <w:rtl/>
          <w:lang w:bidi="ar-EG"/>
        </w:rPr>
        <w:t>البُعد القانوني والسياسي</w:t>
      </w:r>
      <w:r w:rsidRPr="00202E2A">
        <w:rPr>
          <w:rFonts w:asciiTheme="majorBidi" w:hAnsiTheme="majorBidi" w:cstheme="majorBidi"/>
          <w:sz w:val="26"/>
          <w:szCs w:val="26"/>
          <w:rtl/>
          <w:lang w:bidi="ar-EG"/>
        </w:rPr>
        <w:t xml:space="preserve">" في بند </w:t>
      </w:r>
      <w:r w:rsidR="00F341DD" w:rsidRPr="00202E2A">
        <w:rPr>
          <w:rFonts w:asciiTheme="majorBidi" w:hAnsiTheme="majorBidi" w:cstheme="majorBidi"/>
          <w:sz w:val="26"/>
          <w:szCs w:val="26"/>
          <w:rtl/>
          <w:lang w:bidi="ar-EG"/>
        </w:rPr>
        <w:t xml:space="preserve">تعزيز الأمن </w:t>
      </w:r>
    </w:p>
    <w:p w14:paraId="2E835A7E" w14:textId="77777777" w:rsidR="00F341DD" w:rsidRPr="00202E2A" w:rsidRDefault="00C51EF1">
      <w:pPr>
        <w:pStyle w:val="ListParagraph"/>
        <w:numPr>
          <w:ilvl w:val="0"/>
          <w:numId w:val="5"/>
        </w:numPr>
        <w:bidi/>
        <w:spacing w:line="276" w:lineRule="auto"/>
        <w:ind w:left="360"/>
        <w:jc w:val="lowKashida"/>
        <w:rPr>
          <w:rFonts w:asciiTheme="majorBidi" w:hAnsiTheme="majorBidi" w:cstheme="majorBidi"/>
          <w:b/>
          <w:bCs/>
          <w:sz w:val="26"/>
          <w:szCs w:val="26"/>
          <w:u w:val="single"/>
          <w:lang w:bidi="ar-EG"/>
        </w:rPr>
      </w:pPr>
      <w:r w:rsidRPr="00202E2A">
        <w:rPr>
          <w:rFonts w:asciiTheme="majorBidi" w:hAnsiTheme="majorBidi" w:cstheme="majorBidi"/>
          <w:sz w:val="26"/>
          <w:szCs w:val="26"/>
          <w:rtl/>
          <w:lang w:bidi="ar-EG"/>
        </w:rPr>
        <w:t xml:space="preserve">يوجد تأثير معنوي لـتأثير </w:t>
      </w:r>
      <w:r w:rsidR="00F341DD" w:rsidRPr="00202E2A">
        <w:rPr>
          <w:rFonts w:asciiTheme="majorBidi" w:hAnsiTheme="majorBidi" w:cstheme="majorBidi"/>
          <w:sz w:val="26"/>
          <w:szCs w:val="26"/>
          <w:rtl/>
          <w:lang w:bidi="ar-EG"/>
        </w:rPr>
        <w:t xml:space="preserve">لأبعاد التحول الرقمي </w:t>
      </w:r>
      <w:r w:rsidR="00F341DD" w:rsidRPr="00202E2A">
        <w:rPr>
          <w:rFonts w:asciiTheme="majorBidi" w:hAnsiTheme="majorBidi" w:cstheme="majorBidi"/>
          <w:b/>
          <w:bCs/>
          <w:sz w:val="26"/>
          <w:szCs w:val="26"/>
          <w:rtl/>
          <w:lang w:bidi="ar-EG"/>
        </w:rPr>
        <w:t>"الأسس الرقمية، الابتكار الرقمي، الحوكمة الرقمية"</w:t>
      </w:r>
      <w:r w:rsidR="00F341DD" w:rsidRPr="00202E2A">
        <w:rPr>
          <w:rFonts w:asciiTheme="majorBidi" w:hAnsiTheme="majorBidi" w:cstheme="majorBidi"/>
          <w:sz w:val="26"/>
          <w:szCs w:val="26"/>
          <w:rtl/>
          <w:lang w:bidi="ar-EG"/>
        </w:rPr>
        <w:t xml:space="preserve"> علي بند </w:t>
      </w:r>
      <w:r w:rsidRPr="00202E2A">
        <w:rPr>
          <w:rFonts w:asciiTheme="majorBidi" w:hAnsiTheme="majorBidi" w:cstheme="majorBidi"/>
          <w:sz w:val="26"/>
          <w:szCs w:val="26"/>
          <w:rtl/>
          <w:lang w:bidi="ar-EG"/>
        </w:rPr>
        <w:t>"</w:t>
      </w:r>
      <w:r w:rsidRPr="00202E2A">
        <w:rPr>
          <w:rFonts w:asciiTheme="majorBidi" w:hAnsiTheme="majorBidi" w:cstheme="majorBidi"/>
          <w:b/>
          <w:bCs/>
          <w:sz w:val="26"/>
          <w:szCs w:val="26"/>
          <w:rtl/>
          <w:lang w:bidi="ar-EG"/>
        </w:rPr>
        <w:t>البُعد الاجتماعي والثقافي</w:t>
      </w:r>
      <w:r w:rsidRPr="00202E2A">
        <w:rPr>
          <w:rFonts w:asciiTheme="majorBidi" w:hAnsiTheme="majorBidi" w:cstheme="majorBidi"/>
          <w:sz w:val="26"/>
          <w:szCs w:val="26"/>
          <w:rtl/>
          <w:lang w:bidi="ar-EG"/>
        </w:rPr>
        <w:t xml:space="preserve">" في بند </w:t>
      </w:r>
      <w:r w:rsidR="00F341DD" w:rsidRPr="00202E2A">
        <w:rPr>
          <w:rFonts w:asciiTheme="majorBidi" w:hAnsiTheme="majorBidi" w:cstheme="majorBidi"/>
          <w:sz w:val="26"/>
          <w:szCs w:val="26"/>
          <w:rtl/>
          <w:lang w:bidi="ar-EG"/>
        </w:rPr>
        <w:t xml:space="preserve">تعزيز الأمن </w:t>
      </w:r>
    </w:p>
    <w:p w14:paraId="751FE587" w14:textId="6FEB3CAB" w:rsidR="00912B68" w:rsidRPr="00202E2A" w:rsidRDefault="00912B68">
      <w:pPr>
        <w:pStyle w:val="ListParagraph"/>
        <w:numPr>
          <w:ilvl w:val="0"/>
          <w:numId w:val="5"/>
        </w:numPr>
        <w:bidi/>
        <w:spacing w:line="276" w:lineRule="auto"/>
        <w:ind w:left="360"/>
        <w:jc w:val="lowKashida"/>
        <w:rPr>
          <w:rFonts w:asciiTheme="majorBidi" w:hAnsiTheme="majorBidi" w:cstheme="majorBidi"/>
          <w:b/>
          <w:bCs/>
          <w:sz w:val="26"/>
          <w:szCs w:val="26"/>
          <w:u w:val="single"/>
          <w:lang w:bidi="ar-EG"/>
        </w:rPr>
      </w:pPr>
      <w:r w:rsidRPr="00202E2A">
        <w:rPr>
          <w:rFonts w:asciiTheme="majorBidi" w:hAnsiTheme="majorBidi" w:cstheme="majorBidi"/>
          <w:sz w:val="26"/>
          <w:szCs w:val="26"/>
          <w:rtl/>
          <w:lang w:bidi="ar-EG"/>
        </w:rPr>
        <w:t xml:space="preserve">يوجد تأثير معنوي لـتأثير </w:t>
      </w:r>
      <w:r w:rsidR="00F341DD" w:rsidRPr="00202E2A">
        <w:rPr>
          <w:rFonts w:asciiTheme="majorBidi" w:hAnsiTheme="majorBidi" w:cstheme="majorBidi"/>
          <w:sz w:val="26"/>
          <w:szCs w:val="26"/>
          <w:rtl/>
          <w:lang w:bidi="ar-EG"/>
        </w:rPr>
        <w:t xml:space="preserve">لأبعاد التحول الرقمي </w:t>
      </w:r>
      <w:r w:rsidR="00F341DD" w:rsidRPr="00202E2A">
        <w:rPr>
          <w:rFonts w:asciiTheme="majorBidi" w:hAnsiTheme="majorBidi" w:cstheme="majorBidi"/>
          <w:b/>
          <w:bCs/>
          <w:sz w:val="26"/>
          <w:szCs w:val="26"/>
          <w:rtl/>
          <w:lang w:bidi="ar-EG"/>
        </w:rPr>
        <w:t>"الأسس الرقمية، الابتكار الرقمي، الحوكمة الرقمية"</w:t>
      </w:r>
      <w:r w:rsidR="00F341DD" w:rsidRPr="00202E2A">
        <w:rPr>
          <w:rFonts w:asciiTheme="majorBidi" w:hAnsiTheme="majorBidi" w:cstheme="majorBidi"/>
          <w:sz w:val="26"/>
          <w:szCs w:val="26"/>
          <w:rtl/>
          <w:lang w:bidi="ar-EG"/>
        </w:rPr>
        <w:t xml:space="preserve"> علي بند </w:t>
      </w:r>
      <w:r w:rsidRPr="00202E2A">
        <w:rPr>
          <w:rFonts w:asciiTheme="majorBidi" w:hAnsiTheme="majorBidi" w:cstheme="majorBidi"/>
          <w:sz w:val="26"/>
          <w:szCs w:val="26"/>
          <w:rtl/>
          <w:lang w:bidi="ar-EG"/>
        </w:rPr>
        <w:t>"</w:t>
      </w:r>
      <w:r w:rsidRPr="00202E2A">
        <w:rPr>
          <w:rFonts w:asciiTheme="majorBidi" w:hAnsiTheme="majorBidi" w:cstheme="majorBidi"/>
          <w:b/>
          <w:bCs/>
          <w:sz w:val="26"/>
          <w:szCs w:val="26"/>
          <w:rtl/>
          <w:lang w:bidi="ar-EG"/>
        </w:rPr>
        <w:t xml:space="preserve"> </w:t>
      </w:r>
      <w:r w:rsidR="00934E89" w:rsidRPr="00202E2A">
        <w:rPr>
          <w:rFonts w:asciiTheme="majorBidi" w:hAnsiTheme="majorBidi" w:cstheme="majorBidi"/>
          <w:b/>
          <w:bCs/>
          <w:sz w:val="26"/>
          <w:szCs w:val="26"/>
          <w:rtl/>
          <w:lang w:bidi="ar-EG"/>
        </w:rPr>
        <w:t>تعزيز التكامل والشراكات الاستراتيجية</w:t>
      </w:r>
      <w:r w:rsidRPr="00202E2A">
        <w:rPr>
          <w:rFonts w:asciiTheme="majorBidi" w:hAnsiTheme="majorBidi" w:cstheme="majorBidi"/>
          <w:sz w:val="26"/>
          <w:szCs w:val="26"/>
          <w:rtl/>
          <w:lang w:bidi="ar-EG"/>
        </w:rPr>
        <w:t>" في بند تعزيز الأمن.</w:t>
      </w:r>
    </w:p>
    <w:p w14:paraId="194E0F62" w14:textId="17FD98AC" w:rsidR="00341FFC" w:rsidRPr="00202E2A" w:rsidRDefault="00341FFC" w:rsidP="0019590B">
      <w:pPr>
        <w:bidi/>
        <w:spacing w:line="276" w:lineRule="auto"/>
        <w:jc w:val="lowKashida"/>
        <w:rPr>
          <w:rFonts w:asciiTheme="majorBidi" w:hAnsiTheme="majorBidi" w:cstheme="majorBidi"/>
          <w:b/>
          <w:bCs/>
          <w:sz w:val="26"/>
          <w:szCs w:val="26"/>
          <w:u w:val="single"/>
          <w:rtl/>
          <w:lang w:bidi="ar-EG"/>
        </w:rPr>
      </w:pPr>
      <w:r w:rsidRPr="00202E2A">
        <w:rPr>
          <w:rFonts w:asciiTheme="majorBidi" w:hAnsiTheme="majorBidi" w:cstheme="majorBidi"/>
          <w:b/>
          <w:bCs/>
          <w:sz w:val="26"/>
          <w:szCs w:val="26"/>
          <w:u w:val="single"/>
          <w:rtl/>
          <w:lang w:bidi="ar-EG"/>
        </w:rPr>
        <w:lastRenderedPageBreak/>
        <w:t xml:space="preserve">الفرض الفرعي الثاني: </w:t>
      </w:r>
    </w:p>
    <w:p w14:paraId="62B0E7E9" w14:textId="1334F0FA" w:rsidR="00341FFC" w:rsidRPr="00202E2A" w:rsidRDefault="00341FFC"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يوجد تأثير معنوي لـتأثير</w:t>
      </w:r>
      <w:r w:rsidRPr="00202E2A">
        <w:rPr>
          <w:rFonts w:asciiTheme="majorBidi" w:hAnsiTheme="majorBidi" w:cstheme="majorBidi"/>
          <w:b/>
          <w:bCs/>
          <w:sz w:val="26"/>
          <w:szCs w:val="26"/>
          <w:rtl/>
          <w:lang w:bidi="ar-EG"/>
        </w:rPr>
        <w:t xml:space="preserve"> </w:t>
      </w:r>
      <w:r w:rsidR="004E0FB1" w:rsidRPr="00202E2A">
        <w:rPr>
          <w:rFonts w:asciiTheme="majorBidi" w:hAnsiTheme="majorBidi" w:cstheme="majorBidi"/>
          <w:b/>
          <w:bCs/>
          <w:sz w:val="26"/>
          <w:szCs w:val="26"/>
          <w:rtl/>
          <w:lang w:bidi="ar-EG"/>
        </w:rPr>
        <w:t xml:space="preserve">التحول الرقمي </w:t>
      </w:r>
      <w:r w:rsidRPr="00202E2A">
        <w:rPr>
          <w:rFonts w:asciiTheme="majorBidi" w:hAnsiTheme="majorBidi" w:cstheme="majorBidi"/>
          <w:sz w:val="26"/>
          <w:szCs w:val="26"/>
          <w:rtl/>
          <w:lang w:bidi="ar-EG"/>
        </w:rPr>
        <w:t>علي بعد</w:t>
      </w:r>
      <w:r w:rsidRPr="00202E2A">
        <w:rPr>
          <w:rFonts w:asciiTheme="majorBidi" w:hAnsiTheme="majorBidi" w:cstheme="majorBidi"/>
          <w:b/>
          <w:bCs/>
          <w:sz w:val="26"/>
          <w:szCs w:val="26"/>
          <w:rtl/>
          <w:lang w:bidi="ar-EG"/>
        </w:rPr>
        <w:t xml:space="preserve"> "</w:t>
      </w:r>
      <w:r w:rsidR="004E0FB1" w:rsidRPr="00202E2A">
        <w:rPr>
          <w:rFonts w:asciiTheme="majorBidi" w:hAnsiTheme="majorBidi" w:cstheme="majorBidi"/>
          <w:b/>
          <w:bCs/>
          <w:sz w:val="26"/>
          <w:szCs w:val="26"/>
          <w:rtl/>
          <w:lang w:bidi="ar-EG"/>
        </w:rPr>
        <w:t>ت</w:t>
      </w:r>
      <w:r w:rsidR="00A9676E" w:rsidRPr="00202E2A">
        <w:rPr>
          <w:rFonts w:asciiTheme="majorBidi" w:hAnsiTheme="majorBidi" w:cstheme="majorBidi"/>
          <w:b/>
          <w:bCs/>
          <w:sz w:val="26"/>
          <w:szCs w:val="26"/>
          <w:rtl/>
          <w:lang w:bidi="ar-EG"/>
        </w:rPr>
        <w:t>ي</w:t>
      </w:r>
      <w:r w:rsidR="004E0FB1" w:rsidRPr="00202E2A">
        <w:rPr>
          <w:rFonts w:asciiTheme="majorBidi" w:hAnsiTheme="majorBidi" w:cstheme="majorBidi"/>
          <w:b/>
          <w:bCs/>
          <w:sz w:val="26"/>
          <w:szCs w:val="26"/>
          <w:rtl/>
          <w:lang w:bidi="ar-EG"/>
        </w:rPr>
        <w:t>سير التجارة</w:t>
      </w:r>
      <w:r w:rsidRPr="00202E2A">
        <w:rPr>
          <w:rFonts w:asciiTheme="majorBidi" w:hAnsiTheme="majorBidi" w:cstheme="majorBidi"/>
          <w:b/>
          <w:bCs/>
          <w:sz w:val="26"/>
          <w:szCs w:val="26"/>
          <w:rtl/>
          <w:lang w:bidi="ar-EG"/>
        </w:rPr>
        <w:t>"</w:t>
      </w:r>
      <w:r w:rsidRPr="00202E2A">
        <w:rPr>
          <w:rFonts w:asciiTheme="majorBidi" w:hAnsiTheme="majorBidi" w:cstheme="majorBidi"/>
          <w:sz w:val="26"/>
          <w:szCs w:val="26"/>
          <w:rtl/>
          <w:lang w:bidi="ar-EG"/>
        </w:rPr>
        <w:t>، وينقسم إلي جزئيات نقاط:</w:t>
      </w:r>
    </w:p>
    <w:bookmarkEnd w:id="3"/>
    <w:p w14:paraId="221B5898" w14:textId="710D72CC" w:rsidR="004E0FB1" w:rsidRPr="00202E2A" w:rsidRDefault="004E0FB1">
      <w:pPr>
        <w:pStyle w:val="ListParagraph"/>
        <w:numPr>
          <w:ilvl w:val="0"/>
          <w:numId w:val="5"/>
        </w:numPr>
        <w:bidi/>
        <w:spacing w:line="276" w:lineRule="auto"/>
        <w:ind w:left="360"/>
        <w:jc w:val="lowKashida"/>
        <w:rPr>
          <w:rFonts w:asciiTheme="majorBidi" w:hAnsiTheme="majorBidi" w:cstheme="majorBidi"/>
          <w:b/>
          <w:bCs/>
          <w:sz w:val="26"/>
          <w:szCs w:val="26"/>
          <w:u w:val="single"/>
          <w:lang w:bidi="ar-EG"/>
        </w:rPr>
      </w:pPr>
      <w:r w:rsidRPr="00202E2A">
        <w:rPr>
          <w:rFonts w:asciiTheme="majorBidi" w:hAnsiTheme="majorBidi" w:cstheme="majorBidi"/>
          <w:sz w:val="26"/>
          <w:szCs w:val="26"/>
          <w:rtl/>
          <w:lang w:bidi="ar-EG"/>
        </w:rPr>
        <w:t xml:space="preserve">يوجد تأثير معنوي </w:t>
      </w:r>
      <w:r w:rsidR="00F341DD" w:rsidRPr="00202E2A">
        <w:rPr>
          <w:rFonts w:asciiTheme="majorBidi" w:hAnsiTheme="majorBidi" w:cstheme="majorBidi"/>
          <w:sz w:val="26"/>
          <w:szCs w:val="26"/>
          <w:rtl/>
          <w:lang w:bidi="ar-EG"/>
        </w:rPr>
        <w:t xml:space="preserve">لأبعاد التحول الرقمي </w:t>
      </w:r>
      <w:r w:rsidR="00F341DD" w:rsidRPr="00202E2A">
        <w:rPr>
          <w:rFonts w:asciiTheme="majorBidi" w:hAnsiTheme="majorBidi" w:cstheme="majorBidi"/>
          <w:b/>
          <w:bCs/>
          <w:sz w:val="26"/>
          <w:szCs w:val="26"/>
          <w:rtl/>
          <w:lang w:bidi="ar-EG"/>
        </w:rPr>
        <w:t>"الأسس الرقمية، الابتكار الرقمي، الحوكمة الرقمية"</w:t>
      </w:r>
      <w:r w:rsidR="00F341DD" w:rsidRPr="00202E2A">
        <w:rPr>
          <w:rFonts w:asciiTheme="majorBidi" w:hAnsiTheme="majorBidi" w:cstheme="majorBidi"/>
          <w:sz w:val="26"/>
          <w:szCs w:val="26"/>
          <w:rtl/>
          <w:lang w:bidi="ar-EG"/>
        </w:rPr>
        <w:t xml:space="preserve"> علي بند </w:t>
      </w:r>
      <w:r w:rsidRPr="00202E2A">
        <w:rPr>
          <w:rFonts w:asciiTheme="majorBidi" w:hAnsiTheme="majorBidi" w:cstheme="majorBidi"/>
          <w:sz w:val="26"/>
          <w:szCs w:val="26"/>
          <w:rtl/>
          <w:lang w:bidi="ar-EG"/>
        </w:rPr>
        <w:t>"</w:t>
      </w:r>
      <w:r w:rsidR="00811C6F" w:rsidRPr="00202E2A">
        <w:rPr>
          <w:rFonts w:asciiTheme="majorBidi" w:hAnsiTheme="majorBidi" w:cstheme="majorBidi"/>
          <w:b/>
          <w:bCs/>
          <w:sz w:val="26"/>
          <w:szCs w:val="26"/>
          <w:rtl/>
          <w:lang w:bidi="ar-EG"/>
        </w:rPr>
        <w:t>البُعد الاقتصادي</w:t>
      </w:r>
      <w:r w:rsidRPr="00202E2A">
        <w:rPr>
          <w:rFonts w:asciiTheme="majorBidi" w:hAnsiTheme="majorBidi" w:cstheme="majorBidi"/>
          <w:sz w:val="26"/>
          <w:szCs w:val="26"/>
          <w:rtl/>
          <w:lang w:bidi="ar-EG"/>
        </w:rPr>
        <w:t>" في بند ت</w:t>
      </w:r>
      <w:r w:rsidR="00A9676E" w:rsidRPr="00202E2A">
        <w:rPr>
          <w:rFonts w:asciiTheme="majorBidi" w:hAnsiTheme="majorBidi" w:cstheme="majorBidi"/>
          <w:sz w:val="26"/>
          <w:szCs w:val="26"/>
          <w:rtl/>
          <w:lang w:bidi="ar-EG"/>
        </w:rPr>
        <w:t>ي</w:t>
      </w:r>
      <w:r w:rsidRPr="00202E2A">
        <w:rPr>
          <w:rFonts w:asciiTheme="majorBidi" w:hAnsiTheme="majorBidi" w:cstheme="majorBidi"/>
          <w:sz w:val="26"/>
          <w:szCs w:val="26"/>
          <w:rtl/>
          <w:lang w:bidi="ar-EG"/>
        </w:rPr>
        <w:t>سير التجارة.</w:t>
      </w:r>
    </w:p>
    <w:p w14:paraId="48324BE9" w14:textId="2BF9DCFE" w:rsidR="004E0FB1" w:rsidRPr="00202E2A" w:rsidRDefault="004E0FB1">
      <w:pPr>
        <w:pStyle w:val="ListParagraph"/>
        <w:numPr>
          <w:ilvl w:val="0"/>
          <w:numId w:val="5"/>
        </w:numPr>
        <w:bidi/>
        <w:spacing w:line="276" w:lineRule="auto"/>
        <w:ind w:left="360"/>
        <w:jc w:val="lowKashida"/>
        <w:rPr>
          <w:rFonts w:asciiTheme="majorBidi" w:hAnsiTheme="majorBidi" w:cstheme="majorBidi"/>
          <w:b/>
          <w:bCs/>
          <w:sz w:val="26"/>
          <w:szCs w:val="26"/>
          <w:u w:val="single"/>
          <w:lang w:bidi="ar-EG"/>
        </w:rPr>
      </w:pPr>
      <w:r w:rsidRPr="00202E2A">
        <w:rPr>
          <w:rFonts w:asciiTheme="majorBidi" w:hAnsiTheme="majorBidi" w:cstheme="majorBidi"/>
          <w:sz w:val="26"/>
          <w:szCs w:val="26"/>
          <w:rtl/>
          <w:lang w:bidi="ar-EG"/>
        </w:rPr>
        <w:t xml:space="preserve">يوجد تأثير معنوي </w:t>
      </w:r>
      <w:r w:rsidR="00F341DD" w:rsidRPr="00202E2A">
        <w:rPr>
          <w:rFonts w:asciiTheme="majorBidi" w:hAnsiTheme="majorBidi" w:cstheme="majorBidi"/>
          <w:sz w:val="26"/>
          <w:szCs w:val="26"/>
          <w:rtl/>
          <w:lang w:bidi="ar-EG"/>
        </w:rPr>
        <w:t xml:space="preserve">لأبعاد التحول الرقمي </w:t>
      </w:r>
      <w:r w:rsidR="00F341DD" w:rsidRPr="00202E2A">
        <w:rPr>
          <w:rFonts w:asciiTheme="majorBidi" w:hAnsiTheme="majorBidi" w:cstheme="majorBidi"/>
          <w:b/>
          <w:bCs/>
          <w:sz w:val="26"/>
          <w:szCs w:val="26"/>
          <w:rtl/>
          <w:lang w:bidi="ar-EG"/>
        </w:rPr>
        <w:t>"الأسس الرقمية، الابتكار الرقمي، الحوكمة الرقمية"</w:t>
      </w:r>
      <w:r w:rsidR="00F341DD" w:rsidRPr="00202E2A">
        <w:rPr>
          <w:rFonts w:asciiTheme="majorBidi" w:hAnsiTheme="majorBidi" w:cstheme="majorBidi"/>
          <w:sz w:val="26"/>
          <w:szCs w:val="26"/>
          <w:rtl/>
          <w:lang w:bidi="ar-EG"/>
        </w:rPr>
        <w:t xml:space="preserve"> علي بند </w:t>
      </w:r>
      <w:r w:rsidRPr="00202E2A">
        <w:rPr>
          <w:rFonts w:asciiTheme="majorBidi" w:hAnsiTheme="majorBidi" w:cstheme="majorBidi"/>
          <w:sz w:val="26"/>
          <w:szCs w:val="26"/>
          <w:rtl/>
          <w:lang w:bidi="ar-EG"/>
        </w:rPr>
        <w:t>"</w:t>
      </w:r>
      <w:r w:rsidR="00811C6F" w:rsidRPr="00202E2A">
        <w:rPr>
          <w:rFonts w:asciiTheme="majorBidi" w:hAnsiTheme="majorBidi" w:cstheme="majorBidi"/>
          <w:b/>
          <w:bCs/>
          <w:sz w:val="26"/>
          <w:szCs w:val="26"/>
          <w:rtl/>
          <w:lang w:bidi="ar-EG"/>
        </w:rPr>
        <w:t>البُعد التكنولوجي</w:t>
      </w:r>
      <w:r w:rsidRPr="00202E2A">
        <w:rPr>
          <w:rFonts w:asciiTheme="majorBidi" w:hAnsiTheme="majorBidi" w:cstheme="majorBidi"/>
          <w:sz w:val="26"/>
          <w:szCs w:val="26"/>
          <w:rtl/>
          <w:lang w:bidi="ar-EG"/>
        </w:rPr>
        <w:t>" في بند ت</w:t>
      </w:r>
      <w:r w:rsidR="00A9676E" w:rsidRPr="00202E2A">
        <w:rPr>
          <w:rFonts w:asciiTheme="majorBidi" w:hAnsiTheme="majorBidi" w:cstheme="majorBidi"/>
          <w:sz w:val="26"/>
          <w:szCs w:val="26"/>
          <w:rtl/>
          <w:lang w:bidi="ar-EG"/>
        </w:rPr>
        <w:t>ي</w:t>
      </w:r>
      <w:r w:rsidRPr="00202E2A">
        <w:rPr>
          <w:rFonts w:asciiTheme="majorBidi" w:hAnsiTheme="majorBidi" w:cstheme="majorBidi"/>
          <w:sz w:val="26"/>
          <w:szCs w:val="26"/>
          <w:rtl/>
          <w:lang w:bidi="ar-EG"/>
        </w:rPr>
        <w:t>سير التجارة.</w:t>
      </w:r>
    </w:p>
    <w:p w14:paraId="6DC54BEB" w14:textId="2B9FD0DE" w:rsidR="00C51EF1" w:rsidRPr="00202E2A" w:rsidRDefault="00C51EF1">
      <w:pPr>
        <w:pStyle w:val="ListParagraph"/>
        <w:numPr>
          <w:ilvl w:val="0"/>
          <w:numId w:val="5"/>
        </w:numPr>
        <w:tabs>
          <w:tab w:val="right" w:pos="360"/>
        </w:tabs>
        <w:bidi/>
        <w:spacing w:line="276" w:lineRule="auto"/>
        <w:ind w:left="360"/>
        <w:jc w:val="lowKashida"/>
        <w:rPr>
          <w:rFonts w:asciiTheme="majorBidi" w:hAnsiTheme="majorBidi" w:cstheme="majorBidi"/>
          <w:b/>
          <w:bCs/>
          <w:sz w:val="26"/>
          <w:szCs w:val="26"/>
          <w:u w:val="single"/>
          <w:lang w:bidi="ar-EG"/>
        </w:rPr>
      </w:pPr>
      <w:r w:rsidRPr="00202E2A">
        <w:rPr>
          <w:rFonts w:asciiTheme="majorBidi" w:hAnsiTheme="majorBidi" w:cstheme="majorBidi"/>
          <w:sz w:val="26"/>
          <w:szCs w:val="26"/>
          <w:rtl/>
          <w:lang w:bidi="ar-EG"/>
        </w:rPr>
        <w:t xml:space="preserve">يوجد تأثير معنوي </w:t>
      </w:r>
      <w:r w:rsidR="00F341DD" w:rsidRPr="00202E2A">
        <w:rPr>
          <w:rFonts w:asciiTheme="majorBidi" w:hAnsiTheme="majorBidi" w:cstheme="majorBidi"/>
          <w:sz w:val="26"/>
          <w:szCs w:val="26"/>
          <w:rtl/>
          <w:lang w:bidi="ar-EG"/>
        </w:rPr>
        <w:t xml:space="preserve">لأبعاد التحول الرقمي </w:t>
      </w:r>
      <w:r w:rsidR="00F341DD" w:rsidRPr="00202E2A">
        <w:rPr>
          <w:rFonts w:asciiTheme="majorBidi" w:hAnsiTheme="majorBidi" w:cstheme="majorBidi"/>
          <w:b/>
          <w:bCs/>
          <w:sz w:val="26"/>
          <w:szCs w:val="26"/>
          <w:rtl/>
          <w:lang w:bidi="ar-EG"/>
        </w:rPr>
        <w:t>"الأسس الرقمية، الابتكار الرقمي، الحوكمة الرقمية"</w:t>
      </w:r>
      <w:r w:rsidR="00F341DD" w:rsidRPr="00202E2A">
        <w:rPr>
          <w:rFonts w:asciiTheme="majorBidi" w:hAnsiTheme="majorBidi" w:cstheme="majorBidi"/>
          <w:sz w:val="26"/>
          <w:szCs w:val="26"/>
          <w:rtl/>
          <w:lang w:bidi="ar-EG"/>
        </w:rPr>
        <w:t xml:space="preserve"> علي بند </w:t>
      </w:r>
      <w:r w:rsidRPr="00202E2A">
        <w:rPr>
          <w:rFonts w:asciiTheme="majorBidi" w:hAnsiTheme="majorBidi" w:cstheme="majorBidi"/>
          <w:sz w:val="26"/>
          <w:szCs w:val="26"/>
          <w:rtl/>
          <w:lang w:bidi="ar-EG"/>
        </w:rPr>
        <w:t>"</w:t>
      </w:r>
      <w:r w:rsidRPr="00202E2A">
        <w:rPr>
          <w:rFonts w:asciiTheme="majorBidi" w:hAnsiTheme="majorBidi" w:cstheme="majorBidi"/>
          <w:b/>
          <w:bCs/>
          <w:sz w:val="26"/>
          <w:szCs w:val="26"/>
          <w:rtl/>
          <w:lang w:bidi="ar-EG"/>
        </w:rPr>
        <w:t xml:space="preserve"> تقليل التهرب الضريبي وتعزيز الامتثال</w:t>
      </w:r>
      <w:r w:rsidRPr="00202E2A">
        <w:rPr>
          <w:rFonts w:asciiTheme="majorBidi" w:hAnsiTheme="majorBidi" w:cstheme="majorBidi"/>
          <w:sz w:val="26"/>
          <w:szCs w:val="26"/>
          <w:rtl/>
          <w:lang w:bidi="ar-EG"/>
        </w:rPr>
        <w:t xml:space="preserve">" في بند </w:t>
      </w:r>
      <w:r w:rsidR="00F341DD" w:rsidRPr="00202E2A">
        <w:rPr>
          <w:rFonts w:asciiTheme="majorBidi" w:hAnsiTheme="majorBidi" w:cstheme="majorBidi"/>
          <w:sz w:val="26"/>
          <w:szCs w:val="26"/>
          <w:rtl/>
          <w:lang w:bidi="ar-EG"/>
        </w:rPr>
        <w:t>ت</w:t>
      </w:r>
      <w:r w:rsidR="00A9676E" w:rsidRPr="00202E2A">
        <w:rPr>
          <w:rFonts w:asciiTheme="majorBidi" w:hAnsiTheme="majorBidi" w:cstheme="majorBidi"/>
          <w:sz w:val="26"/>
          <w:szCs w:val="26"/>
          <w:rtl/>
          <w:lang w:bidi="ar-EG"/>
        </w:rPr>
        <w:t>ي</w:t>
      </w:r>
      <w:r w:rsidR="00F341DD" w:rsidRPr="00202E2A">
        <w:rPr>
          <w:rFonts w:asciiTheme="majorBidi" w:hAnsiTheme="majorBidi" w:cstheme="majorBidi"/>
          <w:sz w:val="26"/>
          <w:szCs w:val="26"/>
          <w:rtl/>
          <w:lang w:bidi="ar-EG"/>
        </w:rPr>
        <w:t>سير التجارة</w:t>
      </w:r>
      <w:r w:rsidRPr="00202E2A">
        <w:rPr>
          <w:rFonts w:asciiTheme="majorBidi" w:hAnsiTheme="majorBidi" w:cstheme="majorBidi"/>
          <w:sz w:val="26"/>
          <w:szCs w:val="26"/>
          <w:rtl/>
          <w:lang w:bidi="ar-EG"/>
        </w:rPr>
        <w:t>.</w:t>
      </w:r>
    </w:p>
    <w:p w14:paraId="72C3552F" w14:textId="2D1CB143" w:rsidR="00912B68" w:rsidRPr="00202E2A" w:rsidRDefault="00912B68">
      <w:pPr>
        <w:pStyle w:val="ListParagraph"/>
        <w:numPr>
          <w:ilvl w:val="0"/>
          <w:numId w:val="5"/>
        </w:numPr>
        <w:bidi/>
        <w:spacing w:line="276" w:lineRule="auto"/>
        <w:ind w:left="360"/>
        <w:jc w:val="lowKashida"/>
        <w:rPr>
          <w:rFonts w:asciiTheme="majorBidi" w:hAnsiTheme="majorBidi" w:cstheme="majorBidi"/>
          <w:b/>
          <w:bCs/>
          <w:sz w:val="26"/>
          <w:szCs w:val="26"/>
          <w:u w:val="single"/>
          <w:lang w:bidi="ar-EG"/>
        </w:rPr>
      </w:pPr>
      <w:r w:rsidRPr="00202E2A">
        <w:rPr>
          <w:rFonts w:asciiTheme="majorBidi" w:hAnsiTheme="majorBidi" w:cstheme="majorBidi"/>
          <w:sz w:val="26"/>
          <w:szCs w:val="26"/>
          <w:rtl/>
          <w:lang w:bidi="ar-EG"/>
        </w:rPr>
        <w:t xml:space="preserve">يوجد تأثير معنوي </w:t>
      </w:r>
      <w:r w:rsidR="00F341DD" w:rsidRPr="00202E2A">
        <w:rPr>
          <w:rFonts w:asciiTheme="majorBidi" w:hAnsiTheme="majorBidi" w:cstheme="majorBidi"/>
          <w:sz w:val="26"/>
          <w:szCs w:val="26"/>
          <w:rtl/>
          <w:lang w:bidi="ar-EG"/>
        </w:rPr>
        <w:t xml:space="preserve">لأبعاد التحول الرقمي </w:t>
      </w:r>
      <w:r w:rsidR="00F341DD" w:rsidRPr="00202E2A">
        <w:rPr>
          <w:rFonts w:asciiTheme="majorBidi" w:hAnsiTheme="majorBidi" w:cstheme="majorBidi"/>
          <w:b/>
          <w:bCs/>
          <w:sz w:val="26"/>
          <w:szCs w:val="26"/>
          <w:rtl/>
          <w:lang w:bidi="ar-EG"/>
        </w:rPr>
        <w:t>"الأسس الرقمية، الابتكار الرقمي، الحوكمة الرقمية"</w:t>
      </w:r>
      <w:r w:rsidR="00F341DD" w:rsidRPr="00202E2A">
        <w:rPr>
          <w:rFonts w:asciiTheme="majorBidi" w:hAnsiTheme="majorBidi" w:cstheme="majorBidi"/>
          <w:sz w:val="26"/>
          <w:szCs w:val="26"/>
          <w:rtl/>
          <w:lang w:bidi="ar-EG"/>
        </w:rPr>
        <w:t xml:space="preserve"> علي بند </w:t>
      </w:r>
      <w:r w:rsidRPr="00202E2A">
        <w:rPr>
          <w:rFonts w:asciiTheme="majorBidi" w:hAnsiTheme="majorBidi" w:cstheme="majorBidi"/>
          <w:sz w:val="26"/>
          <w:szCs w:val="26"/>
          <w:rtl/>
          <w:lang w:bidi="ar-EG"/>
        </w:rPr>
        <w:t>"</w:t>
      </w:r>
      <w:r w:rsidR="00811C6F" w:rsidRPr="00202E2A">
        <w:rPr>
          <w:rFonts w:asciiTheme="majorBidi" w:hAnsiTheme="majorBidi" w:cstheme="majorBidi"/>
          <w:b/>
          <w:bCs/>
          <w:sz w:val="26"/>
          <w:szCs w:val="26"/>
          <w:rtl/>
          <w:lang w:bidi="ar-EG"/>
        </w:rPr>
        <w:t>البُعد البيئي</w:t>
      </w:r>
      <w:r w:rsidRPr="00202E2A">
        <w:rPr>
          <w:rFonts w:asciiTheme="majorBidi" w:hAnsiTheme="majorBidi" w:cstheme="majorBidi"/>
          <w:sz w:val="26"/>
          <w:szCs w:val="26"/>
          <w:rtl/>
          <w:lang w:bidi="ar-EG"/>
        </w:rPr>
        <w:t>" في بند ت</w:t>
      </w:r>
      <w:r w:rsidR="00A9676E" w:rsidRPr="00202E2A">
        <w:rPr>
          <w:rFonts w:asciiTheme="majorBidi" w:hAnsiTheme="majorBidi" w:cstheme="majorBidi"/>
          <w:sz w:val="26"/>
          <w:szCs w:val="26"/>
          <w:rtl/>
          <w:lang w:bidi="ar-EG"/>
        </w:rPr>
        <w:t>ي</w:t>
      </w:r>
      <w:r w:rsidRPr="00202E2A">
        <w:rPr>
          <w:rFonts w:asciiTheme="majorBidi" w:hAnsiTheme="majorBidi" w:cstheme="majorBidi"/>
          <w:sz w:val="26"/>
          <w:szCs w:val="26"/>
          <w:rtl/>
          <w:lang w:bidi="ar-EG"/>
        </w:rPr>
        <w:t>سير التجارة.</w:t>
      </w:r>
    </w:p>
    <w:bookmarkEnd w:id="2"/>
    <w:p w14:paraId="2DB2D092" w14:textId="2ACC08A5" w:rsidR="003804AC" w:rsidRPr="00202E2A" w:rsidRDefault="004B4A0D" w:rsidP="0019590B">
      <w:pPr>
        <w:bidi/>
        <w:spacing w:line="276" w:lineRule="auto"/>
        <w:jc w:val="lowKashida"/>
        <w:rPr>
          <w:rFonts w:asciiTheme="majorBidi" w:hAnsiTheme="majorBidi" w:cstheme="majorBidi"/>
          <w:b/>
          <w:bCs/>
          <w:color w:val="002060"/>
          <w:sz w:val="26"/>
          <w:szCs w:val="26"/>
          <w:lang w:bidi="ar-EG"/>
        </w:rPr>
      </w:pPr>
      <w:r w:rsidRPr="00202E2A">
        <w:rPr>
          <w:rFonts w:asciiTheme="majorBidi" w:hAnsiTheme="majorBidi" w:cstheme="majorBidi"/>
          <w:b/>
          <w:bCs/>
          <w:color w:val="002060"/>
          <w:sz w:val="26"/>
          <w:szCs w:val="26"/>
          <w:rtl/>
          <w:lang w:bidi="ar-EG"/>
        </w:rPr>
        <w:t>سادساً</w:t>
      </w:r>
      <w:r w:rsidR="00341FFC" w:rsidRPr="00202E2A">
        <w:rPr>
          <w:rFonts w:asciiTheme="majorBidi" w:hAnsiTheme="majorBidi" w:cstheme="majorBidi"/>
          <w:b/>
          <w:bCs/>
          <w:color w:val="002060"/>
          <w:sz w:val="26"/>
          <w:szCs w:val="26"/>
          <w:rtl/>
          <w:lang w:bidi="ar-EG"/>
        </w:rPr>
        <w:t>:</w:t>
      </w:r>
      <w:r w:rsidR="003C7975" w:rsidRPr="00202E2A">
        <w:rPr>
          <w:rFonts w:asciiTheme="majorBidi" w:hAnsiTheme="majorBidi" w:cstheme="majorBidi"/>
          <w:b/>
          <w:bCs/>
          <w:color w:val="002060"/>
          <w:sz w:val="26"/>
          <w:szCs w:val="26"/>
          <w:lang w:bidi="ar-EG"/>
        </w:rPr>
        <w:t xml:space="preserve"> </w:t>
      </w:r>
      <w:r w:rsidR="003804AC" w:rsidRPr="00202E2A">
        <w:rPr>
          <w:rFonts w:asciiTheme="majorBidi" w:hAnsiTheme="majorBidi" w:cstheme="majorBidi"/>
          <w:b/>
          <w:bCs/>
          <w:color w:val="002060"/>
          <w:sz w:val="26"/>
          <w:szCs w:val="26"/>
          <w:rtl/>
          <w:lang w:bidi="ar-EG"/>
        </w:rPr>
        <w:t xml:space="preserve">مفاهيم الدراسة </w:t>
      </w:r>
      <w:r w:rsidR="003804AC" w:rsidRPr="00202E2A">
        <w:rPr>
          <w:rFonts w:asciiTheme="majorBidi" w:hAnsiTheme="majorBidi" w:cstheme="majorBidi"/>
          <w:b/>
          <w:bCs/>
          <w:color w:val="002060"/>
          <w:sz w:val="26"/>
          <w:szCs w:val="26"/>
          <w:lang w:bidi="ar-EG"/>
        </w:rPr>
        <w:t>Basic Terms</w:t>
      </w:r>
    </w:p>
    <w:p w14:paraId="3FF83693" w14:textId="363C8A4F" w:rsidR="003804AC" w:rsidRPr="00202E2A" w:rsidRDefault="003804AC"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يشير العديد من الدراسات المتعددة أن مفاهيم وأبعاد متغيرات الدراسة التحول الرقمي وتعزيز الأمن وت</w:t>
      </w:r>
      <w:r w:rsidR="00AB6E1A" w:rsidRPr="00202E2A">
        <w:rPr>
          <w:rFonts w:asciiTheme="majorBidi" w:hAnsiTheme="majorBidi" w:cstheme="majorBidi"/>
          <w:sz w:val="26"/>
          <w:szCs w:val="26"/>
          <w:rtl/>
          <w:lang w:bidi="ar-EG"/>
        </w:rPr>
        <w:t>ي</w:t>
      </w:r>
      <w:r w:rsidRPr="00202E2A">
        <w:rPr>
          <w:rFonts w:asciiTheme="majorBidi" w:hAnsiTheme="majorBidi" w:cstheme="majorBidi"/>
          <w:sz w:val="26"/>
          <w:szCs w:val="26"/>
          <w:rtl/>
          <w:lang w:bidi="ar-EG"/>
        </w:rPr>
        <w:t>سير التجارة:</w:t>
      </w:r>
    </w:p>
    <w:p w14:paraId="30526E75" w14:textId="77777777" w:rsidR="003804AC" w:rsidRPr="00202E2A" w:rsidRDefault="003804AC" w:rsidP="0019590B">
      <w:pPr>
        <w:bidi/>
        <w:spacing w:line="276" w:lineRule="auto"/>
        <w:jc w:val="lowKashida"/>
        <w:rPr>
          <w:rFonts w:asciiTheme="majorBidi" w:hAnsiTheme="majorBidi" w:cstheme="majorBidi"/>
          <w:b/>
          <w:bCs/>
          <w:sz w:val="26"/>
          <w:szCs w:val="26"/>
          <w:u w:val="single"/>
          <w:rtl/>
          <w:lang w:bidi="ar-EG"/>
        </w:rPr>
      </w:pPr>
      <w:r w:rsidRPr="00202E2A">
        <w:rPr>
          <w:rFonts w:asciiTheme="majorBidi" w:hAnsiTheme="majorBidi" w:cstheme="majorBidi"/>
          <w:b/>
          <w:bCs/>
          <w:sz w:val="26"/>
          <w:szCs w:val="26"/>
          <w:u w:val="single"/>
          <w:rtl/>
          <w:lang w:bidi="ar-EG"/>
        </w:rPr>
        <w:t>أولاً: مفهوم وأبعاد التحول الرقمي</w:t>
      </w:r>
      <w:r w:rsidRPr="00202E2A">
        <w:rPr>
          <w:rFonts w:asciiTheme="majorBidi" w:hAnsiTheme="majorBidi" w:cstheme="majorBidi"/>
          <w:b/>
          <w:bCs/>
          <w:sz w:val="26"/>
          <w:szCs w:val="26"/>
          <w:u w:val="single"/>
          <w:lang w:bidi="ar-EG"/>
        </w:rPr>
        <w:t>:</w:t>
      </w:r>
    </w:p>
    <w:p w14:paraId="65645C2A" w14:textId="77777777" w:rsidR="003804AC" w:rsidRPr="00202E2A" w:rsidRDefault="003804AC" w:rsidP="0019590B">
      <w:pPr>
        <w:bidi/>
        <w:spacing w:line="276" w:lineRule="auto"/>
        <w:ind w:firstLine="720"/>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يعرف دراسة</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w:t>
      </w:r>
      <w:r w:rsidRPr="00202E2A">
        <w:rPr>
          <w:rFonts w:asciiTheme="majorBidi" w:hAnsiTheme="majorBidi" w:cstheme="majorBidi"/>
          <w:sz w:val="26"/>
          <w:szCs w:val="26"/>
          <w:lang w:bidi="ar-EG"/>
        </w:rPr>
        <w:t xml:space="preserve">, al et, 2019 </w:t>
      </w:r>
      <w:r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lang w:bidi="ar-EG"/>
        </w:rPr>
        <w:t>Muehlburger</w:t>
      </w:r>
      <w:r w:rsidRPr="00202E2A">
        <w:rPr>
          <w:rFonts w:asciiTheme="majorBidi" w:hAnsiTheme="majorBidi" w:cstheme="majorBidi"/>
          <w:sz w:val="26"/>
          <w:szCs w:val="26"/>
          <w:rtl/>
          <w:lang w:bidi="ar-EG"/>
        </w:rPr>
        <w:t>) بأنه "القيام بتغييرات جذريه وجوهرية داخل سلسلة خلق القيمة للشركة أو هيكلها الداخلي والتي تكون إما سبب أو شرط مسبق لاستخدام التكنولوجيا"</w:t>
      </w:r>
      <w:r w:rsidRPr="00202E2A">
        <w:rPr>
          <w:rFonts w:asciiTheme="majorBidi" w:hAnsiTheme="majorBidi" w:cstheme="majorBidi"/>
          <w:sz w:val="26"/>
          <w:szCs w:val="26"/>
          <w:lang w:bidi="ar-EG"/>
        </w:rPr>
        <w:t>.</w:t>
      </w:r>
    </w:p>
    <w:p w14:paraId="5630930B" w14:textId="77777777" w:rsidR="003804AC" w:rsidRPr="00202E2A" w:rsidRDefault="003804AC" w:rsidP="0019590B">
      <w:pPr>
        <w:bidi/>
        <w:spacing w:line="276" w:lineRule="auto"/>
        <w:ind w:firstLine="720"/>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بينما قامت دراسة</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w:t>
      </w:r>
      <w:r w:rsidRPr="00202E2A">
        <w:rPr>
          <w:rFonts w:asciiTheme="majorBidi" w:hAnsiTheme="majorBidi" w:cstheme="majorBidi"/>
          <w:sz w:val="26"/>
          <w:szCs w:val="26"/>
          <w:lang w:bidi="ar-EG"/>
        </w:rPr>
        <w:t xml:space="preserve"> (Vial, 2019 </w:t>
      </w:r>
      <w:r w:rsidRPr="00202E2A">
        <w:rPr>
          <w:rFonts w:asciiTheme="majorBidi" w:hAnsiTheme="majorBidi" w:cstheme="majorBidi"/>
          <w:sz w:val="26"/>
          <w:szCs w:val="26"/>
          <w:rtl/>
          <w:lang w:bidi="ar-EG"/>
        </w:rPr>
        <w:t xml:space="preserve">بتعريفه بأنه "عملية تهدف إلى تحسين الكيانات والمؤسسات من خلال إطلاق تغييرات كبيرة على خصائصها، من خلال استخدام مجموعة من تقنيات المعلومات والحوسبة والاتصالات". </w:t>
      </w:r>
    </w:p>
    <w:p w14:paraId="2085FA65"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ووفقاً لما سبق ترى دراسة</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lang w:bidi="ar-EG"/>
        </w:rPr>
        <w:t xml:space="preserve">, al et,  2018 </w:t>
      </w:r>
      <w:r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lang w:bidi="ar-EG"/>
        </w:rPr>
        <w:t>(Megrel</w:t>
      </w:r>
      <w:r w:rsidRPr="00202E2A">
        <w:rPr>
          <w:rFonts w:asciiTheme="majorBidi" w:hAnsiTheme="majorBidi" w:cstheme="majorBidi"/>
          <w:sz w:val="26"/>
          <w:szCs w:val="26"/>
          <w:rtl/>
          <w:lang w:bidi="ar-EG"/>
        </w:rPr>
        <w:t xml:space="preserve">  أنه يوجد هناك مستخدمون داخليون وخارجيون للخدمات الرقمية لهم دور كبير في جهود التحول الرقمي من خلال أربعة جوانب</w:t>
      </w:r>
      <w:r w:rsidRPr="00202E2A">
        <w:rPr>
          <w:rFonts w:asciiTheme="majorBidi" w:hAnsiTheme="majorBidi" w:cstheme="majorBidi"/>
          <w:sz w:val="26"/>
          <w:szCs w:val="26"/>
          <w:lang w:bidi="ar-EG"/>
        </w:rPr>
        <w:t>:</w:t>
      </w:r>
    </w:p>
    <w:p w14:paraId="4EE3AFA9" w14:textId="77777777" w:rsidR="003804AC" w:rsidRPr="00202E2A" w:rsidRDefault="003804AC">
      <w:pPr>
        <w:pStyle w:val="ListParagraph"/>
        <w:numPr>
          <w:ilvl w:val="0"/>
          <w:numId w:val="4"/>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القدرات الديناميكية كشرط مسبق للتحول الرقمي</w:t>
      </w:r>
      <w:r w:rsidRPr="00202E2A">
        <w:rPr>
          <w:rFonts w:asciiTheme="majorBidi" w:hAnsiTheme="majorBidi" w:cstheme="majorBidi"/>
          <w:sz w:val="26"/>
          <w:szCs w:val="26"/>
          <w:lang w:bidi="ar-EG"/>
        </w:rPr>
        <w:t>.</w:t>
      </w:r>
    </w:p>
    <w:p w14:paraId="0FD6BE5D" w14:textId="77777777" w:rsidR="003804AC" w:rsidRPr="00202E2A" w:rsidRDefault="003804AC">
      <w:pPr>
        <w:pStyle w:val="ListParagraph"/>
        <w:numPr>
          <w:ilvl w:val="0"/>
          <w:numId w:val="4"/>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مشاركة المستخدمين في تصميم الخدمات الرقمية</w:t>
      </w:r>
      <w:r w:rsidRPr="00202E2A">
        <w:rPr>
          <w:rFonts w:asciiTheme="majorBidi" w:hAnsiTheme="majorBidi" w:cstheme="majorBidi"/>
          <w:sz w:val="26"/>
          <w:szCs w:val="26"/>
          <w:lang w:bidi="ar-EG"/>
        </w:rPr>
        <w:t>.</w:t>
      </w:r>
    </w:p>
    <w:p w14:paraId="3C51B2B4" w14:textId="77777777" w:rsidR="003804AC" w:rsidRPr="00202E2A" w:rsidRDefault="003804AC">
      <w:pPr>
        <w:pStyle w:val="ListParagraph"/>
        <w:numPr>
          <w:ilvl w:val="0"/>
          <w:numId w:val="4"/>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الإنتاج والابداع المشترك لزيادة شرعية الخدمات الرقمية</w:t>
      </w:r>
      <w:r w:rsidRPr="00202E2A">
        <w:rPr>
          <w:rFonts w:asciiTheme="majorBidi" w:hAnsiTheme="majorBidi" w:cstheme="majorBidi"/>
          <w:sz w:val="26"/>
          <w:szCs w:val="26"/>
          <w:lang w:bidi="ar-EG"/>
        </w:rPr>
        <w:t>.</w:t>
      </w:r>
    </w:p>
    <w:p w14:paraId="254170B8" w14:textId="77777777" w:rsidR="003804AC" w:rsidRPr="00202E2A" w:rsidRDefault="003804AC">
      <w:pPr>
        <w:pStyle w:val="ListParagraph"/>
        <w:numPr>
          <w:ilvl w:val="0"/>
          <w:numId w:val="4"/>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الانشاء المشترك مع السجلات المفتوحة لتحسين تقديم الخدمات الرقمية</w:t>
      </w:r>
      <w:r w:rsidRPr="00202E2A">
        <w:rPr>
          <w:rFonts w:asciiTheme="majorBidi" w:hAnsiTheme="majorBidi" w:cstheme="majorBidi"/>
          <w:sz w:val="26"/>
          <w:szCs w:val="26"/>
          <w:lang w:bidi="ar-EG"/>
        </w:rPr>
        <w:t>.</w:t>
      </w:r>
    </w:p>
    <w:p w14:paraId="5A8E07B4"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ويري </w:t>
      </w:r>
      <w:r w:rsidRPr="00202E2A">
        <w:rPr>
          <w:rFonts w:asciiTheme="majorBidi" w:hAnsiTheme="majorBidi" w:cstheme="majorBidi"/>
          <w:sz w:val="26"/>
          <w:szCs w:val="26"/>
          <w:lang w:bidi="ar-EG"/>
        </w:rPr>
        <w:t>(</w:t>
      </w:r>
      <w:r w:rsidRPr="00202E2A">
        <w:rPr>
          <w:rFonts w:asciiTheme="majorBidi" w:hAnsiTheme="majorBidi" w:cstheme="majorBidi"/>
          <w:color w:val="000000" w:themeColor="text1"/>
          <w:sz w:val="26"/>
          <w:szCs w:val="26"/>
          <w:lang w:bidi="ar-EG"/>
        </w:rPr>
        <w:t xml:space="preserve">Dong, B. ,2023) </w:t>
      </w:r>
      <w:r w:rsidRPr="00202E2A">
        <w:rPr>
          <w:rFonts w:asciiTheme="majorBidi" w:hAnsiTheme="majorBidi" w:cstheme="majorBidi"/>
          <w:sz w:val="26"/>
          <w:szCs w:val="26"/>
          <w:rtl/>
          <w:lang w:bidi="ar-EG"/>
        </w:rPr>
        <w:t xml:space="preserve">  من الواضح أنه يتم استخدام هذا المصطلح بشكل كبير في القطاعات العامة للإشارة إلى المبادرات البسيطة كالخدمات على الانترنت وما شابه ذلك، حيث إنه لا يوجد إجماع على تعريف واحد محدد لمصطلح التحول الرقمي، وذلك لأن العديد من الباحثين يعدونها عملية تطورية للحكومة الإلكترونية، بينما يعتبرها البعض الآخر نقلة جذرية ونوعية لكافة الأعمال الحكومية، ولكن الشيء الوحيد الذي تم الاتفاق عليه هو أن هذا التحول يتم باستخدام التقنيات الرقمية لإحدى تغييرات في العمليات الإدارية الحكومية والتجارية.</w:t>
      </w:r>
    </w:p>
    <w:p w14:paraId="15CA5B76" w14:textId="77777777" w:rsidR="003804AC" w:rsidRPr="00202E2A" w:rsidRDefault="003804AC"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أبعاد التحول الرقمي</w:t>
      </w:r>
    </w:p>
    <w:p w14:paraId="0F2373E5"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ويشير تقرير  </w:t>
      </w:r>
      <w:r w:rsidRPr="00202E2A">
        <w:rPr>
          <w:rFonts w:asciiTheme="majorBidi" w:hAnsiTheme="majorBidi" w:cstheme="majorBidi"/>
          <w:sz w:val="26"/>
          <w:szCs w:val="26"/>
          <w:lang w:bidi="ar-EG"/>
        </w:rPr>
        <w:t>McKinsey &amp; Company, 2022)</w:t>
      </w:r>
      <w:r w:rsidRPr="00202E2A">
        <w:rPr>
          <w:rFonts w:asciiTheme="majorBidi" w:hAnsiTheme="majorBidi" w:cstheme="majorBidi"/>
          <w:sz w:val="26"/>
          <w:szCs w:val="26"/>
          <w:rtl/>
          <w:lang w:bidi="ar-EG"/>
        </w:rPr>
        <w:t xml:space="preserve">)  </w:t>
      </w:r>
      <w:r w:rsidRPr="00202E2A">
        <w:rPr>
          <w:rFonts w:asciiTheme="majorBidi" w:hAnsiTheme="majorBidi" w:cstheme="majorBidi"/>
          <w:color w:val="000000" w:themeColor="text1"/>
          <w:sz w:val="26"/>
          <w:szCs w:val="26"/>
          <w:rtl/>
          <w:lang w:bidi="ar-EG"/>
        </w:rPr>
        <w:t>إلي</w:t>
      </w:r>
      <w:r w:rsidRPr="00202E2A">
        <w:rPr>
          <w:rFonts w:asciiTheme="majorBidi" w:hAnsiTheme="majorBidi" w:cstheme="majorBidi"/>
          <w:sz w:val="26"/>
          <w:szCs w:val="26"/>
          <w:rtl/>
          <w:lang w:bidi="ar-EG"/>
        </w:rPr>
        <w:t xml:space="preserve"> أبعاد التحول الرقمي (</w:t>
      </w:r>
      <w:r w:rsidRPr="00202E2A">
        <w:rPr>
          <w:rFonts w:asciiTheme="majorBidi" w:hAnsiTheme="majorBidi" w:cstheme="majorBidi"/>
          <w:sz w:val="26"/>
          <w:szCs w:val="26"/>
          <w:lang w:bidi="ar-EG"/>
        </w:rPr>
        <w:t>Relational Database Management System</w:t>
      </w:r>
      <w:r w:rsidRPr="00202E2A">
        <w:rPr>
          <w:rFonts w:asciiTheme="majorBidi" w:hAnsiTheme="majorBidi" w:cstheme="majorBidi"/>
          <w:sz w:val="26"/>
          <w:szCs w:val="26"/>
          <w:rtl/>
          <w:lang w:bidi="ar-EG"/>
        </w:rPr>
        <w:t xml:space="preserve">) يتضمن التحول الرقمي تحويل نماذج الأعمال والكفاءات والنماذج التنظيمية </w:t>
      </w:r>
      <w:r w:rsidRPr="00202E2A">
        <w:rPr>
          <w:rFonts w:asciiTheme="majorBidi" w:hAnsiTheme="majorBidi" w:cstheme="majorBidi"/>
          <w:sz w:val="26"/>
          <w:szCs w:val="26"/>
          <w:rtl/>
          <w:lang w:bidi="ar-EG"/>
        </w:rPr>
        <w:lastRenderedPageBreak/>
        <w:t>والعمليات والممارسات التي تتطلب التزام جميع الموارد البشرية، لا سيما في العمليات بناءً على العديد من الأبحاث والدراسات العلمية، فإن مجموعة من أبعاد التحول الرقمي في المؤسسات تتمثل في ثلاثة أبعاد أساسية سيتم شرح هذه الأبعاد، تمثل أبعاد التحول الرقمي الأداة التي تمكن التحول الرقمي من بناء القدرات وإنشاء قيمة للخدمات والشركات، ويوجد ستة أبعاد رئيسية للتحول الرقمي، وهي</w:t>
      </w:r>
      <w:r w:rsidRPr="00202E2A">
        <w:rPr>
          <w:rFonts w:asciiTheme="majorBidi" w:hAnsiTheme="majorBidi" w:cstheme="majorBidi"/>
          <w:sz w:val="26"/>
          <w:szCs w:val="26"/>
          <w:lang w:bidi="ar-EG"/>
        </w:rPr>
        <w:t>:</w:t>
      </w:r>
    </w:p>
    <w:p w14:paraId="51589340"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البعد الرئيسي الأول: الأسس الرقمية</w:t>
      </w:r>
    </w:p>
    <w:p w14:paraId="4E15D936"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يُشكل بعد الأسس الرقمية العمود الفقري للتحول الرقمي، حيث يركز على بناء بنية تحتية تكنولوجية متينة، وأنظمة إدارة بيانات فعالة، وتطوير القدرات البشرية لدعم المبادرات الرقمية. لا يقتصر هذا البعد على اقتناء أحدث التقنيات، بل يهدف إلى إنشاء نظام بيئي رقمي يتماشى مع الأهداف الاستراتيجية للمؤسسة. وفقًا لـ</w:t>
      </w:r>
      <w:r w:rsidRPr="00202E2A">
        <w:rPr>
          <w:rFonts w:asciiTheme="majorBidi" w:hAnsiTheme="majorBidi" w:cstheme="majorBidi"/>
          <w:sz w:val="26"/>
          <w:szCs w:val="26"/>
          <w:lang w:bidi="ar-EG"/>
        </w:rPr>
        <w:t>(McKinsey &amp; Company, 2022)</w:t>
      </w:r>
      <w:r w:rsidRPr="00202E2A">
        <w:rPr>
          <w:rFonts w:asciiTheme="majorBidi" w:hAnsiTheme="majorBidi" w:cstheme="majorBidi"/>
          <w:sz w:val="26"/>
          <w:szCs w:val="26"/>
          <w:rtl/>
          <w:lang w:bidi="ar-EG"/>
        </w:rPr>
        <w:t>، تشمل الأسس الرقمية منصات الحوسبة السحابية، وأنظمة إدارة قواعد البيانات العلائقية</w:t>
      </w:r>
      <w:r w:rsidRPr="00202E2A">
        <w:rPr>
          <w:rFonts w:asciiTheme="majorBidi" w:hAnsiTheme="majorBidi" w:cstheme="majorBidi"/>
          <w:sz w:val="26"/>
          <w:szCs w:val="26"/>
          <w:lang w:bidi="ar-EG"/>
        </w:rPr>
        <w:t xml:space="preserve"> (RDBMS)</w:t>
      </w:r>
      <w:r w:rsidRPr="00202E2A">
        <w:rPr>
          <w:rFonts w:asciiTheme="majorBidi" w:hAnsiTheme="majorBidi" w:cstheme="majorBidi"/>
          <w:sz w:val="26"/>
          <w:szCs w:val="26"/>
          <w:rtl/>
          <w:lang w:bidi="ar-EG"/>
        </w:rPr>
        <w:t>، والبنى التحتية القابلة للتوسع التي تدعم العمليات التشغيلية بكفاءة</w:t>
      </w:r>
      <w:r w:rsidRPr="00202E2A">
        <w:rPr>
          <w:rFonts w:asciiTheme="majorBidi" w:hAnsiTheme="majorBidi" w:cstheme="majorBidi"/>
          <w:sz w:val="26"/>
          <w:szCs w:val="26"/>
          <w:lang w:bidi="ar-EG"/>
        </w:rPr>
        <w:t>.</w:t>
      </w:r>
    </w:p>
    <w:p w14:paraId="373ADA17"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المكونات الرئيسية</w:t>
      </w:r>
    </w:p>
    <w:p w14:paraId="67CD664A" w14:textId="77777777" w:rsidR="003804AC" w:rsidRPr="00202E2A" w:rsidRDefault="003804AC">
      <w:pPr>
        <w:pStyle w:val="ListParagraph"/>
        <w:numPr>
          <w:ilvl w:val="0"/>
          <w:numId w:val="21"/>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البنية التحتية التكنولوجية:</w:t>
      </w:r>
      <w:r w:rsidRPr="00202E2A">
        <w:rPr>
          <w:rFonts w:asciiTheme="majorBidi" w:hAnsiTheme="majorBidi" w:cstheme="majorBidi"/>
          <w:sz w:val="26"/>
          <w:szCs w:val="26"/>
          <w:rtl/>
          <w:lang w:bidi="ar-EG"/>
        </w:rPr>
        <w:t xml:space="preserve"> تشمل الحوسبة السحابية، وإنترنت الأشياء</w:t>
      </w:r>
      <w:r w:rsidRPr="00202E2A">
        <w:rPr>
          <w:rFonts w:asciiTheme="majorBidi" w:hAnsiTheme="majorBidi" w:cstheme="majorBidi"/>
          <w:sz w:val="26"/>
          <w:szCs w:val="26"/>
          <w:lang w:bidi="ar-EG"/>
        </w:rPr>
        <w:t xml:space="preserve"> (IoT)</w:t>
      </w:r>
      <w:r w:rsidRPr="00202E2A">
        <w:rPr>
          <w:rFonts w:asciiTheme="majorBidi" w:hAnsiTheme="majorBidi" w:cstheme="majorBidi"/>
          <w:sz w:val="26"/>
          <w:szCs w:val="26"/>
          <w:rtl/>
          <w:lang w:bidi="ar-EG"/>
        </w:rPr>
        <w:t>، والذكاء الاصطناعي، التي تُمكّن المؤسسات من تحقيق المرونة والتكامل. على سبيل المثال، تتيح السحابة التوسع السريع، بينما يعزز الذكاء الاصطناعي تحليل البيانات</w:t>
      </w:r>
      <w:r w:rsidRPr="00202E2A">
        <w:rPr>
          <w:rFonts w:asciiTheme="majorBidi" w:hAnsiTheme="majorBidi" w:cstheme="majorBidi"/>
          <w:sz w:val="26"/>
          <w:szCs w:val="26"/>
          <w:lang w:bidi="ar-EG"/>
        </w:rPr>
        <w:t xml:space="preserve"> (Vial, 2019).</w:t>
      </w:r>
    </w:p>
    <w:p w14:paraId="4DDA1F17" w14:textId="77777777" w:rsidR="003804AC" w:rsidRPr="00202E2A" w:rsidRDefault="003804AC">
      <w:pPr>
        <w:pStyle w:val="ListParagraph"/>
        <w:numPr>
          <w:ilvl w:val="0"/>
          <w:numId w:val="21"/>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أنظمة إدارة البيانات:</w:t>
      </w:r>
      <w:r w:rsidRPr="00202E2A">
        <w:rPr>
          <w:rFonts w:asciiTheme="majorBidi" w:hAnsiTheme="majorBidi" w:cstheme="majorBidi"/>
          <w:sz w:val="26"/>
          <w:szCs w:val="26"/>
          <w:rtl/>
          <w:lang w:bidi="ar-EG"/>
        </w:rPr>
        <w:t xml:space="preserve"> تُعد حوكمة البيانات ضرورية لضمان جودة البيانات، وأمانها، وإمكانية الوصول إليها. أنظمة</w:t>
      </w:r>
      <w:r w:rsidRPr="00202E2A">
        <w:rPr>
          <w:rFonts w:asciiTheme="majorBidi" w:hAnsiTheme="majorBidi" w:cstheme="majorBidi"/>
          <w:sz w:val="26"/>
          <w:szCs w:val="26"/>
          <w:lang w:bidi="ar-EG"/>
        </w:rPr>
        <w:t xml:space="preserve"> RDBMS </w:t>
      </w:r>
      <w:r w:rsidRPr="00202E2A">
        <w:rPr>
          <w:rFonts w:asciiTheme="majorBidi" w:hAnsiTheme="majorBidi" w:cstheme="majorBidi"/>
          <w:sz w:val="26"/>
          <w:szCs w:val="26"/>
          <w:rtl/>
          <w:lang w:bidi="ar-EG"/>
        </w:rPr>
        <w:t>تُسهل تكامل البيانات عبر الإدارات، مما يدعم اتخاذ القرارات المستنيرة</w:t>
      </w:r>
      <w:r w:rsidRPr="00202E2A">
        <w:rPr>
          <w:rFonts w:asciiTheme="majorBidi" w:hAnsiTheme="majorBidi" w:cstheme="majorBidi"/>
          <w:sz w:val="26"/>
          <w:szCs w:val="26"/>
          <w:lang w:bidi="ar-EG"/>
        </w:rPr>
        <w:t xml:space="preserve"> (Muehlburger et al., 2019).</w:t>
      </w:r>
    </w:p>
    <w:p w14:paraId="43E79903" w14:textId="77777777" w:rsidR="003804AC" w:rsidRPr="00202E2A" w:rsidRDefault="003804AC">
      <w:pPr>
        <w:pStyle w:val="ListParagraph"/>
        <w:numPr>
          <w:ilvl w:val="0"/>
          <w:numId w:val="21"/>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القدرات البشرية:</w:t>
      </w:r>
      <w:r w:rsidRPr="00202E2A">
        <w:rPr>
          <w:rFonts w:asciiTheme="majorBidi" w:hAnsiTheme="majorBidi" w:cstheme="majorBidi"/>
          <w:sz w:val="26"/>
          <w:szCs w:val="26"/>
          <w:rtl/>
          <w:lang w:bidi="ar-EG"/>
        </w:rPr>
        <w:t xml:space="preserve"> تتطلب الأسس الرقمية قوة عاملة مدربة رقميًا. تُشير</w:t>
      </w:r>
      <w:r w:rsidRPr="00202E2A">
        <w:rPr>
          <w:rFonts w:asciiTheme="majorBidi" w:hAnsiTheme="majorBidi" w:cstheme="majorBidi"/>
          <w:sz w:val="26"/>
          <w:szCs w:val="26"/>
          <w:lang w:bidi="ar-EG"/>
        </w:rPr>
        <w:t xml:space="preserve"> (Megrel et al., 2018) </w:t>
      </w:r>
      <w:r w:rsidRPr="00202E2A">
        <w:rPr>
          <w:rFonts w:asciiTheme="majorBidi" w:hAnsiTheme="majorBidi" w:cstheme="majorBidi"/>
          <w:sz w:val="26"/>
          <w:szCs w:val="26"/>
          <w:rtl/>
          <w:lang w:bidi="ar-EG"/>
        </w:rPr>
        <w:t>إلى أن القدرات الديناميكية تُمكّن المؤسسات من التكيف مع التغيرات التكنولوجية المتسارعة</w:t>
      </w:r>
      <w:r w:rsidRPr="00202E2A">
        <w:rPr>
          <w:rFonts w:asciiTheme="majorBidi" w:hAnsiTheme="majorBidi" w:cstheme="majorBidi"/>
          <w:sz w:val="26"/>
          <w:szCs w:val="26"/>
          <w:lang w:bidi="ar-EG"/>
        </w:rPr>
        <w:t>.</w:t>
      </w:r>
    </w:p>
    <w:p w14:paraId="26E5D1E5" w14:textId="77777777" w:rsidR="003804AC" w:rsidRPr="00202E2A" w:rsidRDefault="003804AC">
      <w:pPr>
        <w:pStyle w:val="ListParagraph"/>
        <w:numPr>
          <w:ilvl w:val="0"/>
          <w:numId w:val="21"/>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الأمن السيبراني:</w:t>
      </w:r>
      <w:r w:rsidRPr="00202E2A">
        <w:rPr>
          <w:rFonts w:asciiTheme="majorBidi" w:hAnsiTheme="majorBidi" w:cstheme="majorBidi"/>
          <w:sz w:val="26"/>
          <w:szCs w:val="26"/>
          <w:rtl/>
          <w:lang w:bidi="ar-EG"/>
        </w:rPr>
        <w:t xml:space="preserve"> تُعد أطر الحماية السيبرانية حجر الزاوية لحماية البيانات الحساسة، خاصة في القطاعات الحكومية التي تتعامل مع بيانات المواطنين</w:t>
      </w:r>
      <w:r w:rsidRPr="00202E2A">
        <w:rPr>
          <w:rFonts w:asciiTheme="majorBidi" w:hAnsiTheme="majorBidi" w:cstheme="majorBidi"/>
          <w:sz w:val="26"/>
          <w:szCs w:val="26"/>
          <w:lang w:bidi="ar-EG"/>
        </w:rPr>
        <w:t xml:space="preserve"> (Dong, 2023).</w:t>
      </w:r>
    </w:p>
    <w:p w14:paraId="59B214CF" w14:textId="77777777" w:rsidR="003804AC" w:rsidRPr="00202E2A" w:rsidRDefault="003804AC">
      <w:pPr>
        <w:pStyle w:val="ListParagraph"/>
        <w:numPr>
          <w:ilvl w:val="0"/>
          <w:numId w:val="21"/>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التكامل التقني:</w:t>
      </w:r>
      <w:r w:rsidRPr="00202E2A">
        <w:rPr>
          <w:rFonts w:asciiTheme="majorBidi" w:hAnsiTheme="majorBidi" w:cstheme="majorBidi"/>
          <w:sz w:val="26"/>
          <w:szCs w:val="26"/>
          <w:rtl/>
          <w:lang w:bidi="ar-EG"/>
        </w:rPr>
        <w:t xml:space="preserve"> يتطلب هذا البعد ضمان توافق الأنظمة القديمة مع التقنيات الحديثة لتحقيق الاستمرارية التشغيلية</w:t>
      </w:r>
      <w:r w:rsidRPr="00202E2A">
        <w:rPr>
          <w:rFonts w:asciiTheme="majorBidi" w:hAnsiTheme="majorBidi" w:cstheme="majorBidi"/>
          <w:sz w:val="26"/>
          <w:szCs w:val="26"/>
          <w:lang w:bidi="ar-EG"/>
        </w:rPr>
        <w:t>.</w:t>
      </w:r>
    </w:p>
    <w:p w14:paraId="1FD52224"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الأهمية الاستراتيجية</w:t>
      </w:r>
    </w:p>
    <w:p w14:paraId="4E8B89DB"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تُمكّن الأسس الرقمية المؤسسات من الانتقال إلى نموذج تشغيلي رقمي أولي، مما يقلل التكاليف، ويعزز الكفاءة، ويحسن تجربة المستخدم. على سبيل المثال، يمكن لمنصة سحابية موحدة أن تُحسّن إدارة البيانات في مؤسسة حكومية، مما يؤدي إلى تقديم خدمات أسرع وأكثر دقة. غياب هذه الأسس قد يؤدي إلى فشل المبادرات الرقمية نتيجة التشتت التقني أو نقص الكفاءات</w:t>
      </w:r>
      <w:r w:rsidRPr="00202E2A">
        <w:rPr>
          <w:rFonts w:asciiTheme="majorBidi" w:hAnsiTheme="majorBidi" w:cstheme="majorBidi"/>
          <w:sz w:val="26"/>
          <w:szCs w:val="26"/>
          <w:lang w:bidi="ar-EG"/>
        </w:rPr>
        <w:t>.</w:t>
      </w:r>
    </w:p>
    <w:p w14:paraId="5A347B09"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تطبيق البعد في هيئة الزكاة والضريبة والجمارك</w:t>
      </w:r>
    </w:p>
    <w:p w14:paraId="2A60F85D"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تُظهر هيئة الزكاة والضريبة والجمارك نموذجًا رائدًا في بناء الأسس الرقمية، حيث طورت منصة رقمية شاملة تُسهل خدمات مثل التسجيل الضريبي، وتقديم الإقرارات، وسداد الضرائب، وإدارة التصريحات الجمركية. اعتمدت الهيئة على الحوسبة السحابية لضمان التكامل بين أنظمتها الضريبية والجمركية، مما عزز الشفافية والكفاءة. كما نفذت نظام الفوترة الإلكترونية (فاتورة) اعتبارًا من ديسمبر </w:t>
      </w:r>
      <w:r w:rsidRPr="00202E2A">
        <w:rPr>
          <w:rFonts w:asciiTheme="majorBidi" w:hAnsiTheme="majorBidi" w:cstheme="majorBidi"/>
          <w:sz w:val="26"/>
          <w:szCs w:val="26"/>
          <w:lang w:bidi="ar-EG"/>
        </w:rPr>
        <w:t>2021</w:t>
      </w:r>
      <w:r w:rsidRPr="00202E2A">
        <w:rPr>
          <w:rFonts w:asciiTheme="majorBidi" w:hAnsiTheme="majorBidi" w:cstheme="majorBidi"/>
          <w:sz w:val="26"/>
          <w:szCs w:val="26"/>
          <w:rtl/>
          <w:lang w:bidi="ar-EG"/>
        </w:rPr>
        <w:t xml:space="preserve">، والذي يعتمد على بنية تحتية رقمية قوية </w:t>
      </w:r>
      <w:r w:rsidRPr="00202E2A">
        <w:rPr>
          <w:rFonts w:asciiTheme="majorBidi" w:hAnsiTheme="majorBidi" w:cstheme="majorBidi"/>
          <w:sz w:val="26"/>
          <w:szCs w:val="26"/>
          <w:rtl/>
          <w:lang w:bidi="ar-EG"/>
        </w:rPr>
        <w:lastRenderedPageBreak/>
        <w:t xml:space="preserve">لإصدار وتخزين الفواتير بصيغة إلكترونية منظمة، مع التكامل مع أنظمة الهيئة في الوقت الفعلي بحلول يناير </w:t>
      </w:r>
      <w:r w:rsidRPr="00202E2A">
        <w:rPr>
          <w:rFonts w:asciiTheme="majorBidi" w:hAnsiTheme="majorBidi" w:cstheme="majorBidi"/>
          <w:sz w:val="26"/>
          <w:szCs w:val="26"/>
          <w:lang w:bidi="ar-EG"/>
        </w:rPr>
        <w:t>2023</w:t>
      </w:r>
      <w:r w:rsidRPr="00202E2A">
        <w:rPr>
          <w:rFonts w:asciiTheme="majorBidi" w:hAnsiTheme="majorBidi" w:cstheme="majorBidi"/>
          <w:sz w:val="26"/>
          <w:szCs w:val="26"/>
          <w:rtl/>
          <w:lang w:bidi="ar-EG"/>
        </w:rPr>
        <w:t xml:space="preserve">. هذه الجهود تتماشى مع رؤية المملكة </w:t>
      </w:r>
      <w:r w:rsidRPr="00202E2A">
        <w:rPr>
          <w:rFonts w:asciiTheme="majorBidi" w:hAnsiTheme="majorBidi" w:cstheme="majorBidi"/>
          <w:sz w:val="26"/>
          <w:szCs w:val="26"/>
          <w:lang w:bidi="ar-EG"/>
        </w:rPr>
        <w:t>2030</w:t>
      </w:r>
      <w:r w:rsidRPr="00202E2A">
        <w:rPr>
          <w:rFonts w:asciiTheme="majorBidi" w:hAnsiTheme="majorBidi" w:cstheme="majorBidi"/>
          <w:sz w:val="26"/>
          <w:szCs w:val="26"/>
          <w:rtl/>
          <w:lang w:bidi="ar-EG"/>
        </w:rPr>
        <w:t xml:space="preserve"> لتطوير بيئة أعمال تنافسية</w:t>
      </w:r>
      <w:r w:rsidRPr="00202E2A">
        <w:rPr>
          <w:rFonts w:asciiTheme="majorBidi" w:hAnsiTheme="majorBidi" w:cstheme="majorBidi"/>
          <w:sz w:val="26"/>
          <w:szCs w:val="26"/>
          <w:lang w:bidi="ar-EG"/>
        </w:rPr>
        <w:t>.</w:t>
      </w:r>
    </w:p>
    <w:p w14:paraId="6524D76F"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تعليق الباحث</w:t>
      </w:r>
    </w:p>
    <w:p w14:paraId="51699A62"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تُعد الأسس الرقمية التي طورتها هيئة الزكاة والضريبة والجمارك نموذجًا يُحتذى به في القطاع الحكومي، حيث نجحت الهيئة في بناء بنية تحتية رقمية متكاملة تدعم خدماتها المتنوعة. ومع ذلك، يرى الباحث أن التحديات تكمن في استدامة هذه البنية في ظل التطورات التكنولوجية المتسارعة، خاصة مع الحاجة إلى تحديث الأنظمة القديمة ومواجهة التهديدات السيبرانية المتزايدة. تجربة الهيئة تُبرز أهمية الاستثمار في التدريب المستمر للموظفين لضمان مواكبة التقنيات الناشئة، مثل الذكاء الاصطناعي والبلوك تشين، التي يمكن أن تعزز كفاءة إدارة البيانات الضريبية والجمركية. علاوة على ذلك، يُوصي الباحث بتعزيز التعاون مع القطاع الخاص لتطوير حلول تقنية مبتكرة تُلبي الاحتياجات المتغيرة للمكلفين، مما يعزز مكانة الهيئة كمركز لوجستي عالمي</w:t>
      </w:r>
      <w:r w:rsidRPr="00202E2A">
        <w:rPr>
          <w:rFonts w:asciiTheme="majorBidi" w:hAnsiTheme="majorBidi" w:cstheme="majorBidi"/>
          <w:sz w:val="26"/>
          <w:szCs w:val="26"/>
          <w:lang w:bidi="ar-EG"/>
        </w:rPr>
        <w:t>.</w:t>
      </w:r>
    </w:p>
    <w:p w14:paraId="56800826"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البعد الرئيسي الثاني: الابتكار الرقمي</w:t>
      </w:r>
    </w:p>
    <w:p w14:paraId="08C57825"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يركز بعد الابتكار الرقمي على استغلال التكنولوجيا لخلق حلول جديدة، سواء كانت منتجات، أو خدمات، أو نماذج أعمال، تُحدث تغييرًا جذريًا في الأسواق وتُولد قيمة مضافة. يعتمد هذا البعد على الإبداع، والتجريب، والتصميم المرتكز على المستخدم، وهو ما يتماشى مع تأكيد</w:t>
      </w:r>
      <w:r w:rsidRPr="00202E2A">
        <w:rPr>
          <w:rFonts w:asciiTheme="majorBidi" w:hAnsiTheme="majorBidi" w:cstheme="majorBidi"/>
          <w:sz w:val="26"/>
          <w:szCs w:val="26"/>
          <w:lang w:bidi="ar-EG"/>
        </w:rPr>
        <w:t xml:space="preserve"> (Megrel et al., 2018) </w:t>
      </w:r>
      <w:r w:rsidRPr="00202E2A">
        <w:rPr>
          <w:rFonts w:asciiTheme="majorBidi" w:hAnsiTheme="majorBidi" w:cstheme="majorBidi"/>
          <w:sz w:val="26"/>
          <w:szCs w:val="26"/>
          <w:rtl/>
          <w:lang w:bidi="ar-EG"/>
        </w:rPr>
        <w:t>على أن مشاركة المستخدمين في تصميم الخدمات تُعزز شرعيتها وقبولها. يمتد الابتكار الرقمي ليشمل إعادة تصور تجارب العملاء وتحسين العمليات التشغيلية</w:t>
      </w:r>
      <w:r w:rsidRPr="00202E2A">
        <w:rPr>
          <w:rFonts w:asciiTheme="majorBidi" w:hAnsiTheme="majorBidi" w:cstheme="majorBidi"/>
          <w:sz w:val="26"/>
          <w:szCs w:val="26"/>
          <w:lang w:bidi="ar-EG"/>
        </w:rPr>
        <w:t>.</w:t>
      </w:r>
    </w:p>
    <w:p w14:paraId="1A9ECADB"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المكونات الرئيسية</w:t>
      </w:r>
    </w:p>
    <w:p w14:paraId="58D8FBDD" w14:textId="77777777" w:rsidR="003804AC" w:rsidRPr="00202E2A" w:rsidRDefault="003804AC">
      <w:pPr>
        <w:pStyle w:val="ListParagraph"/>
        <w:numPr>
          <w:ilvl w:val="0"/>
          <w:numId w:val="22"/>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التصميم المرتكز على المستخدم:</w:t>
      </w:r>
      <w:r w:rsidRPr="00202E2A">
        <w:rPr>
          <w:rFonts w:asciiTheme="majorBidi" w:hAnsiTheme="majorBidi" w:cstheme="majorBidi"/>
          <w:sz w:val="26"/>
          <w:szCs w:val="26"/>
          <w:rtl/>
          <w:lang w:bidi="ar-EG"/>
        </w:rPr>
        <w:t xml:space="preserve"> إشراك أصحاب المصلحة في تصميم الخدمات يضمن ملاءمتها لاحتياجاتهم. على سبيل المثال، تُسهم تعليقات المستخدمين في تحسين واجهات المنصات الرقمية</w:t>
      </w:r>
      <w:r w:rsidRPr="00202E2A">
        <w:rPr>
          <w:rFonts w:asciiTheme="majorBidi" w:hAnsiTheme="majorBidi" w:cstheme="majorBidi"/>
          <w:sz w:val="26"/>
          <w:szCs w:val="26"/>
          <w:lang w:bidi="ar-EG"/>
        </w:rPr>
        <w:t xml:space="preserve"> (Megrel et al., 2018).</w:t>
      </w:r>
    </w:p>
    <w:p w14:paraId="174331FE" w14:textId="77777777" w:rsidR="003804AC" w:rsidRPr="00202E2A" w:rsidRDefault="003804AC">
      <w:pPr>
        <w:pStyle w:val="ListParagraph"/>
        <w:numPr>
          <w:ilvl w:val="0"/>
          <w:numId w:val="22"/>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التقنيات الناشئة:</w:t>
      </w:r>
      <w:r w:rsidRPr="00202E2A">
        <w:rPr>
          <w:rFonts w:asciiTheme="majorBidi" w:hAnsiTheme="majorBidi" w:cstheme="majorBidi"/>
          <w:sz w:val="26"/>
          <w:szCs w:val="26"/>
          <w:rtl/>
          <w:lang w:bidi="ar-EG"/>
        </w:rPr>
        <w:t xml:space="preserve"> تُمكّن تقنيات مثل البلوك تشين، والواقع المعزز، والتعلم الآلي من تطوير حلول مبتكرة. على سبيل المثال، يمكن للبلوك تشين تعزيز الشفافية في المعاملات الجمركية</w:t>
      </w:r>
      <w:r w:rsidRPr="00202E2A">
        <w:rPr>
          <w:rFonts w:asciiTheme="majorBidi" w:hAnsiTheme="majorBidi" w:cstheme="majorBidi"/>
          <w:sz w:val="26"/>
          <w:szCs w:val="26"/>
          <w:lang w:bidi="ar-EG"/>
        </w:rPr>
        <w:t xml:space="preserve"> (Vial, 2019).</w:t>
      </w:r>
    </w:p>
    <w:p w14:paraId="07E1958C" w14:textId="77777777" w:rsidR="003804AC" w:rsidRPr="00202E2A" w:rsidRDefault="003804AC">
      <w:pPr>
        <w:pStyle w:val="ListParagraph"/>
        <w:numPr>
          <w:ilvl w:val="0"/>
          <w:numId w:val="22"/>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المنهجيات الرشيقة:</w:t>
      </w:r>
      <w:r w:rsidRPr="00202E2A">
        <w:rPr>
          <w:rFonts w:asciiTheme="majorBidi" w:hAnsiTheme="majorBidi" w:cstheme="majorBidi"/>
          <w:sz w:val="26"/>
          <w:szCs w:val="26"/>
          <w:rtl/>
          <w:lang w:bidi="ar-EG"/>
        </w:rPr>
        <w:t xml:space="preserve"> تُعزز الأطر الرشيقة التطوير التكراري، مما يسمح باختبار الابتكارات وتحسينها بسرعة</w:t>
      </w:r>
      <w:r w:rsidRPr="00202E2A">
        <w:rPr>
          <w:rFonts w:asciiTheme="majorBidi" w:hAnsiTheme="majorBidi" w:cstheme="majorBidi"/>
          <w:sz w:val="26"/>
          <w:szCs w:val="26"/>
          <w:lang w:bidi="ar-EG"/>
        </w:rPr>
        <w:t xml:space="preserve"> (McKinsey &amp; Company, 2022).</w:t>
      </w:r>
    </w:p>
    <w:p w14:paraId="7432DF24" w14:textId="77777777" w:rsidR="003804AC" w:rsidRPr="00202E2A" w:rsidRDefault="003804AC">
      <w:pPr>
        <w:pStyle w:val="ListParagraph"/>
        <w:numPr>
          <w:ilvl w:val="0"/>
          <w:numId w:val="22"/>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الابتكار المفتوح:</w:t>
      </w:r>
      <w:r w:rsidRPr="00202E2A">
        <w:rPr>
          <w:rFonts w:asciiTheme="majorBidi" w:hAnsiTheme="majorBidi" w:cstheme="majorBidi"/>
          <w:sz w:val="26"/>
          <w:szCs w:val="26"/>
          <w:rtl/>
          <w:lang w:bidi="ar-EG"/>
        </w:rPr>
        <w:t xml:space="preserve"> يُسرّع التعاون مع الشركاء الخارجيين، مثل الشركات الناشئة، تبني الحلول الجديدة. تُعزز السجلات المفتوحة تقديم الخدمات من خلال الإبداع المشترك</w:t>
      </w:r>
      <w:r w:rsidRPr="00202E2A">
        <w:rPr>
          <w:rFonts w:asciiTheme="majorBidi" w:hAnsiTheme="majorBidi" w:cstheme="majorBidi"/>
          <w:sz w:val="26"/>
          <w:szCs w:val="26"/>
          <w:lang w:bidi="ar-EG"/>
        </w:rPr>
        <w:t xml:space="preserve"> (Megrel et al., 2018).</w:t>
      </w:r>
    </w:p>
    <w:p w14:paraId="5EA76CA0" w14:textId="77777777" w:rsidR="003804AC" w:rsidRPr="00202E2A" w:rsidRDefault="003804AC">
      <w:pPr>
        <w:pStyle w:val="ListParagraph"/>
        <w:numPr>
          <w:ilvl w:val="0"/>
          <w:numId w:val="22"/>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التجريب المستمر:</w:t>
      </w:r>
      <w:r w:rsidRPr="00202E2A">
        <w:rPr>
          <w:rFonts w:asciiTheme="majorBidi" w:hAnsiTheme="majorBidi" w:cstheme="majorBidi"/>
          <w:sz w:val="26"/>
          <w:szCs w:val="26"/>
          <w:rtl/>
          <w:lang w:bidi="ar-EG"/>
        </w:rPr>
        <w:t xml:space="preserve"> يتطلب هذا البعد ثقافة تجريبية تُشجع على اختبار الأفكار الجديدة وتحمل المخاطر</w:t>
      </w:r>
      <w:r w:rsidRPr="00202E2A">
        <w:rPr>
          <w:rFonts w:asciiTheme="majorBidi" w:hAnsiTheme="majorBidi" w:cstheme="majorBidi"/>
          <w:sz w:val="26"/>
          <w:szCs w:val="26"/>
          <w:lang w:bidi="ar-EG"/>
        </w:rPr>
        <w:t>.</w:t>
      </w:r>
    </w:p>
    <w:p w14:paraId="57FF1C67"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الأهمية الاستراتيجية</w:t>
      </w:r>
    </w:p>
    <w:p w14:paraId="70F172EE"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يُعد الابتكار الرقمي محركًا للتميز التنافسي، حيث يُمكّن المؤسسات من إعادة تعريف معايير القطاع. على سبيل المثال، يمكن لمنصة رقمية مبتكرة أن تُحسّن تجربة المستخدم من خلال تقديم خدمات مخصصة. عدم التركيز على الابتكار قد يؤدي إلى التخلف عن المنافسين في بيئة رقمية ديناميكية</w:t>
      </w:r>
      <w:r w:rsidRPr="00202E2A">
        <w:rPr>
          <w:rFonts w:asciiTheme="majorBidi" w:hAnsiTheme="majorBidi" w:cstheme="majorBidi"/>
          <w:sz w:val="26"/>
          <w:szCs w:val="26"/>
          <w:lang w:bidi="ar-EG"/>
        </w:rPr>
        <w:t>.</w:t>
      </w:r>
    </w:p>
    <w:p w14:paraId="79D31AA8"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تطبيق البعد في هيئة الزكاة والضريبة والجمارك</w:t>
      </w:r>
    </w:p>
    <w:p w14:paraId="32B28529"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lastRenderedPageBreak/>
        <w:t xml:space="preserve">تُبرز هيئة الزكاة والضريبة والجمارك التزامًا قويًا بالابتكار الرقمي من خلال مبادرات مثل نظام الفوترة الإلكترونية، الذي أصبح إلزاميًا في ديسمبر </w:t>
      </w:r>
      <w:r w:rsidRPr="00202E2A">
        <w:rPr>
          <w:rFonts w:asciiTheme="majorBidi" w:hAnsiTheme="majorBidi" w:cstheme="majorBidi"/>
          <w:sz w:val="26"/>
          <w:szCs w:val="26"/>
          <w:lang w:bidi="ar-EG"/>
        </w:rPr>
        <w:t>2021</w:t>
      </w:r>
      <w:r w:rsidRPr="00202E2A">
        <w:rPr>
          <w:rFonts w:asciiTheme="majorBidi" w:hAnsiTheme="majorBidi" w:cstheme="majorBidi"/>
          <w:sz w:val="26"/>
          <w:szCs w:val="26"/>
          <w:rtl/>
          <w:lang w:bidi="ar-EG"/>
        </w:rPr>
        <w:t xml:space="preserve">. هذا النظام، الذي يتطلب إصدار الفواتير بصيغة إلكترونية منظمة، يُسهل الامتثال الضريبي ويُعزز الشفافية. كما طورت الهيئة منصة "فاتورة" التي تتكامل مع أنظمة دافعي الضرائب لنقل البيانات في الوقت الفعلي، مما يُظهر استخدامًا مبتكرًا للتقنيات السحابية. بالإضافة إلى ذلك، تشمل منصة الهيئة أقسامًا مخصصة للفوترة الإلكترونية، والتعريفات الجمركية، والمركز المعرفي، مما يعكس تصميمًا مرتكزًا على المستخدم. حصول الهيئة على نسبة </w:t>
      </w:r>
      <w:r w:rsidRPr="00202E2A">
        <w:rPr>
          <w:rFonts w:asciiTheme="majorBidi" w:hAnsiTheme="majorBidi" w:cstheme="majorBidi"/>
          <w:sz w:val="26"/>
          <w:szCs w:val="26"/>
          <w:lang w:bidi="ar-EG"/>
        </w:rPr>
        <w:t>90.5</w:t>
      </w:r>
      <w:r w:rsidRPr="00202E2A">
        <w:rPr>
          <w:rFonts w:asciiTheme="majorBidi" w:hAnsiTheme="majorBidi" w:cstheme="majorBidi"/>
          <w:sz w:val="26"/>
          <w:szCs w:val="26"/>
          <w:rtl/>
          <w:lang w:bidi="ar-EG"/>
        </w:rPr>
        <w:t xml:space="preserve">% في مؤشر نضج التجربة الرقمية لعام </w:t>
      </w:r>
      <w:r w:rsidRPr="00202E2A">
        <w:rPr>
          <w:rFonts w:asciiTheme="majorBidi" w:hAnsiTheme="majorBidi" w:cstheme="majorBidi"/>
          <w:sz w:val="26"/>
          <w:szCs w:val="26"/>
          <w:lang w:bidi="ar-EG"/>
        </w:rPr>
        <w:t>2024</w:t>
      </w:r>
      <w:r w:rsidRPr="00202E2A">
        <w:rPr>
          <w:rFonts w:asciiTheme="majorBidi" w:hAnsiTheme="majorBidi" w:cstheme="majorBidi"/>
          <w:sz w:val="26"/>
          <w:szCs w:val="26"/>
          <w:rtl/>
          <w:lang w:bidi="ar-EG"/>
        </w:rPr>
        <w:t xml:space="preserve"> يُبرز نجاحها في تقديم خدمات مبتكرة تُلبي توقعات المستفيدين</w:t>
      </w:r>
      <w:r w:rsidRPr="00202E2A">
        <w:rPr>
          <w:rFonts w:asciiTheme="majorBidi" w:hAnsiTheme="majorBidi" w:cstheme="majorBidi"/>
          <w:sz w:val="26"/>
          <w:szCs w:val="26"/>
          <w:lang w:bidi="ar-EG"/>
        </w:rPr>
        <w:t>.</w:t>
      </w:r>
    </w:p>
    <w:p w14:paraId="05AB3F8E"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تعليق الباحث</w:t>
      </w:r>
    </w:p>
    <w:p w14:paraId="15B1CCE8" w14:textId="15E201D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تُظهر هيئة الزكاة والضريبة والجمارك تفوقًا ملحوظًا في الابتكار الرقمي، خاصة من خلال مبادرة الفوترة الإلكترونية التي أحدثت نقلة نوعية في الامتثال الضريبي. من وجهة نظر الباحث، تكمن قوة الهيئة في قدرتها على إشراك المكلفين في تصميم الخدمات، كما يتضح من مركزها المعرفي الذي يوفر موارد تعليمية شاملة. ومع ذلك، يواجه هذا البعد تحديات تتعلق بضرورة مواكبة التوقعات المتزايدة للمستخدمين وتطوير حلول مبتكرة تتجاوز الأطر التقليدية. يُوصي الباحث باستكشاف تقنيات مثل الذكاء الاصطناعي لتحليل سلوك المكلفين وتقديم خدمات مخصصة، وبناء شراكات مع الشركات الناشئة لتطوير تطبيقات مبتكرة تُعزز تجربة المستخدم. هذه الخطوات ستُعزز مكانة الهيئة كرائدة في التحول الرقمي، مما يدعم رؤية المملكة </w:t>
      </w:r>
      <w:r w:rsidRPr="00202E2A">
        <w:rPr>
          <w:rFonts w:asciiTheme="majorBidi" w:hAnsiTheme="majorBidi" w:cstheme="majorBidi"/>
          <w:sz w:val="26"/>
          <w:szCs w:val="26"/>
          <w:lang w:bidi="ar-EG"/>
        </w:rPr>
        <w:t>2030</w:t>
      </w:r>
      <w:r w:rsidRPr="00202E2A">
        <w:rPr>
          <w:rFonts w:asciiTheme="majorBidi" w:hAnsiTheme="majorBidi" w:cstheme="majorBidi"/>
          <w:sz w:val="26"/>
          <w:szCs w:val="26"/>
          <w:rtl/>
          <w:lang w:bidi="ar-EG"/>
        </w:rPr>
        <w:t xml:space="preserve"> لت</w:t>
      </w:r>
      <w:r w:rsidR="00744D05" w:rsidRPr="00202E2A">
        <w:rPr>
          <w:rFonts w:asciiTheme="majorBidi" w:hAnsiTheme="majorBidi" w:cstheme="majorBidi" w:hint="cs"/>
          <w:sz w:val="26"/>
          <w:szCs w:val="26"/>
          <w:rtl/>
          <w:lang w:bidi="ar-EG"/>
        </w:rPr>
        <w:t>ي</w:t>
      </w:r>
      <w:r w:rsidRPr="00202E2A">
        <w:rPr>
          <w:rFonts w:asciiTheme="majorBidi" w:hAnsiTheme="majorBidi" w:cstheme="majorBidi"/>
          <w:sz w:val="26"/>
          <w:szCs w:val="26"/>
          <w:rtl/>
          <w:lang w:bidi="ar-EG"/>
        </w:rPr>
        <w:t>سي</w:t>
      </w:r>
      <w:r w:rsidR="00744D05" w:rsidRPr="00202E2A">
        <w:rPr>
          <w:rFonts w:asciiTheme="majorBidi" w:hAnsiTheme="majorBidi" w:cstheme="majorBidi" w:hint="cs"/>
          <w:sz w:val="26"/>
          <w:szCs w:val="26"/>
          <w:rtl/>
          <w:lang w:bidi="ar-EG"/>
        </w:rPr>
        <w:t>ر</w:t>
      </w:r>
      <w:r w:rsidRPr="00202E2A">
        <w:rPr>
          <w:rFonts w:asciiTheme="majorBidi" w:hAnsiTheme="majorBidi" w:cstheme="majorBidi"/>
          <w:sz w:val="26"/>
          <w:szCs w:val="26"/>
          <w:rtl/>
          <w:lang w:bidi="ar-EG"/>
        </w:rPr>
        <w:t xml:space="preserve"> ممارسة الأعمال</w:t>
      </w:r>
      <w:r w:rsidRPr="00202E2A">
        <w:rPr>
          <w:rFonts w:asciiTheme="majorBidi" w:hAnsiTheme="majorBidi" w:cstheme="majorBidi"/>
          <w:sz w:val="26"/>
          <w:szCs w:val="26"/>
          <w:lang w:bidi="ar-EG"/>
        </w:rPr>
        <w:t>.</w:t>
      </w:r>
    </w:p>
    <w:p w14:paraId="610E9B19"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البعد الرئيسي الثالث: الحوكمة الرقمية</w:t>
      </w:r>
    </w:p>
    <w:p w14:paraId="0860FE7A"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يضمن بعد الحوكمة الرقمية توافق المبادرات الرقمية مع الأهداف الاستراتيجية، والمتطلبات التنظيمية، والمعايير الأخلاقية. يتضمن هذا البعد إنشاء سياسات، وأطر عمل، وهياكل قيادية لتوجيه التحول الرقمي. يُؤكد</w:t>
      </w:r>
      <w:r w:rsidRPr="00202E2A">
        <w:rPr>
          <w:rFonts w:asciiTheme="majorBidi" w:hAnsiTheme="majorBidi" w:cstheme="majorBidi"/>
          <w:sz w:val="26"/>
          <w:szCs w:val="26"/>
          <w:lang w:bidi="ar-EG"/>
        </w:rPr>
        <w:t xml:space="preserve"> (Dong, 2023) </w:t>
      </w:r>
      <w:r w:rsidRPr="00202E2A">
        <w:rPr>
          <w:rFonts w:asciiTheme="majorBidi" w:hAnsiTheme="majorBidi" w:cstheme="majorBidi"/>
          <w:sz w:val="26"/>
          <w:szCs w:val="26"/>
          <w:rtl/>
          <w:lang w:bidi="ar-EG"/>
        </w:rPr>
        <w:t>على أهمية الحوكمة في القطاع العام، حيث تُعد المساءلة والشفافية ركائز أساسية لكسب ثقة أصحاب المصلحة</w:t>
      </w:r>
      <w:r w:rsidRPr="00202E2A">
        <w:rPr>
          <w:rFonts w:asciiTheme="majorBidi" w:hAnsiTheme="majorBidi" w:cstheme="majorBidi"/>
          <w:sz w:val="26"/>
          <w:szCs w:val="26"/>
          <w:lang w:bidi="ar-EG"/>
        </w:rPr>
        <w:t>.</w:t>
      </w:r>
    </w:p>
    <w:p w14:paraId="0C0F537C"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المكونات الرئيسية</w:t>
      </w:r>
    </w:p>
    <w:p w14:paraId="43026243" w14:textId="77777777" w:rsidR="003804AC" w:rsidRPr="00202E2A" w:rsidRDefault="003804AC">
      <w:pPr>
        <w:pStyle w:val="ListParagraph"/>
        <w:numPr>
          <w:ilvl w:val="0"/>
          <w:numId w:val="23"/>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التوافق الاستراتيجي:</w:t>
      </w:r>
      <w:r w:rsidRPr="00202E2A">
        <w:rPr>
          <w:rFonts w:asciiTheme="majorBidi" w:hAnsiTheme="majorBidi" w:cstheme="majorBidi"/>
          <w:sz w:val="26"/>
          <w:szCs w:val="26"/>
          <w:rtl/>
          <w:lang w:bidi="ar-EG"/>
        </w:rPr>
        <w:t xml:space="preserve"> يجب أن تُدعم المبادرات الرقمية الأهداف طويلة الأجل للمؤسسة. تُسهم أطر الحوكمة في توجيه الاستثمارات التكنولوجية نحو تحقيق الرؤية الاستراتيجية</w:t>
      </w:r>
      <w:r w:rsidRPr="00202E2A">
        <w:rPr>
          <w:rFonts w:asciiTheme="majorBidi" w:hAnsiTheme="majorBidi" w:cstheme="majorBidi"/>
          <w:sz w:val="26"/>
          <w:szCs w:val="26"/>
          <w:lang w:bidi="ar-EG"/>
        </w:rPr>
        <w:t xml:space="preserve"> (McKinsey &amp; Company, 2022).</w:t>
      </w:r>
    </w:p>
    <w:p w14:paraId="4D80703E" w14:textId="77777777" w:rsidR="003804AC" w:rsidRPr="00202E2A" w:rsidRDefault="003804AC">
      <w:pPr>
        <w:pStyle w:val="ListParagraph"/>
        <w:numPr>
          <w:ilvl w:val="0"/>
          <w:numId w:val="23"/>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الامتثال التنظيمي:</w:t>
      </w:r>
      <w:r w:rsidRPr="00202E2A">
        <w:rPr>
          <w:rFonts w:asciiTheme="majorBidi" w:hAnsiTheme="majorBidi" w:cstheme="majorBidi"/>
          <w:sz w:val="26"/>
          <w:szCs w:val="26"/>
          <w:rtl/>
          <w:lang w:bidi="ar-EG"/>
        </w:rPr>
        <w:t xml:space="preserve"> الالتزام بلوائح حماية البيانات، مثل اللائحة العامة لحماية البيانات</w:t>
      </w:r>
      <w:r w:rsidRPr="00202E2A">
        <w:rPr>
          <w:rFonts w:asciiTheme="majorBidi" w:hAnsiTheme="majorBidi" w:cstheme="majorBidi"/>
          <w:sz w:val="26"/>
          <w:szCs w:val="26"/>
          <w:lang w:bidi="ar-EG"/>
        </w:rPr>
        <w:t xml:space="preserve"> (GDPR) </w:t>
      </w:r>
      <w:r w:rsidRPr="00202E2A">
        <w:rPr>
          <w:rFonts w:asciiTheme="majorBidi" w:hAnsiTheme="majorBidi" w:cstheme="majorBidi"/>
          <w:sz w:val="26"/>
          <w:szCs w:val="26"/>
          <w:rtl/>
          <w:lang w:bidi="ar-EG"/>
        </w:rPr>
        <w:t>أو نظيرتها السعودية، يُقلل من المخاطر القانونية</w:t>
      </w:r>
      <w:r w:rsidRPr="00202E2A">
        <w:rPr>
          <w:rFonts w:asciiTheme="majorBidi" w:hAnsiTheme="majorBidi" w:cstheme="majorBidi"/>
          <w:sz w:val="26"/>
          <w:szCs w:val="26"/>
          <w:lang w:bidi="ar-EG"/>
        </w:rPr>
        <w:t xml:space="preserve"> (Vial, 2019).</w:t>
      </w:r>
    </w:p>
    <w:p w14:paraId="535ED470" w14:textId="77777777" w:rsidR="003804AC" w:rsidRPr="00202E2A" w:rsidRDefault="003804AC">
      <w:pPr>
        <w:pStyle w:val="ListParagraph"/>
        <w:numPr>
          <w:ilvl w:val="0"/>
          <w:numId w:val="23"/>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القيادة التحويلية:</w:t>
      </w:r>
      <w:r w:rsidRPr="00202E2A">
        <w:rPr>
          <w:rFonts w:asciiTheme="majorBidi" w:hAnsiTheme="majorBidi" w:cstheme="majorBidi"/>
          <w:sz w:val="26"/>
          <w:szCs w:val="26"/>
          <w:rtl/>
          <w:lang w:bidi="ar-EG"/>
        </w:rPr>
        <w:t xml:space="preserve"> تُعزز القيادة ثقافة رقمية تُشجع على الابتكار والمساءلة، مع التخفيف من مقاومة التغيير</w:t>
      </w:r>
      <w:r w:rsidRPr="00202E2A">
        <w:rPr>
          <w:rFonts w:asciiTheme="majorBidi" w:hAnsiTheme="majorBidi" w:cstheme="majorBidi"/>
          <w:sz w:val="26"/>
          <w:szCs w:val="26"/>
          <w:lang w:bidi="ar-EG"/>
        </w:rPr>
        <w:t xml:space="preserve"> (Muehlburger et al., 2019).</w:t>
      </w:r>
    </w:p>
    <w:p w14:paraId="7808A553" w14:textId="77777777" w:rsidR="003804AC" w:rsidRPr="00202E2A" w:rsidRDefault="003804AC">
      <w:pPr>
        <w:pStyle w:val="ListParagraph"/>
        <w:numPr>
          <w:ilvl w:val="0"/>
          <w:numId w:val="23"/>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مؤشرات الأداء:</w:t>
      </w:r>
      <w:r w:rsidRPr="00202E2A">
        <w:rPr>
          <w:rFonts w:asciiTheme="majorBidi" w:hAnsiTheme="majorBidi" w:cstheme="majorBidi"/>
          <w:sz w:val="26"/>
          <w:szCs w:val="26"/>
          <w:rtl/>
          <w:lang w:bidi="ar-EG"/>
        </w:rPr>
        <w:t xml:space="preserve"> تُمكّن مؤشرات الأداء الرئيسية</w:t>
      </w:r>
      <w:r w:rsidRPr="00202E2A">
        <w:rPr>
          <w:rFonts w:asciiTheme="majorBidi" w:hAnsiTheme="majorBidi" w:cstheme="majorBidi"/>
          <w:sz w:val="26"/>
          <w:szCs w:val="26"/>
          <w:lang w:bidi="ar-EG"/>
        </w:rPr>
        <w:t xml:space="preserve"> (KPIs) </w:t>
      </w:r>
      <w:r w:rsidRPr="00202E2A">
        <w:rPr>
          <w:rFonts w:asciiTheme="majorBidi" w:hAnsiTheme="majorBidi" w:cstheme="majorBidi"/>
          <w:sz w:val="26"/>
          <w:szCs w:val="26"/>
          <w:rtl/>
          <w:lang w:bidi="ar-EG"/>
        </w:rPr>
        <w:t>المؤسسات من قياس نجاح المبادرات الرقمية، مثل معدلات تبني الخدمات أو تقليل التكاليف</w:t>
      </w:r>
      <w:r w:rsidRPr="00202E2A">
        <w:rPr>
          <w:rFonts w:asciiTheme="majorBidi" w:hAnsiTheme="majorBidi" w:cstheme="majorBidi"/>
          <w:sz w:val="26"/>
          <w:szCs w:val="26"/>
          <w:lang w:bidi="ar-EG"/>
        </w:rPr>
        <w:t xml:space="preserve"> (Dong, 2023).</w:t>
      </w:r>
    </w:p>
    <w:p w14:paraId="7EBB5CC8" w14:textId="77777777" w:rsidR="003804AC" w:rsidRPr="00202E2A" w:rsidRDefault="003804AC">
      <w:pPr>
        <w:pStyle w:val="ListParagraph"/>
        <w:numPr>
          <w:ilvl w:val="0"/>
          <w:numId w:val="23"/>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إدارة المخاطر:</w:t>
      </w:r>
      <w:r w:rsidRPr="00202E2A">
        <w:rPr>
          <w:rFonts w:asciiTheme="majorBidi" w:hAnsiTheme="majorBidi" w:cstheme="majorBidi"/>
          <w:sz w:val="26"/>
          <w:szCs w:val="26"/>
          <w:rtl/>
          <w:lang w:bidi="ar-EG"/>
        </w:rPr>
        <w:t xml:space="preserve"> تتطلب الحوكمة أطرًا لتحديد المخاطر التقنية والتنظيمية ومعالجتها بشكل استباقي</w:t>
      </w:r>
      <w:r w:rsidRPr="00202E2A">
        <w:rPr>
          <w:rFonts w:asciiTheme="majorBidi" w:hAnsiTheme="majorBidi" w:cstheme="majorBidi"/>
          <w:sz w:val="26"/>
          <w:szCs w:val="26"/>
          <w:lang w:bidi="ar-EG"/>
        </w:rPr>
        <w:t>.</w:t>
      </w:r>
    </w:p>
    <w:p w14:paraId="74E359C4"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الأهمية الاستراتيجية</w:t>
      </w:r>
    </w:p>
    <w:p w14:paraId="50F7B0CF"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lastRenderedPageBreak/>
        <w:t>تُسهم الحوكمة الرقمية في استدامة التحول الرقمي من خلال ضمان التوافق، وتقليل المخاطر، وبناء الثقة. في القطاع العام، تُعد الحوكمة ضرورية لضمان إتاحة الخدمات الرقمية بشكل عادل وشفاف، مما يعزز رضا المستفيدين</w:t>
      </w:r>
      <w:r w:rsidRPr="00202E2A">
        <w:rPr>
          <w:rFonts w:asciiTheme="majorBidi" w:hAnsiTheme="majorBidi" w:cstheme="majorBidi"/>
          <w:sz w:val="26"/>
          <w:szCs w:val="26"/>
          <w:lang w:bidi="ar-EG"/>
        </w:rPr>
        <w:t>.</w:t>
      </w:r>
    </w:p>
    <w:p w14:paraId="4946D1BC"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تطبيق البعد في هيئة الزكاة والضريبة والجمارك</w:t>
      </w:r>
    </w:p>
    <w:p w14:paraId="3CE8FFA6"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تُظهر هيئة الزكاة والضريبة والجمارك نموذجًا متميزًا للحوكمة الرقمية، حيث طورت أطرًا تنظيمية صارمة لضمان الامتثال للوائح الفوترة الإلكترونية، مع فرض عقوبات على عدم الامتثال بعد فترة السماح</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 xml:space="preserve">المعمول بها، كما أنشأت الهيئة قنوات دعم متعددة للاستفسارات والشكاوى، مما يعكس التزامها بالشفافية ورضا المستفيدين. حصول الهيئة على المركز الأول في قياس التحول الرقمي لعام </w:t>
      </w:r>
      <w:r w:rsidRPr="00202E2A">
        <w:rPr>
          <w:rFonts w:asciiTheme="majorBidi" w:hAnsiTheme="majorBidi" w:cstheme="majorBidi"/>
          <w:sz w:val="26"/>
          <w:szCs w:val="26"/>
          <w:lang w:bidi="ar-EG"/>
        </w:rPr>
        <w:t>2023</w:t>
      </w:r>
      <w:r w:rsidRPr="00202E2A">
        <w:rPr>
          <w:rFonts w:asciiTheme="majorBidi" w:hAnsiTheme="majorBidi" w:cstheme="majorBidi"/>
          <w:sz w:val="26"/>
          <w:szCs w:val="26"/>
          <w:rtl/>
          <w:lang w:bidi="ar-EG"/>
        </w:rPr>
        <w:t xml:space="preserve"> يُبرز فعالية حوكمتها الرقمية، حيث تتماشى مبادراتها مع رؤية </w:t>
      </w:r>
      <w:r w:rsidRPr="00202E2A">
        <w:rPr>
          <w:rFonts w:asciiTheme="majorBidi" w:hAnsiTheme="majorBidi" w:cstheme="majorBidi"/>
          <w:sz w:val="26"/>
          <w:szCs w:val="26"/>
          <w:lang w:bidi="ar-EG"/>
        </w:rPr>
        <w:t>2030</w:t>
      </w:r>
      <w:r w:rsidRPr="00202E2A">
        <w:rPr>
          <w:rFonts w:asciiTheme="majorBidi" w:hAnsiTheme="majorBidi" w:cstheme="majorBidi"/>
          <w:sz w:val="26"/>
          <w:szCs w:val="26"/>
          <w:rtl/>
          <w:lang w:bidi="ar-EG"/>
        </w:rPr>
        <w:t xml:space="preserve"> لتعزيز بيئة الأعمال. بالإضافة إلى ذلك، يُظهر دمج الهيئة العامة للزكاة والدخل مع الهيئة العامة للجمارك في عام </w:t>
      </w:r>
      <w:r w:rsidRPr="00202E2A">
        <w:rPr>
          <w:rFonts w:asciiTheme="majorBidi" w:hAnsiTheme="majorBidi" w:cstheme="majorBidi"/>
          <w:sz w:val="26"/>
          <w:szCs w:val="26"/>
          <w:lang w:bidi="ar-EG"/>
        </w:rPr>
        <w:t>2021</w:t>
      </w:r>
      <w:r w:rsidRPr="00202E2A">
        <w:rPr>
          <w:rFonts w:asciiTheme="majorBidi" w:hAnsiTheme="majorBidi" w:cstheme="majorBidi"/>
          <w:sz w:val="26"/>
          <w:szCs w:val="26"/>
          <w:rtl/>
          <w:lang w:bidi="ar-EG"/>
        </w:rPr>
        <w:t xml:space="preserve"> تحت مظلة هيئة واحدة التزامًا بالتوافق الاستراتيجي، مما سهل تكامل العمليات الرقمية</w:t>
      </w:r>
      <w:r w:rsidRPr="00202E2A">
        <w:rPr>
          <w:rFonts w:asciiTheme="majorBidi" w:hAnsiTheme="majorBidi" w:cstheme="majorBidi"/>
          <w:sz w:val="26"/>
          <w:szCs w:val="26"/>
          <w:lang w:bidi="ar-EG"/>
        </w:rPr>
        <w:t>.</w:t>
      </w:r>
    </w:p>
    <w:p w14:paraId="51A461CA"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تعليق الباحث</w:t>
      </w:r>
    </w:p>
    <w:p w14:paraId="2A485E19"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تُعد الحوكمة الرقمية في هيئة الزكاة والضريبة والجمارك مثالًا رائدًا لكيفية ضمان التوافق الاستراتيجي والشفافية في القطاع الحكومي. من وجهة نظر الباحث، نجحت الهيئة في بناء ثقة المكلفين من خلال أطر تنظيمية واضحة، مثل لوائح الفوترة الإلكترونية، وقنوات دعم فعالة. ومع ذلك، تظل التحديات قائمة في موازنة بين الضوابط الصارمة والمرونة اللازمة لتبني تقنيات جديدة. يُوصي الباحث بتطوير أطر حوكمة ديناميكية تُتيح التكيف مع التطورات التكنولوجية، مثل البلوك تشين لتعزيز أمن المعاملات، مع تعزيز مشاركة أصحاب المصلحة في صياغة السياسات. هذه الخطوات ستُعزز قدرة الهيئة على تحقيق أهداف رؤية </w:t>
      </w:r>
      <w:r w:rsidRPr="00202E2A">
        <w:rPr>
          <w:rFonts w:asciiTheme="majorBidi" w:hAnsiTheme="majorBidi" w:cstheme="majorBidi"/>
          <w:sz w:val="26"/>
          <w:szCs w:val="26"/>
          <w:lang w:bidi="ar-EG"/>
        </w:rPr>
        <w:t>2030</w:t>
      </w:r>
      <w:r w:rsidRPr="00202E2A">
        <w:rPr>
          <w:rFonts w:asciiTheme="majorBidi" w:hAnsiTheme="majorBidi" w:cstheme="majorBidi"/>
          <w:sz w:val="26"/>
          <w:szCs w:val="26"/>
          <w:rtl/>
          <w:lang w:bidi="ar-EG"/>
        </w:rPr>
        <w:t>، خاصة في تحويل المملكة إلى مركز لوجستي عالمي</w:t>
      </w:r>
      <w:r w:rsidRPr="00202E2A">
        <w:rPr>
          <w:rFonts w:asciiTheme="majorBidi" w:hAnsiTheme="majorBidi" w:cstheme="majorBidi"/>
          <w:sz w:val="26"/>
          <w:szCs w:val="26"/>
          <w:lang w:bidi="ar-EG"/>
        </w:rPr>
        <w:t>.</w:t>
      </w:r>
    </w:p>
    <w:p w14:paraId="354EA526"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وفي النهاية، تُشكل الأبعاد الثلاثة للتحول الرقمي: الأسس الرقمية، والابتكار الرقمي، والحوكمة الرقمية، إطارًا متكاملًا يُمكّن المؤسسات من تحقيق التميز في بيئة رقمية ديناميكية. تُظهر هيئة الزكاة والضريبة والجمارك تفوقًا ملحوظًا في تطبيق هذه الأبعاد، حيث ساهمت بنيتها التحتية الرقمية القوية، ومبادراتها المبتكرة مثل الفوترة الإلكترونية، وأطر حوكمتها الفعالة في تحقيق المركز الأول في قياس التحول الرقمي لعام </w:t>
      </w:r>
      <w:r w:rsidRPr="00202E2A">
        <w:rPr>
          <w:rFonts w:asciiTheme="majorBidi" w:hAnsiTheme="majorBidi" w:cstheme="majorBidi"/>
          <w:sz w:val="26"/>
          <w:szCs w:val="26"/>
          <w:lang w:bidi="ar-EG"/>
        </w:rPr>
        <w:t>2023</w:t>
      </w:r>
      <w:r w:rsidRPr="00202E2A">
        <w:rPr>
          <w:rFonts w:asciiTheme="majorBidi" w:hAnsiTheme="majorBidi" w:cstheme="majorBidi"/>
          <w:sz w:val="26"/>
          <w:szCs w:val="26"/>
          <w:rtl/>
          <w:lang w:bidi="ar-EG"/>
        </w:rPr>
        <w:t xml:space="preserve">. تُبرز هذه التجربة أهمية التكامل بين الأبعاد لتحقيق أهداف رؤية المملكة </w:t>
      </w:r>
      <w:r w:rsidRPr="00202E2A">
        <w:rPr>
          <w:rFonts w:asciiTheme="majorBidi" w:hAnsiTheme="majorBidi" w:cstheme="majorBidi"/>
          <w:sz w:val="26"/>
          <w:szCs w:val="26"/>
          <w:lang w:bidi="ar-EG"/>
        </w:rPr>
        <w:t>2030</w:t>
      </w:r>
      <w:r w:rsidRPr="00202E2A">
        <w:rPr>
          <w:rFonts w:asciiTheme="majorBidi" w:hAnsiTheme="majorBidi" w:cstheme="majorBidi"/>
          <w:sz w:val="26"/>
          <w:szCs w:val="26"/>
          <w:rtl/>
          <w:lang w:bidi="ar-EG"/>
        </w:rPr>
        <w:t>، مع ضرورة التركيز على استدامة التحول من خلال التدريب المستمر، والابتكار المفتوح، وأطر الحوكمة الديناميكية. ينبغي للأبحاث المستقبلية استكشاف كيفية تعزيز هذه الأبعاد لمواجهة التحديات الناشئة، مثل التهديدات السيبرانية والتوقعات المتغيرة للمستفيدين.</w:t>
      </w:r>
    </w:p>
    <w:p w14:paraId="252261E5" w14:textId="4B92BD8F" w:rsidR="003804AC" w:rsidRPr="00202E2A" w:rsidRDefault="003804AC"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b/>
          <w:bCs/>
          <w:sz w:val="26"/>
          <w:szCs w:val="26"/>
          <w:u w:val="single"/>
          <w:rtl/>
          <w:lang w:bidi="ar-EG"/>
        </w:rPr>
        <w:t>ثانياً: مفهوم وأبعاد ت</w:t>
      </w:r>
      <w:r w:rsidR="00AB6E1A" w:rsidRPr="00202E2A">
        <w:rPr>
          <w:rFonts w:asciiTheme="majorBidi" w:hAnsiTheme="majorBidi" w:cstheme="majorBidi"/>
          <w:b/>
          <w:bCs/>
          <w:sz w:val="26"/>
          <w:szCs w:val="26"/>
          <w:u w:val="single"/>
          <w:rtl/>
          <w:lang w:bidi="ar-EG"/>
        </w:rPr>
        <w:t>ي</w:t>
      </w:r>
      <w:r w:rsidRPr="00202E2A">
        <w:rPr>
          <w:rFonts w:asciiTheme="majorBidi" w:hAnsiTheme="majorBidi" w:cstheme="majorBidi"/>
          <w:b/>
          <w:bCs/>
          <w:sz w:val="26"/>
          <w:szCs w:val="26"/>
          <w:u w:val="single"/>
          <w:rtl/>
          <w:lang w:bidi="ar-EG"/>
        </w:rPr>
        <w:t>سير التجارة:</w:t>
      </w:r>
    </w:p>
    <w:p w14:paraId="331265C9"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تشكل إدارة التجارة</w:t>
      </w:r>
      <w:r w:rsidRPr="00202E2A">
        <w:rPr>
          <w:rFonts w:asciiTheme="majorBidi" w:hAnsiTheme="majorBidi" w:cstheme="majorBidi"/>
          <w:sz w:val="26"/>
          <w:szCs w:val="26"/>
          <w:lang w:bidi="ar-EG"/>
        </w:rPr>
        <w:t xml:space="preserve"> (Trade Management) </w:t>
      </w:r>
      <w:r w:rsidRPr="00202E2A">
        <w:rPr>
          <w:rFonts w:asciiTheme="majorBidi" w:hAnsiTheme="majorBidi" w:cstheme="majorBidi"/>
          <w:sz w:val="26"/>
          <w:szCs w:val="26"/>
          <w:rtl/>
          <w:lang w:bidi="ar-EG"/>
        </w:rPr>
        <w:t>حجر الزاوية في الاقتصاد العالمي الحديث، حيث تُعنى بتنظيم وتنسيق العمليات التجارية لتحقيق الكفاءة والاستدامة. تشمل هذه الإدارة جوانب متعددة تتراوح بين التخطيط الاستراتيجي والتنفيذ التشغيلي، مرورًا بالامتثال القانوني وإدارة المخاطر. فيما يلي تحليل مُفصل لأبعادها الرئيسية</w:t>
      </w:r>
      <w:r w:rsidRPr="00202E2A">
        <w:rPr>
          <w:rFonts w:asciiTheme="majorBidi" w:hAnsiTheme="majorBidi" w:cstheme="majorBidi"/>
          <w:sz w:val="26"/>
          <w:szCs w:val="26"/>
          <w:lang w:bidi="ar-EG"/>
        </w:rPr>
        <w:t>:</w:t>
      </w:r>
    </w:p>
    <w:p w14:paraId="63D79075" w14:textId="237FA759" w:rsidR="003804AC" w:rsidRPr="00202E2A" w:rsidRDefault="003804AC" w:rsidP="0019590B">
      <w:pPr>
        <w:tabs>
          <w:tab w:val="left" w:pos="1755"/>
        </w:tabs>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المفهوم العام لإدارة أبعاد لت</w:t>
      </w:r>
      <w:r w:rsidR="00990B56" w:rsidRPr="00202E2A">
        <w:rPr>
          <w:rFonts w:asciiTheme="majorBidi" w:hAnsiTheme="majorBidi" w:cstheme="majorBidi"/>
          <w:sz w:val="26"/>
          <w:szCs w:val="26"/>
          <w:rtl/>
          <w:lang w:bidi="ar-EG"/>
        </w:rPr>
        <w:t>ي</w:t>
      </w:r>
      <w:r w:rsidRPr="00202E2A">
        <w:rPr>
          <w:rFonts w:asciiTheme="majorBidi" w:hAnsiTheme="majorBidi" w:cstheme="majorBidi"/>
          <w:sz w:val="26"/>
          <w:szCs w:val="26"/>
          <w:rtl/>
          <w:lang w:bidi="ar-EG"/>
        </w:rPr>
        <w:t>سير التجارة هي عملية تخطيط وتنفيذ ومراقبة الأنشطة التجارية لتحقيق أهداف اقتصادية واستراتيجية، مع مراعاة التوازن بين المصالح المحلية والدولية، الأهداف هي</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تعزيز النمو الاقتصادي، ضمان المنافسة العادلة، تحسين جودة المنتجات والخدمات، تعزيز العلاقات الدولية</w:t>
      </w:r>
      <w:r w:rsidRPr="00202E2A">
        <w:rPr>
          <w:rFonts w:asciiTheme="majorBidi" w:hAnsiTheme="majorBidi" w:cstheme="majorBidi"/>
          <w:sz w:val="26"/>
          <w:szCs w:val="26"/>
          <w:lang w:bidi="ar-EG"/>
        </w:rPr>
        <w:t>.</w:t>
      </w:r>
    </w:p>
    <w:p w14:paraId="5FCDBA6F" w14:textId="56EC0D92" w:rsidR="003804AC" w:rsidRPr="00202E2A" w:rsidRDefault="003804AC" w:rsidP="0019590B">
      <w:pPr>
        <w:bidi/>
        <w:spacing w:line="276" w:lineRule="auto"/>
        <w:rPr>
          <w:rFonts w:asciiTheme="majorBidi" w:hAnsiTheme="majorBidi" w:cstheme="majorBidi"/>
          <w:b/>
          <w:bCs/>
          <w:sz w:val="26"/>
          <w:szCs w:val="26"/>
          <w:u w:val="single"/>
          <w:rtl/>
          <w:lang w:bidi="ar-EG"/>
        </w:rPr>
      </w:pPr>
      <w:r w:rsidRPr="00202E2A">
        <w:rPr>
          <w:rFonts w:asciiTheme="majorBidi" w:hAnsiTheme="majorBidi" w:cstheme="majorBidi"/>
          <w:b/>
          <w:bCs/>
          <w:sz w:val="26"/>
          <w:szCs w:val="26"/>
          <w:u w:val="single"/>
          <w:rtl/>
          <w:lang w:bidi="ar-EG"/>
        </w:rPr>
        <w:t>الأبعاد الرئيسية لإدارة ت</w:t>
      </w:r>
      <w:r w:rsidR="00FD4882" w:rsidRPr="00202E2A">
        <w:rPr>
          <w:rFonts w:asciiTheme="majorBidi" w:hAnsiTheme="majorBidi" w:cstheme="majorBidi"/>
          <w:b/>
          <w:bCs/>
          <w:sz w:val="26"/>
          <w:szCs w:val="26"/>
          <w:u w:val="single"/>
          <w:rtl/>
          <w:lang w:bidi="ar-EG"/>
        </w:rPr>
        <w:t>ي</w:t>
      </w:r>
      <w:r w:rsidRPr="00202E2A">
        <w:rPr>
          <w:rFonts w:asciiTheme="majorBidi" w:hAnsiTheme="majorBidi" w:cstheme="majorBidi"/>
          <w:b/>
          <w:bCs/>
          <w:sz w:val="26"/>
          <w:szCs w:val="26"/>
          <w:u w:val="single"/>
          <w:rtl/>
          <w:lang w:bidi="ar-EG"/>
        </w:rPr>
        <w:t>سير التجارة</w:t>
      </w:r>
      <w:r w:rsidRPr="00202E2A">
        <w:rPr>
          <w:rFonts w:asciiTheme="majorBidi" w:hAnsiTheme="majorBidi" w:cstheme="majorBidi"/>
          <w:b/>
          <w:bCs/>
          <w:sz w:val="26"/>
          <w:szCs w:val="26"/>
          <w:u w:val="single"/>
          <w:lang w:bidi="ar-EG"/>
        </w:rPr>
        <w:t>:</w:t>
      </w:r>
    </w:p>
    <w:p w14:paraId="72761DAC"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lastRenderedPageBreak/>
        <w:t>تتعرَّض إدارة التجارة العالمية اليوم لتحديات جسيمة تفرضها تحوُّلات العصر، حيث تُهدد الجوائح الصحية -كجائحة كوفيد-</w:t>
      </w:r>
      <w:r w:rsidRPr="00202E2A">
        <w:rPr>
          <w:rFonts w:asciiTheme="majorBidi" w:hAnsiTheme="majorBidi" w:cstheme="majorBidi"/>
          <w:sz w:val="26"/>
          <w:szCs w:val="26"/>
          <w:lang w:bidi="ar-EG"/>
        </w:rPr>
        <w:t>19</w:t>
      </w:r>
      <w:r w:rsidRPr="00202E2A">
        <w:rPr>
          <w:rFonts w:asciiTheme="majorBidi" w:hAnsiTheme="majorBidi" w:cstheme="majorBidi"/>
          <w:sz w:val="26"/>
          <w:szCs w:val="26"/>
          <w:rtl/>
          <w:lang w:bidi="ar-EG"/>
        </w:rPr>
        <w:t xml:space="preserve">- باستقرار الأسواق عبر تعطيل سلاسل التوريد العالمية، في حين تُفاقم الاضطرابات الجيوسياسية والنزاعات المسلحة -كمؤثرات مضيق هرمز- من مخاطر شُحّ الممرات التجارية الحيوية. ولا تنفصل هذه التحديات عن تداعيات التضخم العالمي المُتصاعد بفعل ارتفاعات أسعار الطاقة والمواد الخام، مما يزيد من تعقيد بيئة الأعمال. </w:t>
      </w:r>
    </w:p>
    <w:p w14:paraId="385D3829" w14:textId="4E09951E"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وفي المقابل، يتطلع القطاع التجاري إلى مستقبل أكثر مرونة عبر اعتماد نماذج مستدامة كالاقتصاد الدائري القائم على إعادة تدوير الموارد، وتعزيز التعاون الإقليمي عبر التكتلات الاقتصادية الفاعلة</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مثل الاتحاد الأوروبي واتفاقية الشراكة الإقليمية الشاملة</w:t>
      </w:r>
      <w:r w:rsidRPr="00202E2A">
        <w:rPr>
          <w:rFonts w:asciiTheme="majorBidi" w:hAnsiTheme="majorBidi" w:cstheme="majorBidi"/>
          <w:sz w:val="26"/>
          <w:szCs w:val="26"/>
          <w:lang w:bidi="ar-EG"/>
        </w:rPr>
        <w:t xml:space="preserve"> RCEP)</w:t>
      </w:r>
      <w:r w:rsidRPr="00202E2A">
        <w:rPr>
          <w:rFonts w:asciiTheme="majorBidi" w:hAnsiTheme="majorBidi" w:cstheme="majorBidi"/>
          <w:sz w:val="26"/>
          <w:szCs w:val="26"/>
          <w:rtl/>
          <w:lang w:bidi="ar-EG"/>
        </w:rPr>
        <w:t>، إلى جانب تسخير الذكاء الاصطناعي لتحويل العمليات الإدارية إلى أنظمة تلقائية ذكية تعتمد على التحليل التنبئي للبيانات، مما يُعيد تشكيل مبادئ التجارة العالمية بتوازنٍ بين إدارة الأزمات واغتنام الفرص الناشئة، حيث تعتبر إدارة أبعاد ت</w:t>
      </w:r>
      <w:r w:rsidR="004B4A0D" w:rsidRPr="00202E2A">
        <w:rPr>
          <w:rFonts w:asciiTheme="majorBidi" w:hAnsiTheme="majorBidi" w:cstheme="majorBidi" w:hint="cs"/>
          <w:sz w:val="26"/>
          <w:szCs w:val="26"/>
          <w:rtl/>
          <w:lang w:bidi="ar-EG"/>
        </w:rPr>
        <w:t>ي</w:t>
      </w:r>
      <w:r w:rsidRPr="00202E2A">
        <w:rPr>
          <w:rFonts w:asciiTheme="majorBidi" w:hAnsiTheme="majorBidi" w:cstheme="majorBidi"/>
          <w:sz w:val="26"/>
          <w:szCs w:val="26"/>
          <w:rtl/>
          <w:lang w:bidi="ar-EG"/>
        </w:rPr>
        <w:t>سير التجارة ليست مجرد تبادل سلع، بل نظام معقد يتطلب تكاملًا بين السياسات الاقتصادية والتكنولوجيا والقيم الإنسانية، ونجاحها يعتمد على تحقيق التوازن بين الربح والمسؤولية، وبين المحلي والعالمي.</w:t>
      </w:r>
    </w:p>
    <w:p w14:paraId="6B404D4A" w14:textId="77777777" w:rsidR="003804AC" w:rsidRPr="00202E2A" w:rsidRDefault="003804AC" w:rsidP="0019590B">
      <w:pPr>
        <w:bidi/>
        <w:spacing w:line="276" w:lineRule="auto"/>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أ. البُعد الاقتصادي</w:t>
      </w:r>
      <w:r w:rsidRPr="00202E2A">
        <w:rPr>
          <w:rFonts w:asciiTheme="majorBidi" w:hAnsiTheme="majorBidi" w:cstheme="majorBidi"/>
          <w:b/>
          <w:bCs/>
          <w:sz w:val="26"/>
          <w:szCs w:val="26"/>
          <w:lang w:bidi="ar-EG"/>
        </w:rPr>
        <w:t xml:space="preserve">: </w:t>
      </w:r>
    </w:p>
    <w:p w14:paraId="1CE20C44" w14:textId="77777777" w:rsidR="003804AC" w:rsidRPr="00202E2A" w:rsidRDefault="003804AC">
      <w:pPr>
        <w:pStyle w:val="ListParagraph"/>
        <w:numPr>
          <w:ilvl w:val="1"/>
          <w:numId w:val="6"/>
        </w:numPr>
        <w:bidi/>
        <w:spacing w:line="276" w:lineRule="auto"/>
        <w:ind w:left="720" w:hanging="27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التأثير على الناتج المحلي الإجمالي</w:t>
      </w:r>
      <w:r w:rsidRPr="00202E2A">
        <w:rPr>
          <w:rFonts w:asciiTheme="majorBidi" w:hAnsiTheme="majorBidi" w:cstheme="majorBidi"/>
          <w:sz w:val="26"/>
          <w:szCs w:val="26"/>
          <w:lang w:bidi="ar-EG"/>
        </w:rPr>
        <w:t xml:space="preserve"> (GDP) </w:t>
      </w:r>
      <w:r w:rsidRPr="00202E2A">
        <w:rPr>
          <w:rFonts w:asciiTheme="majorBidi" w:hAnsiTheme="majorBidi" w:cstheme="majorBidi"/>
          <w:sz w:val="26"/>
          <w:szCs w:val="26"/>
          <w:rtl/>
          <w:lang w:bidi="ar-EG"/>
        </w:rPr>
        <w:t>حيث تُسهم</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 xml:space="preserve">التجارة بنسبة كبيرة في نمو الاقتصادات عبر زيادة الصادرات وجذب الاستثمارات، مثال: تمثل الصادرات </w:t>
      </w:r>
      <w:r w:rsidRPr="00202E2A">
        <w:rPr>
          <w:rFonts w:asciiTheme="majorBidi" w:hAnsiTheme="majorBidi" w:cstheme="majorBidi"/>
          <w:sz w:val="26"/>
          <w:szCs w:val="26"/>
          <w:lang w:bidi="ar-EG"/>
        </w:rPr>
        <w:t>30</w:t>
      </w:r>
      <w:r w:rsidRPr="00202E2A">
        <w:rPr>
          <w:rFonts w:asciiTheme="majorBidi" w:hAnsiTheme="majorBidi" w:cstheme="majorBidi"/>
          <w:sz w:val="26"/>
          <w:szCs w:val="26"/>
          <w:rtl/>
          <w:lang w:bidi="ar-EG"/>
        </w:rPr>
        <w:t>% من ناتج ألمانيا السنوي.</w:t>
      </w:r>
      <w:r w:rsidRPr="00202E2A">
        <w:rPr>
          <w:rFonts w:asciiTheme="majorBidi" w:hAnsiTheme="majorBidi" w:cstheme="majorBidi"/>
          <w:sz w:val="26"/>
          <w:szCs w:val="26"/>
          <w:lang w:bidi="ar-EG"/>
        </w:rPr>
        <w:t xml:space="preserve">  </w:t>
      </w:r>
    </w:p>
    <w:p w14:paraId="26FD5443" w14:textId="77777777" w:rsidR="003804AC" w:rsidRPr="00202E2A" w:rsidRDefault="003804AC">
      <w:pPr>
        <w:pStyle w:val="ListParagraph"/>
        <w:numPr>
          <w:ilvl w:val="1"/>
          <w:numId w:val="6"/>
        </w:numPr>
        <w:bidi/>
        <w:spacing w:line="276" w:lineRule="auto"/>
        <w:ind w:left="720" w:hanging="27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إدارة العرض والطلب حيث يكون هناك</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توازن بين إنتاج السلع محليًا واستيرادها لسد الفجوات السوقية، واستخدام أدوات مثل الحصص الجمركية لتجنب الاختناقات.</w:t>
      </w:r>
    </w:p>
    <w:p w14:paraId="5F9653B9" w14:textId="77777777" w:rsidR="003804AC" w:rsidRPr="00202E2A" w:rsidRDefault="003804AC">
      <w:pPr>
        <w:pStyle w:val="ListParagraph"/>
        <w:numPr>
          <w:ilvl w:val="1"/>
          <w:numId w:val="6"/>
        </w:numPr>
        <w:bidi/>
        <w:spacing w:line="276" w:lineRule="auto"/>
        <w:ind w:left="720" w:hanging="270"/>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الأسواق العالمية حيث يعتبر</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الانفتاح على الأسواق الناشئة (مثل أفريقيا وجنوب شرق آسيا)، وإدارة تقلبات العملات وأسعار الصرف</w:t>
      </w:r>
      <w:r w:rsidRPr="00202E2A">
        <w:rPr>
          <w:rFonts w:asciiTheme="majorBidi" w:hAnsiTheme="majorBidi" w:cstheme="majorBidi"/>
          <w:sz w:val="26"/>
          <w:szCs w:val="26"/>
          <w:lang w:bidi="ar-EG"/>
        </w:rPr>
        <w:t>.</w:t>
      </w:r>
    </w:p>
    <w:p w14:paraId="2516C1B1" w14:textId="77777777" w:rsidR="003804AC" w:rsidRPr="00202E2A" w:rsidRDefault="003804AC" w:rsidP="0019590B">
      <w:pPr>
        <w:bidi/>
        <w:spacing w:before="100" w:beforeAutospacing="1" w:after="100" w:afterAutospacing="1" w:line="276" w:lineRule="auto"/>
        <w:outlineLvl w:val="3"/>
        <w:rPr>
          <w:rFonts w:asciiTheme="majorBidi" w:hAnsiTheme="majorBidi" w:cstheme="majorBidi"/>
          <w:b/>
          <w:bCs/>
          <w:sz w:val="26"/>
          <w:szCs w:val="26"/>
          <w:lang w:bidi="ar-EG"/>
        </w:rPr>
      </w:pPr>
      <w:r w:rsidRPr="00202E2A">
        <w:rPr>
          <w:rFonts w:asciiTheme="majorBidi" w:hAnsiTheme="majorBidi" w:cstheme="majorBidi"/>
          <w:b/>
          <w:bCs/>
          <w:sz w:val="26"/>
          <w:szCs w:val="26"/>
          <w:rtl/>
          <w:lang w:bidi="ar-EG"/>
        </w:rPr>
        <w:t>ب.</w:t>
      </w:r>
      <w:r w:rsidRPr="00202E2A">
        <w:rPr>
          <w:rFonts w:asciiTheme="majorBidi" w:hAnsiTheme="majorBidi" w:cstheme="majorBidi"/>
          <w:b/>
          <w:bCs/>
          <w:sz w:val="26"/>
          <w:szCs w:val="26"/>
          <w:lang w:bidi="ar-EG"/>
        </w:rPr>
        <w:t xml:space="preserve"> </w:t>
      </w:r>
      <w:r w:rsidRPr="00202E2A">
        <w:rPr>
          <w:rFonts w:asciiTheme="majorBidi" w:hAnsiTheme="majorBidi" w:cstheme="majorBidi"/>
          <w:b/>
          <w:bCs/>
          <w:sz w:val="26"/>
          <w:szCs w:val="26"/>
          <w:rtl/>
          <w:lang w:bidi="ar-EG"/>
        </w:rPr>
        <w:t>تقليل التهرب الضريبي وتعزيز الامتثال:</w:t>
      </w:r>
    </w:p>
    <w:p w14:paraId="751162D6" w14:textId="77777777" w:rsidR="003804AC" w:rsidRPr="00202E2A" w:rsidRDefault="003804AC" w:rsidP="0019590B">
      <w:pPr>
        <w:bidi/>
        <w:spacing w:before="100" w:beforeAutospacing="1" w:after="100" w:afterAutospacing="1" w:line="276" w:lineRule="auto"/>
        <w:ind w:firstLine="360"/>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يتيح التحول الرقمي أدوات متطورة لتحليل السجلات الضريبية وكشف محاولات التهرب الضريبي، مما يسهم في رفع معدلات الامتثال الطوعي بين الشركات والأفراد</w:t>
      </w:r>
      <w:r w:rsidRPr="00202E2A">
        <w:rPr>
          <w:rFonts w:asciiTheme="majorBidi" w:hAnsiTheme="majorBidi" w:cstheme="majorBidi"/>
          <w:sz w:val="26"/>
          <w:szCs w:val="26"/>
          <w:lang w:bidi="ar-EG"/>
        </w:rPr>
        <w:t xml:space="preserve"> (Johnson, 2019). </w:t>
      </w:r>
      <w:r w:rsidRPr="00202E2A">
        <w:rPr>
          <w:rFonts w:asciiTheme="majorBidi" w:hAnsiTheme="majorBidi" w:cstheme="majorBidi"/>
          <w:sz w:val="26"/>
          <w:szCs w:val="26"/>
          <w:rtl/>
          <w:lang w:bidi="ar-EG"/>
        </w:rPr>
        <w:t>تعمل الهيئة على تطبيق أنظمة الفوترة الإلكترونية التي تُلزم جميع الشركات بتقديم فواتير رقمية شفافة، مما يقلل فرص الاحتيال ويسهل عمليات التدقيق الضريبي</w:t>
      </w:r>
      <w:r w:rsidRPr="00202E2A">
        <w:rPr>
          <w:rFonts w:asciiTheme="majorBidi" w:hAnsiTheme="majorBidi" w:cstheme="majorBidi"/>
          <w:sz w:val="26"/>
          <w:szCs w:val="26"/>
          <w:lang w:bidi="ar-EG"/>
        </w:rPr>
        <w:t>.</w:t>
      </w:r>
    </w:p>
    <w:p w14:paraId="3709AD25" w14:textId="77777777" w:rsidR="003804AC" w:rsidRPr="00202E2A" w:rsidRDefault="003804AC" w:rsidP="0019590B">
      <w:pPr>
        <w:bidi/>
        <w:spacing w:before="100" w:beforeAutospacing="1" w:after="100" w:afterAutospacing="1" w:line="276" w:lineRule="auto"/>
        <w:rPr>
          <w:rFonts w:asciiTheme="majorBidi" w:hAnsiTheme="majorBidi" w:cstheme="majorBidi"/>
          <w:sz w:val="26"/>
          <w:szCs w:val="26"/>
          <w:lang w:bidi="ar-EG"/>
        </w:rPr>
      </w:pPr>
      <w:r w:rsidRPr="00202E2A">
        <w:rPr>
          <w:rFonts w:asciiTheme="majorBidi" w:hAnsiTheme="majorBidi" w:cstheme="majorBidi"/>
          <w:sz w:val="26"/>
          <w:szCs w:val="26"/>
          <w:rtl/>
          <w:lang w:bidi="ar-EG"/>
        </w:rPr>
        <w:t>بالإضافة إلى ذلك، تعزز تقنيات الذكاء الاصطناعي من قدرة الهيئة على إجراء تحليل استباقي للبيانات الضريبية، مما يمكنها من رصد الشركات والأفراد الأكثر عرضة لمخاطر التهرب الضريبي واتخاذ الإجراءات اللازمة قبل وقوع المخالفات</w:t>
      </w:r>
      <w:r w:rsidRPr="00202E2A">
        <w:rPr>
          <w:rFonts w:asciiTheme="majorBidi" w:hAnsiTheme="majorBidi" w:cstheme="majorBidi"/>
          <w:sz w:val="26"/>
          <w:szCs w:val="26"/>
          <w:lang w:bidi="ar-EG"/>
        </w:rPr>
        <w:t>.</w:t>
      </w:r>
    </w:p>
    <w:p w14:paraId="09443298"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ج. البُعد التكنولوجي:</w:t>
      </w:r>
    </w:p>
    <w:p w14:paraId="1855B601" w14:textId="77777777" w:rsidR="003804AC" w:rsidRPr="00202E2A" w:rsidRDefault="003804AC">
      <w:pPr>
        <w:pStyle w:val="ListParagraph"/>
        <w:numPr>
          <w:ilvl w:val="0"/>
          <w:numId w:val="8"/>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الثورة الرقمية</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من حيث</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منصات التجارة الإلكترونية والجمركية غيّرت طرق البيع والشراء والنقل واللوجستيات من</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طرق</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استخدام الذكاء الاصطناعي في تحليل سلوك العملاء والمصدرين والمستوردين.</w:t>
      </w:r>
    </w:p>
    <w:p w14:paraId="2B341477" w14:textId="77777777" w:rsidR="003804AC" w:rsidRPr="00202E2A" w:rsidRDefault="003804AC">
      <w:pPr>
        <w:pStyle w:val="ListParagraph"/>
        <w:numPr>
          <w:ilvl w:val="0"/>
          <w:numId w:val="8"/>
        </w:num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سلاسل التوريد الذكية</w:t>
      </w:r>
      <w:r w:rsidRPr="00202E2A">
        <w:rPr>
          <w:rFonts w:asciiTheme="majorBidi" w:hAnsiTheme="majorBidi" w:cstheme="majorBidi"/>
          <w:sz w:val="26"/>
          <w:szCs w:val="26"/>
          <w:lang w:bidi="ar-EG"/>
        </w:rPr>
        <w:t xml:space="preserve"> - </w:t>
      </w:r>
      <w:r w:rsidRPr="00202E2A">
        <w:rPr>
          <w:rFonts w:asciiTheme="majorBidi" w:hAnsiTheme="majorBidi" w:cstheme="majorBidi"/>
          <w:sz w:val="26"/>
          <w:szCs w:val="26"/>
          <w:rtl/>
          <w:lang w:bidi="ar-EG"/>
        </w:rPr>
        <w:t>تقنيات الـ</w:t>
      </w:r>
      <w:r w:rsidRPr="00202E2A">
        <w:rPr>
          <w:rFonts w:asciiTheme="majorBidi" w:hAnsiTheme="majorBidi" w:cstheme="majorBidi"/>
          <w:sz w:val="26"/>
          <w:szCs w:val="26"/>
          <w:lang w:bidi="ar-EG"/>
        </w:rPr>
        <w:t xml:space="preserve"> Blockchain </w:t>
      </w:r>
      <w:r w:rsidRPr="00202E2A">
        <w:rPr>
          <w:rFonts w:asciiTheme="majorBidi" w:hAnsiTheme="majorBidi" w:cstheme="majorBidi"/>
          <w:sz w:val="26"/>
          <w:szCs w:val="26"/>
          <w:rtl/>
          <w:lang w:bidi="ar-EG"/>
        </w:rPr>
        <w:t>لتعقب المنتجات وتقليل التزوير وتطبيق</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إنترنت الأشياء</w:t>
      </w:r>
      <w:r w:rsidRPr="00202E2A">
        <w:rPr>
          <w:rFonts w:asciiTheme="majorBidi" w:hAnsiTheme="majorBidi" w:cstheme="majorBidi"/>
          <w:sz w:val="26"/>
          <w:szCs w:val="26"/>
          <w:lang w:bidi="ar-EG"/>
        </w:rPr>
        <w:t xml:space="preserve"> (IoT) </w:t>
      </w:r>
      <w:r w:rsidRPr="00202E2A">
        <w:rPr>
          <w:rFonts w:asciiTheme="majorBidi" w:hAnsiTheme="majorBidi" w:cstheme="majorBidi"/>
          <w:sz w:val="26"/>
          <w:szCs w:val="26"/>
          <w:rtl/>
          <w:lang w:bidi="ar-EG"/>
        </w:rPr>
        <w:t>لمراقبة جودة البضائع أثناء النقل</w:t>
      </w:r>
      <w:r w:rsidRPr="00202E2A">
        <w:rPr>
          <w:rFonts w:asciiTheme="majorBidi" w:hAnsiTheme="majorBidi" w:cstheme="majorBidi"/>
          <w:sz w:val="26"/>
          <w:szCs w:val="26"/>
          <w:lang w:bidi="ar-EG"/>
        </w:rPr>
        <w:t xml:space="preserve">.  </w:t>
      </w:r>
    </w:p>
    <w:p w14:paraId="0801D361" w14:textId="77777777" w:rsidR="003804AC" w:rsidRPr="00202E2A" w:rsidRDefault="003804AC">
      <w:pPr>
        <w:pStyle w:val="ListParagraph"/>
        <w:numPr>
          <w:ilvl w:val="0"/>
          <w:numId w:val="8"/>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lastRenderedPageBreak/>
        <w:t>سد الفجوات والتحديات</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الرقمية بين الدول النامية والمتقدمة، وإدارة مخاطر القرصنة الإلكترونية على المنصات التجارية.</w:t>
      </w:r>
    </w:p>
    <w:p w14:paraId="4916E1EA"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دـ. البُعد البيئي:</w:t>
      </w:r>
    </w:p>
    <w:p w14:paraId="0DE5B842" w14:textId="77777777" w:rsidR="003804AC" w:rsidRPr="00202E2A" w:rsidRDefault="003804AC">
      <w:pPr>
        <w:pStyle w:val="ListParagraph"/>
        <w:numPr>
          <w:ilvl w:val="0"/>
          <w:numId w:val="10"/>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التجارة الخضراء</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من</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تشجيع تصدير المنتجات الصديقة للبيئة، وفرض قيود على المواد البلاستيكية ذات الاستخدام الواحد.</w:t>
      </w:r>
    </w:p>
    <w:p w14:paraId="40DA852F" w14:textId="77777777" w:rsidR="003804AC" w:rsidRPr="00202E2A" w:rsidRDefault="003804AC">
      <w:pPr>
        <w:pStyle w:val="ListParagraph"/>
        <w:numPr>
          <w:ilvl w:val="0"/>
          <w:numId w:val="10"/>
        </w:num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البصمة الكربونية</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من</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تقليل انبعاثات الكربون الناتجة عن نقل البضائع عبر الحدود، واعتماد وسائل نقل مستدامة (مثل السفن الكهربائية).</w:t>
      </w:r>
    </w:p>
    <w:p w14:paraId="1A342150" w14:textId="77777777" w:rsidR="003804AC" w:rsidRPr="00202E2A" w:rsidRDefault="003804AC">
      <w:pPr>
        <w:pStyle w:val="ListParagraph"/>
        <w:numPr>
          <w:ilvl w:val="0"/>
          <w:numId w:val="10"/>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محاربة</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الصراع بين الربح السريع والاستدامة الطويلة الأمد حيث يعتبر</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عدم التزام بعض الدول بالاتفاقيات البيئية (مثل اتفاقية باريس للمناخ)</w:t>
      </w:r>
      <w:r w:rsidRPr="00202E2A">
        <w:rPr>
          <w:rFonts w:asciiTheme="majorBidi" w:hAnsiTheme="majorBidi" w:cstheme="majorBidi"/>
          <w:sz w:val="26"/>
          <w:szCs w:val="26"/>
          <w:lang w:bidi="ar-EG"/>
        </w:rPr>
        <w:t>.</w:t>
      </w:r>
    </w:p>
    <w:p w14:paraId="5CEEA73E" w14:textId="77777777" w:rsidR="003804AC" w:rsidRPr="00202E2A" w:rsidRDefault="003804AC" w:rsidP="0019590B">
      <w:pPr>
        <w:bidi/>
        <w:spacing w:line="276" w:lineRule="auto"/>
        <w:jc w:val="lowKashida"/>
        <w:rPr>
          <w:rFonts w:asciiTheme="majorBidi" w:hAnsiTheme="majorBidi" w:cstheme="majorBidi"/>
          <w:b/>
          <w:bCs/>
          <w:sz w:val="26"/>
          <w:szCs w:val="26"/>
          <w:u w:val="single"/>
          <w:rtl/>
          <w:lang w:bidi="ar-EG"/>
        </w:rPr>
      </w:pPr>
      <w:r w:rsidRPr="00202E2A">
        <w:rPr>
          <w:rFonts w:asciiTheme="majorBidi" w:hAnsiTheme="majorBidi" w:cstheme="majorBidi"/>
          <w:b/>
          <w:bCs/>
          <w:sz w:val="26"/>
          <w:szCs w:val="26"/>
          <w:u w:val="single"/>
          <w:rtl/>
          <w:lang w:bidi="ar-EG"/>
        </w:rPr>
        <w:t xml:space="preserve">ثالثاً: مفهوم وأبعاد تعزيز الأمن: </w:t>
      </w:r>
    </w:p>
    <w:p w14:paraId="4A92E3AB" w14:textId="77777777" w:rsidR="003804AC" w:rsidRPr="00202E2A" w:rsidRDefault="003804AC" w:rsidP="0019590B">
      <w:pPr>
        <w:bidi/>
        <w:spacing w:before="100" w:beforeAutospacing="1" w:after="100" w:afterAutospacing="1" w:line="276" w:lineRule="auto"/>
        <w:ind w:firstLine="720"/>
        <w:jc w:val="both"/>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يشكل التحول الرقمي أحد الدعائم الأساسية لتحقيق التنمية الاقتصادية المستدامة وتعزيز الأمن في مختلف القطاعات، لا سيما في المؤسسات الحكومية ذات التأثير المباشر على الاقتصاد والتجارة. تُعدّ هيئة الزكاة والضريبة والجمارك في المملكة العربية السعودية إحدى الجهات الرائدة في تبني الحلول الرقمية لتعزيز كفاءة العمليات، وتحسين الامتثال الضريبي والجمركي، والحد من المخاطر الأمنية المرتبطة بالتهريب والاحتيال الضريبي. يهدف هذا التحول إلى دعم مستهدفات رؤية المملكة </w:t>
      </w:r>
      <w:r w:rsidRPr="00202E2A">
        <w:rPr>
          <w:rFonts w:asciiTheme="majorBidi" w:hAnsiTheme="majorBidi" w:cstheme="majorBidi"/>
          <w:sz w:val="26"/>
          <w:szCs w:val="26"/>
          <w:lang w:bidi="ar-EG"/>
        </w:rPr>
        <w:t>2030</w:t>
      </w:r>
      <w:r w:rsidRPr="00202E2A">
        <w:rPr>
          <w:rFonts w:asciiTheme="majorBidi" w:hAnsiTheme="majorBidi" w:cstheme="majorBidi"/>
          <w:sz w:val="26"/>
          <w:szCs w:val="26"/>
          <w:rtl/>
          <w:lang w:bidi="ar-EG"/>
        </w:rPr>
        <w:t xml:space="preserve"> التي تسعى إلى بناء اقتصاد رقمي متقدم وتعزيز مكانة المملكة كمركز لوجستي عالمي</w:t>
      </w:r>
      <w:r w:rsidRPr="00202E2A">
        <w:rPr>
          <w:rFonts w:asciiTheme="majorBidi" w:hAnsiTheme="majorBidi" w:cstheme="majorBidi"/>
          <w:sz w:val="26"/>
          <w:szCs w:val="26"/>
          <w:lang w:bidi="ar-EG"/>
        </w:rPr>
        <w:t>.</w:t>
      </w:r>
    </w:p>
    <w:p w14:paraId="0034F16A" w14:textId="77777777" w:rsidR="003804AC" w:rsidRPr="00202E2A" w:rsidRDefault="003804AC" w:rsidP="0019590B">
      <w:pPr>
        <w:bidi/>
        <w:spacing w:before="100" w:beforeAutospacing="1" w:after="100" w:afterAutospacing="1" w:line="276" w:lineRule="auto"/>
        <w:ind w:firstLine="720"/>
        <w:jc w:val="both"/>
        <w:rPr>
          <w:rFonts w:asciiTheme="majorBidi" w:hAnsiTheme="majorBidi" w:cstheme="majorBidi"/>
          <w:sz w:val="26"/>
          <w:szCs w:val="26"/>
          <w:rtl/>
          <w:lang w:bidi="ar-EG"/>
        </w:rPr>
      </w:pPr>
      <w:r w:rsidRPr="00202E2A">
        <w:rPr>
          <w:rFonts w:asciiTheme="majorBidi" w:hAnsiTheme="majorBidi" w:cstheme="majorBidi"/>
          <w:sz w:val="26"/>
          <w:szCs w:val="26"/>
          <w:rtl/>
          <w:lang w:bidi="ar-EG"/>
        </w:rPr>
        <w:t>ومع تزايد حجم التجارة الإلكترونية والاعتماد المتزايد على التكنولوجيا المالية، أصبح لزامًا على الجهات المسؤولة عن تنظيم التجارة والضرائب تبني تقنيات حديثة لتعزيز الأمن والشفافية والكفاءة. وعليه، يعتمد التحول الرقمي في هيئة الزكاة والضريبة والجمارك على أنظمة متقدمة، مثل الذكاء الاصطناعي، وتحليل البيانات الضخمة، والأمن السيبراني، لمواجهة التحديات الأمنية والاقتصادية التي قد تعيق تحقيق أهداف التنمية الاقتصادية والاستقرار المالي</w:t>
      </w:r>
      <w:r w:rsidRPr="00202E2A">
        <w:rPr>
          <w:rFonts w:asciiTheme="majorBidi" w:hAnsiTheme="majorBidi" w:cstheme="majorBidi"/>
          <w:sz w:val="26"/>
          <w:szCs w:val="26"/>
          <w:lang w:bidi="ar-EG"/>
        </w:rPr>
        <w:t>.</w:t>
      </w:r>
    </w:p>
    <w:p w14:paraId="0A1E1E44" w14:textId="48F201AF" w:rsidR="003804AC" w:rsidRPr="00202E2A" w:rsidRDefault="003804AC" w:rsidP="0019590B">
      <w:pPr>
        <w:bidi/>
        <w:spacing w:before="100" w:beforeAutospacing="1" w:after="100" w:afterAutospacing="1" w:line="276" w:lineRule="auto"/>
        <w:ind w:firstLine="720"/>
        <w:jc w:val="both"/>
        <w:rPr>
          <w:rFonts w:asciiTheme="majorBidi" w:hAnsiTheme="majorBidi" w:cstheme="majorBidi"/>
          <w:sz w:val="26"/>
          <w:szCs w:val="26"/>
          <w:lang w:bidi="ar-EG"/>
        </w:rPr>
      </w:pPr>
      <w:r w:rsidRPr="00202E2A">
        <w:rPr>
          <w:rFonts w:asciiTheme="majorBidi" w:hAnsiTheme="majorBidi" w:cstheme="majorBidi"/>
          <w:sz w:val="26"/>
          <w:szCs w:val="26"/>
          <w:rtl/>
          <w:lang w:bidi="ar-EG"/>
        </w:rPr>
        <w:t>ويُمثل التحول الرقمي في هيئة الزكاة والضريبة والجمارك عنصرًا أساسيًا في تعزيز الأمن وت</w:t>
      </w:r>
      <w:r w:rsidR="00744D05" w:rsidRPr="00202E2A">
        <w:rPr>
          <w:rFonts w:asciiTheme="majorBidi" w:hAnsiTheme="majorBidi" w:cstheme="majorBidi" w:hint="cs"/>
          <w:sz w:val="26"/>
          <w:szCs w:val="26"/>
          <w:rtl/>
          <w:lang w:bidi="ar-EG"/>
        </w:rPr>
        <w:t>ي</w:t>
      </w:r>
      <w:r w:rsidRPr="00202E2A">
        <w:rPr>
          <w:rFonts w:asciiTheme="majorBidi" w:hAnsiTheme="majorBidi" w:cstheme="majorBidi"/>
          <w:sz w:val="26"/>
          <w:szCs w:val="26"/>
          <w:rtl/>
          <w:lang w:bidi="ar-EG"/>
        </w:rPr>
        <w:t>سي</w:t>
      </w:r>
      <w:r w:rsidR="00744D05" w:rsidRPr="00202E2A">
        <w:rPr>
          <w:rFonts w:asciiTheme="majorBidi" w:hAnsiTheme="majorBidi" w:cstheme="majorBidi" w:hint="cs"/>
          <w:sz w:val="26"/>
          <w:szCs w:val="26"/>
          <w:rtl/>
          <w:lang w:bidi="ar-EG"/>
        </w:rPr>
        <w:t>ر</w:t>
      </w:r>
      <w:r w:rsidRPr="00202E2A">
        <w:rPr>
          <w:rFonts w:asciiTheme="majorBidi" w:hAnsiTheme="majorBidi" w:cstheme="majorBidi"/>
          <w:sz w:val="26"/>
          <w:szCs w:val="26"/>
          <w:rtl/>
          <w:lang w:bidi="ar-EG"/>
        </w:rPr>
        <w:t xml:space="preserve"> التجارة، بما يتماشى مع رؤية </w:t>
      </w:r>
      <w:r w:rsidRPr="00202E2A">
        <w:rPr>
          <w:rFonts w:asciiTheme="majorBidi" w:hAnsiTheme="majorBidi" w:cstheme="majorBidi"/>
          <w:sz w:val="26"/>
          <w:szCs w:val="26"/>
          <w:lang w:bidi="ar-EG"/>
        </w:rPr>
        <w:t>2030</w:t>
      </w:r>
      <w:r w:rsidRPr="00202E2A">
        <w:rPr>
          <w:rFonts w:asciiTheme="majorBidi" w:hAnsiTheme="majorBidi" w:cstheme="majorBidi"/>
          <w:sz w:val="26"/>
          <w:szCs w:val="26"/>
          <w:rtl/>
          <w:lang w:bidi="ar-EG"/>
        </w:rPr>
        <w:t>. من خلال تبني تقنيات الذكاء الاصطناعي، وتحليل البيانات، والأمن السيبراني، تسهم الهيئة في مكافحة التهرب الضريبي، وتقليل التهريب، وتحسين بيئة الأعمال، مما يعزز من تنافسية الاقتصاد السعودي على المستوى الدولي. رغم التحديات التي تواجه التحول الرقمي، فإن الاستثمارات المستمرة في تطوير الأنظمة والبنية التحتية التقنية ستضمن تحقيق الأهداف الاستراتيجية للهيئة، وتدعم مساعي المملكة نحو التحول إلى اقتصاد رقمي متكامل، وحيث يمثل أبعاد تعزيز الأمن في الهيئة أداة استراتيجية لمكافحة التهرب الضريبي، والاحتيال الجمركي، والجرائم المالية، وتعزيز أمن البيانات والمعاملات. فيما يلي أبرز مجالات تأثير التحول الرقمي على تعزيز الأمن.</w:t>
      </w:r>
    </w:p>
    <w:p w14:paraId="407BD75E" w14:textId="77777777" w:rsidR="003804AC" w:rsidRPr="00202E2A" w:rsidRDefault="003804AC">
      <w:pPr>
        <w:pStyle w:val="ListParagraph"/>
        <w:numPr>
          <w:ilvl w:val="0"/>
          <w:numId w:val="12"/>
        </w:numPr>
        <w:bidi/>
        <w:spacing w:before="100" w:beforeAutospacing="1" w:after="100" w:afterAutospacing="1" w:line="276" w:lineRule="auto"/>
        <w:outlineLvl w:val="3"/>
        <w:rPr>
          <w:rFonts w:asciiTheme="majorBidi" w:hAnsiTheme="majorBidi" w:cstheme="majorBidi"/>
          <w:b/>
          <w:bCs/>
          <w:sz w:val="26"/>
          <w:szCs w:val="26"/>
          <w:lang w:bidi="ar-EG"/>
        </w:rPr>
      </w:pPr>
      <w:r w:rsidRPr="00202E2A">
        <w:rPr>
          <w:rFonts w:asciiTheme="majorBidi" w:hAnsiTheme="majorBidi" w:cstheme="majorBidi"/>
          <w:b/>
          <w:bCs/>
          <w:sz w:val="26"/>
          <w:szCs w:val="26"/>
          <w:lang w:bidi="ar-EG"/>
        </w:rPr>
        <w:t xml:space="preserve"> </w:t>
      </w:r>
      <w:r w:rsidRPr="00202E2A">
        <w:rPr>
          <w:rFonts w:asciiTheme="majorBidi" w:hAnsiTheme="majorBidi" w:cstheme="majorBidi"/>
          <w:b/>
          <w:bCs/>
          <w:sz w:val="26"/>
          <w:szCs w:val="26"/>
          <w:rtl/>
          <w:lang w:bidi="ar-EG"/>
        </w:rPr>
        <w:t>الأمن السيبراني وحماية البيانات:</w:t>
      </w:r>
    </w:p>
    <w:p w14:paraId="6A020FFF" w14:textId="77777777" w:rsidR="003804AC" w:rsidRPr="00202E2A" w:rsidRDefault="003804AC" w:rsidP="0019590B">
      <w:pPr>
        <w:bidi/>
        <w:spacing w:before="100" w:beforeAutospacing="1" w:after="100" w:afterAutospacing="1" w:line="276" w:lineRule="auto"/>
        <w:ind w:firstLine="360"/>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يُعدّ الأمن السيبراني من أبرز الأولويات في عملية التحول الرقمي، حيث تسعى الهيئة إلى تأمين منصاتها الرقمية من الهجمات الإلكترونية التي قد تستهدف البيانات الضريبية والتجارية الحساسة. وفقًا لدراسة حديثة، تشكل الجرائم </w:t>
      </w:r>
      <w:r w:rsidRPr="00202E2A">
        <w:rPr>
          <w:rFonts w:asciiTheme="majorBidi" w:hAnsiTheme="majorBidi" w:cstheme="majorBidi"/>
          <w:sz w:val="26"/>
          <w:szCs w:val="26"/>
          <w:rtl/>
          <w:lang w:bidi="ar-EG"/>
        </w:rPr>
        <w:lastRenderedPageBreak/>
        <w:t>السيبرانية تهديدًا مباشرًا للأمن الاقتصادي، ما يستوجب تبني استراتيجيات فعالة لحماية الأنظمة الرقمية وضمان استمرارية العمليات دون انقطاع</w:t>
      </w:r>
      <w:r w:rsidRPr="00202E2A">
        <w:rPr>
          <w:rFonts w:asciiTheme="majorBidi" w:hAnsiTheme="majorBidi" w:cstheme="majorBidi"/>
          <w:sz w:val="26"/>
          <w:szCs w:val="26"/>
          <w:lang w:bidi="ar-EG"/>
        </w:rPr>
        <w:t xml:space="preserve"> (Williams, 2022).</w:t>
      </w:r>
    </w:p>
    <w:p w14:paraId="6C2C98E7" w14:textId="77777777" w:rsidR="003804AC" w:rsidRPr="00202E2A" w:rsidRDefault="003804AC" w:rsidP="0019590B">
      <w:pPr>
        <w:bidi/>
        <w:spacing w:before="100" w:beforeAutospacing="1" w:after="100" w:afterAutospacing="1" w:line="276" w:lineRule="auto"/>
        <w:ind w:firstLine="360"/>
        <w:rPr>
          <w:rFonts w:asciiTheme="majorBidi" w:hAnsiTheme="majorBidi" w:cstheme="majorBidi"/>
          <w:sz w:val="26"/>
          <w:szCs w:val="26"/>
          <w:lang w:bidi="ar-EG"/>
        </w:rPr>
      </w:pPr>
      <w:r w:rsidRPr="00202E2A">
        <w:rPr>
          <w:rFonts w:asciiTheme="majorBidi" w:hAnsiTheme="majorBidi" w:cstheme="majorBidi"/>
          <w:sz w:val="26"/>
          <w:szCs w:val="26"/>
          <w:rtl/>
          <w:lang w:bidi="ar-EG"/>
        </w:rPr>
        <w:t>تستخدم الهيئة تقنيات حديثة مثل التشفير المتقدم، وأنظمة المصادقة متعددة العوامل، ومنصات المراقبة الإلكترونية المدعومة بالذكاء الاصطناعي لرصد أي أنشطة مشبوهة والتصدي لها فورًا. كما تسهم تقنية تحليل البيانات الضخمة في اكتشاف الأنماط غير الطبيعية في المعاملات، مما يعزز من القدرة على مكافحة الاحتيال الضريبي والتجارة غير المشروعة</w:t>
      </w:r>
      <w:r w:rsidRPr="00202E2A">
        <w:rPr>
          <w:rFonts w:asciiTheme="majorBidi" w:hAnsiTheme="majorBidi" w:cstheme="majorBidi"/>
          <w:sz w:val="26"/>
          <w:szCs w:val="26"/>
          <w:lang w:bidi="ar-EG"/>
        </w:rPr>
        <w:t>.</w:t>
      </w:r>
    </w:p>
    <w:p w14:paraId="05F2CC02" w14:textId="77777777" w:rsidR="003804AC" w:rsidRPr="00202E2A" w:rsidRDefault="003804AC">
      <w:pPr>
        <w:pStyle w:val="ListParagraph"/>
        <w:numPr>
          <w:ilvl w:val="0"/>
          <w:numId w:val="12"/>
        </w:numPr>
        <w:bidi/>
        <w:spacing w:before="100" w:beforeAutospacing="1" w:after="100" w:afterAutospacing="1" w:line="276" w:lineRule="auto"/>
        <w:outlineLvl w:val="3"/>
        <w:rPr>
          <w:rFonts w:asciiTheme="majorBidi" w:hAnsiTheme="majorBidi" w:cstheme="majorBidi"/>
          <w:b/>
          <w:bCs/>
          <w:sz w:val="26"/>
          <w:szCs w:val="26"/>
          <w:lang w:bidi="ar-EG"/>
        </w:rPr>
      </w:pPr>
      <w:r w:rsidRPr="00202E2A">
        <w:rPr>
          <w:rFonts w:asciiTheme="majorBidi" w:hAnsiTheme="majorBidi" w:cstheme="majorBidi"/>
          <w:b/>
          <w:bCs/>
          <w:sz w:val="26"/>
          <w:szCs w:val="26"/>
          <w:rtl/>
          <w:lang w:bidi="ar-EG"/>
        </w:rPr>
        <w:t>تحسين كفاءة الرقابة الجمركية والحد من التهريب:</w:t>
      </w:r>
    </w:p>
    <w:p w14:paraId="4E892664" w14:textId="77777777" w:rsidR="003804AC" w:rsidRPr="00202E2A" w:rsidRDefault="003804AC" w:rsidP="0019590B">
      <w:pPr>
        <w:bidi/>
        <w:spacing w:before="100" w:beforeAutospacing="1" w:after="100" w:afterAutospacing="1" w:line="276" w:lineRule="auto"/>
        <w:rPr>
          <w:rFonts w:asciiTheme="majorBidi" w:hAnsiTheme="majorBidi" w:cstheme="majorBidi"/>
          <w:sz w:val="26"/>
          <w:szCs w:val="26"/>
          <w:lang w:bidi="ar-EG"/>
        </w:rPr>
      </w:pPr>
      <w:r w:rsidRPr="00202E2A">
        <w:rPr>
          <w:rFonts w:asciiTheme="majorBidi" w:hAnsiTheme="majorBidi" w:cstheme="majorBidi"/>
          <w:sz w:val="26"/>
          <w:szCs w:val="26"/>
          <w:rtl/>
          <w:lang w:bidi="ar-EG"/>
        </w:rPr>
        <w:t>يؤدي التحول الرقمي إلى تحسين كفاءة عمليات المراقبة الجمركية وتقليل فرص التهريب، وذلك من خلال تبني تقنيات مثل</w:t>
      </w:r>
      <w:r w:rsidRPr="00202E2A">
        <w:rPr>
          <w:rFonts w:asciiTheme="majorBidi" w:hAnsiTheme="majorBidi" w:cstheme="majorBidi"/>
          <w:sz w:val="26"/>
          <w:szCs w:val="26"/>
          <w:lang w:bidi="ar-EG"/>
        </w:rPr>
        <w:t>:</w:t>
      </w:r>
    </w:p>
    <w:p w14:paraId="7E92B6F8" w14:textId="77777777" w:rsidR="003804AC" w:rsidRPr="00202E2A" w:rsidRDefault="003804AC">
      <w:pPr>
        <w:numPr>
          <w:ilvl w:val="0"/>
          <w:numId w:val="11"/>
        </w:numPr>
        <w:bidi/>
        <w:spacing w:before="100" w:beforeAutospacing="1" w:after="100" w:afterAutospacing="1" w:line="276" w:lineRule="auto"/>
        <w:rPr>
          <w:rFonts w:asciiTheme="majorBidi" w:hAnsiTheme="majorBidi" w:cstheme="majorBidi"/>
          <w:sz w:val="26"/>
          <w:szCs w:val="26"/>
          <w:lang w:bidi="ar-EG"/>
        </w:rPr>
      </w:pPr>
      <w:r w:rsidRPr="00202E2A">
        <w:rPr>
          <w:rFonts w:asciiTheme="majorBidi" w:hAnsiTheme="majorBidi" w:cstheme="majorBidi"/>
          <w:sz w:val="26"/>
          <w:szCs w:val="26"/>
          <w:rtl/>
          <w:lang w:bidi="ar-EG"/>
        </w:rPr>
        <w:t>أنظمة المسح الضوئي بالأشعة السينية لفحص الشحنات بسرعة وكفاءة دون الحاجة إلى التفتيش اليدوي المطول</w:t>
      </w:r>
      <w:r w:rsidRPr="00202E2A">
        <w:rPr>
          <w:rFonts w:asciiTheme="majorBidi" w:hAnsiTheme="majorBidi" w:cstheme="majorBidi"/>
          <w:sz w:val="26"/>
          <w:szCs w:val="26"/>
          <w:lang w:bidi="ar-EG"/>
        </w:rPr>
        <w:t>.</w:t>
      </w:r>
    </w:p>
    <w:p w14:paraId="5D8256D5" w14:textId="77777777" w:rsidR="003804AC" w:rsidRPr="00202E2A" w:rsidRDefault="003804AC">
      <w:pPr>
        <w:numPr>
          <w:ilvl w:val="0"/>
          <w:numId w:val="11"/>
        </w:numPr>
        <w:bidi/>
        <w:spacing w:before="100" w:beforeAutospacing="1" w:after="100" w:afterAutospacing="1" w:line="276" w:lineRule="auto"/>
        <w:rPr>
          <w:rFonts w:asciiTheme="majorBidi" w:hAnsiTheme="majorBidi" w:cstheme="majorBidi"/>
          <w:sz w:val="26"/>
          <w:szCs w:val="26"/>
          <w:lang w:bidi="ar-EG"/>
        </w:rPr>
      </w:pPr>
      <w:r w:rsidRPr="00202E2A">
        <w:rPr>
          <w:rFonts w:asciiTheme="majorBidi" w:hAnsiTheme="majorBidi" w:cstheme="majorBidi"/>
          <w:sz w:val="26"/>
          <w:szCs w:val="26"/>
          <w:rtl/>
          <w:lang w:bidi="ar-EG"/>
        </w:rPr>
        <w:t>الذكاء الاصطناعي وتحليل البيانات لتقييم المخاطر الجمركية وتحديد الشحنات ذات الأولوية للفحص</w:t>
      </w:r>
      <w:r w:rsidRPr="00202E2A">
        <w:rPr>
          <w:rFonts w:asciiTheme="majorBidi" w:hAnsiTheme="majorBidi" w:cstheme="majorBidi"/>
          <w:sz w:val="26"/>
          <w:szCs w:val="26"/>
          <w:lang w:bidi="ar-EG"/>
        </w:rPr>
        <w:t>.</w:t>
      </w:r>
    </w:p>
    <w:p w14:paraId="6C4A0444" w14:textId="77777777" w:rsidR="003804AC" w:rsidRPr="00202E2A" w:rsidRDefault="003804AC">
      <w:pPr>
        <w:numPr>
          <w:ilvl w:val="0"/>
          <w:numId w:val="11"/>
        </w:numPr>
        <w:bidi/>
        <w:spacing w:before="100" w:beforeAutospacing="1" w:after="100" w:afterAutospacing="1" w:line="276" w:lineRule="auto"/>
        <w:rPr>
          <w:rFonts w:asciiTheme="majorBidi" w:hAnsiTheme="majorBidi" w:cstheme="majorBidi"/>
          <w:sz w:val="26"/>
          <w:szCs w:val="26"/>
          <w:lang w:bidi="ar-EG"/>
        </w:rPr>
      </w:pPr>
      <w:r w:rsidRPr="00202E2A">
        <w:rPr>
          <w:rFonts w:asciiTheme="majorBidi" w:hAnsiTheme="majorBidi" w:cstheme="majorBidi"/>
          <w:sz w:val="26"/>
          <w:szCs w:val="26"/>
          <w:rtl/>
          <w:lang w:bidi="ar-EG"/>
        </w:rPr>
        <w:t>تقنيات سلاسل الكتل</w:t>
      </w:r>
      <w:r w:rsidRPr="00202E2A">
        <w:rPr>
          <w:rFonts w:asciiTheme="majorBidi" w:hAnsiTheme="majorBidi" w:cstheme="majorBidi"/>
          <w:sz w:val="26"/>
          <w:szCs w:val="26"/>
          <w:lang w:bidi="ar-EG"/>
        </w:rPr>
        <w:t xml:space="preserve"> (Blockchain) </w:t>
      </w:r>
      <w:r w:rsidRPr="00202E2A">
        <w:rPr>
          <w:rFonts w:asciiTheme="majorBidi" w:hAnsiTheme="majorBidi" w:cstheme="majorBidi"/>
          <w:sz w:val="26"/>
          <w:szCs w:val="26"/>
          <w:rtl/>
          <w:lang w:bidi="ar-EG"/>
        </w:rPr>
        <w:t>لتأمين سلاسل التوريد، مما يمنع التلاعب بالبيانات الجمركية ويوفر سجلًا موثوقًا به لكل معاملة تجارية، هذه التقنيات تُسهم بشكل مباشر في خفض معدلات التهريب، وتقليل الخسائر المالية الناتجة عن التجارة غير المشروعة، وتعزيز أمن الحدود والمنافذ الجمركية</w:t>
      </w:r>
      <w:r w:rsidRPr="00202E2A">
        <w:rPr>
          <w:rFonts w:asciiTheme="majorBidi" w:hAnsiTheme="majorBidi" w:cstheme="majorBidi"/>
          <w:sz w:val="26"/>
          <w:szCs w:val="26"/>
          <w:lang w:bidi="ar-EG"/>
        </w:rPr>
        <w:t xml:space="preserve"> (Smith, 2018).</w:t>
      </w:r>
      <w:r w:rsidRPr="00202E2A">
        <w:rPr>
          <w:rFonts w:asciiTheme="majorBidi" w:hAnsiTheme="majorBidi" w:cstheme="majorBidi"/>
          <w:sz w:val="26"/>
          <w:szCs w:val="26"/>
          <w:rtl/>
          <w:lang w:bidi="ar-EG"/>
        </w:rPr>
        <w:t>.</w:t>
      </w:r>
    </w:p>
    <w:p w14:paraId="6E928B34" w14:textId="77777777" w:rsidR="003804AC" w:rsidRPr="00202E2A" w:rsidRDefault="003804AC" w:rsidP="0019590B">
      <w:pPr>
        <w:bidi/>
        <w:spacing w:line="276" w:lineRule="auto"/>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ج.  البُعد القانوني والسياسي:</w:t>
      </w:r>
      <w:r w:rsidRPr="00202E2A">
        <w:rPr>
          <w:rFonts w:asciiTheme="majorBidi" w:hAnsiTheme="majorBidi" w:cstheme="majorBidi"/>
          <w:b/>
          <w:bCs/>
          <w:sz w:val="26"/>
          <w:szCs w:val="26"/>
          <w:lang w:bidi="ar-EG"/>
        </w:rPr>
        <w:t xml:space="preserve"> </w:t>
      </w:r>
    </w:p>
    <w:p w14:paraId="06F33651" w14:textId="77777777" w:rsidR="003804AC" w:rsidRPr="00202E2A" w:rsidRDefault="003804AC">
      <w:pPr>
        <w:pStyle w:val="ListParagraph"/>
        <w:numPr>
          <w:ilvl w:val="0"/>
          <w:numId w:val="7"/>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الأنظمة الدولية حيث يعتبر</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الامتثال لقواعد منظمة التجارة العالمية</w:t>
      </w:r>
      <w:r w:rsidRPr="00202E2A">
        <w:rPr>
          <w:rFonts w:asciiTheme="majorBidi" w:hAnsiTheme="majorBidi" w:cstheme="majorBidi"/>
          <w:sz w:val="26"/>
          <w:szCs w:val="26"/>
          <w:lang w:bidi="ar-EG"/>
        </w:rPr>
        <w:t xml:space="preserve"> (WTO) </w:t>
      </w:r>
      <w:r w:rsidRPr="00202E2A">
        <w:rPr>
          <w:rFonts w:asciiTheme="majorBidi" w:hAnsiTheme="majorBidi" w:cstheme="majorBidi"/>
          <w:sz w:val="26"/>
          <w:szCs w:val="26"/>
          <w:rtl/>
          <w:lang w:bidi="ar-EG"/>
        </w:rPr>
        <w:t>والاتفاقيات الثنائية، مثل: اتفاقية</w:t>
      </w:r>
      <w:r w:rsidRPr="00202E2A">
        <w:rPr>
          <w:rFonts w:asciiTheme="majorBidi" w:hAnsiTheme="majorBidi" w:cstheme="majorBidi"/>
          <w:sz w:val="26"/>
          <w:szCs w:val="26"/>
          <w:lang w:bidi="ar-EG"/>
        </w:rPr>
        <w:t xml:space="preserve"> USMCA </w:t>
      </w:r>
      <w:r w:rsidRPr="00202E2A">
        <w:rPr>
          <w:rFonts w:asciiTheme="majorBidi" w:hAnsiTheme="majorBidi" w:cstheme="majorBidi"/>
          <w:sz w:val="26"/>
          <w:szCs w:val="26"/>
          <w:rtl/>
          <w:lang w:bidi="ar-EG"/>
        </w:rPr>
        <w:t xml:space="preserve"> بين الولايات المتحدة وكندا والمكسيك.</w:t>
      </w:r>
    </w:p>
    <w:p w14:paraId="3B776E9C" w14:textId="77777777" w:rsidR="003804AC" w:rsidRPr="00202E2A" w:rsidRDefault="003804AC">
      <w:pPr>
        <w:pStyle w:val="ListParagraph"/>
        <w:numPr>
          <w:ilvl w:val="0"/>
          <w:numId w:val="7"/>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الحماية التجارية من حيث فرض رسوم جمركية أو حصص استيراد لحماية الصناعات المحلية، مخاطرها اندلاع حروب تجارية (مثل الصين والولايات المتحدة </w:t>
      </w:r>
      <w:r w:rsidRPr="00202E2A">
        <w:rPr>
          <w:rFonts w:asciiTheme="majorBidi" w:hAnsiTheme="majorBidi" w:cstheme="majorBidi"/>
          <w:sz w:val="26"/>
          <w:szCs w:val="26"/>
          <w:lang w:bidi="ar-EG"/>
        </w:rPr>
        <w:t>2018</w:t>
      </w:r>
      <w:r w:rsidRPr="00202E2A">
        <w:rPr>
          <w:rFonts w:asciiTheme="majorBidi" w:hAnsiTheme="majorBidi" w:cstheme="majorBidi"/>
          <w:sz w:val="26"/>
          <w:szCs w:val="26"/>
          <w:rtl/>
          <w:lang w:bidi="ar-EG"/>
        </w:rPr>
        <w:t>-</w:t>
      </w:r>
      <w:r w:rsidRPr="00202E2A">
        <w:rPr>
          <w:rFonts w:asciiTheme="majorBidi" w:hAnsiTheme="majorBidi" w:cstheme="majorBidi"/>
          <w:sz w:val="26"/>
          <w:szCs w:val="26"/>
          <w:lang w:bidi="ar-EG"/>
        </w:rPr>
        <w:t>2020</w:t>
      </w:r>
      <w:r w:rsidRPr="00202E2A">
        <w:rPr>
          <w:rFonts w:asciiTheme="majorBidi" w:hAnsiTheme="majorBidi" w:cstheme="majorBidi"/>
          <w:sz w:val="26"/>
          <w:szCs w:val="26"/>
          <w:rtl/>
          <w:lang w:bidi="ar-EG"/>
        </w:rPr>
        <w:t>)</w:t>
      </w:r>
      <w:r w:rsidRPr="00202E2A">
        <w:rPr>
          <w:rFonts w:asciiTheme="majorBidi" w:hAnsiTheme="majorBidi" w:cstheme="majorBidi"/>
          <w:sz w:val="26"/>
          <w:szCs w:val="26"/>
          <w:lang w:bidi="ar-EG"/>
        </w:rPr>
        <w:t xml:space="preserve">.  </w:t>
      </w:r>
    </w:p>
    <w:p w14:paraId="6FDB1E73" w14:textId="77777777" w:rsidR="003804AC" w:rsidRPr="00202E2A" w:rsidRDefault="003804AC">
      <w:pPr>
        <w:pStyle w:val="ListParagraph"/>
        <w:numPr>
          <w:ilvl w:val="0"/>
          <w:numId w:val="7"/>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الجوانب الأمنية</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ضمان ألا تُستخدم التجارة كأداة للضغط السياسي، مثال: العقوبات التجارية</w:t>
      </w:r>
      <w:r w:rsidRPr="00202E2A">
        <w:rPr>
          <w:rFonts w:asciiTheme="majorBidi" w:hAnsiTheme="majorBidi" w:cstheme="majorBidi"/>
          <w:sz w:val="26"/>
          <w:szCs w:val="26"/>
          <w:lang w:bidi="ar-EG"/>
        </w:rPr>
        <w:t xml:space="preserve">.  </w:t>
      </w:r>
    </w:p>
    <w:p w14:paraId="442C226E" w14:textId="77777777" w:rsidR="003804AC" w:rsidRPr="00202E2A" w:rsidRDefault="003804AC" w:rsidP="0019590B">
      <w:pPr>
        <w:bidi/>
        <w:spacing w:line="276" w:lineRule="auto"/>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د. البُعد الاجتماعي والثقافي:</w:t>
      </w:r>
      <w:r w:rsidRPr="00202E2A">
        <w:rPr>
          <w:rFonts w:asciiTheme="majorBidi" w:hAnsiTheme="majorBidi" w:cstheme="majorBidi"/>
          <w:b/>
          <w:bCs/>
          <w:sz w:val="26"/>
          <w:szCs w:val="26"/>
          <w:lang w:bidi="ar-EG"/>
        </w:rPr>
        <w:t xml:space="preserve"> </w:t>
      </w:r>
    </w:p>
    <w:p w14:paraId="6C31AB27" w14:textId="77777777" w:rsidR="003804AC" w:rsidRPr="00202E2A" w:rsidRDefault="003804AC">
      <w:pPr>
        <w:pStyle w:val="ListParagraph"/>
        <w:numPr>
          <w:ilvl w:val="0"/>
          <w:numId w:val="9"/>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التأثير على المجتمعات</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خلق فرص عمل عبر الصناعات المرتبطة بالتجارة،</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مخاطر استغلال العمالة في الدول الفقيرة.</w:t>
      </w:r>
    </w:p>
    <w:p w14:paraId="487FE52A" w14:textId="77777777" w:rsidR="003804AC" w:rsidRPr="00202E2A" w:rsidRDefault="003804AC">
      <w:pPr>
        <w:pStyle w:val="ListParagraph"/>
        <w:numPr>
          <w:ilvl w:val="0"/>
          <w:numId w:val="9"/>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العولمة الثقافية انتشار المنتجات الثقافية (مثل الأفلام الأمريكية أو الأزياء الكورية)، والعمل على تحديات الحفاظ على الهوية المحلية.</w:t>
      </w:r>
    </w:p>
    <w:p w14:paraId="6D87489B" w14:textId="77777777" w:rsidR="003804AC" w:rsidRPr="00202E2A" w:rsidRDefault="003804AC">
      <w:pPr>
        <w:pStyle w:val="ListParagraph"/>
        <w:numPr>
          <w:ilvl w:val="0"/>
          <w:numId w:val="9"/>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المسؤولية الاجتماعية من حيث تشجيع الشركات على اتباع ممارسات تجارية عادلة</w:t>
      </w:r>
      <w:r w:rsidRPr="00202E2A">
        <w:rPr>
          <w:rFonts w:asciiTheme="majorBidi" w:hAnsiTheme="majorBidi" w:cstheme="majorBidi"/>
          <w:sz w:val="26"/>
          <w:szCs w:val="26"/>
          <w:lang w:bidi="ar-EG"/>
        </w:rPr>
        <w:t xml:space="preserve"> (Fair Trade) </w:t>
      </w:r>
      <w:r w:rsidRPr="00202E2A">
        <w:rPr>
          <w:rFonts w:asciiTheme="majorBidi" w:hAnsiTheme="majorBidi" w:cstheme="majorBidi"/>
          <w:sz w:val="26"/>
          <w:szCs w:val="26"/>
          <w:rtl/>
          <w:lang w:bidi="ar-EG"/>
        </w:rPr>
        <w:t>مثال: شهادات</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lang w:bidi="ar-EG"/>
        </w:rPr>
        <w:t xml:space="preserve">Fairtrade </w:t>
      </w:r>
      <w:r w:rsidRPr="00202E2A">
        <w:rPr>
          <w:rFonts w:asciiTheme="majorBidi" w:hAnsiTheme="majorBidi" w:cstheme="majorBidi"/>
          <w:sz w:val="26"/>
          <w:szCs w:val="26"/>
          <w:rtl/>
          <w:lang w:bidi="ar-EG"/>
        </w:rPr>
        <w:t>للقهوة والشوكولاتة.</w:t>
      </w:r>
    </w:p>
    <w:p w14:paraId="79F96608" w14:textId="77777777" w:rsidR="003804AC" w:rsidRPr="00202E2A" w:rsidRDefault="003804AC" w:rsidP="0019590B">
      <w:pPr>
        <w:bidi/>
        <w:spacing w:before="100" w:beforeAutospacing="1" w:after="100" w:afterAutospacing="1"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ه. تعزيز التكامل والشراكات الاستراتيجية</w:t>
      </w:r>
      <w:r w:rsidRPr="00202E2A">
        <w:rPr>
          <w:rFonts w:asciiTheme="majorBidi" w:hAnsiTheme="majorBidi" w:cstheme="majorBidi"/>
          <w:b/>
          <w:bCs/>
          <w:sz w:val="26"/>
          <w:szCs w:val="26"/>
          <w:lang w:bidi="ar-EG"/>
        </w:rPr>
        <w:t>:</w:t>
      </w:r>
    </w:p>
    <w:p w14:paraId="6FCC2755" w14:textId="77777777" w:rsidR="003804AC" w:rsidRPr="00202E2A" w:rsidRDefault="003804AC" w:rsidP="0019590B">
      <w:pPr>
        <w:bidi/>
        <w:spacing w:before="100" w:beforeAutospacing="1" w:after="100" w:afterAutospacing="1"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lastRenderedPageBreak/>
        <w:t>يُعَدُّ تعزيز التعاون والتكامل بين الجهات الحكومية والقطاع الخاص، إضافة إلى إقامة شراكات استراتيجية مع الهيئات الدولية، أحد الأبعاد الحيوية في تعزيز الأمن الرقمي. إذ يسهم تبادل المعلومات والخبرات حول التهديدات الأمنية المحتملة في بناء منظومة أمان متكاملة تتيح الاستجابة السريعة للتحديات المتطورة. يعمل هذا البعد على</w:t>
      </w:r>
      <w:r w:rsidRPr="00202E2A">
        <w:rPr>
          <w:rFonts w:asciiTheme="majorBidi" w:hAnsiTheme="majorBidi" w:cstheme="majorBidi"/>
          <w:sz w:val="26"/>
          <w:szCs w:val="26"/>
          <w:lang w:bidi="ar-EG"/>
        </w:rPr>
        <w:t>:</w:t>
      </w:r>
    </w:p>
    <w:p w14:paraId="060DCD69" w14:textId="77777777" w:rsidR="003804AC" w:rsidRPr="00202E2A" w:rsidRDefault="003804AC">
      <w:pPr>
        <w:pStyle w:val="ListParagraph"/>
        <w:numPr>
          <w:ilvl w:val="0"/>
          <w:numId w:val="16"/>
        </w:numPr>
        <w:bidi/>
        <w:spacing w:before="100" w:beforeAutospacing="1" w:after="100" w:afterAutospacing="1"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تنسيق الجهود: من خلال إنشاء آليات مشتركة لتبادل البيانات والمعلومات الأمنية بين مختلف الجهات الوطنية، مما يتيح رصد الهجمات السيبرانية والجرائم المالية بصورة أكثر فاعلية</w:t>
      </w:r>
      <w:r w:rsidRPr="00202E2A">
        <w:rPr>
          <w:rFonts w:asciiTheme="majorBidi" w:hAnsiTheme="majorBidi" w:cstheme="majorBidi"/>
          <w:sz w:val="26"/>
          <w:szCs w:val="26"/>
          <w:lang w:bidi="ar-EG"/>
        </w:rPr>
        <w:t>.</w:t>
      </w:r>
    </w:p>
    <w:p w14:paraId="5A8DED6A" w14:textId="77777777" w:rsidR="003804AC" w:rsidRPr="00202E2A" w:rsidRDefault="003804AC">
      <w:pPr>
        <w:pStyle w:val="ListParagraph"/>
        <w:numPr>
          <w:ilvl w:val="0"/>
          <w:numId w:val="16"/>
        </w:numPr>
        <w:bidi/>
        <w:spacing w:before="100" w:beforeAutospacing="1" w:after="100" w:afterAutospacing="1"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الشراكات مع القطاع الخاص: تعزيز التعاون مع المؤسسات التقنية وشركات الأمن السيبراني لتطوير حلول مبتكرة ومتكاملة تواكب التطور التكنولوجي</w:t>
      </w:r>
      <w:r w:rsidRPr="00202E2A">
        <w:rPr>
          <w:rFonts w:asciiTheme="majorBidi" w:hAnsiTheme="majorBidi" w:cstheme="majorBidi"/>
          <w:sz w:val="26"/>
          <w:szCs w:val="26"/>
          <w:lang w:bidi="ar-EG"/>
        </w:rPr>
        <w:t>.</w:t>
      </w:r>
    </w:p>
    <w:p w14:paraId="11D9E529" w14:textId="77777777" w:rsidR="003804AC" w:rsidRPr="00202E2A" w:rsidRDefault="003804AC">
      <w:pPr>
        <w:pStyle w:val="ListParagraph"/>
        <w:numPr>
          <w:ilvl w:val="0"/>
          <w:numId w:val="16"/>
        </w:numPr>
        <w:bidi/>
        <w:spacing w:before="100" w:beforeAutospacing="1" w:after="100" w:afterAutospacing="1"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التعاون الدولي والأكاديمي: إقامة شراكات مع الهيئات الدولية ومراكز البحث العلمي لتبادل الخبرات واستخدام أحدث التقنيات في تحليل المخاطر والتصدي لها</w:t>
      </w:r>
      <w:r w:rsidRPr="00202E2A">
        <w:rPr>
          <w:rFonts w:asciiTheme="majorBidi" w:hAnsiTheme="majorBidi" w:cstheme="majorBidi"/>
          <w:sz w:val="26"/>
          <w:szCs w:val="26"/>
          <w:lang w:bidi="ar-EG"/>
        </w:rPr>
        <w:t>.</w:t>
      </w:r>
    </w:p>
    <w:p w14:paraId="6F390DB7" w14:textId="77777777" w:rsidR="003804AC" w:rsidRPr="00202E2A" w:rsidRDefault="003804AC" w:rsidP="0019590B">
      <w:pPr>
        <w:bidi/>
        <w:spacing w:before="100" w:beforeAutospacing="1" w:after="100" w:afterAutospacing="1"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من خلال هذه الاستراتيجيات، تدعم الهيئة ليس فقط جهودها في حماية بيانات المعاملات التجارية والضريبية، بل تسهم أيضاً في تعزيز البيئة الأمنية الوطنية بما يتماشى مع رؤية المملكة </w:t>
      </w:r>
      <w:r w:rsidRPr="00202E2A">
        <w:rPr>
          <w:rFonts w:asciiTheme="majorBidi" w:hAnsiTheme="majorBidi" w:cstheme="majorBidi"/>
          <w:sz w:val="26"/>
          <w:szCs w:val="26"/>
          <w:lang w:bidi="ar-EG"/>
        </w:rPr>
        <w:t>2030</w:t>
      </w:r>
      <w:r w:rsidRPr="00202E2A">
        <w:rPr>
          <w:rFonts w:asciiTheme="majorBidi" w:hAnsiTheme="majorBidi" w:cstheme="majorBidi"/>
          <w:sz w:val="26"/>
          <w:szCs w:val="26"/>
          <w:rtl/>
          <w:lang w:bidi="ar-EG"/>
        </w:rPr>
        <w:t>، مما يساعد على بناء اقتصاد رقمي متكامل وآمن يساهم في رفع معدلات الامتثال وتحقيق التنمية المستدامة.</w:t>
      </w:r>
    </w:p>
    <w:p w14:paraId="22610266" w14:textId="4C6DFD51" w:rsidR="00796950" w:rsidRPr="00202E2A" w:rsidRDefault="004B4A0D" w:rsidP="00796950">
      <w:pPr>
        <w:bidi/>
        <w:spacing w:line="276" w:lineRule="auto"/>
        <w:rPr>
          <w:rFonts w:asciiTheme="majorBidi" w:hAnsiTheme="majorBidi" w:cstheme="majorBidi"/>
          <w:b/>
          <w:bCs/>
          <w:color w:val="002060"/>
          <w:sz w:val="26"/>
          <w:szCs w:val="26"/>
          <w:rtl/>
          <w:lang w:bidi="ar-EG"/>
        </w:rPr>
      </w:pPr>
      <w:r w:rsidRPr="00202E2A">
        <w:rPr>
          <w:rFonts w:asciiTheme="majorBidi" w:hAnsiTheme="majorBidi" w:cstheme="majorBidi"/>
          <w:b/>
          <w:bCs/>
          <w:color w:val="002060"/>
          <w:sz w:val="26"/>
          <w:szCs w:val="26"/>
          <w:rtl/>
          <w:lang w:bidi="ar-EG"/>
        </w:rPr>
        <w:t>سابعاً</w:t>
      </w:r>
      <w:r w:rsidR="00796950" w:rsidRPr="00202E2A">
        <w:rPr>
          <w:rFonts w:asciiTheme="majorBidi" w:hAnsiTheme="majorBidi" w:cstheme="majorBidi" w:hint="cs"/>
          <w:b/>
          <w:bCs/>
          <w:color w:val="002060"/>
          <w:sz w:val="26"/>
          <w:szCs w:val="26"/>
          <w:rtl/>
          <w:lang w:bidi="ar-EG"/>
        </w:rPr>
        <w:t xml:space="preserve">: </w:t>
      </w:r>
      <w:r w:rsidR="00796950" w:rsidRPr="00202E2A">
        <w:rPr>
          <w:rFonts w:asciiTheme="majorBidi" w:hAnsiTheme="majorBidi" w:cstheme="majorBidi"/>
          <w:b/>
          <w:bCs/>
          <w:color w:val="002060"/>
          <w:sz w:val="26"/>
          <w:szCs w:val="26"/>
          <w:rtl/>
          <w:lang w:bidi="ar-EG"/>
        </w:rPr>
        <w:t>حدود الدراسة</w:t>
      </w:r>
    </w:p>
    <w:p w14:paraId="7EA5BDB9" w14:textId="77777777" w:rsidR="00796950" w:rsidRPr="00202E2A" w:rsidRDefault="00796950" w:rsidP="00796950">
      <w:pPr>
        <w:pStyle w:val="ListParagraph"/>
        <w:numPr>
          <w:ilvl w:val="0"/>
          <w:numId w:val="1"/>
        </w:numPr>
        <w:bidi/>
        <w:spacing w:line="276" w:lineRule="auto"/>
        <w:jc w:val="mediumKashida"/>
        <w:rPr>
          <w:rFonts w:asciiTheme="majorBidi" w:hAnsiTheme="majorBidi" w:cstheme="majorBidi"/>
          <w:sz w:val="26"/>
          <w:szCs w:val="26"/>
          <w:rtl/>
          <w:lang w:bidi="ar-EG"/>
        </w:rPr>
      </w:pPr>
      <w:r w:rsidRPr="00202E2A">
        <w:rPr>
          <w:rFonts w:asciiTheme="majorBidi" w:hAnsiTheme="majorBidi" w:cstheme="majorBidi"/>
          <w:b/>
          <w:bCs/>
          <w:color w:val="002060"/>
          <w:sz w:val="26"/>
          <w:szCs w:val="26"/>
          <w:rtl/>
          <w:lang w:bidi="ar-EG"/>
        </w:rPr>
        <w:t xml:space="preserve">الحدود الموضوعية: </w:t>
      </w:r>
      <w:r w:rsidRPr="00202E2A">
        <w:rPr>
          <w:rFonts w:asciiTheme="majorBidi" w:hAnsiTheme="majorBidi" w:cstheme="majorBidi"/>
          <w:sz w:val="26"/>
          <w:szCs w:val="26"/>
          <w:rtl/>
          <w:lang w:bidi="ar-EG"/>
        </w:rPr>
        <w:t>سوف يتم دراسة دور التحول ارقمي في تحقيق أبعاد تعزيز الأمن وتيسير التجارة.</w:t>
      </w:r>
    </w:p>
    <w:p w14:paraId="376C5BAB" w14:textId="77777777" w:rsidR="00796950" w:rsidRPr="00202E2A" w:rsidRDefault="00796950" w:rsidP="00796950">
      <w:pPr>
        <w:pStyle w:val="ListParagraph"/>
        <w:numPr>
          <w:ilvl w:val="0"/>
          <w:numId w:val="1"/>
        </w:numPr>
        <w:bidi/>
        <w:spacing w:line="276" w:lineRule="auto"/>
        <w:jc w:val="mediumKashida"/>
        <w:rPr>
          <w:rFonts w:asciiTheme="majorBidi" w:hAnsiTheme="majorBidi" w:cstheme="majorBidi"/>
          <w:sz w:val="26"/>
          <w:szCs w:val="26"/>
          <w:rtl/>
          <w:lang w:bidi="ar-EG"/>
        </w:rPr>
      </w:pPr>
      <w:r w:rsidRPr="00202E2A">
        <w:rPr>
          <w:rFonts w:asciiTheme="majorBidi" w:hAnsiTheme="majorBidi" w:cstheme="majorBidi"/>
          <w:b/>
          <w:bCs/>
          <w:color w:val="002060"/>
          <w:sz w:val="26"/>
          <w:szCs w:val="26"/>
          <w:rtl/>
          <w:lang w:bidi="ar-EG"/>
        </w:rPr>
        <w:t xml:space="preserve">الحدود المكانية: </w:t>
      </w:r>
      <w:r w:rsidRPr="00202E2A">
        <w:rPr>
          <w:rFonts w:asciiTheme="majorBidi" w:hAnsiTheme="majorBidi" w:cstheme="majorBidi"/>
          <w:sz w:val="26"/>
          <w:szCs w:val="26"/>
          <w:rtl/>
          <w:lang w:bidi="ar-EG"/>
        </w:rPr>
        <w:t>سوق يقتصر البحث على مجال التطبيق في الدراسة الحالية على هيئة الزكاة والضريبية والجمارك.</w:t>
      </w:r>
    </w:p>
    <w:p w14:paraId="53057388" w14:textId="77777777" w:rsidR="00796950" w:rsidRPr="00202E2A" w:rsidRDefault="00796950" w:rsidP="00796950">
      <w:pPr>
        <w:pStyle w:val="ListParagraph"/>
        <w:numPr>
          <w:ilvl w:val="0"/>
          <w:numId w:val="1"/>
        </w:numPr>
        <w:bidi/>
        <w:spacing w:line="276" w:lineRule="auto"/>
        <w:jc w:val="mediumKashida"/>
        <w:rPr>
          <w:rFonts w:asciiTheme="majorBidi" w:hAnsiTheme="majorBidi" w:cstheme="majorBidi"/>
          <w:sz w:val="26"/>
          <w:szCs w:val="26"/>
          <w:rtl/>
          <w:lang w:bidi="ar-EG"/>
        </w:rPr>
      </w:pPr>
      <w:r w:rsidRPr="00202E2A">
        <w:rPr>
          <w:rFonts w:asciiTheme="majorBidi" w:hAnsiTheme="majorBidi" w:cstheme="majorBidi"/>
          <w:b/>
          <w:bCs/>
          <w:color w:val="002060"/>
          <w:sz w:val="26"/>
          <w:szCs w:val="26"/>
          <w:rtl/>
          <w:lang w:bidi="ar-EG"/>
        </w:rPr>
        <w:t xml:space="preserve">الحدود البشرية: </w:t>
      </w:r>
      <w:r w:rsidRPr="00202E2A">
        <w:rPr>
          <w:rFonts w:asciiTheme="majorBidi" w:hAnsiTheme="majorBidi" w:cstheme="majorBidi"/>
          <w:sz w:val="26"/>
          <w:szCs w:val="26"/>
          <w:rtl/>
          <w:lang w:bidi="ar-EG"/>
        </w:rPr>
        <w:t>سوف يقتصر الدراسة الحالية على العاملين بالهيئة، وخاصة العاملين بالمناصب القيادية والإشرافية والرقابية.</w:t>
      </w:r>
    </w:p>
    <w:p w14:paraId="132DFC07" w14:textId="77777777" w:rsidR="00796950" w:rsidRPr="00202E2A" w:rsidRDefault="00796950" w:rsidP="00796950">
      <w:pPr>
        <w:pStyle w:val="ListParagraph"/>
        <w:numPr>
          <w:ilvl w:val="0"/>
          <w:numId w:val="1"/>
        </w:numPr>
        <w:bidi/>
        <w:spacing w:line="276" w:lineRule="auto"/>
        <w:jc w:val="mediumKashida"/>
        <w:rPr>
          <w:rFonts w:asciiTheme="majorBidi" w:hAnsiTheme="majorBidi" w:cstheme="majorBidi"/>
          <w:sz w:val="26"/>
          <w:szCs w:val="26"/>
          <w:rtl/>
          <w:lang w:bidi="ar-EG"/>
        </w:rPr>
      </w:pPr>
      <w:r w:rsidRPr="00202E2A">
        <w:rPr>
          <w:rFonts w:asciiTheme="majorBidi" w:hAnsiTheme="majorBidi" w:cstheme="majorBidi"/>
          <w:b/>
          <w:bCs/>
          <w:color w:val="002060"/>
          <w:sz w:val="26"/>
          <w:szCs w:val="26"/>
          <w:rtl/>
          <w:lang w:bidi="ar-EG"/>
        </w:rPr>
        <w:t xml:space="preserve">الحدود الزمانية: </w:t>
      </w:r>
      <w:r w:rsidRPr="00202E2A">
        <w:rPr>
          <w:rFonts w:asciiTheme="majorBidi" w:hAnsiTheme="majorBidi" w:cstheme="majorBidi"/>
          <w:sz w:val="26"/>
          <w:szCs w:val="26"/>
          <w:rtl/>
          <w:lang w:bidi="ar-EG"/>
        </w:rPr>
        <w:t xml:space="preserve">وتعني الفترة الزمنية التي سوف يتم جمع بيانات الدراسة. </w:t>
      </w:r>
    </w:p>
    <w:p w14:paraId="6D80DBDD" w14:textId="5C0E3074" w:rsidR="003804AC" w:rsidRPr="00202E2A" w:rsidRDefault="004B4A0D" w:rsidP="0019590B">
      <w:pPr>
        <w:bidi/>
        <w:spacing w:line="276" w:lineRule="auto"/>
        <w:jc w:val="lowKashida"/>
        <w:rPr>
          <w:rFonts w:asciiTheme="majorBidi" w:hAnsiTheme="majorBidi" w:cstheme="majorBidi"/>
          <w:b/>
          <w:bCs/>
          <w:color w:val="002060"/>
          <w:sz w:val="26"/>
          <w:szCs w:val="26"/>
          <w:lang w:bidi="ar-EG"/>
        </w:rPr>
      </w:pPr>
      <w:r w:rsidRPr="00202E2A">
        <w:rPr>
          <w:rFonts w:asciiTheme="majorBidi" w:hAnsiTheme="majorBidi" w:cstheme="majorBidi" w:hint="cs"/>
          <w:b/>
          <w:bCs/>
          <w:color w:val="002060"/>
          <w:sz w:val="26"/>
          <w:szCs w:val="26"/>
          <w:rtl/>
          <w:lang w:bidi="ar-EG"/>
        </w:rPr>
        <w:t>ثامناً</w:t>
      </w:r>
      <w:r w:rsidR="00796950" w:rsidRPr="00202E2A">
        <w:rPr>
          <w:rFonts w:asciiTheme="majorBidi" w:hAnsiTheme="majorBidi" w:cstheme="majorBidi" w:hint="cs"/>
          <w:b/>
          <w:bCs/>
          <w:color w:val="002060"/>
          <w:sz w:val="26"/>
          <w:szCs w:val="26"/>
          <w:rtl/>
          <w:lang w:bidi="ar-EG"/>
        </w:rPr>
        <w:t>:</w:t>
      </w:r>
      <w:r w:rsidR="003804AC" w:rsidRPr="00202E2A">
        <w:rPr>
          <w:rFonts w:asciiTheme="majorBidi" w:hAnsiTheme="majorBidi" w:cstheme="majorBidi"/>
          <w:b/>
          <w:bCs/>
          <w:color w:val="002060"/>
          <w:sz w:val="26"/>
          <w:szCs w:val="26"/>
          <w:rtl/>
          <w:lang w:bidi="ar-EG"/>
        </w:rPr>
        <w:t xml:space="preserve"> الإجراءات </w:t>
      </w:r>
      <w:r w:rsidRPr="00202E2A">
        <w:rPr>
          <w:rFonts w:asciiTheme="majorBidi" w:hAnsiTheme="majorBidi" w:cstheme="majorBidi" w:hint="cs"/>
          <w:b/>
          <w:bCs/>
          <w:color w:val="002060"/>
          <w:sz w:val="26"/>
          <w:szCs w:val="26"/>
          <w:rtl/>
          <w:lang w:bidi="ar-EG"/>
        </w:rPr>
        <w:t>و</w:t>
      </w:r>
      <w:r w:rsidR="003804AC" w:rsidRPr="00202E2A">
        <w:rPr>
          <w:rFonts w:asciiTheme="majorBidi" w:hAnsiTheme="majorBidi" w:cstheme="majorBidi"/>
          <w:b/>
          <w:bCs/>
          <w:color w:val="002060"/>
          <w:sz w:val="26"/>
          <w:szCs w:val="26"/>
          <w:rtl/>
          <w:lang w:bidi="ar-EG"/>
        </w:rPr>
        <w:t xml:space="preserve">منهجية </w:t>
      </w:r>
      <w:r w:rsidRPr="00202E2A">
        <w:rPr>
          <w:rFonts w:asciiTheme="majorBidi" w:hAnsiTheme="majorBidi" w:cstheme="majorBidi" w:hint="cs"/>
          <w:b/>
          <w:bCs/>
          <w:color w:val="002060"/>
          <w:sz w:val="26"/>
          <w:szCs w:val="26"/>
          <w:rtl/>
          <w:lang w:bidi="ar-EG"/>
        </w:rPr>
        <w:t>ا</w:t>
      </w:r>
      <w:r w:rsidR="003804AC" w:rsidRPr="00202E2A">
        <w:rPr>
          <w:rFonts w:asciiTheme="majorBidi" w:hAnsiTheme="majorBidi" w:cstheme="majorBidi"/>
          <w:b/>
          <w:bCs/>
          <w:color w:val="002060"/>
          <w:sz w:val="26"/>
          <w:szCs w:val="26"/>
          <w:rtl/>
          <w:lang w:bidi="ar-EG"/>
        </w:rPr>
        <w:t>لدراسة</w:t>
      </w:r>
    </w:p>
    <w:p w14:paraId="037FA998" w14:textId="77777777" w:rsidR="003804AC" w:rsidRPr="00202E2A" w:rsidRDefault="003804AC" w:rsidP="0019590B">
      <w:pPr>
        <w:bidi/>
        <w:spacing w:line="276" w:lineRule="auto"/>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نوع الدراسة</w:t>
      </w:r>
      <w:r w:rsidRPr="00202E2A">
        <w:rPr>
          <w:rFonts w:asciiTheme="majorBidi" w:hAnsiTheme="majorBidi" w:cstheme="majorBidi"/>
          <w:b/>
          <w:bCs/>
          <w:sz w:val="26"/>
          <w:szCs w:val="26"/>
          <w:lang w:bidi="ar-EG"/>
        </w:rPr>
        <w:t>:</w:t>
      </w:r>
    </w:p>
    <w:p w14:paraId="5399ECE2" w14:textId="5A653C65"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تُعد هذه الدراسة من الدراسات الوصفية التحليلية التي تستهدف تصوير وتحليل وتقويم خصائص مجموعات معينة أو موقف معين يغلب عليه صفة التحديد، وذلك بهدف الحصول على معلومات كافية ودقيقة عنها ولذلك ستقوم الباحث باستخدام المسح الوصفي </w:t>
      </w:r>
      <w:r w:rsidRPr="00202E2A">
        <w:rPr>
          <w:rFonts w:asciiTheme="majorBidi" w:hAnsiTheme="majorBidi" w:cstheme="majorBidi"/>
          <w:sz w:val="26"/>
          <w:szCs w:val="26"/>
          <w:lang w:bidi="ar-EG"/>
        </w:rPr>
        <w:t>Descriptive Survey</w:t>
      </w:r>
      <w:r w:rsidRPr="00202E2A">
        <w:rPr>
          <w:rFonts w:asciiTheme="majorBidi" w:hAnsiTheme="majorBidi" w:cstheme="majorBidi"/>
          <w:sz w:val="26"/>
          <w:szCs w:val="26"/>
          <w:rtl/>
          <w:lang w:bidi="ar-EG"/>
        </w:rPr>
        <w:t xml:space="preserve"> بهدف رصد وتحليل بمدي الوعي بالمفاهيم الحديثة لاستراتيجيات التحول الرقمي وابعاده وتأثيره على كفاءة أداء تعزيز الأمن وت</w:t>
      </w:r>
      <w:r w:rsidR="004B4A0D" w:rsidRPr="00202E2A">
        <w:rPr>
          <w:rFonts w:asciiTheme="majorBidi" w:hAnsiTheme="majorBidi" w:cstheme="majorBidi" w:hint="cs"/>
          <w:sz w:val="26"/>
          <w:szCs w:val="26"/>
          <w:rtl/>
          <w:lang w:bidi="ar-EG"/>
        </w:rPr>
        <w:t>ي</w:t>
      </w:r>
      <w:r w:rsidRPr="00202E2A">
        <w:rPr>
          <w:rFonts w:asciiTheme="majorBidi" w:hAnsiTheme="majorBidi" w:cstheme="majorBidi"/>
          <w:sz w:val="26"/>
          <w:szCs w:val="26"/>
          <w:rtl/>
          <w:lang w:bidi="ar-EG"/>
        </w:rPr>
        <w:t>سير التجارة للمؤسسات الحكومية مثل هيئة الزكاة والضريبة والجمارك بالمملكة العربية السعودية.</w:t>
      </w:r>
    </w:p>
    <w:p w14:paraId="53216A93"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منهج الدراسة</w:t>
      </w:r>
      <w:r w:rsidRPr="00202E2A">
        <w:rPr>
          <w:rFonts w:asciiTheme="majorBidi" w:hAnsiTheme="majorBidi" w:cstheme="majorBidi"/>
          <w:b/>
          <w:bCs/>
          <w:sz w:val="26"/>
          <w:szCs w:val="26"/>
          <w:lang w:bidi="ar-EG"/>
        </w:rPr>
        <w:t>:</w:t>
      </w:r>
    </w:p>
    <w:p w14:paraId="44026663"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تعتمد الدراسة الحالية على تكامل هذه المناهج يتيح تحقيق فهم شامل للتأثيرات المترتبة على التحول الرقمي، مما يسهم في تقديم توصيات عملية لتحسين الأداء المؤسسي بما يتماشى مع أهداف التنمية المستدامة ورؤية المملكة </w:t>
      </w:r>
      <w:r w:rsidRPr="00202E2A">
        <w:rPr>
          <w:rFonts w:asciiTheme="majorBidi" w:hAnsiTheme="majorBidi" w:cstheme="majorBidi"/>
          <w:sz w:val="26"/>
          <w:szCs w:val="26"/>
          <w:lang w:bidi="ar-EG"/>
        </w:rPr>
        <w:t>2030</w:t>
      </w:r>
      <w:r w:rsidRPr="00202E2A">
        <w:rPr>
          <w:rFonts w:asciiTheme="majorBidi" w:hAnsiTheme="majorBidi" w:cstheme="majorBidi"/>
          <w:sz w:val="26"/>
          <w:szCs w:val="26"/>
          <w:rtl/>
          <w:lang w:bidi="ar-EG"/>
        </w:rPr>
        <w:t>.</w:t>
      </w:r>
    </w:p>
    <w:p w14:paraId="2B1ECDC4" w14:textId="77777777" w:rsidR="003804AC" w:rsidRPr="00202E2A" w:rsidRDefault="003804AC"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lastRenderedPageBreak/>
        <w:t>المنهج الاستنباطي</w:t>
      </w:r>
      <w:r w:rsidRPr="00202E2A">
        <w:rPr>
          <w:rFonts w:asciiTheme="majorBidi" w:hAnsiTheme="majorBidi" w:cstheme="majorBidi"/>
          <w:b/>
          <w:bCs/>
          <w:sz w:val="26"/>
          <w:szCs w:val="26"/>
          <w:lang w:bidi="ar-EG"/>
        </w:rPr>
        <w:t>:</w:t>
      </w:r>
      <w:r w:rsidRPr="00202E2A">
        <w:rPr>
          <w:rFonts w:asciiTheme="majorBidi" w:hAnsiTheme="majorBidi" w:cstheme="majorBidi"/>
          <w:b/>
          <w:bCs/>
          <w:sz w:val="26"/>
          <w:szCs w:val="26"/>
          <w:rtl/>
          <w:lang w:bidi="ar-EG"/>
        </w:rPr>
        <w:t xml:space="preserve"> </w:t>
      </w:r>
      <w:r w:rsidRPr="00202E2A">
        <w:rPr>
          <w:rFonts w:asciiTheme="majorBidi" w:hAnsiTheme="majorBidi" w:cstheme="majorBidi"/>
          <w:sz w:val="26"/>
          <w:szCs w:val="26"/>
          <w:rtl/>
          <w:lang w:bidi="ar-EG"/>
        </w:rPr>
        <w:t>يعتمد هذا المنهج على دراسة وتحليل الأدبيات والدراسات السابقة، سواء العربية أو الأجنبية، المتعلقة بمتغيرات البحث. كما يشمل تحليل التقارير والإصدارات الخاصة بالمؤسسات الدولية والمحلية المعنية بتطبيق أبعاد التحول الرقمي وأثره على تعزيز الأمن وتيسير التجارة في هيئة الزكاة والضريبية والجمارك. يُعدُّ هذا النهج من المناهج المفضلة في دراسات الجمهور، إذ يوفر بيانات ومعلومات قيِّمة عند تطبيقه على عينة من العاملين والمتعاملين مع الهيئة</w:t>
      </w:r>
      <w:r w:rsidRPr="00202E2A">
        <w:rPr>
          <w:rFonts w:asciiTheme="majorBidi" w:hAnsiTheme="majorBidi" w:cstheme="majorBidi"/>
          <w:sz w:val="26"/>
          <w:szCs w:val="26"/>
          <w:lang w:bidi="ar-EG"/>
        </w:rPr>
        <w:t>.</w:t>
      </w:r>
    </w:p>
    <w:p w14:paraId="57C89DF6" w14:textId="77777777" w:rsidR="003804AC" w:rsidRPr="00202E2A" w:rsidRDefault="003804AC"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المنهج الاستقرائي</w:t>
      </w:r>
      <w:r w:rsidRPr="00202E2A">
        <w:rPr>
          <w:rFonts w:asciiTheme="majorBidi" w:hAnsiTheme="majorBidi" w:cstheme="majorBidi"/>
          <w:b/>
          <w:bCs/>
          <w:sz w:val="26"/>
          <w:szCs w:val="26"/>
          <w:lang w:bidi="ar-EG"/>
        </w:rPr>
        <w:t>:</w:t>
      </w:r>
      <w:r w:rsidRPr="00202E2A">
        <w:rPr>
          <w:rFonts w:asciiTheme="majorBidi" w:hAnsiTheme="majorBidi" w:cstheme="majorBidi"/>
          <w:b/>
          <w:bCs/>
          <w:sz w:val="26"/>
          <w:szCs w:val="26"/>
          <w:rtl/>
          <w:lang w:bidi="ar-EG"/>
        </w:rPr>
        <w:t xml:space="preserve"> </w:t>
      </w:r>
      <w:r w:rsidRPr="00202E2A">
        <w:rPr>
          <w:rFonts w:asciiTheme="majorBidi" w:hAnsiTheme="majorBidi" w:cstheme="majorBidi"/>
          <w:sz w:val="26"/>
          <w:szCs w:val="26"/>
          <w:rtl/>
          <w:lang w:bidi="ar-EG"/>
        </w:rPr>
        <w:t xml:space="preserve">يسعى هذا المنهج إلى استخلاص الآثار المترتبة على العلاقة بين تأثير أبعاد التحول الرقمي وأهداف الحكومة الرقمية، في إطار توصيات التنمية المستدامة ورؤية المملكة </w:t>
      </w:r>
      <w:r w:rsidRPr="00202E2A">
        <w:rPr>
          <w:rFonts w:asciiTheme="majorBidi" w:hAnsiTheme="majorBidi" w:cstheme="majorBidi"/>
          <w:sz w:val="26"/>
          <w:szCs w:val="26"/>
          <w:lang w:bidi="ar-EG"/>
        </w:rPr>
        <w:t>2030</w:t>
      </w:r>
      <w:r w:rsidRPr="00202E2A">
        <w:rPr>
          <w:rFonts w:asciiTheme="majorBidi" w:hAnsiTheme="majorBidi" w:cstheme="majorBidi"/>
          <w:sz w:val="26"/>
          <w:szCs w:val="26"/>
          <w:rtl/>
          <w:lang w:bidi="ar-EG"/>
        </w:rPr>
        <w:t>. كما يُقدم توصيات عملية لتعزيز تطبيق الحكومة الرقمية بما ينعكس إيجابياً على كفاءة المؤسسات الخدمية مثل هيئة الزكاة والضريبية والجمارك. يهدف هذا النهج إلى الوصول إلى استنتاجات عامة مستندة إلى تحليل تجميعي للبيانات والملاحظات</w:t>
      </w:r>
      <w:r w:rsidRPr="00202E2A">
        <w:rPr>
          <w:rFonts w:asciiTheme="majorBidi" w:hAnsiTheme="majorBidi" w:cstheme="majorBidi"/>
          <w:sz w:val="26"/>
          <w:szCs w:val="26"/>
          <w:lang w:bidi="ar-EG"/>
        </w:rPr>
        <w:t>.</w:t>
      </w:r>
    </w:p>
    <w:p w14:paraId="4660C454" w14:textId="77777777" w:rsidR="003804AC" w:rsidRPr="00202E2A" w:rsidRDefault="003804AC"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المنهج الوصفي التحليلي</w:t>
      </w:r>
      <w:r w:rsidRPr="00202E2A">
        <w:rPr>
          <w:rFonts w:asciiTheme="majorBidi" w:hAnsiTheme="majorBidi" w:cstheme="majorBidi"/>
          <w:b/>
          <w:bCs/>
          <w:sz w:val="26"/>
          <w:szCs w:val="26"/>
          <w:lang w:bidi="ar-EG"/>
        </w:rPr>
        <w:t>:</w:t>
      </w:r>
      <w:r w:rsidRPr="00202E2A">
        <w:rPr>
          <w:rFonts w:asciiTheme="majorBidi" w:hAnsiTheme="majorBidi" w:cstheme="majorBidi"/>
          <w:b/>
          <w:bCs/>
          <w:sz w:val="26"/>
          <w:szCs w:val="26"/>
          <w:rtl/>
          <w:lang w:bidi="ar-EG"/>
        </w:rPr>
        <w:t xml:space="preserve"> </w:t>
      </w:r>
      <w:r w:rsidRPr="00202E2A">
        <w:rPr>
          <w:rFonts w:asciiTheme="majorBidi" w:hAnsiTheme="majorBidi" w:cstheme="majorBidi"/>
          <w:sz w:val="26"/>
          <w:szCs w:val="26"/>
          <w:rtl/>
          <w:lang w:bidi="ar-EG"/>
        </w:rPr>
        <w:t>يركز هذا المنهج على وصف الوضع الراهن للتحول الرقمي وتأثيره على الأداء المؤسسي من خلال تحليل البيانات والمعلومات المجمعة. يستخدم الباحث أدوات التحليل الإحصائي والنوعي لتقديم صورة شاملة حول مستوى تطبيق الحلول الرقمية، وتحديد نقاط القوة والضعف، والعلاقات بين المتغيرات المدروسة. ويسهم هذا النهج في فهم أعمق للتحديات والفرص المرتبطة بتطبيق أبعاد التحول الرقمي في المؤسسات الحكومية</w:t>
      </w:r>
      <w:r w:rsidRPr="00202E2A">
        <w:rPr>
          <w:rFonts w:asciiTheme="majorBidi" w:hAnsiTheme="majorBidi" w:cstheme="majorBidi"/>
          <w:sz w:val="26"/>
          <w:szCs w:val="26"/>
          <w:lang w:bidi="ar-EG"/>
        </w:rPr>
        <w:t>.</w:t>
      </w:r>
    </w:p>
    <w:p w14:paraId="09589BD1"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مجتمع الدراسة:</w:t>
      </w:r>
    </w:p>
    <w:p w14:paraId="275E577A" w14:textId="78CAC634"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يمثل مجتمع الدراسة جميع القادة ومتخذي القرار في هيئة الزكاة والضريبة والجمارك، حيث يُقدَّر عددهم بحوالي </w:t>
      </w:r>
      <w:r w:rsidRPr="00202E2A">
        <w:rPr>
          <w:rFonts w:asciiTheme="majorBidi" w:hAnsiTheme="majorBidi" w:cstheme="majorBidi"/>
          <w:sz w:val="26"/>
          <w:szCs w:val="26"/>
          <w:lang w:bidi="ar-EG"/>
        </w:rPr>
        <w:t>400</w:t>
      </w:r>
      <w:r w:rsidRPr="00202E2A">
        <w:rPr>
          <w:rFonts w:asciiTheme="majorBidi" w:hAnsiTheme="majorBidi" w:cstheme="majorBidi"/>
          <w:sz w:val="26"/>
          <w:szCs w:val="26"/>
          <w:rtl/>
          <w:lang w:bidi="ar-EG"/>
        </w:rPr>
        <w:t xml:space="preserve"> قائد وفقا لاطلاع الباحث علي الهيكل الإداري للهيئة، يعتمد الباحث على أسلوب العينة العشوائية وتوزيع الاستقصاء عبر الإنترنت لجمع البيانات، إذ يُعرّف مجتمع الدراسة بأنه مجموعة من الأفراد أو العناصر التي تشترك في صفة محددة تُحدد بمعايير أخذ العينة. ويشكل هذا المجتمع التركيز الرئيسي للباحث للحصول على المعلومات الدقيقة التي تساعد في تحليل تأثير أبعاد التحول الرقمي على كفاءة تعزيز الأمن وت</w:t>
      </w:r>
      <w:r w:rsidR="004B4A0D" w:rsidRPr="00202E2A">
        <w:rPr>
          <w:rFonts w:asciiTheme="majorBidi" w:hAnsiTheme="majorBidi" w:cstheme="majorBidi" w:hint="cs"/>
          <w:sz w:val="26"/>
          <w:szCs w:val="26"/>
          <w:rtl/>
          <w:lang w:bidi="ar-EG"/>
        </w:rPr>
        <w:t>ي</w:t>
      </w:r>
      <w:r w:rsidRPr="00202E2A">
        <w:rPr>
          <w:rFonts w:asciiTheme="majorBidi" w:hAnsiTheme="majorBidi" w:cstheme="majorBidi"/>
          <w:sz w:val="26"/>
          <w:szCs w:val="26"/>
          <w:rtl/>
          <w:lang w:bidi="ar-EG"/>
        </w:rPr>
        <w:t>سير التجارة. نظرًا لكبر حجم المجتمع، لا يمكن جمع المعلومات من كل فرد، مما يستدعي اختيار عينة فرعية تُقسّم إلى مجموعتين؛ الأولى هي المجموعة المستهدفة التي تشمل جميع العاملين بالهيئة المستوفين للمعايير، مثل امتلاكهم لأجهزة الحاسوب وحسابات البريد الإلكتروني وتطبيق الواتس آب، بينما تقتصر المجموعة التي يمكن الوصول إليها على جزء من هذه المجموعة، وقد تقتصر على منطقة جغرافية محددة مثل محافظة جدة.</w:t>
      </w:r>
    </w:p>
    <w:p w14:paraId="694E9FC9"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عينة الدراسة</w:t>
      </w:r>
      <w:r w:rsidRPr="00202E2A">
        <w:rPr>
          <w:rFonts w:asciiTheme="majorBidi" w:hAnsiTheme="majorBidi" w:cstheme="majorBidi"/>
          <w:b/>
          <w:bCs/>
          <w:sz w:val="26"/>
          <w:szCs w:val="26"/>
          <w:lang w:bidi="ar-EG"/>
        </w:rPr>
        <w:t>:</w:t>
      </w:r>
    </w:p>
    <w:p w14:paraId="0854D244"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العينة هي مجموعة فرعية مأخوذة من مجتمع الدراسة، وقد نشأ هذا المفهوم بسبب عدم قدرة الباحثين على اختبار جميع الأفراد في مجتمع معين، لهذا يجب أن تكون العينة المختارة ممثلة لمجتمع الدراسة الذي أخذت منه في جميع الخصائص، كما ويجب أن يكون حجمها مناسباً لضمان القدرة على القيام بعمليات التحليل الإحصائي وتتمثل الوظيفة الرئيسية لعينة الدراسة في السماح للباحثين بإجراء الدراسة على الأفراد من المجتمع، بحيث يمكن استخدام نتائج دراستهم لاستخلاص الاستنتاجات وتطبيقها على مجتمع الدراسة، وكلما كانت جودة العينة المأخوذة أفضل، كلما كان مستوى الدقة في النتائج والملاحظات المستخلصة منها أكبر.، واعتمد الباحث على أسلوب العينة العشوائية للمديرين في الإدارة (العليا / الوسطي/ التنفيذية) في هيئة الزكاة والضريبية والجمارك.</w:t>
      </w:r>
    </w:p>
    <w:p w14:paraId="391331ED" w14:textId="77777777" w:rsidR="003804AC" w:rsidRPr="00202E2A" w:rsidRDefault="003804AC" w:rsidP="0019590B">
      <w:pPr>
        <w:bidi/>
        <w:spacing w:line="276" w:lineRule="auto"/>
        <w:jc w:val="lowKashida"/>
        <w:outlineLvl w:val="0"/>
        <w:rPr>
          <w:rFonts w:asciiTheme="majorBidi" w:hAnsiTheme="majorBidi" w:cstheme="majorBidi"/>
          <w:b/>
          <w:bCs/>
          <w:sz w:val="26"/>
          <w:szCs w:val="26"/>
          <w:rtl/>
          <w:lang w:bidi="ar-EG"/>
        </w:rPr>
      </w:pPr>
      <w:r w:rsidRPr="00202E2A">
        <w:rPr>
          <w:rFonts w:asciiTheme="majorBidi" w:hAnsiTheme="majorBidi" w:cstheme="majorBidi"/>
          <w:b/>
          <w:bCs/>
          <w:sz w:val="26"/>
          <w:szCs w:val="26"/>
          <w:rtl/>
        </w:rPr>
        <w:t xml:space="preserve"> </w:t>
      </w:r>
      <w:r w:rsidRPr="00202E2A">
        <w:rPr>
          <w:rFonts w:asciiTheme="majorBidi" w:hAnsiTheme="majorBidi" w:cstheme="majorBidi"/>
          <w:b/>
          <w:bCs/>
          <w:sz w:val="26"/>
          <w:szCs w:val="26"/>
          <w:rtl/>
          <w:lang w:bidi="ar-EG"/>
        </w:rPr>
        <w:t>ويتم تحديد حجم العينة باستخدام معادلة ستيفن ثومبسون وهي كالتالي:</w:t>
      </w:r>
    </w:p>
    <w:p w14:paraId="306F25EB" w14:textId="77777777" w:rsidR="003804AC" w:rsidRPr="00202E2A" w:rsidRDefault="003804AC" w:rsidP="0019590B">
      <w:pPr>
        <w:bidi/>
        <w:spacing w:line="276" w:lineRule="auto"/>
        <w:jc w:val="lowKashida"/>
        <w:outlineLvl w:val="0"/>
        <w:rPr>
          <w:rFonts w:asciiTheme="majorBidi" w:hAnsiTheme="majorBidi" w:cstheme="majorBidi"/>
          <w:b/>
          <w:bCs/>
          <w:sz w:val="26"/>
          <w:szCs w:val="26"/>
          <w:rtl/>
        </w:rPr>
      </w:pPr>
      <m:oMathPara>
        <m:oMathParaPr>
          <m:jc m:val="left"/>
        </m:oMathParaPr>
        <m:oMath>
          <m:r>
            <w:rPr>
              <w:rFonts w:ascii="Cambria Math" w:hAnsi="Cambria Math" w:cstheme="majorBidi"/>
              <w:sz w:val="26"/>
              <w:szCs w:val="26"/>
            </w:rPr>
            <w:lastRenderedPageBreak/>
            <m:t>n=</m:t>
          </m:r>
          <m:f>
            <m:fPr>
              <m:ctrlPr>
                <w:rPr>
                  <w:rFonts w:ascii="Cambria Math" w:hAnsi="Cambria Math" w:cstheme="majorBidi"/>
                  <w:bCs/>
                  <w:sz w:val="26"/>
                  <w:szCs w:val="26"/>
                </w:rPr>
              </m:ctrlPr>
            </m:fPr>
            <m:num>
              <m:r>
                <w:rPr>
                  <w:rFonts w:ascii="Cambria Math" w:hAnsi="Cambria Math" w:cstheme="majorBidi"/>
                  <w:sz w:val="26"/>
                  <w:szCs w:val="26"/>
                </w:rPr>
                <m:t>N×P</m:t>
              </m:r>
              <m:d>
                <m:dPr>
                  <m:ctrlPr>
                    <w:rPr>
                      <w:rFonts w:ascii="Cambria Math" w:hAnsi="Cambria Math" w:cstheme="majorBidi"/>
                      <w:bCs/>
                      <w:sz w:val="26"/>
                      <w:szCs w:val="26"/>
                    </w:rPr>
                  </m:ctrlPr>
                </m:dPr>
                <m:e>
                  <m:r>
                    <w:rPr>
                      <w:rFonts w:ascii="Cambria Math" w:hAnsi="Cambria Math" w:cstheme="majorBidi"/>
                      <w:sz w:val="26"/>
                      <w:szCs w:val="26"/>
                    </w:rPr>
                    <m:t>1-P</m:t>
                  </m:r>
                </m:e>
              </m:d>
            </m:num>
            <m:den>
              <m:d>
                <m:dPr>
                  <m:begChr m:val="["/>
                  <m:endChr m:val="]"/>
                  <m:ctrlPr>
                    <w:rPr>
                      <w:rFonts w:ascii="Cambria Math" w:hAnsi="Cambria Math" w:cstheme="majorBidi"/>
                      <w:bCs/>
                      <w:i/>
                      <w:sz w:val="26"/>
                      <w:szCs w:val="26"/>
                    </w:rPr>
                  </m:ctrlPr>
                </m:dPr>
                <m:e>
                  <m:d>
                    <m:dPr>
                      <m:ctrlPr>
                        <w:rPr>
                          <w:rFonts w:ascii="Cambria Math" w:hAnsi="Cambria Math" w:cstheme="majorBidi"/>
                          <w:bCs/>
                          <w:i/>
                          <w:sz w:val="26"/>
                          <w:szCs w:val="26"/>
                        </w:rPr>
                      </m:ctrlPr>
                    </m:dPr>
                    <m:e>
                      <m:r>
                        <w:rPr>
                          <w:rFonts w:ascii="Cambria Math" w:hAnsi="Cambria Math" w:cstheme="majorBidi"/>
                          <w:sz w:val="26"/>
                          <w:szCs w:val="26"/>
                        </w:rPr>
                        <m:t>N-1</m:t>
                      </m:r>
                    </m:e>
                  </m:d>
                  <m:func>
                    <m:funcPr>
                      <m:ctrlPr>
                        <w:rPr>
                          <w:rFonts w:ascii="Cambria Math" w:hAnsi="Cambria Math" w:cstheme="majorBidi"/>
                          <w:bCs/>
                          <w:i/>
                          <w:sz w:val="26"/>
                          <w:szCs w:val="26"/>
                        </w:rPr>
                      </m:ctrlPr>
                    </m:funcPr>
                    <m:fName>
                      <m:r>
                        <m:rPr>
                          <m:sty m:val="p"/>
                        </m:rPr>
                        <w:rPr>
                          <w:rFonts w:ascii="Cambria Math" w:hAnsi="Cambria Math" w:cstheme="majorBidi"/>
                          <w:sz w:val="26"/>
                          <w:szCs w:val="26"/>
                        </w:rPr>
                        <m:t xml:space="preserve"> </m:t>
                      </m:r>
                    </m:fName>
                    <m:e>
                      <m:sSup>
                        <m:sSupPr>
                          <m:ctrlPr>
                            <w:rPr>
                              <w:rFonts w:ascii="Cambria Math" w:hAnsi="Cambria Math" w:cstheme="majorBidi"/>
                              <w:bCs/>
                              <w:i/>
                              <w:sz w:val="26"/>
                              <w:szCs w:val="26"/>
                            </w:rPr>
                          </m:ctrlPr>
                        </m:sSupPr>
                        <m:e>
                          <m:d>
                            <m:dPr>
                              <m:ctrlPr>
                                <w:rPr>
                                  <w:rFonts w:ascii="Cambria Math" w:hAnsi="Cambria Math" w:cstheme="majorBidi"/>
                                  <w:bCs/>
                                  <w:i/>
                                  <w:sz w:val="26"/>
                                  <w:szCs w:val="26"/>
                                </w:rPr>
                              </m:ctrlPr>
                            </m:dPr>
                            <m:e>
                              <m:f>
                                <m:fPr>
                                  <m:ctrlPr>
                                    <w:rPr>
                                      <w:rFonts w:ascii="Cambria Math" w:hAnsi="Cambria Math" w:cstheme="majorBidi"/>
                                      <w:bCs/>
                                      <w:i/>
                                      <w:sz w:val="26"/>
                                      <w:szCs w:val="26"/>
                                    </w:rPr>
                                  </m:ctrlPr>
                                </m:fPr>
                                <m:num>
                                  <m:r>
                                    <w:rPr>
                                      <w:rFonts w:ascii="Cambria Math" w:hAnsi="Cambria Math" w:cstheme="majorBidi"/>
                                      <w:sz w:val="26"/>
                                      <w:szCs w:val="26"/>
                                    </w:rPr>
                                    <m:t>d</m:t>
                                  </m:r>
                                  <m:sSup>
                                    <m:sSupPr>
                                      <m:ctrlPr>
                                        <w:rPr>
                                          <w:rFonts w:ascii="Cambria Math" w:hAnsi="Cambria Math" w:cstheme="majorBidi"/>
                                          <w:bCs/>
                                          <w:i/>
                                          <w:sz w:val="26"/>
                                          <w:szCs w:val="26"/>
                                        </w:rPr>
                                      </m:ctrlPr>
                                    </m:sSupPr>
                                    <m:e>
                                      <m:r>
                                        <w:rPr>
                                          <w:rFonts w:ascii="Cambria Math" w:hAnsi="Cambria Math" w:cstheme="majorBidi"/>
                                          <w:sz w:val="26"/>
                                          <w:szCs w:val="26"/>
                                        </w:rPr>
                                        <m:t xml:space="preserve"> </m:t>
                                      </m:r>
                                    </m:e>
                                    <m:sup>
                                      <m:r>
                                        <w:rPr>
                                          <w:rFonts w:ascii="Cambria Math" w:hAnsi="Cambria Math" w:cstheme="majorBidi"/>
                                          <w:sz w:val="26"/>
                                          <w:szCs w:val="26"/>
                                        </w:rPr>
                                        <m:t>2</m:t>
                                      </m:r>
                                    </m:sup>
                                  </m:sSup>
                                </m:num>
                                <m:den>
                                  <m:sSup>
                                    <m:sSupPr>
                                      <m:ctrlPr>
                                        <w:rPr>
                                          <w:rFonts w:ascii="Cambria Math" w:hAnsi="Cambria Math" w:cstheme="majorBidi"/>
                                          <w:bCs/>
                                          <w:i/>
                                          <w:sz w:val="26"/>
                                          <w:szCs w:val="26"/>
                                        </w:rPr>
                                      </m:ctrlPr>
                                    </m:sSupPr>
                                    <m:e>
                                      <m:r>
                                        <w:rPr>
                                          <w:rFonts w:ascii="Cambria Math" w:hAnsi="Cambria Math" w:cstheme="majorBidi"/>
                                          <w:sz w:val="26"/>
                                          <w:szCs w:val="26"/>
                                        </w:rPr>
                                        <m:t xml:space="preserve">z </m:t>
                                      </m:r>
                                    </m:e>
                                    <m:sup>
                                      <m:r>
                                        <w:rPr>
                                          <w:rFonts w:ascii="Cambria Math" w:hAnsi="Cambria Math" w:cstheme="majorBidi"/>
                                          <w:sz w:val="26"/>
                                          <w:szCs w:val="26"/>
                                        </w:rPr>
                                        <m:t>2</m:t>
                                      </m:r>
                                    </m:sup>
                                  </m:sSup>
                                </m:den>
                              </m:f>
                            </m:e>
                          </m:d>
                        </m:e>
                        <m:sup>
                          <m:r>
                            <w:rPr>
                              <w:rFonts w:ascii="Cambria Math" w:hAnsi="Cambria Math" w:cstheme="majorBidi"/>
                              <w:sz w:val="26"/>
                              <w:szCs w:val="26"/>
                            </w:rPr>
                            <m:t xml:space="preserve"> </m:t>
                          </m:r>
                        </m:sup>
                      </m:sSup>
                    </m:e>
                  </m:func>
                </m:e>
              </m:d>
              <m:r>
                <w:rPr>
                  <w:rFonts w:ascii="Cambria Math" w:hAnsi="Cambria Math" w:cstheme="majorBidi"/>
                  <w:sz w:val="26"/>
                  <w:szCs w:val="26"/>
                </w:rPr>
                <m:t>+P</m:t>
              </m:r>
              <m:d>
                <m:dPr>
                  <m:ctrlPr>
                    <w:rPr>
                      <w:rFonts w:ascii="Cambria Math" w:hAnsi="Cambria Math" w:cstheme="majorBidi"/>
                      <w:bCs/>
                      <w:i/>
                      <w:sz w:val="26"/>
                      <w:szCs w:val="26"/>
                    </w:rPr>
                  </m:ctrlPr>
                </m:dPr>
                <m:e>
                  <m:r>
                    <w:rPr>
                      <w:rFonts w:ascii="Cambria Math" w:hAnsi="Cambria Math" w:cstheme="majorBidi"/>
                      <w:sz w:val="26"/>
                      <w:szCs w:val="26"/>
                    </w:rPr>
                    <m:t>1-P</m:t>
                  </m:r>
                </m:e>
              </m:d>
            </m:den>
          </m:f>
        </m:oMath>
      </m:oMathPara>
    </w:p>
    <w:p w14:paraId="330E7386" w14:textId="77777777" w:rsidR="003804AC" w:rsidRPr="00202E2A" w:rsidRDefault="003804AC" w:rsidP="0019590B">
      <w:pPr>
        <w:bidi/>
        <w:spacing w:line="276" w:lineRule="auto"/>
        <w:jc w:val="lowKashida"/>
        <w:outlineLvl w:val="0"/>
        <w:rPr>
          <w:rFonts w:asciiTheme="majorBidi" w:hAnsiTheme="majorBidi" w:cstheme="majorBidi"/>
          <w:sz w:val="26"/>
          <w:szCs w:val="26"/>
          <w:rtl/>
          <w:lang w:bidi="ar-EG"/>
        </w:rPr>
      </w:pPr>
      <w:r w:rsidRPr="00202E2A">
        <w:rPr>
          <w:rFonts w:asciiTheme="majorBidi" w:hAnsiTheme="majorBidi" w:cstheme="majorBidi"/>
          <w:sz w:val="26"/>
          <w:szCs w:val="26"/>
          <w:rtl/>
          <w:lang w:bidi="ar-EG"/>
        </w:rPr>
        <w:t>حيث :</w:t>
      </w:r>
    </w:p>
    <w:p w14:paraId="4C72BCA3" w14:textId="77777777" w:rsidR="003804AC" w:rsidRPr="00202E2A" w:rsidRDefault="003804AC" w:rsidP="0019590B">
      <w:pPr>
        <w:bidi/>
        <w:spacing w:line="276" w:lineRule="auto"/>
        <w:jc w:val="lowKashida"/>
        <w:outlineLvl w:val="0"/>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lang w:bidi="ar-EG"/>
        </w:rPr>
        <w:t>n</w:t>
      </w:r>
      <w:r w:rsidRPr="00202E2A">
        <w:rPr>
          <w:rFonts w:asciiTheme="majorBidi" w:hAnsiTheme="majorBidi" w:cstheme="majorBidi"/>
          <w:sz w:val="26"/>
          <w:szCs w:val="26"/>
          <w:rtl/>
          <w:lang w:bidi="ar-EG"/>
        </w:rPr>
        <w:t xml:space="preserve"> = تمثل حجم العينة، </w:t>
      </w:r>
      <w:r w:rsidRPr="00202E2A">
        <w:rPr>
          <w:rFonts w:asciiTheme="majorBidi" w:hAnsiTheme="majorBidi" w:cstheme="majorBidi"/>
          <w:sz w:val="26"/>
          <w:szCs w:val="26"/>
          <w:lang w:bidi="ar-EG"/>
        </w:rPr>
        <w:t>N</w:t>
      </w:r>
      <w:r w:rsidRPr="00202E2A">
        <w:rPr>
          <w:rFonts w:asciiTheme="majorBidi" w:hAnsiTheme="majorBidi" w:cstheme="majorBidi"/>
          <w:sz w:val="26"/>
          <w:szCs w:val="26"/>
          <w:rtl/>
          <w:lang w:bidi="ar-EG"/>
        </w:rPr>
        <w:t xml:space="preserve"> = تمثل حجم المجتمع، </w:t>
      </w:r>
      <w:r w:rsidRPr="00202E2A">
        <w:rPr>
          <w:rFonts w:asciiTheme="majorBidi" w:hAnsiTheme="majorBidi" w:cstheme="majorBidi"/>
          <w:sz w:val="26"/>
          <w:szCs w:val="26"/>
          <w:lang w:bidi="ar-EG"/>
        </w:rPr>
        <w:t>P</w:t>
      </w:r>
      <w:r w:rsidRPr="00202E2A">
        <w:rPr>
          <w:rFonts w:asciiTheme="majorBidi" w:hAnsiTheme="majorBidi" w:cstheme="majorBidi"/>
          <w:sz w:val="26"/>
          <w:szCs w:val="26"/>
          <w:rtl/>
          <w:lang w:bidi="ar-EG"/>
        </w:rPr>
        <w:t xml:space="preserve"> = تمثل القيمة الاحتمالية وهي = </w:t>
      </w:r>
      <w:r w:rsidRPr="00202E2A">
        <w:rPr>
          <w:rFonts w:asciiTheme="majorBidi" w:hAnsiTheme="majorBidi" w:cstheme="majorBidi"/>
          <w:sz w:val="26"/>
          <w:szCs w:val="26"/>
          <w:lang w:bidi="ar-EG"/>
        </w:rPr>
        <w:t>0.5</w:t>
      </w:r>
      <w:r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lang w:bidi="ar-EG"/>
        </w:rPr>
        <w:t>d</w:t>
      </w:r>
      <w:r w:rsidRPr="00202E2A">
        <w:rPr>
          <w:rFonts w:asciiTheme="majorBidi" w:hAnsiTheme="majorBidi" w:cstheme="majorBidi"/>
          <w:sz w:val="26"/>
          <w:szCs w:val="26"/>
          <w:rtl/>
          <w:lang w:bidi="ar-EG"/>
        </w:rPr>
        <w:t xml:space="preserve"> = تمثل نسبة الخطأ المقبول في العينة وهي تساوي: </w:t>
      </w:r>
    </w:p>
    <w:p w14:paraId="68BB94B3" w14:textId="77777777" w:rsidR="003804AC" w:rsidRPr="00202E2A" w:rsidRDefault="003804AC" w:rsidP="0019590B">
      <w:pPr>
        <w:bidi/>
        <w:spacing w:line="276" w:lineRule="auto"/>
        <w:jc w:val="lowKashida"/>
        <w:outlineLvl w:val="0"/>
        <w:rPr>
          <w:rFonts w:asciiTheme="majorBidi" w:hAnsiTheme="majorBidi" w:cstheme="majorBidi"/>
          <w:sz w:val="26"/>
          <w:szCs w:val="26"/>
          <w:rtl/>
        </w:rPr>
      </w:pPr>
      <w:r w:rsidRPr="00202E2A">
        <w:rPr>
          <w:rFonts w:asciiTheme="majorBidi" w:hAnsiTheme="majorBidi" w:cstheme="majorBidi"/>
          <w:sz w:val="26"/>
          <w:szCs w:val="26"/>
          <w:rtl/>
          <w:lang w:bidi="ar-EG"/>
        </w:rPr>
        <w:t xml:space="preserve">     اذا كان مستوي الثقة </w:t>
      </w:r>
      <w:r w:rsidRPr="00202E2A">
        <w:rPr>
          <w:rFonts w:asciiTheme="majorBidi" w:hAnsiTheme="majorBidi" w:cstheme="majorBidi"/>
          <w:sz w:val="26"/>
          <w:szCs w:val="26"/>
          <w:lang w:bidi="ar-EG"/>
        </w:rPr>
        <w:t>95</w:t>
      </w:r>
      <w:r w:rsidRPr="00202E2A">
        <w:rPr>
          <w:rFonts w:asciiTheme="majorBidi" w:hAnsiTheme="majorBidi" w:cstheme="majorBidi"/>
          <w:sz w:val="26"/>
          <w:szCs w:val="26"/>
          <w:rtl/>
          <w:lang w:bidi="ar-EG"/>
        </w:rPr>
        <w:t xml:space="preserve"> % = </w:t>
      </w:r>
      <w:r w:rsidRPr="00202E2A">
        <w:rPr>
          <w:rFonts w:asciiTheme="majorBidi" w:hAnsiTheme="majorBidi" w:cstheme="majorBidi"/>
          <w:sz w:val="26"/>
          <w:szCs w:val="26"/>
          <w:lang w:bidi="ar-EG"/>
        </w:rPr>
        <w:t>0.5</w:t>
      </w:r>
      <w:r w:rsidRPr="00202E2A">
        <w:rPr>
          <w:rFonts w:asciiTheme="majorBidi" w:hAnsiTheme="majorBidi" w:cstheme="majorBidi"/>
          <w:sz w:val="26"/>
          <w:szCs w:val="26"/>
          <w:rtl/>
          <w:lang w:bidi="ar-EG"/>
        </w:rPr>
        <w:t xml:space="preserve">، اذا كان مستوي الثقة </w:t>
      </w:r>
      <w:r w:rsidRPr="00202E2A">
        <w:rPr>
          <w:rFonts w:asciiTheme="majorBidi" w:hAnsiTheme="majorBidi" w:cstheme="majorBidi"/>
          <w:sz w:val="26"/>
          <w:szCs w:val="26"/>
          <w:lang w:bidi="ar-EG"/>
        </w:rPr>
        <w:t>99</w:t>
      </w:r>
      <w:r w:rsidRPr="00202E2A">
        <w:rPr>
          <w:rFonts w:asciiTheme="majorBidi" w:hAnsiTheme="majorBidi" w:cstheme="majorBidi"/>
          <w:sz w:val="26"/>
          <w:szCs w:val="26"/>
          <w:rtl/>
          <w:lang w:bidi="ar-EG"/>
        </w:rPr>
        <w:t xml:space="preserve"> % = </w:t>
      </w:r>
      <w:r w:rsidRPr="00202E2A">
        <w:rPr>
          <w:rFonts w:asciiTheme="majorBidi" w:hAnsiTheme="majorBidi" w:cstheme="majorBidi"/>
          <w:sz w:val="26"/>
          <w:szCs w:val="26"/>
          <w:lang w:bidi="ar-EG"/>
        </w:rPr>
        <w:t>0.01</w:t>
      </w:r>
      <w:r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lang w:bidi="ar-EG"/>
        </w:rPr>
        <w:t>Z</w:t>
      </w:r>
      <w:r w:rsidRPr="00202E2A">
        <w:rPr>
          <w:rFonts w:asciiTheme="majorBidi" w:hAnsiTheme="majorBidi" w:cstheme="majorBidi"/>
          <w:sz w:val="26"/>
          <w:szCs w:val="26"/>
          <w:rtl/>
          <w:lang w:bidi="ar-EG"/>
        </w:rPr>
        <w:t xml:space="preserve"> = تمثل الدرجة المعيارية المقابلة لمستوي الثقة: اذا كان مستوي الثقة </w:t>
      </w:r>
      <w:r w:rsidRPr="00202E2A">
        <w:rPr>
          <w:rFonts w:asciiTheme="majorBidi" w:hAnsiTheme="majorBidi" w:cstheme="majorBidi"/>
          <w:sz w:val="26"/>
          <w:szCs w:val="26"/>
          <w:lang w:bidi="ar-EG"/>
        </w:rPr>
        <w:t>95</w:t>
      </w:r>
      <w:r w:rsidRPr="00202E2A">
        <w:rPr>
          <w:rFonts w:asciiTheme="majorBidi" w:hAnsiTheme="majorBidi" w:cstheme="majorBidi"/>
          <w:sz w:val="26"/>
          <w:szCs w:val="26"/>
          <w:rtl/>
          <w:lang w:bidi="ar-EG"/>
        </w:rPr>
        <w:t xml:space="preserve"> % = </w:t>
      </w:r>
      <w:r w:rsidRPr="00202E2A">
        <w:rPr>
          <w:rFonts w:asciiTheme="majorBidi" w:hAnsiTheme="majorBidi" w:cstheme="majorBidi"/>
          <w:sz w:val="26"/>
          <w:szCs w:val="26"/>
          <w:lang w:bidi="ar-EG"/>
        </w:rPr>
        <w:t>1.96</w:t>
      </w:r>
      <w:r w:rsidRPr="00202E2A">
        <w:rPr>
          <w:rFonts w:asciiTheme="majorBidi" w:hAnsiTheme="majorBidi" w:cstheme="majorBidi"/>
          <w:sz w:val="26"/>
          <w:szCs w:val="26"/>
          <w:rtl/>
          <w:lang w:bidi="ar-EG"/>
        </w:rPr>
        <w:t xml:space="preserve">، اذا كان مستوي الثقة </w:t>
      </w:r>
      <w:r w:rsidRPr="00202E2A">
        <w:rPr>
          <w:rFonts w:asciiTheme="majorBidi" w:hAnsiTheme="majorBidi" w:cstheme="majorBidi"/>
          <w:sz w:val="26"/>
          <w:szCs w:val="26"/>
          <w:lang w:bidi="ar-EG"/>
        </w:rPr>
        <w:t>99</w:t>
      </w:r>
      <w:r w:rsidRPr="00202E2A">
        <w:rPr>
          <w:rFonts w:asciiTheme="majorBidi" w:hAnsiTheme="majorBidi" w:cstheme="majorBidi"/>
          <w:sz w:val="26"/>
          <w:szCs w:val="26"/>
          <w:rtl/>
          <w:lang w:bidi="ar-EG"/>
        </w:rPr>
        <w:t xml:space="preserve"> % = </w:t>
      </w:r>
      <w:r w:rsidRPr="00202E2A">
        <w:rPr>
          <w:rFonts w:asciiTheme="majorBidi" w:hAnsiTheme="majorBidi" w:cstheme="majorBidi"/>
          <w:sz w:val="26"/>
          <w:szCs w:val="26"/>
          <w:lang w:bidi="ar-EG"/>
        </w:rPr>
        <w:t>2.58</w:t>
      </w:r>
      <w:r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rtl/>
        </w:rPr>
        <w:t xml:space="preserve">وبالتالي يتم توضيح حجم العينة وفقا للجدول التالي: </w:t>
      </w:r>
    </w:p>
    <w:p w14:paraId="7F448EE9"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tl/>
        </w:rPr>
        <w:t>جدول رقم (</w:t>
      </w:r>
      <w:r w:rsidRPr="00202E2A">
        <w:rPr>
          <w:rFonts w:asciiTheme="majorBidi" w:hAnsiTheme="majorBidi" w:cstheme="majorBidi"/>
          <w:b/>
          <w:bCs/>
          <w:sz w:val="26"/>
          <w:szCs w:val="26"/>
        </w:rPr>
        <w:t>2</w:t>
      </w:r>
      <w:r w:rsidRPr="00202E2A">
        <w:rPr>
          <w:rFonts w:asciiTheme="majorBidi" w:hAnsiTheme="majorBidi" w:cstheme="majorBidi"/>
          <w:b/>
          <w:bCs/>
          <w:sz w:val="26"/>
          <w:szCs w:val="26"/>
          <w:rtl/>
        </w:rPr>
        <w:t>) مجتمع وعينة الدراسة</w:t>
      </w:r>
    </w:p>
    <w:tbl>
      <w:tblPr>
        <w:tblStyle w:val="TableGrid"/>
        <w:bidiVisual/>
        <w:tblW w:w="9056" w:type="dxa"/>
        <w:tblLook w:val="04A0" w:firstRow="1" w:lastRow="0" w:firstColumn="1" w:lastColumn="0" w:noHBand="0" w:noVBand="1"/>
      </w:tblPr>
      <w:tblGrid>
        <w:gridCol w:w="3370"/>
        <w:gridCol w:w="1882"/>
        <w:gridCol w:w="1898"/>
        <w:gridCol w:w="1906"/>
      </w:tblGrid>
      <w:tr w:rsidR="003804AC" w:rsidRPr="00202E2A" w14:paraId="72FA9836" w14:textId="77777777" w:rsidTr="00053955">
        <w:trPr>
          <w:trHeight w:val="243"/>
        </w:trPr>
        <w:tc>
          <w:tcPr>
            <w:tcW w:w="3370" w:type="dxa"/>
            <w:shd w:val="clear" w:color="auto" w:fill="D0CECE" w:themeFill="background2" w:themeFillShade="E6"/>
          </w:tcPr>
          <w:p w14:paraId="042B7277"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tl/>
              </w:rPr>
              <w:t>البيان</w:t>
            </w:r>
          </w:p>
        </w:tc>
        <w:tc>
          <w:tcPr>
            <w:tcW w:w="1882" w:type="dxa"/>
            <w:shd w:val="clear" w:color="auto" w:fill="D0CECE" w:themeFill="background2" w:themeFillShade="E6"/>
          </w:tcPr>
          <w:p w14:paraId="11D2EF6A"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tl/>
              </w:rPr>
              <w:t>عدد المديرين</w:t>
            </w:r>
          </w:p>
        </w:tc>
        <w:tc>
          <w:tcPr>
            <w:tcW w:w="1898" w:type="dxa"/>
            <w:shd w:val="clear" w:color="auto" w:fill="D0CECE" w:themeFill="background2" w:themeFillShade="E6"/>
          </w:tcPr>
          <w:p w14:paraId="6437611D"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tl/>
              </w:rPr>
              <w:t>النسبة المئوية</w:t>
            </w:r>
          </w:p>
        </w:tc>
        <w:tc>
          <w:tcPr>
            <w:tcW w:w="1906" w:type="dxa"/>
            <w:shd w:val="clear" w:color="auto" w:fill="D0CECE" w:themeFill="background2" w:themeFillShade="E6"/>
          </w:tcPr>
          <w:p w14:paraId="3B958ACC"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tl/>
              </w:rPr>
              <w:t>حجم العينة</w:t>
            </w:r>
          </w:p>
        </w:tc>
      </w:tr>
      <w:tr w:rsidR="003804AC" w:rsidRPr="00202E2A" w14:paraId="3FBFF16E" w14:textId="77777777" w:rsidTr="00053955">
        <w:trPr>
          <w:trHeight w:val="45"/>
        </w:trPr>
        <w:tc>
          <w:tcPr>
            <w:tcW w:w="3370" w:type="dxa"/>
          </w:tcPr>
          <w:p w14:paraId="12AE433C" w14:textId="77777777" w:rsidR="003804AC" w:rsidRPr="00202E2A" w:rsidRDefault="003804AC" w:rsidP="0019590B">
            <w:pPr>
              <w:bidi/>
              <w:spacing w:line="276" w:lineRule="auto"/>
              <w:jc w:val="lowKashida"/>
              <w:outlineLvl w:val="0"/>
              <w:rPr>
                <w:rFonts w:asciiTheme="majorBidi" w:hAnsiTheme="majorBidi" w:cstheme="majorBidi"/>
                <w:b/>
                <w:bCs/>
                <w:sz w:val="26"/>
                <w:szCs w:val="26"/>
                <w:rtl/>
              </w:rPr>
            </w:pPr>
            <w:r w:rsidRPr="00202E2A">
              <w:rPr>
                <w:rFonts w:asciiTheme="majorBidi" w:hAnsiTheme="majorBidi" w:cstheme="majorBidi"/>
                <w:b/>
                <w:bCs/>
                <w:sz w:val="26"/>
                <w:szCs w:val="26"/>
                <w:rtl/>
              </w:rPr>
              <w:t xml:space="preserve">نائب ووكيل </w:t>
            </w:r>
          </w:p>
        </w:tc>
        <w:tc>
          <w:tcPr>
            <w:tcW w:w="1882" w:type="dxa"/>
          </w:tcPr>
          <w:p w14:paraId="425612C3"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Pr>
              <w:t>11</w:t>
            </w:r>
          </w:p>
        </w:tc>
        <w:tc>
          <w:tcPr>
            <w:tcW w:w="1898" w:type="dxa"/>
          </w:tcPr>
          <w:p w14:paraId="7B1AA4FE"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Pr>
              <w:t>3</w:t>
            </w:r>
            <w:r w:rsidRPr="00202E2A">
              <w:rPr>
                <w:rFonts w:asciiTheme="majorBidi" w:hAnsiTheme="majorBidi" w:cstheme="majorBidi"/>
                <w:b/>
                <w:bCs/>
                <w:sz w:val="26"/>
                <w:szCs w:val="26"/>
                <w:rtl/>
              </w:rPr>
              <w:t>%</w:t>
            </w:r>
          </w:p>
        </w:tc>
        <w:tc>
          <w:tcPr>
            <w:tcW w:w="1906" w:type="dxa"/>
          </w:tcPr>
          <w:p w14:paraId="4838A287"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Pr>
              <w:t>2</w:t>
            </w:r>
          </w:p>
        </w:tc>
      </w:tr>
      <w:tr w:rsidR="003804AC" w:rsidRPr="00202E2A" w14:paraId="32AAF720" w14:textId="77777777" w:rsidTr="00053955">
        <w:tc>
          <w:tcPr>
            <w:tcW w:w="3370" w:type="dxa"/>
          </w:tcPr>
          <w:p w14:paraId="419DE160" w14:textId="77777777" w:rsidR="003804AC" w:rsidRPr="00202E2A" w:rsidRDefault="003804AC" w:rsidP="0019590B">
            <w:pPr>
              <w:bidi/>
              <w:spacing w:line="276" w:lineRule="auto"/>
              <w:jc w:val="lowKashida"/>
              <w:outlineLvl w:val="0"/>
              <w:rPr>
                <w:rFonts w:asciiTheme="majorBidi" w:hAnsiTheme="majorBidi" w:cstheme="majorBidi"/>
                <w:b/>
                <w:bCs/>
                <w:sz w:val="26"/>
                <w:szCs w:val="26"/>
                <w:rtl/>
              </w:rPr>
            </w:pPr>
            <w:r w:rsidRPr="00202E2A">
              <w:rPr>
                <w:rFonts w:asciiTheme="majorBidi" w:hAnsiTheme="majorBidi" w:cstheme="majorBidi"/>
                <w:b/>
                <w:bCs/>
                <w:sz w:val="26"/>
                <w:szCs w:val="26"/>
                <w:rtl/>
              </w:rPr>
              <w:t xml:space="preserve">مدير عام </w:t>
            </w:r>
          </w:p>
        </w:tc>
        <w:tc>
          <w:tcPr>
            <w:tcW w:w="1882" w:type="dxa"/>
          </w:tcPr>
          <w:p w14:paraId="60DC069A"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Pr>
              <w:t>25</w:t>
            </w:r>
          </w:p>
        </w:tc>
        <w:tc>
          <w:tcPr>
            <w:tcW w:w="1898" w:type="dxa"/>
          </w:tcPr>
          <w:p w14:paraId="73F61CE8"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Pr>
              <w:t>6</w:t>
            </w:r>
            <w:r w:rsidRPr="00202E2A">
              <w:rPr>
                <w:rFonts w:asciiTheme="majorBidi" w:hAnsiTheme="majorBidi" w:cstheme="majorBidi"/>
                <w:b/>
                <w:bCs/>
                <w:sz w:val="26"/>
                <w:szCs w:val="26"/>
                <w:rtl/>
              </w:rPr>
              <w:t>%</w:t>
            </w:r>
          </w:p>
        </w:tc>
        <w:tc>
          <w:tcPr>
            <w:tcW w:w="1906" w:type="dxa"/>
          </w:tcPr>
          <w:p w14:paraId="43BFDDC0"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Pr>
              <w:t>5</w:t>
            </w:r>
          </w:p>
        </w:tc>
      </w:tr>
      <w:tr w:rsidR="003804AC" w:rsidRPr="00202E2A" w14:paraId="1384E0A6" w14:textId="77777777" w:rsidTr="00053955">
        <w:tc>
          <w:tcPr>
            <w:tcW w:w="3370" w:type="dxa"/>
          </w:tcPr>
          <w:p w14:paraId="63D76170" w14:textId="77777777" w:rsidR="003804AC" w:rsidRPr="00202E2A" w:rsidRDefault="003804AC" w:rsidP="0019590B">
            <w:pPr>
              <w:bidi/>
              <w:spacing w:line="276" w:lineRule="auto"/>
              <w:jc w:val="lowKashida"/>
              <w:outlineLvl w:val="0"/>
              <w:rPr>
                <w:rFonts w:asciiTheme="majorBidi" w:hAnsiTheme="majorBidi" w:cstheme="majorBidi"/>
                <w:b/>
                <w:bCs/>
                <w:sz w:val="26"/>
                <w:szCs w:val="26"/>
                <w:rtl/>
              </w:rPr>
            </w:pPr>
            <w:r w:rsidRPr="00202E2A">
              <w:rPr>
                <w:rFonts w:asciiTheme="majorBidi" w:hAnsiTheme="majorBidi" w:cstheme="majorBidi"/>
                <w:b/>
                <w:bCs/>
                <w:sz w:val="26"/>
                <w:szCs w:val="26"/>
                <w:rtl/>
              </w:rPr>
              <w:t xml:space="preserve">مدير إدارة  </w:t>
            </w:r>
          </w:p>
        </w:tc>
        <w:tc>
          <w:tcPr>
            <w:tcW w:w="1882" w:type="dxa"/>
          </w:tcPr>
          <w:p w14:paraId="58C1E538"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Pr>
              <w:t>30</w:t>
            </w:r>
          </w:p>
        </w:tc>
        <w:tc>
          <w:tcPr>
            <w:tcW w:w="1898" w:type="dxa"/>
          </w:tcPr>
          <w:p w14:paraId="218385E3"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Pr>
              <w:t>6</w:t>
            </w:r>
            <w:r w:rsidRPr="00202E2A">
              <w:rPr>
                <w:rFonts w:asciiTheme="majorBidi" w:hAnsiTheme="majorBidi" w:cstheme="majorBidi"/>
                <w:b/>
                <w:bCs/>
                <w:sz w:val="26"/>
                <w:szCs w:val="26"/>
                <w:rtl/>
              </w:rPr>
              <w:t>%</w:t>
            </w:r>
          </w:p>
        </w:tc>
        <w:tc>
          <w:tcPr>
            <w:tcW w:w="1906" w:type="dxa"/>
          </w:tcPr>
          <w:p w14:paraId="4DB4288F"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Pr>
              <w:t>5</w:t>
            </w:r>
          </w:p>
        </w:tc>
      </w:tr>
      <w:tr w:rsidR="003804AC" w:rsidRPr="00202E2A" w14:paraId="7BA24CBD" w14:textId="77777777" w:rsidTr="00053955">
        <w:tc>
          <w:tcPr>
            <w:tcW w:w="3370" w:type="dxa"/>
          </w:tcPr>
          <w:p w14:paraId="6BAB0CF4" w14:textId="77777777" w:rsidR="003804AC" w:rsidRPr="00202E2A" w:rsidRDefault="003804AC" w:rsidP="0019590B">
            <w:pPr>
              <w:bidi/>
              <w:spacing w:line="276" w:lineRule="auto"/>
              <w:jc w:val="lowKashida"/>
              <w:outlineLvl w:val="0"/>
              <w:rPr>
                <w:rFonts w:asciiTheme="majorBidi" w:hAnsiTheme="majorBidi" w:cstheme="majorBidi"/>
                <w:b/>
                <w:bCs/>
                <w:sz w:val="26"/>
                <w:szCs w:val="26"/>
                <w:rtl/>
              </w:rPr>
            </w:pPr>
            <w:r w:rsidRPr="00202E2A">
              <w:rPr>
                <w:rFonts w:asciiTheme="majorBidi" w:hAnsiTheme="majorBidi" w:cstheme="majorBidi"/>
                <w:b/>
                <w:bCs/>
                <w:sz w:val="26"/>
                <w:szCs w:val="26"/>
                <w:rtl/>
              </w:rPr>
              <w:t xml:space="preserve">مدير منفذ </w:t>
            </w:r>
          </w:p>
        </w:tc>
        <w:tc>
          <w:tcPr>
            <w:tcW w:w="1882" w:type="dxa"/>
          </w:tcPr>
          <w:p w14:paraId="1C1CE5E1"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Pr>
              <w:t>55</w:t>
            </w:r>
          </w:p>
        </w:tc>
        <w:tc>
          <w:tcPr>
            <w:tcW w:w="1898" w:type="dxa"/>
          </w:tcPr>
          <w:p w14:paraId="1BAB9852"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Pr>
              <w:t>18</w:t>
            </w:r>
            <w:r w:rsidRPr="00202E2A">
              <w:rPr>
                <w:rFonts w:asciiTheme="majorBidi" w:hAnsiTheme="majorBidi" w:cstheme="majorBidi"/>
                <w:b/>
                <w:bCs/>
                <w:sz w:val="26"/>
                <w:szCs w:val="26"/>
                <w:rtl/>
              </w:rPr>
              <w:t>%</w:t>
            </w:r>
          </w:p>
        </w:tc>
        <w:tc>
          <w:tcPr>
            <w:tcW w:w="1906" w:type="dxa"/>
          </w:tcPr>
          <w:p w14:paraId="20FF4261"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Pr>
              <w:t>10</w:t>
            </w:r>
          </w:p>
        </w:tc>
      </w:tr>
      <w:tr w:rsidR="003804AC" w:rsidRPr="00202E2A" w14:paraId="3F89D6FE" w14:textId="77777777" w:rsidTr="00053955">
        <w:tc>
          <w:tcPr>
            <w:tcW w:w="3370" w:type="dxa"/>
          </w:tcPr>
          <w:p w14:paraId="1C66F622" w14:textId="77777777" w:rsidR="003804AC" w:rsidRPr="00202E2A" w:rsidRDefault="003804AC" w:rsidP="0019590B">
            <w:pPr>
              <w:bidi/>
              <w:spacing w:line="276" w:lineRule="auto"/>
              <w:jc w:val="lowKashida"/>
              <w:outlineLvl w:val="0"/>
              <w:rPr>
                <w:rFonts w:asciiTheme="majorBidi" w:hAnsiTheme="majorBidi" w:cstheme="majorBidi"/>
                <w:b/>
                <w:bCs/>
                <w:sz w:val="26"/>
                <w:szCs w:val="26"/>
                <w:rtl/>
              </w:rPr>
            </w:pPr>
            <w:r w:rsidRPr="00202E2A">
              <w:rPr>
                <w:rFonts w:asciiTheme="majorBidi" w:hAnsiTheme="majorBidi" w:cstheme="majorBidi"/>
                <w:b/>
                <w:bCs/>
                <w:sz w:val="26"/>
                <w:szCs w:val="26"/>
                <w:rtl/>
              </w:rPr>
              <w:t xml:space="preserve">مدير قسم </w:t>
            </w:r>
          </w:p>
        </w:tc>
        <w:tc>
          <w:tcPr>
            <w:tcW w:w="1882" w:type="dxa"/>
          </w:tcPr>
          <w:p w14:paraId="34FD396A"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Pr>
              <w:t>55</w:t>
            </w:r>
          </w:p>
        </w:tc>
        <w:tc>
          <w:tcPr>
            <w:tcW w:w="1898" w:type="dxa"/>
          </w:tcPr>
          <w:p w14:paraId="719060C9"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Pr>
              <w:t>18</w:t>
            </w:r>
            <w:r w:rsidRPr="00202E2A">
              <w:rPr>
                <w:rFonts w:asciiTheme="majorBidi" w:hAnsiTheme="majorBidi" w:cstheme="majorBidi"/>
                <w:b/>
                <w:bCs/>
                <w:sz w:val="26"/>
                <w:szCs w:val="26"/>
                <w:rtl/>
              </w:rPr>
              <w:t>%</w:t>
            </w:r>
          </w:p>
        </w:tc>
        <w:tc>
          <w:tcPr>
            <w:tcW w:w="1906" w:type="dxa"/>
          </w:tcPr>
          <w:p w14:paraId="4ADDF196"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Pr>
              <w:t>10</w:t>
            </w:r>
          </w:p>
        </w:tc>
      </w:tr>
      <w:tr w:rsidR="003804AC" w:rsidRPr="00202E2A" w14:paraId="2721EB9C" w14:textId="77777777" w:rsidTr="00053955">
        <w:tc>
          <w:tcPr>
            <w:tcW w:w="3370" w:type="dxa"/>
          </w:tcPr>
          <w:p w14:paraId="26099D66" w14:textId="77777777" w:rsidR="003804AC" w:rsidRPr="00202E2A" w:rsidRDefault="003804AC" w:rsidP="0019590B">
            <w:pPr>
              <w:bidi/>
              <w:spacing w:line="276" w:lineRule="auto"/>
              <w:jc w:val="lowKashida"/>
              <w:outlineLvl w:val="0"/>
              <w:rPr>
                <w:rFonts w:asciiTheme="majorBidi" w:hAnsiTheme="majorBidi" w:cstheme="majorBidi"/>
                <w:b/>
                <w:bCs/>
                <w:sz w:val="26"/>
                <w:szCs w:val="26"/>
                <w:rtl/>
              </w:rPr>
            </w:pPr>
            <w:r w:rsidRPr="00202E2A">
              <w:rPr>
                <w:rFonts w:asciiTheme="majorBidi" w:hAnsiTheme="majorBidi" w:cstheme="majorBidi"/>
                <w:b/>
                <w:bCs/>
                <w:sz w:val="26"/>
                <w:szCs w:val="26"/>
                <w:rtl/>
              </w:rPr>
              <w:t>مشرفي وحدات</w:t>
            </w:r>
          </w:p>
        </w:tc>
        <w:tc>
          <w:tcPr>
            <w:tcW w:w="1882" w:type="dxa"/>
          </w:tcPr>
          <w:p w14:paraId="59E824B3" w14:textId="77777777" w:rsidR="003804AC" w:rsidRPr="00202E2A" w:rsidRDefault="003804AC" w:rsidP="0019590B">
            <w:pPr>
              <w:bidi/>
              <w:spacing w:line="276" w:lineRule="auto"/>
              <w:jc w:val="center"/>
              <w:outlineLvl w:val="0"/>
              <w:rPr>
                <w:rFonts w:asciiTheme="majorBidi" w:hAnsiTheme="majorBidi" w:cstheme="majorBidi"/>
                <w:b/>
                <w:bCs/>
                <w:sz w:val="26"/>
                <w:szCs w:val="26"/>
              </w:rPr>
            </w:pPr>
            <w:r w:rsidRPr="00202E2A">
              <w:rPr>
                <w:rFonts w:asciiTheme="majorBidi" w:hAnsiTheme="majorBidi" w:cstheme="majorBidi"/>
                <w:b/>
                <w:bCs/>
                <w:sz w:val="26"/>
                <w:szCs w:val="26"/>
              </w:rPr>
              <w:t>224</w:t>
            </w:r>
          </w:p>
        </w:tc>
        <w:tc>
          <w:tcPr>
            <w:tcW w:w="1898" w:type="dxa"/>
          </w:tcPr>
          <w:p w14:paraId="39D4CE47" w14:textId="77777777" w:rsidR="003804AC" w:rsidRPr="00202E2A" w:rsidRDefault="003804AC" w:rsidP="0019590B">
            <w:pPr>
              <w:bidi/>
              <w:spacing w:line="276" w:lineRule="auto"/>
              <w:jc w:val="center"/>
              <w:outlineLvl w:val="0"/>
              <w:rPr>
                <w:rFonts w:asciiTheme="majorBidi" w:hAnsiTheme="majorBidi" w:cstheme="majorBidi"/>
                <w:b/>
                <w:bCs/>
                <w:sz w:val="26"/>
                <w:szCs w:val="26"/>
              </w:rPr>
            </w:pPr>
            <w:r w:rsidRPr="00202E2A">
              <w:rPr>
                <w:rFonts w:asciiTheme="majorBidi" w:hAnsiTheme="majorBidi" w:cstheme="majorBidi"/>
                <w:b/>
                <w:bCs/>
                <w:sz w:val="26"/>
                <w:szCs w:val="26"/>
              </w:rPr>
              <w:t>49</w:t>
            </w:r>
            <w:r w:rsidRPr="00202E2A">
              <w:rPr>
                <w:rFonts w:asciiTheme="majorBidi" w:hAnsiTheme="majorBidi" w:cstheme="majorBidi"/>
                <w:b/>
                <w:bCs/>
                <w:sz w:val="26"/>
                <w:szCs w:val="26"/>
                <w:rtl/>
              </w:rPr>
              <w:t>%</w:t>
            </w:r>
          </w:p>
        </w:tc>
        <w:tc>
          <w:tcPr>
            <w:tcW w:w="1906" w:type="dxa"/>
          </w:tcPr>
          <w:p w14:paraId="33FA5F2C" w14:textId="77777777" w:rsidR="003804AC" w:rsidRPr="00202E2A" w:rsidRDefault="003804AC" w:rsidP="0019590B">
            <w:pPr>
              <w:bidi/>
              <w:spacing w:line="276" w:lineRule="auto"/>
              <w:jc w:val="center"/>
              <w:outlineLvl w:val="0"/>
              <w:rPr>
                <w:rFonts w:asciiTheme="majorBidi" w:hAnsiTheme="majorBidi" w:cstheme="majorBidi"/>
                <w:b/>
                <w:bCs/>
                <w:sz w:val="26"/>
                <w:szCs w:val="26"/>
              </w:rPr>
            </w:pPr>
            <w:r w:rsidRPr="00202E2A">
              <w:rPr>
                <w:rFonts w:asciiTheme="majorBidi" w:hAnsiTheme="majorBidi" w:cstheme="majorBidi"/>
                <w:b/>
                <w:bCs/>
                <w:sz w:val="26"/>
                <w:szCs w:val="26"/>
              </w:rPr>
              <w:t>18</w:t>
            </w:r>
          </w:p>
        </w:tc>
      </w:tr>
      <w:tr w:rsidR="003804AC" w:rsidRPr="00202E2A" w14:paraId="38E14AB9" w14:textId="77777777" w:rsidTr="00053955">
        <w:tc>
          <w:tcPr>
            <w:tcW w:w="3370" w:type="dxa"/>
            <w:shd w:val="clear" w:color="auto" w:fill="D0CECE" w:themeFill="background2" w:themeFillShade="E6"/>
          </w:tcPr>
          <w:p w14:paraId="5B58843B"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tl/>
              </w:rPr>
              <w:t>الإجمالي</w:t>
            </w:r>
          </w:p>
        </w:tc>
        <w:tc>
          <w:tcPr>
            <w:tcW w:w="1882" w:type="dxa"/>
            <w:shd w:val="clear" w:color="auto" w:fill="D0CECE" w:themeFill="background2" w:themeFillShade="E6"/>
          </w:tcPr>
          <w:p w14:paraId="6DD5ACFD"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Pr>
              <w:t>400</w:t>
            </w:r>
          </w:p>
        </w:tc>
        <w:tc>
          <w:tcPr>
            <w:tcW w:w="1898" w:type="dxa"/>
            <w:shd w:val="clear" w:color="auto" w:fill="D0CECE" w:themeFill="background2" w:themeFillShade="E6"/>
          </w:tcPr>
          <w:p w14:paraId="395A52C8"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Pr>
              <w:t>100</w:t>
            </w:r>
            <w:r w:rsidRPr="00202E2A">
              <w:rPr>
                <w:rFonts w:asciiTheme="majorBidi" w:hAnsiTheme="majorBidi" w:cstheme="majorBidi"/>
                <w:b/>
                <w:bCs/>
                <w:sz w:val="26"/>
                <w:szCs w:val="26"/>
                <w:rtl/>
              </w:rPr>
              <w:t>%</w:t>
            </w:r>
          </w:p>
        </w:tc>
        <w:tc>
          <w:tcPr>
            <w:tcW w:w="1906" w:type="dxa"/>
            <w:shd w:val="clear" w:color="auto" w:fill="D0CECE" w:themeFill="background2" w:themeFillShade="E6"/>
          </w:tcPr>
          <w:p w14:paraId="592699A6"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Pr>
              <w:t>50</w:t>
            </w:r>
          </w:p>
        </w:tc>
      </w:tr>
    </w:tbl>
    <w:p w14:paraId="35FC77BF" w14:textId="77777777" w:rsidR="003804AC" w:rsidRPr="00202E2A" w:rsidRDefault="003804AC" w:rsidP="0019590B">
      <w:pPr>
        <w:bidi/>
        <w:spacing w:line="276" w:lineRule="auto"/>
        <w:jc w:val="lowKashida"/>
        <w:rPr>
          <w:rFonts w:asciiTheme="majorBidi" w:hAnsiTheme="majorBidi" w:cstheme="majorBidi"/>
          <w:b/>
          <w:bCs/>
          <w:sz w:val="26"/>
          <w:szCs w:val="26"/>
        </w:rPr>
      </w:pPr>
      <w:r w:rsidRPr="00202E2A">
        <w:rPr>
          <w:rFonts w:asciiTheme="majorBidi" w:hAnsiTheme="majorBidi" w:cstheme="majorBidi"/>
          <w:b/>
          <w:bCs/>
          <w:sz w:val="26"/>
          <w:szCs w:val="26"/>
          <w:rtl/>
        </w:rPr>
        <w:t>المصدر: من إعداد الباحث في ضوء الهيكل التنظيمي، وكالة رأس المال البشري، بهيئة الزكاة والضريبية والجمارك.</w:t>
      </w:r>
    </w:p>
    <w:p w14:paraId="3EBB3C21" w14:textId="77777777" w:rsidR="003804AC" w:rsidRPr="00202E2A" w:rsidRDefault="003804AC" w:rsidP="0019590B">
      <w:pPr>
        <w:bidi/>
        <w:spacing w:line="276" w:lineRule="auto"/>
        <w:jc w:val="lowKashida"/>
        <w:rPr>
          <w:rFonts w:asciiTheme="majorBidi" w:hAnsiTheme="majorBidi" w:cstheme="majorBidi"/>
          <w:b/>
          <w:bCs/>
          <w:sz w:val="26"/>
          <w:szCs w:val="26"/>
          <w:lang w:bidi="ar-EG"/>
        </w:rPr>
      </w:pPr>
      <w:r w:rsidRPr="00202E2A">
        <w:rPr>
          <w:rFonts w:asciiTheme="majorBidi" w:hAnsiTheme="majorBidi" w:cstheme="majorBidi"/>
          <w:b/>
          <w:bCs/>
          <w:sz w:val="26"/>
          <w:szCs w:val="26"/>
          <w:rtl/>
          <w:lang w:bidi="ar-EG"/>
        </w:rPr>
        <w:t>أدوات جمع بيانات الدارسة</w:t>
      </w:r>
    </w:p>
    <w:p w14:paraId="2FFE8C5D" w14:textId="77777777" w:rsidR="003804AC" w:rsidRPr="00202E2A" w:rsidRDefault="003804AC" w:rsidP="0019590B">
      <w:pPr>
        <w:bidi/>
        <w:spacing w:line="276" w:lineRule="auto"/>
        <w:ind w:firstLine="36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تنقسم بيانات البحث إلى نوعين: نوعية (وصفية غير رقمية) تركّز على فهم الظواهر عبر الوصف، وكمية (عددية) تعتمد على الأرقام لتحليل الظروف المختلفة، تُعد عملية الجمع خطوة محورية في الدراسات، خاصةً في قضايا مثل التحول الرقمي وتأثيره على الأمن والتجارة، مما يتطلب فهمًا عميقًا لأساليب الجمع المناسبة</w:t>
      </w:r>
      <w:r w:rsidRPr="00202E2A">
        <w:rPr>
          <w:rFonts w:asciiTheme="majorBidi" w:hAnsiTheme="majorBidi" w:cstheme="majorBidi"/>
          <w:sz w:val="26"/>
          <w:szCs w:val="26"/>
          <w:lang w:bidi="ar-EG"/>
        </w:rPr>
        <w:t>.</w:t>
      </w:r>
    </w:p>
    <w:p w14:paraId="535BA579"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 xml:space="preserve">مصادر البيانات: </w:t>
      </w:r>
    </w:p>
    <w:p w14:paraId="7DE7FD0D" w14:textId="77777777" w:rsidR="003804AC" w:rsidRPr="00202E2A" w:rsidRDefault="003804AC">
      <w:pPr>
        <w:pStyle w:val="ListParagraph"/>
        <w:numPr>
          <w:ilvl w:val="0"/>
          <w:numId w:val="13"/>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أولية: مباشرة كالسجلات الوظيفية أو استطلاعات العاملين بالهيئة، وتتميز بمصداقية عالية</w:t>
      </w:r>
      <w:r w:rsidRPr="00202E2A">
        <w:rPr>
          <w:rFonts w:asciiTheme="majorBidi" w:hAnsiTheme="majorBidi" w:cstheme="majorBidi"/>
          <w:sz w:val="26"/>
          <w:szCs w:val="26"/>
          <w:lang w:bidi="ar-EG"/>
        </w:rPr>
        <w:t xml:space="preserve">.  </w:t>
      </w:r>
    </w:p>
    <w:p w14:paraId="47E3E3B8" w14:textId="77777777" w:rsidR="003804AC" w:rsidRPr="00202E2A" w:rsidRDefault="003804AC">
      <w:pPr>
        <w:pStyle w:val="ListParagraph"/>
        <w:numPr>
          <w:ilvl w:val="0"/>
          <w:numId w:val="13"/>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ثانوية: كالدراسات السابقة أو المنشورات، وتُستخدم عند عدم كفاية المصادر الأولية</w:t>
      </w:r>
      <w:r w:rsidRPr="00202E2A">
        <w:rPr>
          <w:rFonts w:asciiTheme="majorBidi" w:hAnsiTheme="majorBidi" w:cstheme="majorBidi"/>
          <w:sz w:val="26"/>
          <w:szCs w:val="26"/>
          <w:lang w:bidi="ar-EG"/>
        </w:rPr>
        <w:t>.</w:t>
      </w:r>
    </w:p>
    <w:p w14:paraId="0CA3D766"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أدوات الجمع الرئيسية:</w:t>
      </w:r>
    </w:p>
    <w:p w14:paraId="048B1776" w14:textId="77777777" w:rsidR="003804AC" w:rsidRPr="00202E2A" w:rsidRDefault="003804AC">
      <w:pPr>
        <w:pStyle w:val="ListParagraph"/>
        <w:numPr>
          <w:ilvl w:val="0"/>
          <w:numId w:val="14"/>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الاستبيان</w:t>
      </w:r>
      <w:r w:rsidRPr="00202E2A">
        <w:rPr>
          <w:rFonts w:asciiTheme="majorBidi" w:hAnsiTheme="majorBidi" w:cstheme="majorBidi"/>
          <w:sz w:val="26"/>
          <w:szCs w:val="26"/>
          <w:rtl/>
          <w:lang w:bidi="ar-EG"/>
        </w:rPr>
        <w:t>: أشهرها لسهولة التصميم والتحليل، وقد يكون مفتوحًا أو مغلقًا، ويُنفذ إلكترونيًّا أو ورقيًّا</w:t>
      </w:r>
      <w:r w:rsidRPr="00202E2A">
        <w:rPr>
          <w:rFonts w:asciiTheme="majorBidi" w:hAnsiTheme="majorBidi" w:cstheme="majorBidi"/>
          <w:sz w:val="26"/>
          <w:szCs w:val="26"/>
          <w:lang w:bidi="ar-EG"/>
        </w:rPr>
        <w:t xml:space="preserve">.  </w:t>
      </w:r>
    </w:p>
    <w:p w14:paraId="670FAE35" w14:textId="77777777" w:rsidR="003804AC" w:rsidRPr="00202E2A" w:rsidRDefault="003804AC">
      <w:pPr>
        <w:pStyle w:val="ListParagraph"/>
        <w:numPr>
          <w:ilvl w:val="0"/>
          <w:numId w:val="14"/>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المقابلة</w:t>
      </w:r>
      <w:r w:rsidRPr="00202E2A">
        <w:rPr>
          <w:rFonts w:asciiTheme="majorBidi" w:hAnsiTheme="majorBidi" w:cstheme="majorBidi"/>
          <w:sz w:val="26"/>
          <w:szCs w:val="26"/>
          <w:rtl/>
          <w:lang w:bidi="ar-EG"/>
        </w:rPr>
        <w:t>: تفاعل شفوي مباشر لجمع آراء معمقة، وتُناسب الدراسات الاجتماعية</w:t>
      </w:r>
      <w:r w:rsidRPr="00202E2A">
        <w:rPr>
          <w:rFonts w:asciiTheme="majorBidi" w:hAnsiTheme="majorBidi" w:cstheme="majorBidi"/>
          <w:sz w:val="26"/>
          <w:szCs w:val="26"/>
          <w:lang w:bidi="ar-EG"/>
        </w:rPr>
        <w:t xml:space="preserve">.  </w:t>
      </w:r>
    </w:p>
    <w:p w14:paraId="5F9B04C3" w14:textId="77777777" w:rsidR="003804AC" w:rsidRPr="00202E2A" w:rsidRDefault="003804AC">
      <w:pPr>
        <w:pStyle w:val="ListParagraph"/>
        <w:numPr>
          <w:ilvl w:val="0"/>
          <w:numId w:val="14"/>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الملاحظة</w:t>
      </w:r>
      <w:r w:rsidRPr="00202E2A">
        <w:rPr>
          <w:rFonts w:asciiTheme="majorBidi" w:hAnsiTheme="majorBidi" w:cstheme="majorBidi"/>
          <w:sz w:val="26"/>
          <w:szCs w:val="26"/>
          <w:rtl/>
          <w:lang w:bidi="ar-EG"/>
        </w:rPr>
        <w:t>: تُستخدم في الأبحاث التطبيقية لرصد الظواهر مباشرةً حيث لا تناسب الأدوات الأخرى</w:t>
      </w:r>
      <w:r w:rsidRPr="00202E2A">
        <w:rPr>
          <w:rFonts w:asciiTheme="majorBidi" w:hAnsiTheme="majorBidi" w:cstheme="majorBidi"/>
          <w:sz w:val="26"/>
          <w:szCs w:val="26"/>
          <w:lang w:bidi="ar-EG"/>
        </w:rPr>
        <w:t xml:space="preserve">.  </w:t>
      </w:r>
    </w:p>
    <w:p w14:paraId="5912A10D"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lastRenderedPageBreak/>
        <w:t>الأساليب الإحصائية</w:t>
      </w:r>
    </w:p>
    <w:p w14:paraId="3AB9655C"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انطلاقا من طبيعة مشكلة وأهداف الدراسة، فيري الباحث أن المنهج التحليلي يعد المنهج الأنسب لإعداد الدراسة، حيث يعرف المنهج الوصفي التحليلي علي أنه منهج بحثي وطريقة علمية تستخدم لوصف الظاهرة أو الحدث محل الدراسة، ومن ثم تصوير وهذه الظاهرة بصورة كمية رقمية، والعمل علي وصفها بطريقة وصفية تفسيرية، من خلال جمع المعلومات المقننة حول المشكلة وتصنيفها، وتحليلها وإخضاعها للدراسة الدقيقة، وذلك للتوصل إلي دلالات ومؤشرات ذات صلة، وسوف يعتمد الباحث في تحليل البيانات واختبار صحة فرضي الدراسة علي برنامج الحزم الإحصائية للعلوم الاجتماعية </w:t>
      </w:r>
      <w:r w:rsidRPr="00202E2A">
        <w:rPr>
          <w:rFonts w:asciiTheme="majorBidi" w:hAnsiTheme="majorBidi" w:cstheme="majorBidi"/>
          <w:sz w:val="26"/>
          <w:szCs w:val="26"/>
          <w:lang w:bidi="ar-EG"/>
        </w:rPr>
        <w:t>SPSS</w:t>
      </w:r>
      <w:r w:rsidRPr="00202E2A">
        <w:rPr>
          <w:rFonts w:asciiTheme="majorBidi" w:hAnsiTheme="majorBidi" w:cstheme="majorBidi"/>
          <w:sz w:val="26"/>
          <w:szCs w:val="26"/>
          <w:rtl/>
          <w:lang w:bidi="ar-EG"/>
        </w:rPr>
        <w:t>، حيث سوف يتم استخدام الأساليب الإحصائية التالية:</w:t>
      </w:r>
    </w:p>
    <w:p w14:paraId="75725B00" w14:textId="44613FFE" w:rsidR="003804AC" w:rsidRPr="00202E2A" w:rsidRDefault="003804AC" w:rsidP="002E5F99">
      <w:pPr>
        <w:pStyle w:val="ListParagraph"/>
        <w:numPr>
          <w:ilvl w:val="0"/>
          <w:numId w:val="2"/>
        </w:num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حساب الإحصائية الوصفية </w:t>
      </w:r>
      <w:r w:rsidRPr="00202E2A">
        <w:rPr>
          <w:rFonts w:asciiTheme="majorBidi" w:hAnsiTheme="majorBidi" w:cstheme="majorBidi"/>
          <w:sz w:val="26"/>
          <w:szCs w:val="26"/>
          <w:lang w:bidi="ar-EG"/>
        </w:rPr>
        <w:t>Descriptive Statistics</w:t>
      </w:r>
      <w:r w:rsidRPr="00202E2A">
        <w:rPr>
          <w:rFonts w:asciiTheme="majorBidi" w:hAnsiTheme="majorBidi" w:cstheme="majorBidi"/>
          <w:sz w:val="26"/>
          <w:szCs w:val="26"/>
          <w:rtl/>
          <w:lang w:bidi="ar-EG"/>
        </w:rPr>
        <w:t xml:space="preserve"> (الوسط الحسابي </w:t>
      </w:r>
      <w:r w:rsidRPr="00202E2A">
        <w:rPr>
          <w:rFonts w:asciiTheme="majorBidi" w:hAnsiTheme="majorBidi" w:cstheme="majorBidi"/>
          <w:sz w:val="26"/>
          <w:szCs w:val="26"/>
          <w:lang w:bidi="ar-EG"/>
        </w:rPr>
        <w:t>Mean</w:t>
      </w:r>
      <w:r w:rsidRPr="00202E2A">
        <w:rPr>
          <w:rFonts w:asciiTheme="majorBidi" w:hAnsiTheme="majorBidi" w:cstheme="majorBidi"/>
          <w:sz w:val="26"/>
          <w:szCs w:val="26"/>
          <w:rtl/>
          <w:lang w:bidi="ar-EG"/>
        </w:rPr>
        <w:t xml:space="preserve">، والانحراف المعياري </w:t>
      </w:r>
      <w:r w:rsidRPr="00202E2A">
        <w:rPr>
          <w:rFonts w:asciiTheme="majorBidi" w:hAnsiTheme="majorBidi" w:cstheme="majorBidi"/>
          <w:sz w:val="26"/>
          <w:szCs w:val="26"/>
          <w:lang w:bidi="ar-EG"/>
        </w:rPr>
        <w:t>Standard Deviation</w:t>
      </w:r>
      <w:r w:rsidRPr="00202E2A">
        <w:rPr>
          <w:rFonts w:asciiTheme="majorBidi" w:hAnsiTheme="majorBidi" w:cstheme="majorBidi"/>
          <w:sz w:val="26"/>
          <w:szCs w:val="26"/>
          <w:rtl/>
          <w:lang w:bidi="ar-EG"/>
        </w:rPr>
        <w:t>، لكل من أبعاد القيادة التبادلية والتحويلية والتحول الرقمي</w:t>
      </w:r>
      <w:r w:rsidR="002E5F99" w:rsidRPr="00202E2A">
        <w:rPr>
          <w:rFonts w:asciiTheme="majorBidi" w:hAnsiTheme="majorBidi" w:cstheme="majorBidi" w:hint="cs"/>
          <w:sz w:val="26"/>
          <w:szCs w:val="26"/>
          <w:rtl/>
          <w:lang w:bidi="ar-EG"/>
        </w:rPr>
        <w:t>.</w:t>
      </w:r>
    </w:p>
    <w:p w14:paraId="3F1A145F" w14:textId="77777777" w:rsidR="003804AC" w:rsidRPr="00202E2A" w:rsidRDefault="003804AC" w:rsidP="0019590B">
      <w:pPr>
        <w:pStyle w:val="ListParagraph"/>
        <w:numPr>
          <w:ilvl w:val="0"/>
          <w:numId w:val="2"/>
        </w:num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أسلوب تحليل الانحدار المتعدد </w:t>
      </w:r>
      <w:r w:rsidRPr="00202E2A">
        <w:rPr>
          <w:rFonts w:asciiTheme="majorBidi" w:hAnsiTheme="majorBidi" w:cstheme="majorBidi"/>
          <w:sz w:val="26"/>
          <w:szCs w:val="26"/>
          <w:lang w:bidi="ar-EG"/>
        </w:rPr>
        <w:t>Multiple Regression Analysis</w:t>
      </w:r>
      <w:r w:rsidRPr="00202E2A">
        <w:rPr>
          <w:rFonts w:asciiTheme="majorBidi" w:hAnsiTheme="majorBidi" w:cstheme="majorBidi"/>
          <w:sz w:val="26"/>
          <w:szCs w:val="26"/>
          <w:rtl/>
          <w:lang w:bidi="ar-EG"/>
        </w:rPr>
        <w:t xml:space="preserve"> وذلك لاختبار مدي تأثير أبعاد القيادة التبادلية والتحويلية في أبعاد التحول الرقمي.</w:t>
      </w:r>
    </w:p>
    <w:p w14:paraId="668C66A3"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أداة الدراسة:</w:t>
      </w:r>
    </w:p>
    <w:p w14:paraId="334A6B29" w14:textId="60AA8FD7" w:rsidR="003804AC" w:rsidRPr="00202E2A" w:rsidRDefault="003804AC"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ab/>
        <w:t>سوف يعتمد الباحث في تجميع بيانات الدراسة الميدانية من مصادرها الأولية قائمة استقصاء موجهة إلي مفردات الدراسة، والتي انقسمت إلي قسمين: الأول يتعلق بقياس أبعاد التحول الرقمي، والثاني يتعلق بقياس أبعاد تعزيز الأمن وت</w:t>
      </w:r>
      <w:r w:rsidR="004B4A0D" w:rsidRPr="00202E2A">
        <w:rPr>
          <w:rFonts w:asciiTheme="majorBidi" w:hAnsiTheme="majorBidi" w:cstheme="majorBidi" w:hint="cs"/>
          <w:sz w:val="26"/>
          <w:szCs w:val="26"/>
          <w:rtl/>
          <w:lang w:bidi="ar-EG"/>
        </w:rPr>
        <w:t>ي</w:t>
      </w:r>
      <w:r w:rsidRPr="00202E2A">
        <w:rPr>
          <w:rFonts w:asciiTheme="majorBidi" w:hAnsiTheme="majorBidi" w:cstheme="majorBidi"/>
          <w:sz w:val="26"/>
          <w:szCs w:val="26"/>
          <w:rtl/>
          <w:lang w:bidi="ar-EG"/>
        </w:rPr>
        <w:t>سير التجارة، وسوف يتم استخدام مقياس ليكرت الخماسي الأبعاد للإجابة علي الأسئلة الخاصة بكل متغيرات الدراسة وتأثيرها معاً.</w:t>
      </w:r>
    </w:p>
    <w:p w14:paraId="48FDC59B" w14:textId="77777777" w:rsidR="003804AC" w:rsidRPr="00202E2A" w:rsidRDefault="003804AC"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مقاييس متغيرات الدراسة:</w:t>
      </w:r>
    </w:p>
    <w:p w14:paraId="4A92B09C" w14:textId="77777777" w:rsidR="003804AC" w:rsidRPr="00202E2A" w:rsidRDefault="003804AC" w:rsidP="0019590B">
      <w:pPr>
        <w:pStyle w:val="ListParagraph"/>
        <w:numPr>
          <w:ilvl w:val="0"/>
          <w:numId w:val="3"/>
        </w:numPr>
        <w:bidi/>
        <w:spacing w:line="276" w:lineRule="auto"/>
        <w:jc w:val="lowKashida"/>
        <w:rPr>
          <w:rFonts w:asciiTheme="majorBidi" w:hAnsiTheme="majorBidi" w:cstheme="majorBidi"/>
          <w:b/>
          <w:bCs/>
          <w:sz w:val="26"/>
          <w:szCs w:val="26"/>
          <w:lang w:bidi="ar-EG"/>
        </w:rPr>
      </w:pPr>
      <w:r w:rsidRPr="00202E2A">
        <w:rPr>
          <w:rFonts w:asciiTheme="majorBidi" w:hAnsiTheme="majorBidi" w:cstheme="majorBidi"/>
          <w:b/>
          <w:bCs/>
          <w:sz w:val="26"/>
          <w:szCs w:val="26"/>
          <w:rtl/>
          <w:lang w:bidi="ar-EG"/>
        </w:rPr>
        <w:t>أبعاد التحول الرقمي (المتغير المستقل):</w:t>
      </w:r>
    </w:p>
    <w:p w14:paraId="788E40B0" w14:textId="77777777" w:rsidR="003804AC" w:rsidRPr="00202E2A" w:rsidRDefault="003804AC"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سوف يعتمد الباحث في قياس أبعاد التحول الرقمي على المقاييس التي اعتمدت عليها الكثير من الباحثين بالدراسات السابقة وتم تطبقها، حيث ينقسم إلي ثلاثة أبعاد وهي: البيئة الخارجية المحيطة، البيئة الداخلية، استخدام العملاء. </w:t>
      </w:r>
    </w:p>
    <w:p w14:paraId="04548EFC" w14:textId="77777777" w:rsidR="003804AC" w:rsidRPr="00202E2A" w:rsidRDefault="003804AC">
      <w:pPr>
        <w:pStyle w:val="ListParagraph"/>
        <w:numPr>
          <w:ilvl w:val="0"/>
          <w:numId w:val="15"/>
        </w:numPr>
        <w:bidi/>
        <w:spacing w:line="276" w:lineRule="auto"/>
        <w:jc w:val="lowKashida"/>
        <w:rPr>
          <w:rFonts w:asciiTheme="majorBidi" w:hAnsiTheme="majorBidi" w:cstheme="majorBidi"/>
          <w:b/>
          <w:bCs/>
          <w:sz w:val="26"/>
          <w:szCs w:val="26"/>
          <w:lang w:bidi="ar-EG"/>
        </w:rPr>
      </w:pPr>
      <w:r w:rsidRPr="00202E2A">
        <w:rPr>
          <w:rFonts w:asciiTheme="majorBidi" w:hAnsiTheme="majorBidi" w:cstheme="majorBidi"/>
          <w:b/>
          <w:bCs/>
          <w:sz w:val="26"/>
          <w:szCs w:val="26"/>
          <w:rtl/>
          <w:lang w:bidi="ar-EG"/>
        </w:rPr>
        <w:t>أبعاد تعزيز الأمن وتيسير التجارة (المتغيرات التابعة):</w:t>
      </w:r>
    </w:p>
    <w:p w14:paraId="3AFE1484" w14:textId="77777777" w:rsidR="003804AC" w:rsidRPr="00202E2A" w:rsidRDefault="003804AC"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سوف يعتمد الباحث في قياس أبعاد تعزيز الأمن وتيسير التجارة والتي اعتمدت عليها العديد من الدراسات العربية منها والأجنبية، وقامت بدراستها العديد من الدراسات والأبحاث المختلفة.</w:t>
      </w:r>
    </w:p>
    <w:p w14:paraId="43E5A5E0" w14:textId="7FE04046" w:rsidR="00853ED2" w:rsidRPr="00202E2A" w:rsidRDefault="004B4A0D" w:rsidP="00853ED2">
      <w:pPr>
        <w:bidi/>
        <w:spacing w:line="276" w:lineRule="auto"/>
        <w:jc w:val="lowKashida"/>
        <w:rPr>
          <w:rFonts w:asciiTheme="majorBidi" w:hAnsiTheme="majorBidi" w:cstheme="majorBidi"/>
          <w:b/>
          <w:bCs/>
          <w:color w:val="002060"/>
          <w:sz w:val="26"/>
          <w:szCs w:val="26"/>
          <w:lang w:bidi="ar-EG"/>
        </w:rPr>
      </w:pPr>
      <w:r w:rsidRPr="00202E2A">
        <w:rPr>
          <w:rFonts w:asciiTheme="majorBidi" w:hAnsiTheme="majorBidi" w:cstheme="majorBidi" w:hint="cs"/>
          <w:b/>
          <w:bCs/>
          <w:color w:val="002060"/>
          <w:sz w:val="26"/>
          <w:szCs w:val="26"/>
          <w:rtl/>
          <w:lang w:bidi="ar-EG"/>
        </w:rPr>
        <w:t xml:space="preserve">تاسعاً: </w:t>
      </w:r>
      <w:r w:rsidR="00853ED2" w:rsidRPr="00202E2A">
        <w:rPr>
          <w:rFonts w:asciiTheme="majorBidi" w:hAnsiTheme="majorBidi" w:cstheme="majorBidi"/>
          <w:b/>
          <w:bCs/>
          <w:color w:val="002060"/>
          <w:sz w:val="26"/>
          <w:szCs w:val="26"/>
          <w:rtl/>
          <w:lang w:bidi="ar-EG"/>
        </w:rPr>
        <w:t xml:space="preserve">نموذج متغيرات الدراسة   </w:t>
      </w:r>
      <w:r w:rsidR="00853ED2" w:rsidRPr="00202E2A">
        <w:rPr>
          <w:rFonts w:asciiTheme="majorBidi" w:hAnsiTheme="majorBidi" w:cstheme="majorBidi"/>
          <w:b/>
          <w:bCs/>
          <w:color w:val="002060"/>
          <w:sz w:val="26"/>
          <w:szCs w:val="26"/>
          <w:lang w:bidi="ar-EG"/>
        </w:rPr>
        <w:t>Study variables model</w:t>
      </w:r>
    </w:p>
    <w:p w14:paraId="5C1950E6" w14:textId="77777777" w:rsidR="00853ED2" w:rsidRPr="00202E2A" w:rsidRDefault="00853ED2" w:rsidP="00853ED2">
      <w:pPr>
        <w:bidi/>
        <w:spacing w:line="276" w:lineRule="auto"/>
        <w:jc w:val="center"/>
        <w:rPr>
          <w:rFonts w:asciiTheme="majorBidi" w:hAnsiTheme="majorBidi" w:cstheme="majorBidi"/>
          <w:b/>
          <w:bCs/>
          <w:sz w:val="26"/>
          <w:szCs w:val="26"/>
          <w:rtl/>
          <w:lang w:bidi="ar-EG"/>
        </w:rPr>
      </w:pPr>
      <w:r w:rsidRPr="00202E2A">
        <w:rPr>
          <w:rFonts w:asciiTheme="majorBidi" w:hAnsiTheme="majorBidi" w:cstheme="majorBidi"/>
          <w:sz w:val="26"/>
          <w:szCs w:val="26"/>
          <w:rtl/>
          <w:lang w:bidi="ar-EG"/>
        </w:rPr>
        <w:t>يمكن صياغة النموذج الذي يوضح العلاقة بين متغيرات هذه الدراسة وذلك من خلال الشكل التالي:</w:t>
      </w:r>
      <w:r w:rsidRPr="00202E2A">
        <w:rPr>
          <w:rFonts w:asciiTheme="majorBidi" w:hAnsiTheme="majorBidi" w:cstheme="majorBidi"/>
          <w:b/>
          <w:bCs/>
          <w:sz w:val="26"/>
          <w:szCs w:val="26"/>
          <w:rtl/>
          <w:lang w:bidi="ar-EG"/>
        </w:rPr>
        <w:t xml:space="preserve"> </w:t>
      </w:r>
    </w:p>
    <w:p w14:paraId="52416F2E" w14:textId="77777777" w:rsidR="00853ED2" w:rsidRPr="00202E2A" w:rsidRDefault="00853ED2" w:rsidP="00853ED2">
      <w:pPr>
        <w:bidi/>
        <w:spacing w:line="276" w:lineRule="auto"/>
        <w:jc w:val="center"/>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شكل رقم (</w:t>
      </w:r>
      <w:r w:rsidRPr="00202E2A">
        <w:rPr>
          <w:rFonts w:asciiTheme="majorBidi" w:hAnsiTheme="majorBidi" w:cstheme="majorBidi"/>
          <w:b/>
          <w:bCs/>
          <w:sz w:val="26"/>
          <w:szCs w:val="26"/>
          <w:lang w:bidi="ar-EG"/>
        </w:rPr>
        <w:t>1</w:t>
      </w:r>
      <w:r w:rsidRPr="00202E2A">
        <w:rPr>
          <w:rFonts w:asciiTheme="majorBidi" w:hAnsiTheme="majorBidi" w:cstheme="majorBidi"/>
          <w:b/>
          <w:bCs/>
          <w:sz w:val="26"/>
          <w:szCs w:val="26"/>
          <w:rtl/>
          <w:lang w:bidi="ar-EG"/>
        </w:rPr>
        <w:t>) النموذج المقترح للعلاقة بين متغيرات الدراسة</w:t>
      </w:r>
    </w:p>
    <w:p w14:paraId="33531992" w14:textId="77777777" w:rsidR="00853ED2" w:rsidRPr="00202E2A" w:rsidRDefault="00853ED2" w:rsidP="00853ED2">
      <w:pPr>
        <w:bidi/>
        <w:spacing w:line="276" w:lineRule="auto"/>
        <w:rPr>
          <w:rFonts w:asciiTheme="majorBidi" w:hAnsiTheme="majorBidi" w:cstheme="majorBidi"/>
          <w:b/>
          <w:bCs/>
          <w:noProof/>
          <w:sz w:val="26"/>
          <w:szCs w:val="26"/>
          <w:rtl/>
          <w:lang w:bidi="ar-EG"/>
        </w:rPr>
      </w:pPr>
      <w:r w:rsidRPr="00202E2A">
        <w:rPr>
          <w:rFonts w:asciiTheme="majorBidi" w:hAnsiTheme="majorBidi" w:cstheme="majorBidi"/>
          <w:noProof/>
          <w:sz w:val="26"/>
          <w:szCs w:val="26"/>
        </w:rPr>
        <w:lastRenderedPageBreak/>
        <w:drawing>
          <wp:inline distT="0" distB="0" distL="0" distR="0" wp14:anchorId="1608B20F" wp14:editId="66A3AFE1">
            <wp:extent cx="5943600" cy="3343275"/>
            <wp:effectExtent l="0" t="0" r="0" b="9525"/>
            <wp:docPr id="77032605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326057"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943600" cy="3343275"/>
                    </a:xfrm>
                    <a:prstGeom prst="rect">
                      <a:avLst/>
                    </a:prstGeom>
                  </pic:spPr>
                </pic:pic>
              </a:graphicData>
            </a:graphic>
          </wp:inline>
        </w:drawing>
      </w:r>
      <w:r w:rsidRPr="00202E2A">
        <w:rPr>
          <w:rFonts w:asciiTheme="majorBidi" w:hAnsiTheme="majorBidi" w:cstheme="majorBidi"/>
          <w:b/>
          <w:bCs/>
          <w:sz w:val="26"/>
          <w:szCs w:val="26"/>
          <w:rtl/>
          <w:lang w:bidi="ar-EG"/>
        </w:rPr>
        <w:t>المصدر: إعداد الباحث</w:t>
      </w:r>
      <w:r w:rsidRPr="00202E2A">
        <w:rPr>
          <w:rFonts w:asciiTheme="majorBidi" w:hAnsiTheme="majorBidi" w:cstheme="majorBidi"/>
          <w:b/>
          <w:bCs/>
          <w:sz w:val="26"/>
          <w:szCs w:val="26"/>
          <w:lang w:bidi="ar-EG"/>
        </w:rPr>
        <w:t>.</w:t>
      </w:r>
    </w:p>
    <w:p w14:paraId="04BEFAC6" w14:textId="77777777" w:rsidR="004B4A0D" w:rsidRPr="00202E2A" w:rsidRDefault="004B4A0D" w:rsidP="004B4A0D">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يوضح الشكل رقم (1) النموذج المقترح للعلاقة بين متغيرات الدراسة، حيث تم تصميمه لبيان التأثير المتوقع للتحول الرقمي بوصفه متغيرًا مستقلاً على متغير تابع يتمثل في "تعزيز الأمن وتيسير التجارة". ويعكس النموذج العلاقة السببية التي تفترضها الدراسة بين مكونات التحول الرقمي وأثرها على الأمن التجاري وفعالية العمليات التجارية</w:t>
      </w:r>
      <w:r w:rsidRPr="00202E2A">
        <w:rPr>
          <w:rFonts w:asciiTheme="majorBidi" w:hAnsiTheme="majorBidi" w:cstheme="majorBidi"/>
          <w:sz w:val="26"/>
          <w:szCs w:val="26"/>
          <w:lang w:bidi="ar-EG"/>
        </w:rPr>
        <w:t>.</w:t>
      </w:r>
    </w:p>
    <w:p w14:paraId="04135DF4" w14:textId="36345F0B" w:rsidR="004B4A0D" w:rsidRPr="00202E2A" w:rsidRDefault="004B4A0D" w:rsidP="004B4A0D">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يتكون المتغير المستقل "التحول الرقمي" من ثلاثة محاور أساسية هي: الأسس الرقمية التي تشمل البنية التحتية التكنولوجية، والابتكار الرقمي الذي يشير إلى استخدام الحلول التكنولوجية المتقدمة لدعم الكفاءة والتطوير، والحوكمة الرقمية التي تضمن وجود إطار تنظيمي وإداري مرن وفعال لإدارة البيئة الرقمية</w:t>
      </w:r>
      <w:r w:rsidRPr="00202E2A">
        <w:rPr>
          <w:rFonts w:asciiTheme="majorBidi" w:hAnsiTheme="majorBidi" w:cstheme="majorBidi"/>
          <w:sz w:val="26"/>
          <w:szCs w:val="26"/>
          <w:lang w:bidi="ar-EG"/>
        </w:rPr>
        <w:t>.</w:t>
      </w:r>
    </w:p>
    <w:p w14:paraId="2FA0F5EA" w14:textId="77777777" w:rsidR="004B4A0D" w:rsidRPr="00202E2A" w:rsidRDefault="004B4A0D" w:rsidP="004B4A0D">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أما المتغير التابع "تعزيز الأمن وتيسير التجارة"، فقد تم تفصيله إلى بعدين رئيسيين</w:t>
      </w:r>
      <w:r w:rsidRPr="00202E2A">
        <w:rPr>
          <w:rFonts w:asciiTheme="majorBidi" w:hAnsiTheme="majorBidi" w:cstheme="majorBidi"/>
          <w:sz w:val="26"/>
          <w:szCs w:val="26"/>
          <w:lang w:bidi="ar-EG"/>
        </w:rPr>
        <w:t>:</w:t>
      </w:r>
    </w:p>
    <w:p w14:paraId="1BA44BC0" w14:textId="2E84B69F" w:rsidR="004B4A0D" w:rsidRPr="00202E2A" w:rsidRDefault="004B4A0D" w:rsidP="004B4A0D">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1</w:t>
      </w:r>
      <w:r w:rsidRPr="00202E2A">
        <w:rPr>
          <w:rFonts w:asciiTheme="majorBidi" w:hAnsiTheme="majorBidi" w:cstheme="majorBidi"/>
          <w:b/>
          <w:bCs/>
          <w:sz w:val="26"/>
          <w:szCs w:val="26"/>
          <w:lang w:bidi="ar-EG"/>
        </w:rPr>
        <w:t xml:space="preserve">. </w:t>
      </w:r>
      <w:r w:rsidRPr="00202E2A">
        <w:rPr>
          <w:rFonts w:asciiTheme="majorBidi" w:hAnsiTheme="majorBidi" w:cstheme="majorBidi"/>
          <w:b/>
          <w:bCs/>
          <w:sz w:val="26"/>
          <w:szCs w:val="26"/>
          <w:rtl/>
          <w:lang w:bidi="ar-EG"/>
        </w:rPr>
        <w:t>تعزيز الأمن،</w:t>
      </w:r>
      <w:r w:rsidRPr="00202E2A">
        <w:rPr>
          <w:rFonts w:asciiTheme="majorBidi" w:hAnsiTheme="majorBidi" w:cstheme="majorBidi"/>
          <w:sz w:val="26"/>
          <w:szCs w:val="26"/>
          <w:rtl/>
          <w:lang w:bidi="ar-EG"/>
        </w:rPr>
        <w:t xml:space="preserve"> ويشمل الجوانب المتعلقة بالأمن السيبراني، وحماية البيانات، وتحسين كفاءة الرقابة الجمركية، إلى جانب تعزيز التكامل والتعاون الاستراتيجيين بين الجهات المعنية، سواء القانونية أو المؤسسية. كما يشمل البعد الأمني الجوانب الاجتماعية والسياسية ذات الصلة بتقليل التهديدات والمخاطر المرتبطة بالأنشطة التجارية العابرة للحدود</w:t>
      </w:r>
      <w:r w:rsidRPr="00202E2A">
        <w:rPr>
          <w:rFonts w:asciiTheme="majorBidi" w:hAnsiTheme="majorBidi" w:cstheme="majorBidi"/>
          <w:sz w:val="26"/>
          <w:szCs w:val="26"/>
          <w:lang w:bidi="ar-EG"/>
        </w:rPr>
        <w:t>.</w:t>
      </w:r>
    </w:p>
    <w:p w14:paraId="08FACA10" w14:textId="4FDC2CC5" w:rsidR="004B4A0D" w:rsidRPr="00202E2A" w:rsidRDefault="004B4A0D" w:rsidP="004B4A0D">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2</w:t>
      </w:r>
      <w:r w:rsidRPr="00202E2A">
        <w:rPr>
          <w:rFonts w:asciiTheme="majorBidi" w:hAnsiTheme="majorBidi" w:cstheme="majorBidi"/>
          <w:b/>
          <w:bCs/>
          <w:sz w:val="26"/>
          <w:szCs w:val="26"/>
          <w:lang w:bidi="ar-EG"/>
        </w:rPr>
        <w:t xml:space="preserve">. </w:t>
      </w:r>
      <w:r w:rsidRPr="00202E2A">
        <w:rPr>
          <w:rFonts w:asciiTheme="majorBidi" w:hAnsiTheme="majorBidi" w:cstheme="majorBidi"/>
          <w:b/>
          <w:bCs/>
          <w:sz w:val="26"/>
          <w:szCs w:val="26"/>
          <w:rtl/>
          <w:lang w:bidi="ar-EG"/>
        </w:rPr>
        <w:t>تيسير التجارة،</w:t>
      </w:r>
      <w:r w:rsidRPr="00202E2A">
        <w:rPr>
          <w:rFonts w:asciiTheme="majorBidi" w:hAnsiTheme="majorBidi" w:cstheme="majorBidi"/>
          <w:sz w:val="26"/>
          <w:szCs w:val="26"/>
          <w:rtl/>
          <w:lang w:bidi="ar-EG"/>
        </w:rPr>
        <w:t xml:space="preserve"> ويركز على تحسين البيئة الاقتصادية والتكنولوجية واللوجستية، مما يساهم في تقليل المعوقات أمام حركة التجارة، ودعم سلاسل الإمداد، وت</w:t>
      </w:r>
      <w:r w:rsidR="00744D05" w:rsidRPr="00202E2A">
        <w:rPr>
          <w:rFonts w:asciiTheme="majorBidi" w:hAnsiTheme="majorBidi" w:cstheme="majorBidi" w:hint="cs"/>
          <w:sz w:val="26"/>
          <w:szCs w:val="26"/>
          <w:rtl/>
          <w:lang w:bidi="ar-EG"/>
        </w:rPr>
        <w:t>ي</w:t>
      </w:r>
      <w:r w:rsidRPr="00202E2A">
        <w:rPr>
          <w:rFonts w:asciiTheme="majorBidi" w:hAnsiTheme="majorBidi" w:cstheme="majorBidi"/>
          <w:sz w:val="26"/>
          <w:szCs w:val="26"/>
          <w:rtl/>
          <w:lang w:bidi="ar-EG"/>
        </w:rPr>
        <w:t>سي</w:t>
      </w:r>
      <w:r w:rsidR="00744D05" w:rsidRPr="00202E2A">
        <w:rPr>
          <w:rFonts w:asciiTheme="majorBidi" w:hAnsiTheme="majorBidi" w:cstheme="majorBidi" w:hint="cs"/>
          <w:sz w:val="26"/>
          <w:szCs w:val="26"/>
          <w:rtl/>
          <w:lang w:bidi="ar-EG"/>
        </w:rPr>
        <w:t>ر</w:t>
      </w:r>
      <w:r w:rsidRPr="00202E2A">
        <w:rPr>
          <w:rFonts w:asciiTheme="majorBidi" w:hAnsiTheme="majorBidi" w:cstheme="majorBidi"/>
          <w:sz w:val="26"/>
          <w:szCs w:val="26"/>
          <w:rtl/>
          <w:lang w:bidi="ar-EG"/>
        </w:rPr>
        <w:t xml:space="preserve"> الإجراءات الجمركية، مما يؤدي إلى تقليل نسب التهريب والتكدس وتكاليف التشغيل، ويعزز كفاءة العبور ويقلل من الاعتماد على الإجراءات الورقية</w:t>
      </w:r>
      <w:r w:rsidRPr="00202E2A">
        <w:rPr>
          <w:rFonts w:asciiTheme="majorBidi" w:hAnsiTheme="majorBidi" w:cstheme="majorBidi"/>
          <w:sz w:val="26"/>
          <w:szCs w:val="26"/>
          <w:lang w:bidi="ar-EG"/>
        </w:rPr>
        <w:t>.</w:t>
      </w:r>
    </w:p>
    <w:p w14:paraId="66FF2501" w14:textId="176E7665" w:rsidR="00853ED2" w:rsidRPr="00202E2A" w:rsidRDefault="004B4A0D" w:rsidP="004B4A0D">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يعكس هذا النموذج ترابطًا ديناميكيًا بين التحول الرقمي بصفته محركًا للتطوير، وتأثيره المباشر على رفع مستويات الأمن، وتحقيق انسيابية أكبر في التجارة، مما يسهم بدوره في دعم التنمية الاقتصادية ورفع قدرة الدول التنافسية في الأسواق الإقليمية والدولية.</w:t>
      </w:r>
    </w:p>
    <w:p w14:paraId="28391508" w14:textId="77777777" w:rsidR="00202E2A" w:rsidRDefault="00202E2A" w:rsidP="00202E2A">
      <w:pPr>
        <w:bidi/>
        <w:spacing w:line="276" w:lineRule="auto"/>
        <w:jc w:val="lowKashida"/>
        <w:rPr>
          <w:rFonts w:asciiTheme="majorBidi" w:hAnsiTheme="majorBidi" w:cstheme="majorBidi"/>
          <w:sz w:val="28"/>
          <w:szCs w:val="28"/>
          <w:rtl/>
          <w:lang w:bidi="ar-EG"/>
        </w:rPr>
      </w:pPr>
    </w:p>
    <w:p w14:paraId="6584566A" w14:textId="77777777" w:rsidR="00202E2A" w:rsidRDefault="00202E2A" w:rsidP="00202E2A">
      <w:pPr>
        <w:bidi/>
        <w:spacing w:line="276" w:lineRule="auto"/>
        <w:jc w:val="lowKashida"/>
        <w:rPr>
          <w:rFonts w:asciiTheme="majorBidi" w:hAnsiTheme="majorBidi" w:cstheme="majorBidi"/>
          <w:sz w:val="28"/>
          <w:szCs w:val="28"/>
          <w:rtl/>
          <w:lang w:bidi="ar-EG"/>
        </w:rPr>
      </w:pPr>
    </w:p>
    <w:p w14:paraId="4FA362C8" w14:textId="77777777" w:rsidR="00202E2A" w:rsidRDefault="00202E2A" w:rsidP="00202E2A">
      <w:pPr>
        <w:bidi/>
        <w:spacing w:line="276" w:lineRule="auto"/>
        <w:jc w:val="lowKashida"/>
        <w:rPr>
          <w:rFonts w:asciiTheme="majorBidi" w:hAnsiTheme="majorBidi" w:cstheme="majorBidi"/>
          <w:sz w:val="28"/>
          <w:szCs w:val="28"/>
          <w:rtl/>
          <w:lang w:bidi="ar-EG"/>
        </w:rPr>
      </w:pPr>
    </w:p>
    <w:p w14:paraId="1A2B6DEC" w14:textId="77777777" w:rsidR="00202E2A" w:rsidRDefault="00202E2A" w:rsidP="00202E2A">
      <w:pPr>
        <w:bidi/>
        <w:spacing w:line="276" w:lineRule="auto"/>
        <w:jc w:val="lowKashida"/>
        <w:rPr>
          <w:rFonts w:asciiTheme="majorBidi" w:hAnsiTheme="majorBidi" w:cstheme="majorBidi"/>
          <w:sz w:val="28"/>
          <w:szCs w:val="28"/>
          <w:rtl/>
          <w:lang w:bidi="ar-EG"/>
        </w:rPr>
      </w:pPr>
    </w:p>
    <w:p w14:paraId="0F23AE74" w14:textId="77777777" w:rsidR="00202E2A" w:rsidRDefault="00202E2A" w:rsidP="00202E2A">
      <w:pPr>
        <w:bidi/>
        <w:spacing w:line="276" w:lineRule="auto"/>
        <w:jc w:val="lowKashida"/>
        <w:rPr>
          <w:rFonts w:asciiTheme="majorBidi" w:hAnsiTheme="majorBidi" w:cstheme="majorBidi"/>
          <w:sz w:val="28"/>
          <w:szCs w:val="28"/>
          <w:rtl/>
          <w:lang w:bidi="ar-EG"/>
        </w:rPr>
      </w:pPr>
    </w:p>
    <w:p w14:paraId="78DA9BDE" w14:textId="77777777" w:rsidR="00202E2A" w:rsidRDefault="00202E2A" w:rsidP="00202E2A">
      <w:pPr>
        <w:bidi/>
        <w:spacing w:line="276" w:lineRule="auto"/>
        <w:jc w:val="lowKashida"/>
        <w:rPr>
          <w:rFonts w:asciiTheme="majorBidi" w:hAnsiTheme="majorBidi" w:cstheme="majorBidi"/>
          <w:sz w:val="28"/>
          <w:szCs w:val="28"/>
          <w:rtl/>
          <w:lang w:bidi="ar-EG"/>
        </w:rPr>
      </w:pPr>
    </w:p>
    <w:p w14:paraId="47157948" w14:textId="77777777" w:rsidR="00202E2A" w:rsidRDefault="00202E2A" w:rsidP="00202E2A">
      <w:pPr>
        <w:bidi/>
        <w:spacing w:line="276" w:lineRule="auto"/>
        <w:jc w:val="lowKashida"/>
        <w:rPr>
          <w:rFonts w:asciiTheme="majorBidi" w:hAnsiTheme="majorBidi" w:cstheme="majorBidi"/>
          <w:sz w:val="28"/>
          <w:szCs w:val="28"/>
          <w:rtl/>
          <w:lang w:bidi="ar-EG"/>
        </w:rPr>
      </w:pPr>
    </w:p>
    <w:p w14:paraId="68B02356" w14:textId="77777777" w:rsidR="00202E2A" w:rsidRDefault="00202E2A" w:rsidP="00202E2A">
      <w:pPr>
        <w:bidi/>
        <w:spacing w:line="276" w:lineRule="auto"/>
        <w:jc w:val="lowKashida"/>
        <w:rPr>
          <w:rFonts w:asciiTheme="majorBidi" w:hAnsiTheme="majorBidi" w:cstheme="majorBidi"/>
          <w:sz w:val="28"/>
          <w:szCs w:val="28"/>
          <w:rtl/>
          <w:lang w:bidi="ar-EG"/>
        </w:rPr>
      </w:pPr>
    </w:p>
    <w:p w14:paraId="319248A6" w14:textId="77777777" w:rsidR="00202E2A" w:rsidRDefault="00202E2A" w:rsidP="00202E2A">
      <w:pPr>
        <w:bidi/>
        <w:jc w:val="center"/>
        <w:rPr>
          <w:rFonts w:asciiTheme="majorBidi" w:hAnsiTheme="majorBidi" w:cstheme="majorBidi"/>
          <w:b/>
          <w:bCs/>
          <w:sz w:val="144"/>
          <w:szCs w:val="144"/>
          <w:rtl/>
        </w:rPr>
      </w:pPr>
    </w:p>
    <w:p w14:paraId="0490CF6D" w14:textId="122F09A9" w:rsidR="00202E2A" w:rsidRDefault="00202E2A" w:rsidP="00202E2A">
      <w:pPr>
        <w:bidi/>
        <w:jc w:val="center"/>
        <w:rPr>
          <w:rFonts w:asciiTheme="majorBidi" w:hAnsiTheme="majorBidi" w:cstheme="majorBidi"/>
          <w:b/>
          <w:bCs/>
          <w:sz w:val="144"/>
          <w:szCs w:val="144"/>
          <w:rtl/>
        </w:rPr>
      </w:pPr>
      <w:r w:rsidRPr="00492E08">
        <w:rPr>
          <w:rFonts w:asciiTheme="majorBidi" w:hAnsiTheme="majorBidi" w:cstheme="majorBidi"/>
          <w:b/>
          <w:bCs/>
          <w:sz w:val="144"/>
          <w:szCs w:val="144"/>
          <w:rtl/>
        </w:rPr>
        <w:t>الفصل الثاني: الإطار النظري للدراسة</w:t>
      </w:r>
    </w:p>
    <w:p w14:paraId="6DC3059F" w14:textId="77777777" w:rsidR="00202E2A" w:rsidRPr="008B4907" w:rsidRDefault="00202E2A" w:rsidP="00202E2A">
      <w:pPr>
        <w:bidi/>
        <w:jc w:val="center"/>
        <w:rPr>
          <w:rFonts w:asciiTheme="majorBidi" w:hAnsiTheme="majorBidi" w:cstheme="majorBidi"/>
          <w:b/>
          <w:bCs/>
          <w:sz w:val="52"/>
          <w:szCs w:val="52"/>
          <w:rtl/>
        </w:rPr>
      </w:pPr>
    </w:p>
    <w:p w14:paraId="692F5DDE" w14:textId="77777777" w:rsidR="00202E2A" w:rsidRDefault="00202E2A" w:rsidP="00202E2A">
      <w:pPr>
        <w:bidi/>
        <w:spacing w:line="240" w:lineRule="auto"/>
        <w:jc w:val="lowKashida"/>
        <w:rPr>
          <w:rFonts w:asciiTheme="majorBidi" w:hAnsiTheme="majorBidi" w:cs="PT Bold Heading"/>
          <w:b/>
          <w:bCs/>
          <w:color w:val="000000" w:themeColor="text1"/>
          <w:sz w:val="26"/>
          <w:szCs w:val="26"/>
          <w:rtl/>
        </w:rPr>
      </w:pPr>
    </w:p>
    <w:p w14:paraId="6DBB900E" w14:textId="0F46BD8B" w:rsidR="00202E2A" w:rsidRPr="00A92155" w:rsidRDefault="00FF0F6B" w:rsidP="00202E2A">
      <w:pPr>
        <w:bidi/>
        <w:spacing w:line="240" w:lineRule="auto"/>
        <w:jc w:val="lowKashida"/>
        <w:rPr>
          <w:rFonts w:asciiTheme="majorBidi" w:hAnsiTheme="majorBidi" w:cs="PT Bold Heading"/>
          <w:b/>
          <w:bCs/>
          <w:color w:val="000000" w:themeColor="text1"/>
          <w:sz w:val="26"/>
          <w:szCs w:val="26"/>
          <w:rtl/>
        </w:rPr>
      </w:pPr>
      <w:r w:rsidRPr="00FF0F6B">
        <w:rPr>
          <w:rFonts w:asciiTheme="majorBidi" w:hAnsiTheme="majorBidi" w:cs="PT Bold Heading"/>
          <w:b/>
          <w:bCs/>
          <w:color w:val="000000" w:themeColor="text1"/>
          <w:sz w:val="26"/>
          <w:szCs w:val="26"/>
          <w:rtl/>
        </w:rPr>
        <w:lastRenderedPageBreak/>
        <w:t xml:space="preserve">الباب </w:t>
      </w:r>
      <w:r w:rsidR="00202E2A" w:rsidRPr="00A92155">
        <w:rPr>
          <w:rFonts w:asciiTheme="majorBidi" w:hAnsiTheme="majorBidi" w:cs="PT Bold Heading"/>
          <w:b/>
          <w:bCs/>
          <w:color w:val="000000" w:themeColor="text1"/>
          <w:sz w:val="26"/>
          <w:szCs w:val="26"/>
          <w:rtl/>
        </w:rPr>
        <w:t>الأول: الإطار المفاهيمي والمنهجي للتحول الرقمي</w:t>
      </w:r>
    </w:p>
    <w:p w14:paraId="4F926D7C" w14:textId="77777777" w:rsidR="00202E2A" w:rsidRPr="00A92155" w:rsidRDefault="00202E2A" w:rsidP="00202E2A">
      <w:pPr>
        <w:bidi/>
        <w:spacing w:line="240" w:lineRule="auto"/>
        <w:jc w:val="lowKashida"/>
        <w:rPr>
          <w:rFonts w:asciiTheme="majorBidi" w:hAnsiTheme="majorBidi" w:cs="PT Bold Heading"/>
          <w:b/>
          <w:bCs/>
          <w:color w:val="C00000"/>
          <w:sz w:val="26"/>
          <w:szCs w:val="26"/>
          <w:rtl/>
        </w:rPr>
      </w:pPr>
      <w:r w:rsidRPr="00A92155">
        <w:rPr>
          <w:rFonts w:asciiTheme="majorBidi" w:hAnsiTheme="majorBidi" w:cs="PT Bold Heading"/>
          <w:b/>
          <w:bCs/>
          <w:color w:val="000000" w:themeColor="text1"/>
          <w:sz w:val="26"/>
          <w:szCs w:val="26"/>
          <w:rtl/>
        </w:rPr>
        <w:t>مقدمة</w:t>
      </w:r>
      <w:r w:rsidRPr="00A92155">
        <w:rPr>
          <w:rFonts w:asciiTheme="majorBidi" w:hAnsiTheme="majorBidi" w:cs="PT Bold Heading"/>
          <w:b/>
          <w:bCs/>
          <w:color w:val="C00000"/>
          <w:sz w:val="26"/>
          <w:szCs w:val="26"/>
          <w:rtl/>
        </w:rPr>
        <w:t xml:space="preserve"> </w:t>
      </w:r>
    </w:p>
    <w:p w14:paraId="3F7F0663"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إن مسألة التحول الرقمي (</w:t>
      </w:r>
      <w:r w:rsidRPr="00A92155">
        <w:rPr>
          <w:rFonts w:asciiTheme="majorBidi" w:hAnsiTheme="majorBidi" w:cstheme="majorBidi"/>
          <w:sz w:val="26"/>
          <w:szCs w:val="26"/>
        </w:rPr>
        <w:t>Digital Transformation - DT</w:t>
      </w:r>
      <w:r w:rsidRPr="00A92155">
        <w:rPr>
          <w:rFonts w:asciiTheme="majorBidi" w:hAnsiTheme="majorBidi" w:cstheme="majorBidi"/>
          <w:sz w:val="26"/>
          <w:szCs w:val="26"/>
          <w:rtl/>
        </w:rPr>
        <w:t>) لم تعد مجرد اتجاه تكنولوجي عابر، بل أضحت استراتيجية وجودية (</w:t>
      </w:r>
      <w:r w:rsidRPr="00A92155">
        <w:rPr>
          <w:rFonts w:asciiTheme="majorBidi" w:hAnsiTheme="majorBidi" w:cstheme="majorBidi"/>
          <w:sz w:val="26"/>
          <w:szCs w:val="26"/>
        </w:rPr>
        <w:t>Existential Strategy</w:t>
      </w:r>
      <w:r w:rsidRPr="00A92155">
        <w:rPr>
          <w:rFonts w:asciiTheme="majorBidi" w:hAnsiTheme="majorBidi" w:cstheme="majorBidi"/>
          <w:sz w:val="26"/>
          <w:szCs w:val="26"/>
          <w:rtl/>
        </w:rPr>
        <w:t>) تُحدد مستقبل الدول والمؤسسات في ظل متطلبات الثورة الصناعية الرابعة والاقتصاد المعرفي (</w:t>
      </w:r>
      <w:r w:rsidRPr="00A92155">
        <w:rPr>
          <w:rFonts w:asciiTheme="majorBidi" w:hAnsiTheme="majorBidi" w:cstheme="majorBidi"/>
          <w:sz w:val="26"/>
          <w:szCs w:val="26"/>
        </w:rPr>
        <w:t>Hermann et al., 2024</w:t>
      </w:r>
      <w:r w:rsidRPr="00A92155">
        <w:rPr>
          <w:rFonts w:asciiTheme="majorBidi" w:hAnsiTheme="majorBidi" w:cstheme="majorBidi"/>
          <w:sz w:val="26"/>
          <w:szCs w:val="26"/>
          <w:rtl/>
        </w:rPr>
        <w:t>). وفي سياق الدراسة الراهنة، التي تتخذ من هيئة الزكاة والضريبة والجمارك (</w:t>
      </w:r>
      <w:r w:rsidRPr="00A92155">
        <w:rPr>
          <w:rFonts w:asciiTheme="majorBidi" w:hAnsiTheme="majorBidi" w:cstheme="majorBidi"/>
          <w:sz w:val="26"/>
          <w:szCs w:val="26"/>
        </w:rPr>
        <w:t>ZATCA</w:t>
      </w:r>
      <w:r w:rsidRPr="00A92155">
        <w:rPr>
          <w:rFonts w:asciiTheme="majorBidi" w:hAnsiTheme="majorBidi" w:cstheme="majorBidi"/>
          <w:sz w:val="26"/>
          <w:szCs w:val="26"/>
          <w:rtl/>
        </w:rPr>
        <w:t>) نموذجاً للتحليل، يتطلب الأمر تأصيلاً أكاديمياً دقيقاً لدور هذا التحول في الموازنة بين متطلبات تعزيز الأمن وضرورات تيسير التجارة.</w:t>
      </w:r>
    </w:p>
    <w:p w14:paraId="0724E3BA" w14:textId="6ED76A0E"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يُقدم هذا </w:t>
      </w:r>
      <w:r w:rsidR="0030012B">
        <w:rPr>
          <w:rFonts w:asciiTheme="majorBidi" w:hAnsiTheme="majorBidi" w:cstheme="majorBidi" w:hint="cs"/>
          <w:sz w:val="26"/>
          <w:szCs w:val="26"/>
          <w:rtl/>
        </w:rPr>
        <w:t>الباب</w:t>
      </w:r>
      <w:r w:rsidRPr="00A92155">
        <w:rPr>
          <w:rFonts w:asciiTheme="majorBidi" w:hAnsiTheme="majorBidi" w:cstheme="majorBidi"/>
          <w:sz w:val="26"/>
          <w:szCs w:val="26"/>
          <w:rtl/>
        </w:rPr>
        <w:t>، الأساس النظري الذي ستُبنى عليه الفرضيات والتحليل التطبيقي. سنقوم بتحليل التطورات المفاهيمية للتحول الرقمي، وتفكيك الفروق الدقيقة بين مصطلحاته المتداخلة، وإرساء الأسس النظرية الداعمة له، وتقييم الجاهزية الرقمية للمملكة وفقاً لأحدث المؤشرات العالمية. يهدف هذا التحليل إلى تثبيت المتغير المستقل للدراسة "التحول الرقمي" بدقة، مما يضمن سلامة القياس وتعميق الفهم لمنهجية التحول في القطاع العام.</w:t>
      </w:r>
    </w:p>
    <w:p w14:paraId="2D410F4B"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2.1.1 تطور مفهوم التحول الرقمي من الحكومة الإلكترونية إلى الاقتصاد الذكي</w:t>
      </w:r>
    </w:p>
    <w:p w14:paraId="33F476FB"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لقد شهد مفهوم التحول الرقمي نقلة نوعية عبر ثلاث مراحل رئيسية، انتقل فيها التركيز من مجرد استخدام التكنولوجيا إلى دمجها في صميم نموذج عمل الدولة لخلق قيمة اقتصادية واجتماعية جديدة:</w:t>
      </w:r>
    </w:p>
    <w:p w14:paraId="448540A4"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أ. المرحلة الأولى: الحكومة الإلكترونية (</w:t>
      </w:r>
      <w:r w:rsidRPr="00A92155">
        <w:rPr>
          <w:rFonts w:asciiTheme="majorBidi" w:hAnsiTheme="majorBidi" w:cstheme="majorBidi"/>
          <w:b/>
          <w:bCs/>
          <w:sz w:val="26"/>
          <w:szCs w:val="26"/>
        </w:rPr>
        <w:t>E-Government</w:t>
      </w:r>
      <w:r w:rsidRPr="00A92155">
        <w:rPr>
          <w:rFonts w:asciiTheme="majorBidi" w:hAnsiTheme="majorBidi" w:cstheme="majorBidi"/>
          <w:b/>
          <w:bCs/>
          <w:sz w:val="26"/>
          <w:szCs w:val="26"/>
          <w:rtl/>
        </w:rPr>
        <w:t>)</w:t>
      </w:r>
    </w:p>
    <w:p w14:paraId="470DBC0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بدأت هذه المرحلة في أواخر التسعينات وبداية الألفية، وكان الدافع الأساسي هو استخدام تكنولوجيا المعلومات والاتصالات (</w:t>
      </w:r>
      <w:r w:rsidRPr="00A92155">
        <w:rPr>
          <w:rFonts w:asciiTheme="majorBidi" w:hAnsiTheme="majorBidi" w:cstheme="majorBidi"/>
          <w:sz w:val="26"/>
          <w:szCs w:val="26"/>
        </w:rPr>
        <w:t>ICT</w:t>
      </w:r>
      <w:r w:rsidRPr="00A92155">
        <w:rPr>
          <w:rFonts w:asciiTheme="majorBidi" w:hAnsiTheme="majorBidi" w:cstheme="majorBidi"/>
          <w:sz w:val="26"/>
          <w:szCs w:val="26"/>
          <w:rtl/>
        </w:rPr>
        <w:t>) لتحقيق الكفاءة التشغيلية (</w:t>
      </w:r>
      <w:r w:rsidRPr="00A92155">
        <w:rPr>
          <w:rFonts w:asciiTheme="majorBidi" w:hAnsiTheme="majorBidi" w:cstheme="majorBidi"/>
          <w:sz w:val="26"/>
          <w:szCs w:val="26"/>
        </w:rPr>
        <w:t>Operational Efficiency</w:t>
      </w:r>
      <w:r w:rsidRPr="00A92155">
        <w:rPr>
          <w:rFonts w:asciiTheme="majorBidi" w:hAnsiTheme="majorBidi" w:cstheme="majorBidi"/>
          <w:sz w:val="26"/>
          <w:szCs w:val="26"/>
          <w:rtl/>
        </w:rPr>
        <w:t>). كان الهدف هو محاربة البيروقراطية من خلال أتمتة الإجراءات والخدمات الحكومية التقليدية وتحويلها إلى نماذج إلكترونية بسيطة (</w:t>
      </w:r>
      <w:r w:rsidRPr="00A92155">
        <w:rPr>
          <w:rFonts w:asciiTheme="majorBidi" w:hAnsiTheme="majorBidi" w:cstheme="majorBidi"/>
          <w:sz w:val="26"/>
          <w:szCs w:val="26"/>
        </w:rPr>
        <w:t>Matt et al., 2015</w:t>
      </w:r>
      <w:r w:rsidRPr="00A92155">
        <w:rPr>
          <w:rFonts w:asciiTheme="majorBidi" w:hAnsiTheme="majorBidi" w:cstheme="majorBidi"/>
          <w:sz w:val="26"/>
          <w:szCs w:val="26"/>
          <w:rtl/>
        </w:rPr>
        <w:t>).</w:t>
      </w:r>
    </w:p>
    <w:p w14:paraId="74F33A52"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السمات الأساسية:</w:t>
      </w:r>
    </w:p>
    <w:p w14:paraId="32115D91" w14:textId="77777777" w:rsidR="00202E2A" w:rsidRPr="00A92155" w:rsidRDefault="00202E2A">
      <w:pPr>
        <w:numPr>
          <w:ilvl w:val="0"/>
          <w:numId w:val="29"/>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التركيز الداخلي:</w:t>
      </w:r>
      <w:r w:rsidRPr="00A92155">
        <w:rPr>
          <w:rFonts w:asciiTheme="majorBidi" w:hAnsiTheme="majorBidi" w:cstheme="majorBidi"/>
          <w:sz w:val="26"/>
          <w:szCs w:val="26"/>
          <w:rtl/>
        </w:rPr>
        <w:t xml:space="preserve"> التركيز على الكفاءة الإجرائية الداخلية وخفض التكاليف الإدارية.</w:t>
      </w:r>
    </w:p>
    <w:p w14:paraId="5F3F4E3A" w14:textId="77777777" w:rsidR="00202E2A" w:rsidRPr="00A92155" w:rsidRDefault="00202E2A">
      <w:pPr>
        <w:numPr>
          <w:ilvl w:val="0"/>
          <w:numId w:val="29"/>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الطبيعة التكتيكية:</w:t>
      </w:r>
      <w:r w:rsidRPr="00A92155">
        <w:rPr>
          <w:rFonts w:asciiTheme="majorBidi" w:hAnsiTheme="majorBidi" w:cstheme="majorBidi"/>
          <w:sz w:val="26"/>
          <w:szCs w:val="26"/>
          <w:rtl/>
        </w:rPr>
        <w:t xml:space="preserve"> استخدام التكنولوجيا كأداة لأتمتة العمليات القائمة دون تغيير جذري في الهيكل التنظيمي أو نموذج تقديم الخدمة.</w:t>
      </w:r>
    </w:p>
    <w:p w14:paraId="1AA8FD03" w14:textId="77777777" w:rsidR="00202E2A" w:rsidRPr="00A92155" w:rsidRDefault="00202E2A">
      <w:pPr>
        <w:numPr>
          <w:ilvl w:val="0"/>
          <w:numId w:val="29"/>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الأثر على التجارة والأمن:</w:t>
      </w:r>
      <w:r w:rsidRPr="00A92155">
        <w:rPr>
          <w:rFonts w:asciiTheme="majorBidi" w:hAnsiTheme="majorBidi" w:cstheme="majorBidi"/>
          <w:sz w:val="26"/>
          <w:szCs w:val="26"/>
          <w:rtl/>
        </w:rPr>
        <w:t xml:space="preserve"> تمثل الأثر في تخليص المعاملات الأساسية عبر الإنترنت، مما ساهم في </w:t>
      </w:r>
      <w:r w:rsidRPr="00A92155">
        <w:rPr>
          <w:rFonts w:asciiTheme="majorBidi" w:hAnsiTheme="majorBidi" w:cstheme="majorBidi"/>
          <w:b/>
          <w:bCs/>
          <w:sz w:val="26"/>
          <w:szCs w:val="26"/>
          <w:rtl/>
        </w:rPr>
        <w:t>الحد من الفساد</w:t>
      </w:r>
      <w:r w:rsidRPr="00A92155">
        <w:rPr>
          <w:rFonts w:asciiTheme="majorBidi" w:hAnsiTheme="majorBidi" w:cstheme="majorBidi"/>
          <w:sz w:val="26"/>
          <w:szCs w:val="26"/>
          <w:rtl/>
        </w:rPr>
        <w:t xml:space="preserve"> وتقليل مدة الإجراءات الحكومية، لكنها ظلت أنظمة منعزلة (</w:t>
      </w:r>
      <w:r w:rsidRPr="00A92155">
        <w:rPr>
          <w:rFonts w:asciiTheme="majorBidi" w:hAnsiTheme="majorBidi" w:cstheme="majorBidi"/>
          <w:sz w:val="26"/>
          <w:szCs w:val="26"/>
        </w:rPr>
        <w:t>Silos</w:t>
      </w:r>
      <w:r w:rsidRPr="00A92155">
        <w:rPr>
          <w:rFonts w:asciiTheme="majorBidi" w:hAnsiTheme="majorBidi" w:cstheme="majorBidi"/>
          <w:sz w:val="26"/>
          <w:szCs w:val="26"/>
          <w:rtl/>
        </w:rPr>
        <w:t xml:space="preserve">) تفتقر إلى التكامل، مع تركيز أمني منصب على الدفاع عن الحدود الخارجية للشبكات </w:t>
      </w:r>
      <w:r w:rsidRPr="00A92155">
        <w:rPr>
          <w:rFonts w:asciiTheme="majorBidi" w:hAnsiTheme="majorBidi" w:cstheme="majorBidi"/>
          <w:sz w:val="26"/>
          <w:szCs w:val="26"/>
        </w:rPr>
        <w:t>Perimeter Security (Smith, A., 2020)</w:t>
      </w:r>
      <w:r w:rsidRPr="00A92155">
        <w:rPr>
          <w:rFonts w:asciiTheme="majorBidi" w:hAnsiTheme="majorBidi" w:cstheme="majorBidi"/>
          <w:sz w:val="26"/>
          <w:szCs w:val="26"/>
          <w:rtl/>
        </w:rPr>
        <w:t>.</w:t>
      </w:r>
    </w:p>
    <w:p w14:paraId="5FFF0BD1"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ب. المرحلة الثانية: الحكومة الرقمية (</w:t>
      </w:r>
      <w:r w:rsidRPr="00A92155">
        <w:rPr>
          <w:rFonts w:asciiTheme="majorBidi" w:hAnsiTheme="majorBidi" w:cstheme="majorBidi"/>
          <w:b/>
          <w:bCs/>
          <w:sz w:val="26"/>
          <w:szCs w:val="26"/>
        </w:rPr>
        <w:t>Digital Government</w:t>
      </w:r>
      <w:r w:rsidRPr="00A92155">
        <w:rPr>
          <w:rFonts w:asciiTheme="majorBidi" w:hAnsiTheme="majorBidi" w:cstheme="majorBidi"/>
          <w:b/>
          <w:bCs/>
          <w:sz w:val="26"/>
          <w:szCs w:val="26"/>
          <w:rtl/>
        </w:rPr>
        <w:t>)</w:t>
      </w:r>
    </w:p>
    <w:p w14:paraId="567545D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شهدت هذه المرحلة (منذ منتصف العقد الماضي) تحولاً عميقاً في الفلسفة. فبدلاً من التركيز على ما تفعله الحكومة (الكفاءة)، أصبح التركيز على كيف يختبر المواطن أو المستفيد الخدمة (تجربة المستفيد - </w:t>
      </w:r>
      <w:r w:rsidRPr="00A92155">
        <w:rPr>
          <w:rFonts w:asciiTheme="majorBidi" w:hAnsiTheme="majorBidi" w:cstheme="majorBidi"/>
          <w:sz w:val="26"/>
          <w:szCs w:val="26"/>
        </w:rPr>
        <w:t>User Experience</w:t>
      </w:r>
      <w:r w:rsidRPr="00A92155">
        <w:rPr>
          <w:rFonts w:asciiTheme="majorBidi" w:hAnsiTheme="majorBidi" w:cstheme="majorBidi"/>
          <w:sz w:val="26"/>
          <w:szCs w:val="26"/>
          <w:rtl/>
        </w:rPr>
        <w:t>).</w:t>
      </w:r>
    </w:p>
    <w:p w14:paraId="6C04243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التحول المفاهيمي:</w:t>
      </w:r>
    </w:p>
    <w:p w14:paraId="75ED274A" w14:textId="77777777" w:rsidR="00202E2A" w:rsidRPr="00A92155" w:rsidRDefault="00202E2A">
      <w:pPr>
        <w:numPr>
          <w:ilvl w:val="0"/>
          <w:numId w:val="30"/>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التركيز على القيمة:</w:t>
      </w:r>
      <w:r w:rsidRPr="00A92155">
        <w:rPr>
          <w:rFonts w:asciiTheme="majorBidi" w:hAnsiTheme="majorBidi" w:cstheme="majorBidi"/>
          <w:sz w:val="26"/>
          <w:szCs w:val="26"/>
          <w:rtl/>
        </w:rPr>
        <w:t xml:space="preserve"> إعادة تصميم الخدمات لتركز على المستفيد، باستخدام مبدأ "الخدمة المتكاملة" (</w:t>
      </w:r>
      <w:r w:rsidRPr="00A92155">
        <w:rPr>
          <w:rFonts w:asciiTheme="majorBidi" w:hAnsiTheme="majorBidi" w:cstheme="majorBidi"/>
          <w:sz w:val="26"/>
          <w:szCs w:val="26"/>
        </w:rPr>
        <w:t>Seamless Service</w:t>
      </w:r>
      <w:r w:rsidRPr="00A92155">
        <w:rPr>
          <w:rFonts w:asciiTheme="majorBidi" w:hAnsiTheme="majorBidi" w:cstheme="majorBidi"/>
          <w:sz w:val="26"/>
          <w:szCs w:val="26"/>
          <w:rtl/>
        </w:rPr>
        <w:t>) و"عدم طلب المعلومة مرتين".</w:t>
      </w:r>
    </w:p>
    <w:p w14:paraId="26094AC7" w14:textId="77777777" w:rsidR="00202E2A" w:rsidRPr="00A92155" w:rsidRDefault="00202E2A">
      <w:pPr>
        <w:numPr>
          <w:ilvl w:val="0"/>
          <w:numId w:val="30"/>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lastRenderedPageBreak/>
        <w:t>التغيير الثقافي:</w:t>
      </w:r>
      <w:r w:rsidRPr="00A92155">
        <w:rPr>
          <w:rFonts w:asciiTheme="majorBidi" w:hAnsiTheme="majorBidi" w:cstheme="majorBidi"/>
          <w:sz w:val="26"/>
          <w:szCs w:val="26"/>
          <w:rtl/>
        </w:rPr>
        <w:t xml:space="preserve"> أصبح التحول الرقمي يُعرف على أنه عملية دمج التكنولوجيا الرقمية في عالم الأعمال، وتغيير ثقافي يتطلب من المؤسسات تحدي الوضع الراهن وإعادة تعريف كيفية تقديم القيمة (بسام، 2022).</w:t>
      </w:r>
    </w:p>
    <w:p w14:paraId="4D8688BD" w14:textId="77777777" w:rsidR="00202E2A" w:rsidRPr="00A92155" w:rsidRDefault="00202E2A">
      <w:pPr>
        <w:numPr>
          <w:ilvl w:val="0"/>
          <w:numId w:val="30"/>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التقنيات الدافعة:</w:t>
      </w:r>
      <w:r w:rsidRPr="00A92155">
        <w:rPr>
          <w:rFonts w:asciiTheme="majorBidi" w:hAnsiTheme="majorBidi" w:cstheme="majorBidi"/>
          <w:sz w:val="26"/>
          <w:szCs w:val="26"/>
          <w:rtl/>
        </w:rPr>
        <w:t xml:space="preserve"> شملت الانتقال إلى الحوسبة السحابية (</w:t>
      </w:r>
      <w:r w:rsidRPr="00A92155">
        <w:rPr>
          <w:rFonts w:asciiTheme="majorBidi" w:hAnsiTheme="majorBidi" w:cstheme="majorBidi"/>
          <w:sz w:val="26"/>
          <w:szCs w:val="26"/>
        </w:rPr>
        <w:t>Cloud Computing</w:t>
      </w:r>
      <w:r w:rsidRPr="00A92155">
        <w:rPr>
          <w:rFonts w:asciiTheme="majorBidi" w:hAnsiTheme="majorBidi" w:cstheme="majorBidi"/>
          <w:sz w:val="26"/>
          <w:szCs w:val="26"/>
          <w:rtl/>
        </w:rPr>
        <w:t>) واستخدام البيانات الضخمة (</w:t>
      </w:r>
      <w:r w:rsidRPr="00A92155">
        <w:rPr>
          <w:rFonts w:asciiTheme="majorBidi" w:hAnsiTheme="majorBidi" w:cstheme="majorBidi"/>
          <w:sz w:val="26"/>
          <w:szCs w:val="26"/>
        </w:rPr>
        <w:t>Big Data</w:t>
      </w:r>
      <w:r w:rsidRPr="00A92155">
        <w:rPr>
          <w:rFonts w:asciiTheme="majorBidi" w:hAnsiTheme="majorBidi" w:cstheme="majorBidi"/>
          <w:sz w:val="26"/>
          <w:szCs w:val="26"/>
          <w:rtl/>
        </w:rPr>
        <w:t>) لتقديم خدمات استباقية وتفاعلية.</w:t>
      </w:r>
    </w:p>
    <w:p w14:paraId="3D388956"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ج. المرحلة الثالثة: الاقتصاد الذكي (</w:t>
      </w:r>
      <w:r w:rsidRPr="00A92155">
        <w:rPr>
          <w:rFonts w:asciiTheme="majorBidi" w:hAnsiTheme="majorBidi" w:cstheme="majorBidi"/>
          <w:b/>
          <w:bCs/>
          <w:sz w:val="26"/>
          <w:szCs w:val="26"/>
        </w:rPr>
        <w:t>Smart Economy</w:t>
      </w:r>
      <w:r w:rsidRPr="00A92155">
        <w:rPr>
          <w:rFonts w:asciiTheme="majorBidi" w:hAnsiTheme="majorBidi" w:cstheme="majorBidi"/>
          <w:b/>
          <w:bCs/>
          <w:sz w:val="26"/>
          <w:szCs w:val="26"/>
          <w:rtl/>
        </w:rPr>
        <w:t>) والدولة المحوَّلة رقمياً</w:t>
      </w:r>
    </w:p>
    <w:p w14:paraId="3CF97771"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تمثل هذه المرحلة الطموح الأقصى، حيث يتجاوز التحول الرقمي القطاع الحكومي ليصبح المحرك الرئيسي للنمو الاقتصادي الشامل. يعتمد الاقتصاد الذكي على تحويل البيانات إلى أصول استراتيجية واستخدام الذكاء الاصطناعي (</w:t>
      </w:r>
      <w:r w:rsidRPr="00A92155">
        <w:rPr>
          <w:rFonts w:asciiTheme="majorBidi" w:hAnsiTheme="majorBidi" w:cstheme="majorBidi"/>
          <w:sz w:val="26"/>
          <w:szCs w:val="26"/>
        </w:rPr>
        <w:t>AI</w:t>
      </w:r>
      <w:r w:rsidRPr="00A92155">
        <w:rPr>
          <w:rFonts w:asciiTheme="majorBidi" w:hAnsiTheme="majorBidi" w:cstheme="majorBidi"/>
          <w:sz w:val="26"/>
          <w:szCs w:val="26"/>
          <w:rtl/>
        </w:rPr>
        <w:t>) لتمكين اتخاذ القرار بشكل تنبؤي وتحقيق الاستدامة.</w:t>
      </w:r>
    </w:p>
    <w:p w14:paraId="496803AA"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السمات المتقدمة:</w:t>
      </w:r>
    </w:p>
    <w:p w14:paraId="366173E4" w14:textId="77777777" w:rsidR="00202E2A" w:rsidRPr="00A92155" w:rsidRDefault="00202E2A">
      <w:pPr>
        <w:numPr>
          <w:ilvl w:val="0"/>
          <w:numId w:val="31"/>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الشمول والتكامل:</w:t>
      </w:r>
      <w:r w:rsidRPr="00A92155">
        <w:rPr>
          <w:rFonts w:asciiTheme="majorBidi" w:hAnsiTheme="majorBidi" w:cstheme="majorBidi"/>
          <w:sz w:val="26"/>
          <w:szCs w:val="26"/>
          <w:rtl/>
        </w:rPr>
        <w:t xml:space="preserve"> دمج الرقمنة في كافة القطاعات الحيوية (المدن الذكية، التجارة الذكية، اللوجستيات الذكية).</w:t>
      </w:r>
    </w:p>
    <w:p w14:paraId="53A7B137" w14:textId="77777777" w:rsidR="00202E2A" w:rsidRPr="00A92155" w:rsidRDefault="00202E2A">
      <w:pPr>
        <w:numPr>
          <w:ilvl w:val="0"/>
          <w:numId w:val="31"/>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الذكاء الاصطناعي التوليدي والتحليلي:</w:t>
      </w:r>
      <w:r w:rsidRPr="00A92155">
        <w:rPr>
          <w:rFonts w:asciiTheme="majorBidi" w:hAnsiTheme="majorBidi" w:cstheme="majorBidi"/>
          <w:sz w:val="26"/>
          <w:szCs w:val="26"/>
          <w:rtl/>
        </w:rPr>
        <w:t xml:space="preserve"> استخدام الـ </w:t>
      </w:r>
      <w:r w:rsidRPr="00A92155">
        <w:rPr>
          <w:rFonts w:asciiTheme="majorBidi" w:hAnsiTheme="majorBidi" w:cstheme="majorBidi"/>
          <w:sz w:val="26"/>
          <w:szCs w:val="26"/>
        </w:rPr>
        <w:t>AI</w:t>
      </w:r>
      <w:r w:rsidRPr="00A92155">
        <w:rPr>
          <w:rFonts w:asciiTheme="majorBidi" w:hAnsiTheme="majorBidi" w:cstheme="majorBidi"/>
          <w:sz w:val="26"/>
          <w:szCs w:val="26"/>
          <w:rtl/>
        </w:rPr>
        <w:t xml:space="preserve"> في صياغة السياسات، واكتشاف الأنشطة التجارية غير المشروعة، وتحسين التنبؤ بالمخاطر الأمنية والاقتصادية.</w:t>
      </w:r>
    </w:p>
    <w:p w14:paraId="63467E71" w14:textId="77777777" w:rsidR="00202E2A" w:rsidRPr="00A92155" w:rsidRDefault="00202E2A">
      <w:pPr>
        <w:numPr>
          <w:ilvl w:val="0"/>
          <w:numId w:val="31"/>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الأثر الكلي:</w:t>
      </w:r>
      <w:r w:rsidRPr="00A92155">
        <w:rPr>
          <w:rFonts w:asciiTheme="majorBidi" w:hAnsiTheme="majorBidi" w:cstheme="majorBidi"/>
          <w:sz w:val="26"/>
          <w:szCs w:val="26"/>
          <w:rtl/>
        </w:rPr>
        <w:t xml:space="preserve"> يؤدي التحول في هذه المرحلة إلى تعزيز التنمية الاقتصادية والرفاهية، مما يستدعي من الحكومات مراجعة وتحديث سياسات انفتاح السوق لضمان عمل التحول الرقمي لصالح النمو.</w:t>
      </w:r>
    </w:p>
    <w:p w14:paraId="226DB1B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التحول الرقمي هو مشروع مستمر ومعقد، يمثل شكلاً من أشكال التغيير الجذري الذي لا يؤثر فقط على أنماط العمل، بل على الهوية الثقافية للمنظمة وقدرتها على تحقيق ديمومة واستدامة (</w:t>
      </w:r>
      <w:r w:rsidRPr="00A92155">
        <w:rPr>
          <w:rFonts w:asciiTheme="majorBidi" w:hAnsiTheme="majorBidi" w:cstheme="majorBidi"/>
          <w:sz w:val="26"/>
          <w:szCs w:val="26"/>
        </w:rPr>
        <w:t>Hermann et al., 2024</w:t>
      </w:r>
      <w:r w:rsidRPr="00A92155">
        <w:rPr>
          <w:rFonts w:asciiTheme="majorBidi" w:hAnsiTheme="majorBidi" w:cstheme="majorBidi"/>
          <w:sz w:val="26"/>
          <w:szCs w:val="26"/>
          <w:rtl/>
        </w:rPr>
        <w:t>).</w:t>
      </w:r>
    </w:p>
    <w:p w14:paraId="6548365D"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2.1.2 الفروق المفاهيمية بين التحول الرقمي، التحول التقني، والابتكار المؤسسي</w:t>
      </w:r>
    </w:p>
    <w:p w14:paraId="1E5A690D"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إن التمييز الدقيق بين المصطلحات الثلاثة أمر بالغ الأهمية لضمان الوضوح المنهجي للدراسة، حيث يُستخدم كل منها لوصف مستوى مختلف من التغيير داخل المؤسسة:</w:t>
      </w:r>
    </w:p>
    <w:tbl>
      <w:tblPr>
        <w:tblStyle w:val="GridTable5Dark"/>
        <w:bidiVisual/>
        <w:tblW w:w="0" w:type="auto"/>
        <w:tblLook w:val="04A0" w:firstRow="1" w:lastRow="0" w:firstColumn="1" w:lastColumn="0" w:noHBand="0" w:noVBand="1"/>
      </w:tblPr>
      <w:tblGrid>
        <w:gridCol w:w="2291"/>
        <w:gridCol w:w="2082"/>
        <w:gridCol w:w="2342"/>
        <w:gridCol w:w="2635"/>
      </w:tblGrid>
      <w:tr w:rsidR="00202E2A" w:rsidRPr="00A92155" w14:paraId="497E5B5A" w14:textId="77777777" w:rsidTr="00A6249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7CD458" w14:textId="77777777" w:rsidR="00202E2A" w:rsidRPr="00A92155" w:rsidRDefault="00202E2A" w:rsidP="00A62496">
            <w:pPr>
              <w:bidi/>
              <w:spacing w:after="160"/>
              <w:jc w:val="center"/>
              <w:rPr>
                <w:rFonts w:asciiTheme="majorBidi" w:hAnsiTheme="majorBidi" w:cstheme="majorBidi"/>
                <w:sz w:val="26"/>
                <w:szCs w:val="26"/>
                <w:rtl/>
              </w:rPr>
            </w:pPr>
            <w:r w:rsidRPr="00A92155">
              <w:rPr>
                <w:rFonts w:asciiTheme="majorBidi" w:hAnsiTheme="majorBidi" w:cstheme="majorBidi"/>
                <w:sz w:val="26"/>
                <w:szCs w:val="26"/>
                <w:rtl/>
              </w:rPr>
              <w:t>المفهوم</w:t>
            </w:r>
          </w:p>
        </w:tc>
        <w:tc>
          <w:tcPr>
            <w:tcW w:w="0" w:type="auto"/>
            <w:hideMark/>
          </w:tcPr>
          <w:p w14:paraId="08EAE56D" w14:textId="77777777" w:rsidR="00202E2A" w:rsidRPr="00A92155" w:rsidRDefault="00202E2A" w:rsidP="00A62496">
            <w:pPr>
              <w:bidi/>
              <w:spacing w:after="16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التعريف الجوهري</w:t>
            </w:r>
          </w:p>
        </w:tc>
        <w:tc>
          <w:tcPr>
            <w:tcW w:w="0" w:type="auto"/>
            <w:hideMark/>
          </w:tcPr>
          <w:p w14:paraId="36703594" w14:textId="77777777" w:rsidR="00202E2A" w:rsidRPr="00A92155" w:rsidRDefault="00202E2A" w:rsidP="00A62496">
            <w:pPr>
              <w:bidi/>
              <w:spacing w:after="16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المستوى الأكاديمي للتغيير</w:t>
            </w:r>
          </w:p>
        </w:tc>
        <w:tc>
          <w:tcPr>
            <w:tcW w:w="0" w:type="auto"/>
            <w:hideMark/>
          </w:tcPr>
          <w:p w14:paraId="09C44456" w14:textId="77777777" w:rsidR="00202E2A" w:rsidRPr="00A92155" w:rsidRDefault="00202E2A" w:rsidP="00A62496">
            <w:pPr>
              <w:bidi/>
              <w:spacing w:after="16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مثال تطبيقي في الجمارك</w:t>
            </w:r>
          </w:p>
        </w:tc>
      </w:tr>
      <w:tr w:rsidR="00202E2A" w:rsidRPr="00A92155" w14:paraId="6FE44694" w14:textId="77777777" w:rsidTr="00A624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8369CF" w14:textId="77777777" w:rsidR="00202E2A" w:rsidRPr="00A92155" w:rsidRDefault="00202E2A" w:rsidP="00A62496">
            <w:pPr>
              <w:bidi/>
              <w:spacing w:after="160"/>
              <w:jc w:val="center"/>
              <w:rPr>
                <w:rFonts w:asciiTheme="majorBidi" w:hAnsiTheme="majorBidi" w:cstheme="majorBidi"/>
                <w:sz w:val="26"/>
                <w:szCs w:val="26"/>
                <w:rtl/>
              </w:rPr>
            </w:pPr>
            <w:r w:rsidRPr="00A92155">
              <w:rPr>
                <w:rFonts w:asciiTheme="majorBidi" w:hAnsiTheme="majorBidi" w:cstheme="majorBidi"/>
                <w:sz w:val="26"/>
                <w:szCs w:val="26"/>
                <w:rtl/>
              </w:rPr>
              <w:t>الرقمنة (</w:t>
            </w:r>
            <w:r w:rsidRPr="00A92155">
              <w:rPr>
                <w:rFonts w:asciiTheme="majorBidi" w:hAnsiTheme="majorBidi" w:cstheme="majorBidi"/>
                <w:sz w:val="26"/>
                <w:szCs w:val="26"/>
              </w:rPr>
              <w:t>Digitization</w:t>
            </w:r>
            <w:r w:rsidRPr="00A92155">
              <w:rPr>
                <w:rFonts w:asciiTheme="majorBidi" w:hAnsiTheme="majorBidi" w:cstheme="majorBidi"/>
                <w:sz w:val="26"/>
                <w:szCs w:val="26"/>
                <w:rtl/>
              </w:rPr>
              <w:t>)</w:t>
            </w:r>
          </w:p>
        </w:tc>
        <w:tc>
          <w:tcPr>
            <w:tcW w:w="0" w:type="auto"/>
            <w:hideMark/>
          </w:tcPr>
          <w:p w14:paraId="3F7EE312" w14:textId="77777777" w:rsidR="00202E2A" w:rsidRPr="00A92155" w:rsidRDefault="00202E2A" w:rsidP="00A62496">
            <w:pPr>
              <w:bidi/>
              <w:spacing w:after="1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تحويل البيانات التناظرية/المادية إلى صيغة رقمية (</w:t>
            </w:r>
            <w:r w:rsidRPr="00A92155">
              <w:rPr>
                <w:rFonts w:asciiTheme="majorBidi" w:hAnsiTheme="majorBidi" w:cstheme="majorBidi"/>
                <w:sz w:val="26"/>
                <w:szCs w:val="26"/>
              </w:rPr>
              <w:t>Zeros and Ones</w:t>
            </w:r>
            <w:r w:rsidRPr="00A92155">
              <w:rPr>
                <w:rFonts w:asciiTheme="majorBidi" w:hAnsiTheme="majorBidi" w:cstheme="majorBidi"/>
                <w:sz w:val="26"/>
                <w:szCs w:val="26"/>
                <w:rtl/>
              </w:rPr>
              <w:t>).</w:t>
            </w:r>
          </w:p>
        </w:tc>
        <w:tc>
          <w:tcPr>
            <w:tcW w:w="0" w:type="auto"/>
            <w:hideMark/>
          </w:tcPr>
          <w:p w14:paraId="01D9FE36" w14:textId="77777777" w:rsidR="00202E2A" w:rsidRPr="00A92155" w:rsidRDefault="00202E2A" w:rsidP="00A62496">
            <w:pPr>
              <w:bidi/>
              <w:spacing w:after="1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تكتيكي (</w:t>
            </w:r>
            <w:r w:rsidRPr="00A92155">
              <w:rPr>
                <w:rFonts w:asciiTheme="majorBidi" w:hAnsiTheme="majorBidi" w:cstheme="majorBidi"/>
                <w:sz w:val="26"/>
                <w:szCs w:val="26"/>
              </w:rPr>
              <w:t>Tactical</w:t>
            </w:r>
            <w:r w:rsidRPr="00A92155">
              <w:rPr>
                <w:rFonts w:asciiTheme="majorBidi" w:hAnsiTheme="majorBidi" w:cstheme="majorBidi"/>
                <w:sz w:val="26"/>
                <w:szCs w:val="26"/>
                <w:rtl/>
              </w:rPr>
              <w:t>)</w:t>
            </w:r>
          </w:p>
        </w:tc>
        <w:tc>
          <w:tcPr>
            <w:tcW w:w="0" w:type="auto"/>
            <w:hideMark/>
          </w:tcPr>
          <w:p w14:paraId="22FA1AD6" w14:textId="77777777" w:rsidR="00202E2A" w:rsidRPr="00A92155" w:rsidRDefault="00202E2A" w:rsidP="00A62496">
            <w:pPr>
              <w:bidi/>
              <w:spacing w:after="1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 xml:space="preserve">مسح البيان الجمركي الورقي وتحويله إلى ملف </w:t>
            </w:r>
            <w:r w:rsidRPr="00A92155">
              <w:rPr>
                <w:rFonts w:asciiTheme="majorBidi" w:hAnsiTheme="majorBidi" w:cstheme="majorBidi"/>
                <w:sz w:val="26"/>
                <w:szCs w:val="26"/>
              </w:rPr>
              <w:t>PDF</w:t>
            </w:r>
            <w:r w:rsidRPr="00A92155">
              <w:rPr>
                <w:rFonts w:asciiTheme="majorBidi" w:hAnsiTheme="majorBidi" w:cstheme="majorBidi"/>
                <w:sz w:val="26"/>
                <w:szCs w:val="26"/>
                <w:rtl/>
              </w:rPr>
              <w:t>.</w:t>
            </w:r>
          </w:p>
        </w:tc>
      </w:tr>
      <w:tr w:rsidR="00202E2A" w:rsidRPr="00A92155" w14:paraId="3F9EAE5B" w14:textId="77777777" w:rsidTr="00A62496">
        <w:tc>
          <w:tcPr>
            <w:cnfStyle w:val="001000000000" w:firstRow="0" w:lastRow="0" w:firstColumn="1" w:lastColumn="0" w:oddVBand="0" w:evenVBand="0" w:oddHBand="0" w:evenHBand="0" w:firstRowFirstColumn="0" w:firstRowLastColumn="0" w:lastRowFirstColumn="0" w:lastRowLastColumn="0"/>
            <w:tcW w:w="0" w:type="auto"/>
            <w:hideMark/>
          </w:tcPr>
          <w:p w14:paraId="23748D82" w14:textId="77777777" w:rsidR="00202E2A" w:rsidRPr="00A92155" w:rsidRDefault="00202E2A" w:rsidP="00A62496">
            <w:pPr>
              <w:bidi/>
              <w:spacing w:after="160"/>
              <w:jc w:val="center"/>
              <w:rPr>
                <w:rFonts w:asciiTheme="majorBidi" w:hAnsiTheme="majorBidi" w:cstheme="majorBidi"/>
                <w:sz w:val="26"/>
                <w:szCs w:val="26"/>
                <w:rtl/>
              </w:rPr>
            </w:pPr>
            <w:r w:rsidRPr="00A92155">
              <w:rPr>
                <w:rFonts w:asciiTheme="majorBidi" w:hAnsiTheme="majorBidi" w:cstheme="majorBidi"/>
                <w:sz w:val="26"/>
                <w:szCs w:val="26"/>
                <w:rtl/>
              </w:rPr>
              <w:t>التحول التقني (</w:t>
            </w:r>
            <w:r w:rsidRPr="00A92155">
              <w:rPr>
                <w:rFonts w:asciiTheme="majorBidi" w:hAnsiTheme="majorBidi" w:cstheme="majorBidi"/>
                <w:sz w:val="26"/>
                <w:szCs w:val="26"/>
              </w:rPr>
              <w:t>Digitalization</w:t>
            </w:r>
            <w:r w:rsidRPr="00A92155">
              <w:rPr>
                <w:rFonts w:asciiTheme="majorBidi" w:hAnsiTheme="majorBidi" w:cstheme="majorBidi"/>
                <w:sz w:val="26"/>
                <w:szCs w:val="26"/>
                <w:rtl/>
              </w:rPr>
              <w:t>)</w:t>
            </w:r>
          </w:p>
        </w:tc>
        <w:tc>
          <w:tcPr>
            <w:tcW w:w="0" w:type="auto"/>
            <w:hideMark/>
          </w:tcPr>
          <w:p w14:paraId="496583E0" w14:textId="77777777" w:rsidR="00202E2A" w:rsidRPr="00A92155" w:rsidRDefault="00202E2A" w:rsidP="00A62496">
            <w:pPr>
              <w:bidi/>
              <w:spacing w:after="1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استخدام التقنيات الرقمية لأتمتة وتحسين عمليات عمل قائمة.</w:t>
            </w:r>
          </w:p>
        </w:tc>
        <w:tc>
          <w:tcPr>
            <w:tcW w:w="0" w:type="auto"/>
            <w:hideMark/>
          </w:tcPr>
          <w:p w14:paraId="5681056F" w14:textId="77777777" w:rsidR="00202E2A" w:rsidRPr="00A92155" w:rsidRDefault="00202E2A" w:rsidP="00A62496">
            <w:pPr>
              <w:bidi/>
              <w:spacing w:after="1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إجرائي (</w:t>
            </w:r>
            <w:r w:rsidRPr="00A92155">
              <w:rPr>
                <w:rFonts w:asciiTheme="majorBidi" w:hAnsiTheme="majorBidi" w:cstheme="majorBidi"/>
                <w:sz w:val="26"/>
                <w:szCs w:val="26"/>
              </w:rPr>
              <w:t>Operational</w:t>
            </w:r>
            <w:r w:rsidRPr="00A92155">
              <w:rPr>
                <w:rFonts w:asciiTheme="majorBidi" w:hAnsiTheme="majorBidi" w:cstheme="majorBidi"/>
                <w:sz w:val="26"/>
                <w:szCs w:val="26"/>
                <w:rtl/>
              </w:rPr>
              <w:t>)</w:t>
            </w:r>
          </w:p>
        </w:tc>
        <w:tc>
          <w:tcPr>
            <w:tcW w:w="0" w:type="auto"/>
            <w:hideMark/>
          </w:tcPr>
          <w:p w14:paraId="2EBA6418" w14:textId="77777777" w:rsidR="00202E2A" w:rsidRPr="00A92155" w:rsidRDefault="00202E2A" w:rsidP="00A62496">
            <w:pPr>
              <w:bidi/>
              <w:spacing w:after="1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تطبيق نظام إلكتروني لإدخال البيان الجمركي يدوياً وتقليل الأخطاء البشرية.</w:t>
            </w:r>
          </w:p>
        </w:tc>
      </w:tr>
      <w:tr w:rsidR="00202E2A" w:rsidRPr="00A92155" w14:paraId="4856609C" w14:textId="77777777" w:rsidTr="00A624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93B765" w14:textId="77777777" w:rsidR="00202E2A" w:rsidRPr="00A92155" w:rsidRDefault="00202E2A" w:rsidP="00A62496">
            <w:pPr>
              <w:bidi/>
              <w:spacing w:after="160"/>
              <w:jc w:val="center"/>
              <w:rPr>
                <w:rFonts w:asciiTheme="majorBidi" w:hAnsiTheme="majorBidi" w:cstheme="majorBidi"/>
                <w:sz w:val="26"/>
                <w:szCs w:val="26"/>
                <w:rtl/>
              </w:rPr>
            </w:pPr>
            <w:r w:rsidRPr="00A92155">
              <w:rPr>
                <w:rFonts w:asciiTheme="majorBidi" w:hAnsiTheme="majorBidi" w:cstheme="majorBidi"/>
                <w:sz w:val="26"/>
                <w:szCs w:val="26"/>
                <w:rtl/>
              </w:rPr>
              <w:t>التحول الرقمي (</w:t>
            </w:r>
            <w:r w:rsidRPr="00A92155">
              <w:rPr>
                <w:rFonts w:asciiTheme="majorBidi" w:hAnsiTheme="majorBidi" w:cstheme="majorBidi"/>
                <w:sz w:val="26"/>
                <w:szCs w:val="26"/>
              </w:rPr>
              <w:t>Digital Transformation</w:t>
            </w:r>
            <w:r w:rsidRPr="00A92155">
              <w:rPr>
                <w:rFonts w:asciiTheme="majorBidi" w:hAnsiTheme="majorBidi" w:cstheme="majorBidi"/>
                <w:sz w:val="26"/>
                <w:szCs w:val="26"/>
                <w:rtl/>
              </w:rPr>
              <w:t>)</w:t>
            </w:r>
          </w:p>
        </w:tc>
        <w:tc>
          <w:tcPr>
            <w:tcW w:w="0" w:type="auto"/>
            <w:hideMark/>
          </w:tcPr>
          <w:p w14:paraId="4EEF6B77" w14:textId="77777777" w:rsidR="00202E2A" w:rsidRPr="00A92155" w:rsidRDefault="00202E2A" w:rsidP="00A62496">
            <w:pPr>
              <w:bidi/>
              <w:spacing w:after="1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إعادة هندسة نموذج عمل الجمارك بالكامل لتغيير تجربة العميل والقيمة المقدمة.</w:t>
            </w:r>
          </w:p>
        </w:tc>
        <w:tc>
          <w:tcPr>
            <w:tcW w:w="0" w:type="auto"/>
            <w:hideMark/>
          </w:tcPr>
          <w:p w14:paraId="51FAA2E6" w14:textId="77777777" w:rsidR="00202E2A" w:rsidRPr="00A92155" w:rsidRDefault="00202E2A" w:rsidP="00A62496">
            <w:pPr>
              <w:bidi/>
              <w:spacing w:after="1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استراتيجي/جذري (</w:t>
            </w:r>
            <w:r w:rsidRPr="00A92155">
              <w:rPr>
                <w:rFonts w:asciiTheme="majorBidi" w:hAnsiTheme="majorBidi" w:cstheme="majorBidi"/>
                <w:sz w:val="26"/>
                <w:szCs w:val="26"/>
              </w:rPr>
              <w:t>Strategic/Radical</w:t>
            </w:r>
            <w:r w:rsidRPr="00A92155">
              <w:rPr>
                <w:rFonts w:asciiTheme="majorBidi" w:hAnsiTheme="majorBidi" w:cstheme="majorBidi"/>
                <w:sz w:val="26"/>
                <w:szCs w:val="26"/>
                <w:rtl/>
              </w:rPr>
              <w:t>)</w:t>
            </w:r>
          </w:p>
        </w:tc>
        <w:tc>
          <w:tcPr>
            <w:tcW w:w="0" w:type="auto"/>
            <w:hideMark/>
          </w:tcPr>
          <w:p w14:paraId="17483643" w14:textId="77777777" w:rsidR="00202E2A" w:rsidRPr="00A92155" w:rsidRDefault="00202E2A" w:rsidP="00A62496">
            <w:pPr>
              <w:bidi/>
              <w:spacing w:after="1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 xml:space="preserve">إنشاء نظام </w:t>
            </w:r>
            <w:r w:rsidRPr="00A92155">
              <w:rPr>
                <w:rFonts w:asciiTheme="majorBidi" w:hAnsiTheme="majorBidi" w:cstheme="majorBidi"/>
                <w:b/>
                <w:bCs/>
                <w:sz w:val="26"/>
                <w:szCs w:val="26"/>
                <w:rtl/>
              </w:rPr>
              <w:t>الجمرك الذكي</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Smart Customs</w:t>
            </w:r>
            <w:r w:rsidRPr="00A92155">
              <w:rPr>
                <w:rFonts w:asciiTheme="majorBidi" w:hAnsiTheme="majorBidi" w:cstheme="majorBidi"/>
                <w:sz w:val="26"/>
                <w:szCs w:val="26"/>
                <w:rtl/>
              </w:rPr>
              <w:t xml:space="preserve">) الذي يستخدم </w:t>
            </w:r>
            <w:r w:rsidRPr="00A92155">
              <w:rPr>
                <w:rFonts w:asciiTheme="majorBidi" w:hAnsiTheme="majorBidi" w:cstheme="majorBidi"/>
                <w:sz w:val="26"/>
                <w:szCs w:val="26"/>
              </w:rPr>
              <w:t>AI</w:t>
            </w:r>
            <w:r w:rsidRPr="00A92155">
              <w:rPr>
                <w:rFonts w:asciiTheme="majorBidi" w:hAnsiTheme="majorBidi" w:cstheme="majorBidi"/>
                <w:sz w:val="26"/>
                <w:szCs w:val="26"/>
                <w:rtl/>
              </w:rPr>
              <w:t xml:space="preserve"> لتحليل المخاطر واختيار الشحنات للتفتيش دون تدخل بشري، مما يوازن </w:t>
            </w:r>
            <w:r w:rsidRPr="00A92155">
              <w:rPr>
                <w:rFonts w:asciiTheme="majorBidi" w:hAnsiTheme="majorBidi" w:cstheme="majorBidi"/>
                <w:sz w:val="26"/>
                <w:szCs w:val="26"/>
                <w:rtl/>
              </w:rPr>
              <w:lastRenderedPageBreak/>
              <w:t>بين الأمن والتيسير (</w:t>
            </w:r>
            <w:r w:rsidRPr="00A92155">
              <w:rPr>
                <w:rFonts w:asciiTheme="majorBidi" w:hAnsiTheme="majorBidi" w:cstheme="majorBidi"/>
                <w:sz w:val="26"/>
                <w:szCs w:val="26"/>
              </w:rPr>
              <w:t>WCO, 2023</w:t>
            </w:r>
            <w:r w:rsidRPr="00A92155">
              <w:rPr>
                <w:rFonts w:asciiTheme="majorBidi" w:hAnsiTheme="majorBidi" w:cstheme="majorBidi"/>
                <w:sz w:val="26"/>
                <w:szCs w:val="26"/>
                <w:rtl/>
              </w:rPr>
              <w:t>).</w:t>
            </w:r>
          </w:p>
        </w:tc>
      </w:tr>
    </w:tbl>
    <w:p w14:paraId="34C52A52"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hint="cs"/>
          <w:b/>
          <w:bCs/>
          <w:sz w:val="26"/>
          <w:szCs w:val="26"/>
          <w:rtl/>
        </w:rPr>
        <w:lastRenderedPageBreak/>
        <w:t>المصدر: إعداد الباحث.</w:t>
      </w:r>
    </w:p>
    <w:p w14:paraId="0AF569FA"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أ. التحول الرقمي كتغيير شامل</w:t>
      </w:r>
    </w:p>
    <w:p w14:paraId="03EF5BAA"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يؤكد </w:t>
      </w:r>
      <w:r w:rsidRPr="00A92155">
        <w:rPr>
          <w:rFonts w:asciiTheme="majorBidi" w:hAnsiTheme="majorBidi" w:cstheme="majorBidi"/>
          <w:sz w:val="26"/>
          <w:szCs w:val="26"/>
        </w:rPr>
        <w:t>Vial</w:t>
      </w:r>
      <w:r w:rsidRPr="00A92155">
        <w:rPr>
          <w:rFonts w:asciiTheme="majorBidi" w:hAnsiTheme="majorBidi" w:cstheme="majorBidi"/>
          <w:sz w:val="26"/>
          <w:szCs w:val="26"/>
          <w:rtl/>
        </w:rPr>
        <w:t xml:space="preserve"> (2019) في مراجعته الشاملة للمفهوم، أن التحول الرقمي هو "تغيير تنظيمي وثقافي مصحوب بدمج التقنيات الرقمية". هذا التغيير الثقافي يتطلب من القيادات تجاوز مجرد شراء الأنظمة إلى تغيير طبيعة المنظمة، وإجراءات العمل اليومية، وزيادة قدرة فرق العمل على التعلم بطريقة ديناميكية.</w:t>
      </w:r>
    </w:p>
    <w:p w14:paraId="109C32F2"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ب. الابتكار المؤسسي كإطار أشمل</w:t>
      </w:r>
    </w:p>
    <w:p w14:paraId="535B2B81"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يُشير الابتكار المؤسسي (</w:t>
      </w:r>
      <w:r w:rsidRPr="00A92155">
        <w:rPr>
          <w:rFonts w:asciiTheme="majorBidi" w:hAnsiTheme="majorBidi" w:cstheme="majorBidi"/>
          <w:sz w:val="26"/>
          <w:szCs w:val="26"/>
        </w:rPr>
        <w:t>Institutional Innovation</w:t>
      </w:r>
      <w:r w:rsidRPr="00A92155">
        <w:rPr>
          <w:rFonts w:asciiTheme="majorBidi" w:hAnsiTheme="majorBidi" w:cstheme="majorBidi"/>
          <w:sz w:val="26"/>
          <w:szCs w:val="26"/>
          <w:rtl/>
        </w:rPr>
        <w:t>) إلى أي تغييرات جوهرية في الهيكل، الحوكمة، أو الأطر التنظيمية للمنظمة بهدف خلق ميزة تنافسية أو شرعية. التحول الرقمي هو الآلية الأكثر فعالية لتحقيق هذا الابتكار في العصر الحالي. على سبيل المثال، إطلاق الاستراتيجية الوطنية للبيانات والذكاء الاصطناعي في المملكة (</w:t>
      </w:r>
      <w:r w:rsidRPr="00A92155">
        <w:rPr>
          <w:rFonts w:asciiTheme="majorBidi" w:hAnsiTheme="majorBidi" w:cstheme="majorBidi"/>
          <w:sz w:val="26"/>
          <w:szCs w:val="26"/>
        </w:rPr>
        <w:t>SDAIA</w:t>
      </w:r>
      <w:r w:rsidRPr="00A92155">
        <w:rPr>
          <w:rFonts w:asciiTheme="majorBidi" w:hAnsiTheme="majorBidi" w:cstheme="majorBidi"/>
          <w:sz w:val="26"/>
          <w:szCs w:val="26"/>
          <w:rtl/>
        </w:rPr>
        <w:t>) يُعد ابتكاراً مؤسسياً رقمياً، حيث يغير القواعد التي تحكم استخدام البيانات على المستوى الوطني.</w:t>
      </w:r>
    </w:p>
    <w:p w14:paraId="6BA0D98A"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تعليق الباحث</w:t>
      </w:r>
      <w:r w:rsidRPr="00A92155">
        <w:rPr>
          <w:rFonts w:asciiTheme="majorBidi" w:hAnsiTheme="majorBidi" w:cstheme="majorBidi"/>
          <w:sz w:val="26"/>
          <w:szCs w:val="26"/>
          <w:rtl/>
        </w:rPr>
        <w:t xml:space="preserve"> تتبنى هذه الدراسة التعريف الشمولي للتحول الرقمي، كونه جهداً استراتيجياً يتطلب قدرات ديناميكية لإعادة صياغة نموذج العمل الحكومي (كاستجابة للضغوط المؤسسية)، مستخدماً التقنيات الرقمية المتقدمة لإنتاج نتائج متزامنة في محورين متناقضين تقليدياً: الأمن (كعامل تقييد) والتجارة (كعامل تيسير).</w:t>
      </w:r>
    </w:p>
    <w:p w14:paraId="14C66FA2" w14:textId="77777777" w:rsidR="00202E2A" w:rsidRPr="00A92155" w:rsidRDefault="00202E2A" w:rsidP="00202E2A">
      <w:pPr>
        <w:bidi/>
        <w:spacing w:line="240" w:lineRule="auto"/>
        <w:jc w:val="lowKashida"/>
        <w:rPr>
          <w:rFonts w:asciiTheme="majorBidi" w:hAnsiTheme="majorBidi" w:cs="PT Bold Heading"/>
          <w:b/>
          <w:bCs/>
          <w:color w:val="C00000"/>
          <w:sz w:val="26"/>
          <w:szCs w:val="26"/>
          <w:rtl/>
        </w:rPr>
      </w:pPr>
      <w:r w:rsidRPr="00A92155">
        <w:rPr>
          <w:rFonts w:asciiTheme="majorBidi" w:hAnsiTheme="majorBidi" w:cs="PT Bold Heading"/>
          <w:b/>
          <w:bCs/>
          <w:color w:val="000000" w:themeColor="text1"/>
          <w:sz w:val="26"/>
          <w:szCs w:val="26"/>
          <w:rtl/>
        </w:rPr>
        <w:t>2.1.3 الأسس النظرية الداعمة للتحول الرقمي</w:t>
      </w:r>
    </w:p>
    <w:p w14:paraId="1BB54DEE"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لتوفير العمق الأكاديمي اللازم، تعتمد هذه الدراسة على ثلاثة أطر نظرية متكاملة تفسر مسارات التحول الرقمي الناجح في المؤسسات الحكومية، لا سيما في بيئة الأمن والتجارة المعقدة:</w:t>
      </w:r>
    </w:p>
    <w:p w14:paraId="157B6028"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أ. نظرية الكفاءة الديناميكية (</w:t>
      </w:r>
      <w:r w:rsidRPr="00A92155">
        <w:rPr>
          <w:rFonts w:asciiTheme="majorBidi" w:hAnsiTheme="majorBidi" w:cstheme="majorBidi"/>
          <w:b/>
          <w:bCs/>
          <w:sz w:val="26"/>
          <w:szCs w:val="26"/>
        </w:rPr>
        <w:t>Dynamic Capabilities Theory - DCT</w:t>
      </w:r>
      <w:r w:rsidRPr="00A92155">
        <w:rPr>
          <w:rFonts w:asciiTheme="majorBidi" w:hAnsiTheme="majorBidi" w:cstheme="majorBidi"/>
          <w:b/>
          <w:bCs/>
          <w:sz w:val="26"/>
          <w:szCs w:val="26"/>
          <w:rtl/>
        </w:rPr>
        <w:t>)</w:t>
      </w:r>
    </w:p>
    <w:p w14:paraId="392496F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تُعد هذه النظرية (</w:t>
      </w:r>
      <w:r w:rsidRPr="00A92155">
        <w:rPr>
          <w:rFonts w:asciiTheme="majorBidi" w:hAnsiTheme="majorBidi" w:cstheme="majorBidi"/>
          <w:sz w:val="26"/>
          <w:szCs w:val="26"/>
        </w:rPr>
        <w:t>Teece, 2007</w:t>
      </w:r>
      <w:r w:rsidRPr="00A92155">
        <w:rPr>
          <w:rFonts w:asciiTheme="majorBidi" w:hAnsiTheme="majorBidi" w:cstheme="majorBidi"/>
          <w:sz w:val="26"/>
          <w:szCs w:val="26"/>
          <w:rtl/>
        </w:rPr>
        <w:t>) هي الأنسب لتفسير قدرة المنظمات على خلق ميزة تنافسية والنجاح في بيئة تتسم بـ "فرط التغير" (</w:t>
      </w:r>
      <w:r w:rsidRPr="00A92155">
        <w:rPr>
          <w:rFonts w:asciiTheme="majorBidi" w:hAnsiTheme="majorBidi" w:cstheme="majorBidi"/>
          <w:sz w:val="26"/>
          <w:szCs w:val="26"/>
        </w:rPr>
        <w:t>Hyper-competition</w:t>
      </w:r>
      <w:r w:rsidRPr="00A92155">
        <w:rPr>
          <w:rFonts w:asciiTheme="majorBidi" w:hAnsiTheme="majorBidi" w:cstheme="majorBidi"/>
          <w:sz w:val="26"/>
          <w:szCs w:val="26"/>
          <w:rtl/>
        </w:rPr>
        <w:t>) والاضطراب التكنولوجي. ففي ظل التطور المتسارع للتكنولوجيا (</w:t>
      </w:r>
      <w:r w:rsidRPr="00A92155">
        <w:rPr>
          <w:rFonts w:asciiTheme="majorBidi" w:hAnsiTheme="majorBidi" w:cstheme="majorBidi"/>
          <w:sz w:val="26"/>
          <w:szCs w:val="26"/>
        </w:rPr>
        <w:t>Hermann et al., 2024</w:t>
      </w:r>
      <w:r w:rsidRPr="00A92155">
        <w:rPr>
          <w:rFonts w:asciiTheme="majorBidi" w:hAnsiTheme="majorBidi" w:cstheme="majorBidi"/>
          <w:sz w:val="26"/>
          <w:szCs w:val="26"/>
          <w:rtl/>
        </w:rPr>
        <w:t>)، لا يكفي مجرد امتلاك الموارد (القدرات العادية)، بل يجب امتلاك القدرة على إعادة تشكيل هذه الموارد باستمرار.</w:t>
      </w:r>
    </w:p>
    <w:p w14:paraId="4BBFDFDD"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تطبيق النظرية على التحول الرقمي في (</w:t>
      </w:r>
      <w:r w:rsidRPr="00A92155">
        <w:rPr>
          <w:rFonts w:asciiTheme="majorBidi" w:hAnsiTheme="majorBidi" w:cstheme="majorBidi"/>
          <w:sz w:val="26"/>
          <w:szCs w:val="26"/>
        </w:rPr>
        <w:t>ZATCA</w:t>
      </w:r>
      <w:r w:rsidRPr="00A92155">
        <w:rPr>
          <w:rFonts w:asciiTheme="majorBidi" w:hAnsiTheme="majorBidi" w:cstheme="majorBidi"/>
          <w:sz w:val="26"/>
          <w:szCs w:val="26"/>
          <w:rtl/>
        </w:rPr>
        <w:t>):</w:t>
      </w:r>
    </w:p>
    <w:p w14:paraId="1AFBF73B"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تركز نظرية الكفاءة الديناميكية على ثلاث مراحل ضرورية للنجاح في التحول الرقمي (</w:t>
      </w:r>
      <w:r w:rsidRPr="00A92155">
        <w:rPr>
          <w:rFonts w:asciiTheme="majorBidi" w:hAnsiTheme="majorBidi" w:cstheme="majorBidi"/>
          <w:sz w:val="26"/>
          <w:szCs w:val="26"/>
        </w:rPr>
        <w:t>Chirumalla, 2021</w:t>
      </w:r>
      <w:r w:rsidRPr="00A92155">
        <w:rPr>
          <w:rFonts w:asciiTheme="majorBidi" w:hAnsiTheme="majorBidi" w:cstheme="majorBidi"/>
          <w:sz w:val="26"/>
          <w:szCs w:val="26"/>
          <w:rtl/>
        </w:rPr>
        <w:t>):</w:t>
      </w:r>
    </w:p>
    <w:p w14:paraId="4F485305" w14:textId="77777777" w:rsidR="00202E2A" w:rsidRPr="00A92155" w:rsidRDefault="00202E2A">
      <w:pPr>
        <w:numPr>
          <w:ilvl w:val="0"/>
          <w:numId w:val="32"/>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الاستكشاف (</w:t>
      </w:r>
      <w:r w:rsidRPr="00A92155">
        <w:rPr>
          <w:rFonts w:asciiTheme="majorBidi" w:hAnsiTheme="majorBidi" w:cstheme="majorBidi"/>
          <w:b/>
          <w:bCs/>
          <w:sz w:val="26"/>
          <w:szCs w:val="26"/>
        </w:rPr>
        <w:t>Sensing</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القدرة على اكتشاف واستشعار الفرص والتهديدات الرقمية الجديدة. في سياق التجارة والأمن، يعني ذلك قدرة الهيئة على اكتشاف أحدث تقنيات تتبع سلاسل التوريد (مثل </w:t>
      </w:r>
      <w:r w:rsidRPr="00A92155">
        <w:rPr>
          <w:rFonts w:asciiTheme="majorBidi" w:hAnsiTheme="majorBidi" w:cstheme="majorBidi"/>
          <w:sz w:val="26"/>
          <w:szCs w:val="26"/>
        </w:rPr>
        <w:t>Blockchain</w:t>
      </w:r>
      <w:r w:rsidRPr="00A92155">
        <w:rPr>
          <w:rFonts w:asciiTheme="majorBidi" w:hAnsiTheme="majorBidi" w:cstheme="majorBidi"/>
          <w:sz w:val="26"/>
          <w:szCs w:val="26"/>
          <w:rtl/>
        </w:rPr>
        <w:t>) كفرصة لتيسير التجارة، وفي الوقت نفسه، استشعار أحدث هجمات الفدية الرقمية كتهديد أمني.</w:t>
      </w:r>
    </w:p>
    <w:p w14:paraId="24A5D6B0" w14:textId="77777777" w:rsidR="00202E2A" w:rsidRPr="00A92155" w:rsidRDefault="00202E2A">
      <w:pPr>
        <w:numPr>
          <w:ilvl w:val="1"/>
          <w:numId w:val="32"/>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البعد الرقمي المضاف:</w:t>
      </w:r>
      <w:r w:rsidRPr="00A92155">
        <w:rPr>
          <w:rFonts w:asciiTheme="majorBidi" w:hAnsiTheme="majorBidi" w:cstheme="majorBidi"/>
          <w:sz w:val="26"/>
          <w:szCs w:val="26"/>
          <w:rtl/>
        </w:rPr>
        <w:t xml:space="preserve"> يتم التركيز على الاستكشاف المعتمد على البيانات (</w:t>
      </w:r>
      <w:r w:rsidRPr="00A92155">
        <w:rPr>
          <w:rFonts w:asciiTheme="majorBidi" w:hAnsiTheme="majorBidi" w:cstheme="majorBidi"/>
          <w:sz w:val="26"/>
          <w:szCs w:val="26"/>
        </w:rPr>
        <w:t>Data-Driven Sensing</w:t>
      </w:r>
      <w:r w:rsidRPr="00A92155">
        <w:rPr>
          <w:rFonts w:asciiTheme="majorBidi" w:hAnsiTheme="majorBidi" w:cstheme="majorBidi"/>
          <w:sz w:val="26"/>
          <w:szCs w:val="26"/>
          <w:rtl/>
        </w:rPr>
        <w:t>)، حيث يتم استخدام تحليلات البيانات الضخمة لتحديد التغيرات في أنماط التجارة العالمية والمخاطر السيبرانية بشكل استباقي (</w:t>
      </w:r>
      <w:r w:rsidRPr="00A92155">
        <w:rPr>
          <w:rFonts w:asciiTheme="majorBidi" w:hAnsiTheme="majorBidi" w:cstheme="majorBidi"/>
          <w:sz w:val="26"/>
          <w:szCs w:val="26"/>
        </w:rPr>
        <w:t>Marx et al., 2021</w:t>
      </w:r>
      <w:r w:rsidRPr="00A92155">
        <w:rPr>
          <w:rFonts w:asciiTheme="majorBidi" w:hAnsiTheme="majorBidi" w:cstheme="majorBidi"/>
          <w:sz w:val="26"/>
          <w:szCs w:val="26"/>
          <w:rtl/>
        </w:rPr>
        <w:t>).</w:t>
      </w:r>
    </w:p>
    <w:p w14:paraId="0929D8AF" w14:textId="77777777" w:rsidR="00202E2A" w:rsidRPr="00A92155" w:rsidRDefault="00202E2A">
      <w:pPr>
        <w:numPr>
          <w:ilvl w:val="0"/>
          <w:numId w:val="32"/>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الاستغلال (</w:t>
      </w:r>
      <w:r w:rsidRPr="00A92155">
        <w:rPr>
          <w:rFonts w:asciiTheme="majorBidi" w:hAnsiTheme="majorBidi" w:cstheme="majorBidi"/>
          <w:b/>
          <w:bCs/>
          <w:sz w:val="26"/>
          <w:szCs w:val="26"/>
        </w:rPr>
        <w:t>Seizing</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القدرة على اتخاذ قرار الاستثمار السريع وتعبئة الموارد لتنفيذ التحول. في الجانب الأمني، يعني هذا تخصيص الميزانيات لـ البنية الدفاعية متعددة الطبقات (</w:t>
      </w:r>
      <w:r w:rsidRPr="00A92155">
        <w:rPr>
          <w:rFonts w:asciiTheme="majorBidi" w:hAnsiTheme="majorBidi" w:cstheme="majorBidi"/>
          <w:sz w:val="26"/>
          <w:szCs w:val="26"/>
        </w:rPr>
        <w:t>Multi-layered defense</w:t>
      </w:r>
      <w:r w:rsidRPr="00A92155">
        <w:rPr>
          <w:rFonts w:asciiTheme="majorBidi" w:hAnsiTheme="majorBidi" w:cstheme="majorBidi"/>
          <w:sz w:val="26"/>
          <w:szCs w:val="26"/>
          <w:rtl/>
        </w:rPr>
        <w:t>) التي تتجاوز التشفير إلى الذكاء الاصطناعي الوقائي.</w:t>
      </w:r>
    </w:p>
    <w:p w14:paraId="256A74A3" w14:textId="77777777" w:rsidR="00202E2A" w:rsidRPr="00A92155" w:rsidRDefault="00202E2A">
      <w:pPr>
        <w:numPr>
          <w:ilvl w:val="0"/>
          <w:numId w:val="32"/>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lastRenderedPageBreak/>
        <w:t>التحويل (</w:t>
      </w:r>
      <w:r w:rsidRPr="00A92155">
        <w:rPr>
          <w:rFonts w:asciiTheme="majorBidi" w:hAnsiTheme="majorBidi" w:cstheme="majorBidi"/>
          <w:b/>
          <w:bCs/>
          <w:sz w:val="26"/>
          <w:szCs w:val="26"/>
        </w:rPr>
        <w:t>Transforming</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القدرة على تغيير الهيكل التنظيمي والعمليات والثقافة لضمان استيعاب التقنية الجديدة. وهذا يفسر أهمية دمج فرق الأمن السيبراني مع فرق تيسير التجارة لضمان التوازن بين الأهداف.</w:t>
      </w:r>
    </w:p>
    <w:p w14:paraId="00095A80"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ب. النظرية المؤسسية (</w:t>
      </w:r>
      <w:r w:rsidRPr="00A92155">
        <w:rPr>
          <w:rFonts w:asciiTheme="majorBidi" w:hAnsiTheme="majorBidi" w:cstheme="majorBidi"/>
          <w:b/>
          <w:bCs/>
          <w:sz w:val="26"/>
          <w:szCs w:val="26"/>
        </w:rPr>
        <w:t>Institutional Theory</w:t>
      </w:r>
      <w:r w:rsidRPr="00A92155">
        <w:rPr>
          <w:rFonts w:asciiTheme="majorBidi" w:hAnsiTheme="majorBidi" w:cstheme="majorBidi"/>
          <w:b/>
          <w:bCs/>
          <w:sz w:val="26"/>
          <w:szCs w:val="26"/>
          <w:rtl/>
        </w:rPr>
        <w:t>)</w:t>
      </w:r>
    </w:p>
    <w:p w14:paraId="01E18658"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تساعد النظرية المؤسسية على فهم الضغوط الخارجية التي تجعل المؤسسات الحكومية تتبنى التحول الرقمي ليس فقط من أجل الكفاءة الداخلية، بل لتحقيق الشرعية الاجتماعية والقانونية (</w:t>
      </w:r>
      <w:r w:rsidRPr="00A92155">
        <w:rPr>
          <w:rFonts w:asciiTheme="majorBidi" w:hAnsiTheme="majorBidi" w:cstheme="majorBidi"/>
          <w:sz w:val="26"/>
          <w:szCs w:val="26"/>
        </w:rPr>
        <w:t>Legitimacy</w:t>
      </w:r>
      <w:r w:rsidRPr="00A92155">
        <w:rPr>
          <w:rFonts w:asciiTheme="majorBidi" w:hAnsiTheme="majorBidi" w:cstheme="majorBidi"/>
          <w:sz w:val="26"/>
          <w:szCs w:val="26"/>
          <w:rtl/>
        </w:rPr>
        <w:t>) والامتثال للبيئة التنظيمية.</w:t>
      </w:r>
    </w:p>
    <w:p w14:paraId="43EB8708"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دوافع التحول الرقمي في المملكة:</w:t>
      </w:r>
    </w:p>
    <w:p w14:paraId="3DA813B8" w14:textId="77777777" w:rsidR="00202E2A" w:rsidRPr="00A92155" w:rsidRDefault="00202E2A">
      <w:pPr>
        <w:numPr>
          <w:ilvl w:val="0"/>
          <w:numId w:val="33"/>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الضغط الإلزامي (</w:t>
      </w:r>
      <w:r w:rsidRPr="00A92155">
        <w:rPr>
          <w:rFonts w:asciiTheme="majorBidi" w:hAnsiTheme="majorBidi" w:cstheme="majorBidi"/>
          <w:b/>
          <w:bCs/>
          <w:sz w:val="26"/>
          <w:szCs w:val="26"/>
        </w:rPr>
        <w:t>Coercive Pressure</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ينبع من القرارات الحكومية العليا والتشريعات الملزمة، مثل تطبيق استراتيجية الحكومة الرقمية (2023-2030) والامتثال لرؤية 2030. هذه الضغوط تضمن أن التحول يتم بشكل موحد ومنضبط على المستوى الوطني.</w:t>
      </w:r>
    </w:p>
    <w:p w14:paraId="74094AFD" w14:textId="77777777" w:rsidR="00202E2A" w:rsidRPr="00A92155" w:rsidRDefault="00202E2A">
      <w:pPr>
        <w:numPr>
          <w:ilvl w:val="0"/>
          <w:numId w:val="33"/>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الضغط المحاكاتي (</w:t>
      </w:r>
      <w:r w:rsidRPr="00A92155">
        <w:rPr>
          <w:rFonts w:asciiTheme="majorBidi" w:hAnsiTheme="majorBidi" w:cstheme="majorBidi"/>
          <w:b/>
          <w:bCs/>
          <w:sz w:val="26"/>
          <w:szCs w:val="26"/>
        </w:rPr>
        <w:t>Mimetic Pressure</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ينشأ عن حاجة المملكة إلى محاكاة النماذج الناجحة دولياً (مثل سنغافورة وإستونيا) لتقليل حالة عدم اليقين في بيئة تكنولوجية معقدة.</w:t>
      </w:r>
    </w:p>
    <w:p w14:paraId="238EC140" w14:textId="77777777" w:rsidR="00202E2A" w:rsidRPr="00A92155" w:rsidRDefault="00202E2A">
      <w:pPr>
        <w:numPr>
          <w:ilvl w:val="0"/>
          <w:numId w:val="33"/>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الضغط المعياري (</w:t>
      </w:r>
      <w:r w:rsidRPr="00A92155">
        <w:rPr>
          <w:rFonts w:asciiTheme="majorBidi" w:hAnsiTheme="majorBidi" w:cstheme="majorBidi"/>
          <w:b/>
          <w:bCs/>
          <w:sz w:val="26"/>
          <w:szCs w:val="26"/>
        </w:rPr>
        <w:t>Normative Pressure</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ينبع من الالتزام بالمعايير المهنية الدولية، مثل معايير منظمة التجارة العالمية (</w:t>
      </w:r>
      <w:r w:rsidRPr="00A92155">
        <w:rPr>
          <w:rFonts w:asciiTheme="majorBidi" w:hAnsiTheme="majorBidi" w:cstheme="majorBidi"/>
          <w:sz w:val="26"/>
          <w:szCs w:val="26"/>
        </w:rPr>
        <w:t>WTO</w:t>
      </w:r>
      <w:r w:rsidRPr="00A92155">
        <w:rPr>
          <w:rFonts w:asciiTheme="majorBidi" w:hAnsiTheme="majorBidi" w:cstheme="majorBidi"/>
          <w:sz w:val="26"/>
          <w:szCs w:val="26"/>
          <w:rtl/>
        </w:rPr>
        <w:t>) لتيسير التجارة (</w:t>
      </w:r>
      <w:r w:rsidRPr="00A92155">
        <w:rPr>
          <w:rFonts w:asciiTheme="majorBidi" w:hAnsiTheme="majorBidi" w:cstheme="majorBidi"/>
          <w:sz w:val="26"/>
          <w:szCs w:val="26"/>
        </w:rPr>
        <w:t>TFA</w:t>
      </w:r>
      <w:r w:rsidRPr="00A92155">
        <w:rPr>
          <w:rFonts w:asciiTheme="majorBidi" w:hAnsiTheme="majorBidi" w:cstheme="majorBidi"/>
          <w:sz w:val="26"/>
          <w:szCs w:val="26"/>
          <w:rtl/>
        </w:rPr>
        <w:t xml:space="preserve">) أو معايير الأمان العالمية مثل </w:t>
      </w:r>
      <w:r w:rsidRPr="00A92155">
        <w:rPr>
          <w:rFonts w:asciiTheme="majorBidi" w:hAnsiTheme="majorBidi" w:cstheme="majorBidi"/>
          <w:sz w:val="26"/>
          <w:szCs w:val="26"/>
        </w:rPr>
        <w:t>ISO 27001</w:t>
      </w:r>
      <w:r w:rsidRPr="00A92155">
        <w:rPr>
          <w:rFonts w:asciiTheme="majorBidi" w:hAnsiTheme="majorBidi" w:cstheme="majorBidi"/>
          <w:sz w:val="26"/>
          <w:szCs w:val="26"/>
          <w:rtl/>
        </w:rPr>
        <w:t xml:space="preserve"> و </w:t>
      </w:r>
      <w:r w:rsidRPr="00A92155">
        <w:rPr>
          <w:rFonts w:asciiTheme="majorBidi" w:hAnsiTheme="majorBidi" w:cstheme="majorBidi"/>
          <w:sz w:val="26"/>
          <w:szCs w:val="26"/>
        </w:rPr>
        <w:t>NIST</w:t>
      </w:r>
      <w:r w:rsidRPr="00A92155">
        <w:rPr>
          <w:rFonts w:asciiTheme="majorBidi" w:hAnsiTheme="majorBidi" w:cstheme="majorBidi"/>
          <w:sz w:val="26"/>
          <w:szCs w:val="26"/>
          <w:rtl/>
        </w:rPr>
        <w:t>. هذا الالتزام يدفع الهيئات الحكومية نحو التحول الرقمي للوفاء بالتزاماتها الدولية.</w:t>
      </w:r>
    </w:p>
    <w:p w14:paraId="3698791C"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ج. نظرية النظم (</w:t>
      </w:r>
      <w:r w:rsidRPr="00A92155">
        <w:rPr>
          <w:rFonts w:asciiTheme="majorBidi" w:hAnsiTheme="majorBidi" w:cstheme="majorBidi"/>
          <w:b/>
          <w:bCs/>
          <w:sz w:val="26"/>
          <w:szCs w:val="26"/>
        </w:rPr>
        <w:t>Systems Theory</w:t>
      </w:r>
      <w:r w:rsidRPr="00A92155">
        <w:rPr>
          <w:rFonts w:asciiTheme="majorBidi" w:hAnsiTheme="majorBidi" w:cstheme="majorBidi"/>
          <w:b/>
          <w:bCs/>
          <w:sz w:val="26"/>
          <w:szCs w:val="26"/>
          <w:rtl/>
        </w:rPr>
        <w:t>)</w:t>
      </w:r>
    </w:p>
    <w:p w14:paraId="126AFE3E"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تنظر نظرية النظم إلى المؤسسة كـ نظام كلي مفتوح (</w:t>
      </w:r>
      <w:r w:rsidRPr="00A92155">
        <w:rPr>
          <w:rFonts w:asciiTheme="majorBidi" w:hAnsiTheme="majorBidi" w:cstheme="majorBidi"/>
          <w:sz w:val="26"/>
          <w:szCs w:val="26"/>
        </w:rPr>
        <w:t>Open System</w:t>
      </w:r>
      <w:r w:rsidRPr="00A92155">
        <w:rPr>
          <w:rFonts w:asciiTheme="majorBidi" w:hAnsiTheme="majorBidi" w:cstheme="majorBidi"/>
          <w:sz w:val="26"/>
          <w:szCs w:val="26"/>
          <w:rtl/>
        </w:rPr>
        <w:t>) يتكون من مدخلات (البنية التحتية، رأس المال البشري)، وعمليات (الحوكمة، الابتكار الرقمي)، ومخرجات (الأمن المعزز، التجارة الميسرة).</w:t>
      </w:r>
    </w:p>
    <w:p w14:paraId="2DA8468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التطبيق على التكامل الثلاثي:</w:t>
      </w:r>
    </w:p>
    <w:p w14:paraId="2BA7414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تعليق الباحث</w:t>
      </w:r>
      <w:r w:rsidRPr="00A92155">
        <w:rPr>
          <w:rFonts w:asciiTheme="majorBidi" w:hAnsiTheme="majorBidi" w:cstheme="majorBidi"/>
          <w:sz w:val="26"/>
          <w:szCs w:val="26"/>
          <w:rtl/>
        </w:rPr>
        <w:t xml:space="preserve"> الأهمية القصوى لهذه النظرية هي أنها ترفض الفصل بين المتغيرات. ففي حالة هذه الدراسة، لا يمكن تحقيق أقصى قدر من تيسير التجارة (المخرج الاقتصادي) دون مستوى عالٍ من الأمن السيبراني والمعلوماتي (جزء من المدخلات والعمليات)، لأن أي اختراق أمني سيؤدي فوراً إلى تدمير الثقة وانهيار العمليات التجارية. تتطلب هذه النظرية تحقيق التوازن الديناميكي (</w:t>
      </w:r>
      <w:r w:rsidRPr="00A92155">
        <w:rPr>
          <w:rFonts w:asciiTheme="majorBidi" w:hAnsiTheme="majorBidi" w:cstheme="majorBidi"/>
          <w:sz w:val="26"/>
          <w:szCs w:val="26"/>
        </w:rPr>
        <w:t>Dynamic Equilibrium</w:t>
      </w:r>
      <w:r w:rsidRPr="00A92155">
        <w:rPr>
          <w:rFonts w:asciiTheme="majorBidi" w:hAnsiTheme="majorBidi" w:cstheme="majorBidi"/>
          <w:sz w:val="26"/>
          <w:szCs w:val="26"/>
          <w:rtl/>
        </w:rPr>
        <w:t>) بين الأبعاد التكنولوجية والأمنية والاقتصادية، وهو ما سيُفصّل في المبحث الخامس حول التكامل الثلاثي.</w:t>
      </w:r>
    </w:p>
    <w:p w14:paraId="4A800128"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2.1.4 النماذج العالمية للتحول الرقمي</w:t>
      </w:r>
    </w:p>
    <w:p w14:paraId="2BB9367F"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توفر النماذج العالمية أطراً منهجية لقياس نضج التحول الرقمي وتوجيهه استراتيجياً، وهي ضرورية لعملية القياس المعياري (</w:t>
      </w:r>
      <w:r w:rsidRPr="00A92155">
        <w:rPr>
          <w:rFonts w:asciiTheme="majorBidi" w:hAnsiTheme="majorBidi" w:cstheme="majorBidi"/>
          <w:sz w:val="26"/>
          <w:szCs w:val="26"/>
        </w:rPr>
        <w:t>Benchmarking</w:t>
      </w:r>
      <w:r w:rsidRPr="00A92155">
        <w:rPr>
          <w:rFonts w:asciiTheme="majorBidi" w:hAnsiTheme="majorBidi" w:cstheme="majorBidi"/>
          <w:sz w:val="26"/>
          <w:szCs w:val="26"/>
          <w:rtl/>
        </w:rPr>
        <w:t>):</w:t>
      </w:r>
    </w:p>
    <w:p w14:paraId="7B6C6D3E"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 xml:space="preserve">أ. نموذج </w:t>
      </w:r>
      <w:r w:rsidRPr="00A92155">
        <w:rPr>
          <w:rFonts w:asciiTheme="majorBidi" w:hAnsiTheme="majorBidi" w:cstheme="majorBidi"/>
          <w:b/>
          <w:bCs/>
          <w:sz w:val="26"/>
          <w:szCs w:val="26"/>
        </w:rPr>
        <w:t>Westerman</w:t>
      </w:r>
      <w:r w:rsidRPr="00A92155">
        <w:rPr>
          <w:rFonts w:asciiTheme="majorBidi" w:hAnsiTheme="majorBidi" w:cstheme="majorBidi"/>
          <w:b/>
          <w:bCs/>
          <w:sz w:val="26"/>
          <w:szCs w:val="26"/>
          <w:rtl/>
        </w:rPr>
        <w:t xml:space="preserve"> &amp; </w:t>
      </w:r>
      <w:r w:rsidRPr="00A92155">
        <w:rPr>
          <w:rFonts w:asciiTheme="majorBidi" w:hAnsiTheme="majorBidi" w:cstheme="majorBidi"/>
          <w:b/>
          <w:bCs/>
          <w:sz w:val="26"/>
          <w:szCs w:val="26"/>
        </w:rPr>
        <w:t>Bonnet (Capgemini</w:t>
      </w:r>
      <w:r w:rsidRPr="00A92155">
        <w:rPr>
          <w:rFonts w:asciiTheme="majorBidi" w:hAnsiTheme="majorBidi" w:cstheme="majorBidi"/>
          <w:b/>
          <w:bCs/>
          <w:sz w:val="26"/>
          <w:szCs w:val="26"/>
          <w:rtl/>
        </w:rPr>
        <w:t xml:space="preserve"> &amp; </w:t>
      </w:r>
      <w:r w:rsidRPr="00A92155">
        <w:rPr>
          <w:rFonts w:asciiTheme="majorBidi" w:hAnsiTheme="majorBidi" w:cstheme="majorBidi"/>
          <w:b/>
          <w:bCs/>
          <w:sz w:val="26"/>
          <w:szCs w:val="26"/>
        </w:rPr>
        <w:t>MIT</w:t>
      </w:r>
      <w:r w:rsidRPr="00A92155">
        <w:rPr>
          <w:rFonts w:asciiTheme="majorBidi" w:hAnsiTheme="majorBidi" w:cstheme="majorBidi"/>
          <w:b/>
          <w:bCs/>
          <w:sz w:val="26"/>
          <w:szCs w:val="26"/>
          <w:rtl/>
        </w:rPr>
        <w:t>)</w:t>
      </w:r>
    </w:p>
    <w:p w14:paraId="09A7CBD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يُعد هذا النموذج من الأطر الأكثر استخداماً لأنه يركز على الجمع بين البعد التكنولوجي والاستراتيجي للتحول:</w:t>
      </w:r>
    </w:p>
    <w:p w14:paraId="05433180" w14:textId="77777777" w:rsidR="00202E2A" w:rsidRPr="00A92155" w:rsidRDefault="00202E2A">
      <w:pPr>
        <w:numPr>
          <w:ilvl w:val="0"/>
          <w:numId w:val="34"/>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القيادة الرقمية (</w:t>
      </w:r>
      <w:r w:rsidRPr="00A92155">
        <w:rPr>
          <w:rFonts w:asciiTheme="majorBidi" w:hAnsiTheme="majorBidi" w:cstheme="majorBidi"/>
          <w:b/>
          <w:bCs/>
          <w:sz w:val="26"/>
          <w:szCs w:val="26"/>
        </w:rPr>
        <w:t>Digital Leadership</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مدى وجود رؤية واضحة، التزام قيادي، وتخصيص الموارد لدعم التحول (التركيز على القمة).</w:t>
      </w:r>
    </w:p>
    <w:p w14:paraId="7DCEB8CA" w14:textId="77777777" w:rsidR="00202E2A" w:rsidRPr="00A92155" w:rsidRDefault="00202E2A">
      <w:pPr>
        <w:numPr>
          <w:ilvl w:val="0"/>
          <w:numId w:val="34"/>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عمق التحول الرقمي (</w:t>
      </w:r>
      <w:r w:rsidRPr="00A92155">
        <w:rPr>
          <w:rFonts w:asciiTheme="majorBidi" w:hAnsiTheme="majorBidi" w:cstheme="majorBidi"/>
          <w:b/>
          <w:bCs/>
          <w:sz w:val="26"/>
          <w:szCs w:val="26"/>
        </w:rPr>
        <w:t>Digital Depth</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مدى الاستخدام الفعال للتقنيات في العمليات الأساسية للمنظمة (التركيز على القاعدة).</w:t>
      </w:r>
    </w:p>
    <w:p w14:paraId="7E940D8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lastRenderedPageBreak/>
        <w:t>تعليق الباحث أهمية</w:t>
      </w:r>
      <w:r w:rsidRPr="00A92155">
        <w:rPr>
          <w:rFonts w:asciiTheme="majorBidi" w:hAnsiTheme="majorBidi" w:cstheme="majorBidi"/>
          <w:sz w:val="26"/>
          <w:szCs w:val="26"/>
          <w:rtl/>
        </w:rPr>
        <w:t xml:space="preserve"> تصنف المؤسسات التي تنجح في البعدين معاً بـ "الماهرة رقمياً" (</w:t>
      </w:r>
      <w:r w:rsidRPr="00A92155">
        <w:rPr>
          <w:rFonts w:asciiTheme="majorBidi" w:hAnsiTheme="majorBidi" w:cstheme="majorBidi"/>
          <w:sz w:val="26"/>
          <w:szCs w:val="26"/>
        </w:rPr>
        <w:t>Digital Masters</w:t>
      </w:r>
      <w:r w:rsidRPr="00A92155">
        <w:rPr>
          <w:rFonts w:asciiTheme="majorBidi" w:hAnsiTheme="majorBidi" w:cstheme="majorBidi"/>
          <w:sz w:val="26"/>
          <w:szCs w:val="26"/>
          <w:rtl/>
        </w:rPr>
        <w:t>). هذه المؤسسات تحقق في المتوسط أداء مالياً وتشغيلياً أفضل بنسبة 20%، وتتميز بقدرتها على الابتكار وتوظيف التقنيات الناشئة بفعالية في عملياتها الحيوية.</w:t>
      </w:r>
    </w:p>
    <w:p w14:paraId="10D8B0EB"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 xml:space="preserve">ب. نموذج </w:t>
      </w:r>
      <w:r w:rsidRPr="00A92155">
        <w:rPr>
          <w:rFonts w:asciiTheme="majorBidi" w:hAnsiTheme="majorBidi" w:cstheme="majorBidi"/>
          <w:b/>
          <w:bCs/>
          <w:sz w:val="26"/>
          <w:szCs w:val="26"/>
        </w:rPr>
        <w:t>Gartner</w:t>
      </w:r>
      <w:r w:rsidRPr="00A92155">
        <w:rPr>
          <w:rFonts w:asciiTheme="majorBidi" w:hAnsiTheme="majorBidi" w:cstheme="majorBidi"/>
          <w:b/>
          <w:bCs/>
          <w:sz w:val="26"/>
          <w:szCs w:val="26"/>
          <w:rtl/>
        </w:rPr>
        <w:t xml:space="preserve"> (رحلة التحول الرقمي)</w:t>
      </w:r>
    </w:p>
    <w:p w14:paraId="6407E0FD"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يركز نموذج </w:t>
      </w:r>
      <w:r w:rsidRPr="00A92155">
        <w:rPr>
          <w:rFonts w:asciiTheme="majorBidi" w:hAnsiTheme="majorBidi" w:cstheme="majorBidi"/>
          <w:sz w:val="26"/>
          <w:szCs w:val="26"/>
        </w:rPr>
        <w:t>Gartner</w:t>
      </w:r>
      <w:r w:rsidRPr="00A92155">
        <w:rPr>
          <w:rFonts w:asciiTheme="majorBidi" w:hAnsiTheme="majorBidi" w:cstheme="majorBidi"/>
          <w:sz w:val="26"/>
          <w:szCs w:val="26"/>
          <w:rtl/>
        </w:rPr>
        <w:t xml:space="preserve"> على أن التحول الرقمي ليس هدفاً نهائياً، بل رحلة استراتيجية متدرجة بثلاث مراحل متتالية:</w:t>
      </w:r>
    </w:p>
    <w:p w14:paraId="1D4F3DE7" w14:textId="77777777" w:rsidR="00202E2A" w:rsidRPr="00A92155" w:rsidRDefault="00202E2A">
      <w:pPr>
        <w:numPr>
          <w:ilvl w:val="0"/>
          <w:numId w:val="35"/>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التحول المبدئي (</w:t>
      </w:r>
      <w:r w:rsidRPr="00A92155">
        <w:rPr>
          <w:rFonts w:asciiTheme="majorBidi" w:hAnsiTheme="majorBidi" w:cstheme="majorBidi"/>
          <w:b/>
          <w:bCs/>
          <w:sz w:val="26"/>
          <w:szCs w:val="26"/>
        </w:rPr>
        <w:t>Initiate</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مرحلة الوعي، اكتشاف الفرص، وتحديد المبادرات الأولية التي يمكن أن تحقق عائداً سريعاً (</w:t>
      </w:r>
      <w:r w:rsidRPr="00A92155">
        <w:rPr>
          <w:rFonts w:asciiTheme="majorBidi" w:hAnsiTheme="majorBidi" w:cstheme="majorBidi"/>
          <w:sz w:val="26"/>
          <w:szCs w:val="26"/>
        </w:rPr>
        <w:t>Quick Wins</w:t>
      </w:r>
      <w:r w:rsidRPr="00A92155">
        <w:rPr>
          <w:rFonts w:asciiTheme="majorBidi" w:hAnsiTheme="majorBidi" w:cstheme="majorBidi"/>
          <w:sz w:val="26"/>
          <w:szCs w:val="26"/>
          <w:rtl/>
        </w:rPr>
        <w:t>).</w:t>
      </w:r>
    </w:p>
    <w:p w14:paraId="0406814B" w14:textId="77777777" w:rsidR="00202E2A" w:rsidRPr="00A92155" w:rsidRDefault="00202E2A">
      <w:pPr>
        <w:numPr>
          <w:ilvl w:val="0"/>
          <w:numId w:val="35"/>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التحول الناضج/التوسع (</w:t>
      </w:r>
      <w:r w:rsidRPr="00A92155">
        <w:rPr>
          <w:rFonts w:asciiTheme="majorBidi" w:hAnsiTheme="majorBidi" w:cstheme="majorBidi"/>
          <w:b/>
          <w:bCs/>
          <w:sz w:val="26"/>
          <w:szCs w:val="26"/>
        </w:rPr>
        <w:t>Scale</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توسيع نطاق المبادرات الناجحة وتعميمها على مستوى المؤسسة، وهنا تبرز الحاجة إلى حوكمة قوية وتكامل تقني متزايد.</w:t>
      </w:r>
    </w:p>
    <w:p w14:paraId="089ABA78" w14:textId="77777777" w:rsidR="00202E2A" w:rsidRPr="00A92155" w:rsidRDefault="00202E2A">
      <w:pPr>
        <w:numPr>
          <w:ilvl w:val="0"/>
          <w:numId w:val="35"/>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التحول الاستراتيجي/التحسين (</w:t>
      </w:r>
      <w:r w:rsidRPr="00A92155">
        <w:rPr>
          <w:rFonts w:asciiTheme="majorBidi" w:hAnsiTheme="majorBidi" w:cstheme="majorBidi"/>
          <w:b/>
          <w:bCs/>
          <w:sz w:val="26"/>
          <w:szCs w:val="26"/>
        </w:rPr>
        <w:t>Optimize</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مرحلة تحقيق النضج الكامل، حيث تصبح الرقمنة جزءاً لا يتجزأ من نموذج العمل، وتُستخدم التقنيات المتقدمة (</w:t>
      </w:r>
      <w:r w:rsidRPr="00A92155">
        <w:rPr>
          <w:rFonts w:asciiTheme="majorBidi" w:hAnsiTheme="majorBidi" w:cstheme="majorBidi"/>
          <w:sz w:val="26"/>
          <w:szCs w:val="26"/>
        </w:rPr>
        <w:t>AI</w:t>
      </w:r>
      <w:r w:rsidRPr="00A92155">
        <w:rPr>
          <w:rFonts w:asciiTheme="majorBidi" w:hAnsiTheme="majorBidi" w:cstheme="majorBidi"/>
          <w:sz w:val="26"/>
          <w:szCs w:val="26"/>
          <w:rtl/>
        </w:rPr>
        <w:t>) لتحقيق التحسين المستمر والفعالية (</w:t>
      </w:r>
      <w:r w:rsidRPr="00A92155">
        <w:rPr>
          <w:rFonts w:asciiTheme="majorBidi" w:hAnsiTheme="majorBidi" w:cstheme="majorBidi"/>
          <w:sz w:val="26"/>
          <w:szCs w:val="26"/>
        </w:rPr>
        <w:t>Gartner, 2024</w:t>
      </w:r>
      <w:r w:rsidRPr="00A92155">
        <w:rPr>
          <w:rFonts w:asciiTheme="majorBidi" w:hAnsiTheme="majorBidi" w:cstheme="majorBidi"/>
          <w:sz w:val="26"/>
          <w:szCs w:val="26"/>
          <w:rtl/>
        </w:rPr>
        <w:t>).</w:t>
      </w:r>
    </w:p>
    <w:p w14:paraId="32F0451E"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ج. نموذج منظمة التعاون الاقتصادي والتنمية (</w:t>
      </w:r>
      <w:r w:rsidRPr="00A92155">
        <w:rPr>
          <w:rFonts w:asciiTheme="majorBidi" w:hAnsiTheme="majorBidi" w:cstheme="majorBidi"/>
          <w:b/>
          <w:bCs/>
          <w:sz w:val="26"/>
          <w:szCs w:val="26"/>
        </w:rPr>
        <w:t>OECD</w:t>
      </w:r>
      <w:r w:rsidRPr="00A92155">
        <w:rPr>
          <w:rFonts w:asciiTheme="majorBidi" w:hAnsiTheme="majorBidi" w:cstheme="majorBidi"/>
          <w:b/>
          <w:bCs/>
          <w:sz w:val="26"/>
          <w:szCs w:val="26"/>
          <w:rtl/>
        </w:rPr>
        <w:t>)</w:t>
      </w:r>
    </w:p>
    <w:p w14:paraId="46985A3A"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يهتم هذا النموذج بالتحول الرقمي من منظور السياسات الكلية (</w:t>
      </w:r>
      <w:r w:rsidRPr="00A92155">
        <w:rPr>
          <w:rFonts w:asciiTheme="majorBidi" w:hAnsiTheme="majorBidi" w:cstheme="majorBidi"/>
          <w:sz w:val="26"/>
          <w:szCs w:val="26"/>
        </w:rPr>
        <w:t>Macro-Policy</w:t>
      </w:r>
      <w:r w:rsidRPr="00A92155">
        <w:rPr>
          <w:rFonts w:asciiTheme="majorBidi" w:hAnsiTheme="majorBidi" w:cstheme="majorBidi"/>
          <w:sz w:val="26"/>
          <w:szCs w:val="26"/>
          <w:rtl/>
        </w:rPr>
        <w:t>) ويركز على الجوانب الاجتماعية والاقتصادية للرقمنة:</w:t>
      </w:r>
    </w:p>
    <w:p w14:paraId="5DCA441A" w14:textId="77777777" w:rsidR="00202E2A" w:rsidRPr="00A92155" w:rsidRDefault="00202E2A">
      <w:pPr>
        <w:numPr>
          <w:ilvl w:val="0"/>
          <w:numId w:val="36"/>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حوكمة البيانات والأمن:</w:t>
      </w:r>
      <w:r w:rsidRPr="00A92155">
        <w:rPr>
          <w:rFonts w:asciiTheme="majorBidi" w:hAnsiTheme="majorBidi" w:cstheme="majorBidi"/>
          <w:sz w:val="26"/>
          <w:szCs w:val="26"/>
          <w:rtl/>
        </w:rPr>
        <w:t xml:space="preserve"> يشدد النموذج على أهمية بناء إطار عمل قوي لحوكمة البيانات (</w:t>
      </w:r>
      <w:r w:rsidRPr="00A92155">
        <w:rPr>
          <w:rFonts w:asciiTheme="majorBidi" w:hAnsiTheme="majorBidi" w:cstheme="majorBidi"/>
          <w:sz w:val="26"/>
          <w:szCs w:val="26"/>
        </w:rPr>
        <w:t>Data Governance</w:t>
      </w:r>
      <w:r w:rsidRPr="00A92155">
        <w:rPr>
          <w:rFonts w:asciiTheme="majorBidi" w:hAnsiTheme="majorBidi" w:cstheme="majorBidi"/>
          <w:sz w:val="26"/>
          <w:szCs w:val="26"/>
          <w:rtl/>
        </w:rPr>
        <w:t>) وإدارة مخاطر الأمن السيبراني كجزء أساسي من الاقتصاد الرقمي (</w:t>
      </w:r>
      <w:r w:rsidRPr="00A92155">
        <w:rPr>
          <w:rFonts w:asciiTheme="majorBidi" w:hAnsiTheme="majorBidi" w:cstheme="majorBidi"/>
          <w:sz w:val="26"/>
          <w:szCs w:val="26"/>
        </w:rPr>
        <w:t>OECD, 2020</w:t>
      </w:r>
      <w:r w:rsidRPr="00A92155">
        <w:rPr>
          <w:rFonts w:asciiTheme="majorBidi" w:hAnsiTheme="majorBidi" w:cstheme="majorBidi"/>
          <w:sz w:val="26"/>
          <w:szCs w:val="26"/>
          <w:rtl/>
        </w:rPr>
        <w:t>).</w:t>
      </w:r>
    </w:p>
    <w:p w14:paraId="33A37BE7" w14:textId="77777777" w:rsidR="00202E2A" w:rsidRPr="00A92155" w:rsidRDefault="00202E2A">
      <w:pPr>
        <w:numPr>
          <w:ilvl w:val="0"/>
          <w:numId w:val="36"/>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قياس الاقتصاد الرقمي:</w:t>
      </w:r>
      <w:r w:rsidRPr="00A92155">
        <w:rPr>
          <w:rFonts w:asciiTheme="majorBidi" w:hAnsiTheme="majorBidi" w:cstheme="majorBidi"/>
          <w:sz w:val="26"/>
          <w:szCs w:val="26"/>
          <w:rtl/>
        </w:rPr>
        <w:t xml:space="preserve"> ضرورة تطوير إحصائيات وطرق قياس جديدة لجعل "الاقتصاد الرقمي" مرئياً في حسابات الناتج المحلي الإجمالي وأداء القطاعات المختلفة (</w:t>
      </w:r>
      <w:r w:rsidRPr="00A92155">
        <w:rPr>
          <w:rFonts w:asciiTheme="majorBidi" w:hAnsiTheme="majorBidi" w:cstheme="majorBidi"/>
          <w:sz w:val="26"/>
          <w:szCs w:val="26"/>
        </w:rPr>
        <w:t>OECD, 2025</w:t>
      </w:r>
      <w:r w:rsidRPr="00A92155">
        <w:rPr>
          <w:rFonts w:asciiTheme="majorBidi" w:hAnsiTheme="majorBidi" w:cstheme="majorBidi"/>
          <w:sz w:val="26"/>
          <w:szCs w:val="26"/>
          <w:rtl/>
        </w:rPr>
        <w:t>).</w:t>
      </w:r>
    </w:p>
    <w:p w14:paraId="21D51A52"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تعليق الباحث</w:t>
      </w:r>
      <w:r w:rsidRPr="00A92155">
        <w:rPr>
          <w:rFonts w:asciiTheme="majorBidi" w:hAnsiTheme="majorBidi" w:cstheme="majorBidi"/>
          <w:sz w:val="26"/>
          <w:szCs w:val="26"/>
          <w:rtl/>
        </w:rPr>
        <w:t xml:space="preserve"> يوفر نموذج </w:t>
      </w:r>
      <w:r w:rsidRPr="00A92155">
        <w:rPr>
          <w:rFonts w:asciiTheme="majorBidi" w:hAnsiTheme="majorBidi" w:cstheme="majorBidi"/>
          <w:sz w:val="26"/>
          <w:szCs w:val="26"/>
        </w:rPr>
        <w:t>OECD</w:t>
      </w:r>
      <w:r w:rsidRPr="00A92155">
        <w:rPr>
          <w:rFonts w:asciiTheme="majorBidi" w:hAnsiTheme="majorBidi" w:cstheme="majorBidi"/>
          <w:sz w:val="26"/>
          <w:szCs w:val="26"/>
          <w:rtl/>
        </w:rPr>
        <w:t xml:space="preserve"> الإطار الأمثل لربط التحول الرقمي السعودي بأهداف تيسير التجارة العالمية، حيث أن تحسين الأمن وفعالية التجارة هما من أبرز محاور "القياس" التي تدعو إليها المنظمة في تقاريرها حول التجارة الرقمية (</w:t>
      </w:r>
      <w:r w:rsidRPr="00A92155">
        <w:rPr>
          <w:rFonts w:asciiTheme="majorBidi" w:hAnsiTheme="majorBidi" w:cstheme="majorBidi"/>
          <w:sz w:val="26"/>
          <w:szCs w:val="26"/>
        </w:rPr>
        <w:t>OECD, 2018</w:t>
      </w:r>
      <w:r w:rsidRPr="00A92155">
        <w:rPr>
          <w:rFonts w:asciiTheme="majorBidi" w:hAnsiTheme="majorBidi" w:cstheme="majorBidi"/>
          <w:sz w:val="26"/>
          <w:szCs w:val="26"/>
          <w:rtl/>
        </w:rPr>
        <w:t>).</w:t>
      </w:r>
    </w:p>
    <w:p w14:paraId="075F879F"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2.1.5 محددات نجاح التحول الرقمي في القطاع العام</w:t>
      </w:r>
    </w:p>
    <w:p w14:paraId="76E28B5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إن النجاح في التحول الرقمي الحكومي لا يرتكز على التكنولوجيا وحدها، بل هو نتاج تضافر خمسة محددات رئيسية تعمل كمنظومة متكاملة، حيث أن الفشل في أي منها يمكن أن يعيق الجهود بأكملها:</w:t>
      </w:r>
    </w:p>
    <w:p w14:paraId="6C088BBA"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أ. البنية التحتية التكنولوجية المتطورة والمرونة (</w:t>
      </w:r>
      <w:r w:rsidRPr="00A92155">
        <w:rPr>
          <w:rFonts w:asciiTheme="majorBidi" w:hAnsiTheme="majorBidi" w:cstheme="majorBidi"/>
          <w:b/>
          <w:bCs/>
          <w:sz w:val="26"/>
          <w:szCs w:val="26"/>
        </w:rPr>
        <w:t>Infrastructure</w:t>
      </w:r>
      <w:r w:rsidRPr="00A92155">
        <w:rPr>
          <w:rFonts w:asciiTheme="majorBidi" w:hAnsiTheme="majorBidi" w:cstheme="majorBidi"/>
          <w:b/>
          <w:bCs/>
          <w:sz w:val="26"/>
          <w:szCs w:val="26"/>
          <w:rtl/>
        </w:rPr>
        <w:t xml:space="preserve"> &amp; </w:t>
      </w:r>
      <w:r w:rsidRPr="00A92155">
        <w:rPr>
          <w:rFonts w:asciiTheme="majorBidi" w:hAnsiTheme="majorBidi" w:cstheme="majorBidi"/>
          <w:b/>
          <w:bCs/>
          <w:sz w:val="26"/>
          <w:szCs w:val="26"/>
        </w:rPr>
        <w:t>Resilience</w:t>
      </w:r>
      <w:r w:rsidRPr="00A92155">
        <w:rPr>
          <w:rFonts w:asciiTheme="majorBidi" w:hAnsiTheme="majorBidi" w:cstheme="majorBidi"/>
          <w:b/>
          <w:bCs/>
          <w:sz w:val="26"/>
          <w:szCs w:val="26"/>
          <w:rtl/>
        </w:rPr>
        <w:t>)</w:t>
      </w:r>
    </w:p>
    <w:p w14:paraId="1EE559FB"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تتجاوز البنية التحتية الحديثة مجرد توفير الاتصالات السريعة لتشمل بناء بيئة عمل مرنة وموثوقة.</w:t>
      </w:r>
    </w:p>
    <w:p w14:paraId="5FB9ABF4" w14:textId="77777777" w:rsidR="00202E2A" w:rsidRPr="00A92155" w:rsidRDefault="00202E2A">
      <w:pPr>
        <w:numPr>
          <w:ilvl w:val="0"/>
          <w:numId w:val="37"/>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التكامل والتشغيل البيني (</w:t>
      </w:r>
      <w:r w:rsidRPr="00A92155">
        <w:rPr>
          <w:rFonts w:asciiTheme="majorBidi" w:hAnsiTheme="majorBidi" w:cstheme="majorBidi"/>
          <w:b/>
          <w:bCs/>
          <w:sz w:val="26"/>
          <w:szCs w:val="26"/>
        </w:rPr>
        <w:t>Interoperability</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يعد هذا المحدد حاسماً في القطاع الحكومي، فهو يضمن قدرة الأنظمة المتباينة (كأنظمة الجمارك، وأمن الحدود، والجهات الضريبية) على تبادل البيانات وفهمها بشكل آلي. وهذا هو أساس مبادرات مثل "النافذة الواحدة" لتيسير التجارة (</w:t>
      </w:r>
      <w:r w:rsidRPr="00A92155">
        <w:rPr>
          <w:rFonts w:asciiTheme="majorBidi" w:hAnsiTheme="majorBidi" w:cstheme="majorBidi"/>
          <w:sz w:val="26"/>
          <w:szCs w:val="26"/>
        </w:rPr>
        <w:t>Smith, A., 2020</w:t>
      </w:r>
      <w:r w:rsidRPr="00A92155">
        <w:rPr>
          <w:rFonts w:asciiTheme="majorBidi" w:hAnsiTheme="majorBidi" w:cstheme="majorBidi"/>
          <w:sz w:val="26"/>
          <w:szCs w:val="26"/>
          <w:rtl/>
        </w:rPr>
        <w:t>).</w:t>
      </w:r>
    </w:p>
    <w:p w14:paraId="71068B33" w14:textId="77777777" w:rsidR="00202E2A" w:rsidRPr="00A92155" w:rsidRDefault="00202E2A">
      <w:pPr>
        <w:numPr>
          <w:ilvl w:val="0"/>
          <w:numId w:val="37"/>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الحوسبة السحابية (</w:t>
      </w:r>
      <w:r w:rsidRPr="00A92155">
        <w:rPr>
          <w:rFonts w:asciiTheme="majorBidi" w:hAnsiTheme="majorBidi" w:cstheme="majorBidi"/>
          <w:b/>
          <w:bCs/>
          <w:sz w:val="26"/>
          <w:szCs w:val="26"/>
        </w:rPr>
        <w:t>Cloud Computing</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يُعد تبني السحابة الحكومية عاملاً ممكناً للمرونة والسرعة والكفاءة في إدارة البيانات الضخمة التي تنتجها عمليات التجارة والأمن.</w:t>
      </w:r>
    </w:p>
    <w:p w14:paraId="23172262" w14:textId="77777777" w:rsidR="00202E2A" w:rsidRPr="00A92155" w:rsidRDefault="00202E2A">
      <w:pPr>
        <w:numPr>
          <w:ilvl w:val="0"/>
          <w:numId w:val="37"/>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lastRenderedPageBreak/>
        <w:t>الأمن السيبراني المُدمج (</w:t>
      </w:r>
      <w:r w:rsidRPr="00A92155">
        <w:rPr>
          <w:rFonts w:asciiTheme="majorBidi" w:hAnsiTheme="majorBidi" w:cstheme="majorBidi"/>
          <w:b/>
          <w:bCs/>
          <w:sz w:val="26"/>
          <w:szCs w:val="26"/>
        </w:rPr>
        <w:t>Embedded Security</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لا يمكن للبنية التحتية أن تكون ناجحة ما لم يكن الأمن مُدمجاً فيها منذ مرحلة التصميم (</w:t>
      </w:r>
      <w:r w:rsidRPr="00A92155">
        <w:rPr>
          <w:rFonts w:asciiTheme="majorBidi" w:hAnsiTheme="majorBidi" w:cstheme="majorBidi"/>
          <w:sz w:val="26"/>
          <w:szCs w:val="26"/>
        </w:rPr>
        <w:t>Security by Design</w:t>
      </w:r>
      <w:r w:rsidRPr="00A92155">
        <w:rPr>
          <w:rFonts w:asciiTheme="majorBidi" w:hAnsiTheme="majorBidi" w:cstheme="majorBidi"/>
          <w:sz w:val="26"/>
          <w:szCs w:val="26"/>
          <w:rtl/>
        </w:rPr>
        <w:t>). يجب أن تكون الأنظمة مصممة لتحمل الهجمات الإلكترونية (</w:t>
      </w:r>
      <w:r w:rsidRPr="00A92155">
        <w:rPr>
          <w:rFonts w:asciiTheme="majorBidi" w:hAnsiTheme="majorBidi" w:cstheme="majorBidi"/>
          <w:sz w:val="26"/>
          <w:szCs w:val="26"/>
        </w:rPr>
        <w:t>Resilient Infrastructure</w:t>
      </w:r>
      <w:r w:rsidRPr="00A92155">
        <w:rPr>
          <w:rFonts w:asciiTheme="majorBidi" w:hAnsiTheme="majorBidi" w:cstheme="majorBidi"/>
          <w:sz w:val="26"/>
          <w:szCs w:val="26"/>
          <w:rtl/>
        </w:rPr>
        <w:t>) ومنع الاختراقات الموجهة (</w:t>
      </w:r>
      <w:r w:rsidRPr="00A92155">
        <w:rPr>
          <w:rFonts w:asciiTheme="majorBidi" w:hAnsiTheme="majorBidi" w:cstheme="majorBidi"/>
          <w:sz w:val="26"/>
          <w:szCs w:val="26"/>
        </w:rPr>
        <w:t>Smith, A., 2020</w:t>
      </w:r>
      <w:r w:rsidRPr="00A92155">
        <w:rPr>
          <w:rFonts w:asciiTheme="majorBidi" w:hAnsiTheme="majorBidi" w:cstheme="majorBidi"/>
          <w:sz w:val="26"/>
          <w:szCs w:val="26"/>
          <w:rtl/>
        </w:rPr>
        <w:t>).</w:t>
      </w:r>
    </w:p>
    <w:p w14:paraId="498ED102"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ب. رأس المال البشري والكفاءات الرقمية (</w:t>
      </w:r>
      <w:r w:rsidRPr="00A92155">
        <w:rPr>
          <w:rFonts w:asciiTheme="majorBidi" w:hAnsiTheme="majorBidi" w:cstheme="majorBidi"/>
          <w:b/>
          <w:bCs/>
          <w:sz w:val="26"/>
          <w:szCs w:val="26"/>
        </w:rPr>
        <w:t>Human Capital</w:t>
      </w:r>
      <w:r w:rsidRPr="00A92155">
        <w:rPr>
          <w:rFonts w:asciiTheme="majorBidi" w:hAnsiTheme="majorBidi" w:cstheme="majorBidi"/>
          <w:b/>
          <w:bCs/>
          <w:sz w:val="26"/>
          <w:szCs w:val="26"/>
          <w:rtl/>
        </w:rPr>
        <w:t xml:space="preserve"> &amp; </w:t>
      </w:r>
      <w:r w:rsidRPr="00A92155">
        <w:rPr>
          <w:rFonts w:asciiTheme="majorBidi" w:hAnsiTheme="majorBidi" w:cstheme="majorBidi"/>
          <w:b/>
          <w:bCs/>
          <w:sz w:val="26"/>
          <w:szCs w:val="26"/>
        </w:rPr>
        <w:t>Digital Fluency</w:t>
      </w:r>
      <w:r w:rsidRPr="00A92155">
        <w:rPr>
          <w:rFonts w:asciiTheme="majorBidi" w:hAnsiTheme="majorBidi" w:cstheme="majorBidi"/>
          <w:b/>
          <w:bCs/>
          <w:sz w:val="26"/>
          <w:szCs w:val="26"/>
          <w:rtl/>
        </w:rPr>
        <w:t>)</w:t>
      </w:r>
    </w:p>
    <w:p w14:paraId="06F5178A"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إن العنصر البشري هو المحرك الحقيقي للتحول الرقمي. فالاستثمار في التكنولوجيا دون الاستثمار في الكفاءات يُنشئ "فجوة تكنولوجية" داخلية.</w:t>
      </w:r>
    </w:p>
    <w:p w14:paraId="0394CC7F" w14:textId="77777777" w:rsidR="00202E2A" w:rsidRPr="00A92155" w:rsidRDefault="00202E2A">
      <w:pPr>
        <w:numPr>
          <w:ilvl w:val="0"/>
          <w:numId w:val="38"/>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المهارات الرقمية المتقدمة:</w:t>
      </w:r>
      <w:r w:rsidRPr="00A92155">
        <w:rPr>
          <w:rFonts w:asciiTheme="majorBidi" w:hAnsiTheme="majorBidi" w:cstheme="majorBidi"/>
          <w:sz w:val="26"/>
          <w:szCs w:val="26"/>
          <w:rtl/>
        </w:rPr>
        <w:t xml:space="preserve"> الحاجة إلى موظفين يمتلكون مهارات في تحليل البيانات، وإدارة الأمن السيبراني، وفهم تقنيات الذكاء الاصطناعي وتطبيقها في بيئة العمل.</w:t>
      </w:r>
    </w:p>
    <w:p w14:paraId="7E75E2EC" w14:textId="77777777" w:rsidR="00202E2A" w:rsidRPr="00A92155" w:rsidRDefault="00202E2A">
      <w:pPr>
        <w:numPr>
          <w:ilvl w:val="0"/>
          <w:numId w:val="38"/>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برامج بناء القدرات الوطنية:</w:t>
      </w:r>
      <w:r w:rsidRPr="00A92155">
        <w:rPr>
          <w:rFonts w:asciiTheme="majorBidi" w:hAnsiTheme="majorBidi" w:cstheme="majorBidi"/>
          <w:sz w:val="26"/>
          <w:szCs w:val="26"/>
          <w:rtl/>
        </w:rPr>
        <w:t xml:space="preserve"> في السياق السعودي، لعبت المبادرات المرتبطة بـ برنامج التحول الوطني دوراً كبيراً في تطوير الكفاءات الرقمية وتمكين الشباب والمرأة في هذا المجال.</w:t>
      </w:r>
    </w:p>
    <w:p w14:paraId="0B8F802F"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ج. الثقافة التنظيمية الموجهة نحو الابتكار (</w:t>
      </w:r>
      <w:r w:rsidRPr="00A92155">
        <w:rPr>
          <w:rFonts w:asciiTheme="majorBidi" w:hAnsiTheme="majorBidi" w:cstheme="majorBidi"/>
          <w:b/>
          <w:bCs/>
          <w:sz w:val="26"/>
          <w:szCs w:val="26"/>
        </w:rPr>
        <w:t>Organizational Culture</w:t>
      </w:r>
      <w:r w:rsidRPr="00A92155">
        <w:rPr>
          <w:rFonts w:asciiTheme="majorBidi" w:hAnsiTheme="majorBidi" w:cstheme="majorBidi"/>
          <w:b/>
          <w:bCs/>
          <w:sz w:val="26"/>
          <w:szCs w:val="26"/>
          <w:rtl/>
        </w:rPr>
        <w:t xml:space="preserve"> &amp; </w:t>
      </w:r>
      <w:r w:rsidRPr="00A92155">
        <w:rPr>
          <w:rFonts w:asciiTheme="majorBidi" w:hAnsiTheme="majorBidi" w:cstheme="majorBidi"/>
          <w:b/>
          <w:bCs/>
          <w:sz w:val="26"/>
          <w:szCs w:val="26"/>
        </w:rPr>
        <w:t>Innovation</w:t>
      </w:r>
      <w:r w:rsidRPr="00A92155">
        <w:rPr>
          <w:rFonts w:asciiTheme="majorBidi" w:hAnsiTheme="majorBidi" w:cstheme="majorBidi"/>
          <w:b/>
          <w:bCs/>
          <w:sz w:val="26"/>
          <w:szCs w:val="26"/>
          <w:rtl/>
        </w:rPr>
        <w:t>)</w:t>
      </w:r>
    </w:p>
    <w:p w14:paraId="1B3535B6"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إن النجاح الرقمي يتطلب تحولاً من ثقافة الالتزام الصارم بالقواعد (</w:t>
      </w:r>
      <w:r w:rsidRPr="00A92155">
        <w:rPr>
          <w:rFonts w:asciiTheme="majorBidi" w:hAnsiTheme="majorBidi" w:cstheme="majorBidi"/>
          <w:sz w:val="26"/>
          <w:szCs w:val="26"/>
        </w:rPr>
        <w:t>Compliance-Driven Culture</w:t>
      </w:r>
      <w:r w:rsidRPr="00A92155">
        <w:rPr>
          <w:rFonts w:asciiTheme="majorBidi" w:hAnsiTheme="majorBidi" w:cstheme="majorBidi"/>
          <w:sz w:val="26"/>
          <w:szCs w:val="26"/>
          <w:rtl/>
        </w:rPr>
        <w:t>) إلى ثقافة التعلم المستمر (</w:t>
      </w:r>
      <w:r w:rsidRPr="00A92155">
        <w:rPr>
          <w:rFonts w:asciiTheme="majorBidi" w:hAnsiTheme="majorBidi" w:cstheme="majorBidi"/>
          <w:sz w:val="26"/>
          <w:szCs w:val="26"/>
        </w:rPr>
        <w:t>Learning Culture</w:t>
      </w:r>
      <w:r w:rsidRPr="00A92155">
        <w:rPr>
          <w:rFonts w:asciiTheme="majorBidi" w:hAnsiTheme="majorBidi" w:cstheme="majorBidi"/>
          <w:sz w:val="26"/>
          <w:szCs w:val="26"/>
          <w:rtl/>
        </w:rPr>
        <w:t>) والابتكار المفتوح (</w:t>
      </w:r>
      <w:r w:rsidRPr="00A92155">
        <w:rPr>
          <w:rFonts w:asciiTheme="majorBidi" w:hAnsiTheme="majorBidi" w:cstheme="majorBidi"/>
          <w:sz w:val="26"/>
          <w:szCs w:val="26"/>
        </w:rPr>
        <w:t>Open Innovation</w:t>
      </w:r>
      <w:r w:rsidRPr="00A92155">
        <w:rPr>
          <w:rFonts w:asciiTheme="majorBidi" w:hAnsiTheme="majorBidi" w:cstheme="majorBidi"/>
          <w:sz w:val="26"/>
          <w:szCs w:val="26"/>
          <w:rtl/>
        </w:rPr>
        <w:t>).</w:t>
      </w:r>
    </w:p>
    <w:p w14:paraId="635A4827" w14:textId="77777777" w:rsidR="00202E2A" w:rsidRPr="00A92155" w:rsidRDefault="00202E2A">
      <w:pPr>
        <w:numPr>
          <w:ilvl w:val="0"/>
          <w:numId w:val="39"/>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إدارة التغيير:</w:t>
      </w:r>
      <w:r w:rsidRPr="00A92155">
        <w:rPr>
          <w:rFonts w:asciiTheme="majorBidi" w:hAnsiTheme="majorBidi" w:cstheme="majorBidi"/>
          <w:sz w:val="26"/>
          <w:szCs w:val="26"/>
          <w:rtl/>
        </w:rPr>
        <w:t xml:space="preserve"> التحول الرقمي يتطلب تغييرات جوهرية في الأدوار والمسؤوليات، مما يولد مقاومة للتغيير. يجب على القيادات الرقمية أن ترسخ ثقافة التغيير والإبداع لضمان تبني الموظفين للأنظمة الجديدة بدلاً من مقاومتها.</w:t>
      </w:r>
    </w:p>
    <w:p w14:paraId="198EF37C" w14:textId="77777777" w:rsidR="00202E2A" w:rsidRPr="00A92155" w:rsidRDefault="00202E2A">
      <w:pPr>
        <w:numPr>
          <w:ilvl w:val="0"/>
          <w:numId w:val="39"/>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المرونة (</w:t>
      </w:r>
      <w:r w:rsidRPr="00A92155">
        <w:rPr>
          <w:rFonts w:asciiTheme="majorBidi" w:hAnsiTheme="majorBidi" w:cstheme="majorBidi"/>
          <w:b/>
          <w:bCs/>
          <w:sz w:val="26"/>
          <w:szCs w:val="26"/>
        </w:rPr>
        <w:t>Agility</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يجب أن تكون المنظمة قادرة على التجريب، والتعلم السريع من الأخطاء (</w:t>
      </w:r>
      <w:r w:rsidRPr="00A92155">
        <w:rPr>
          <w:rFonts w:asciiTheme="majorBidi" w:hAnsiTheme="majorBidi" w:cstheme="majorBidi"/>
          <w:sz w:val="26"/>
          <w:szCs w:val="26"/>
        </w:rPr>
        <w:t>Fail Fast, Learn Faster</w:t>
      </w:r>
      <w:r w:rsidRPr="00A92155">
        <w:rPr>
          <w:rFonts w:asciiTheme="majorBidi" w:hAnsiTheme="majorBidi" w:cstheme="majorBidi"/>
          <w:sz w:val="26"/>
          <w:szCs w:val="26"/>
          <w:rtl/>
        </w:rPr>
        <w:t>)، والتكيف مع المتطلبات المتغيرة لقطاعي التجارة والأمن.</w:t>
      </w:r>
    </w:p>
    <w:p w14:paraId="1C1FA46E"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د. التشريعات والإطار التنظيمي (</w:t>
      </w:r>
      <w:r w:rsidRPr="00A92155">
        <w:rPr>
          <w:rFonts w:asciiTheme="majorBidi" w:hAnsiTheme="majorBidi" w:cstheme="majorBidi"/>
          <w:b/>
          <w:bCs/>
          <w:sz w:val="26"/>
          <w:szCs w:val="26"/>
        </w:rPr>
        <w:t>Legal</w:t>
      </w:r>
      <w:r w:rsidRPr="00A92155">
        <w:rPr>
          <w:rFonts w:asciiTheme="majorBidi" w:hAnsiTheme="majorBidi" w:cstheme="majorBidi"/>
          <w:b/>
          <w:bCs/>
          <w:sz w:val="26"/>
          <w:szCs w:val="26"/>
          <w:rtl/>
        </w:rPr>
        <w:t xml:space="preserve"> &amp; </w:t>
      </w:r>
      <w:r w:rsidRPr="00A92155">
        <w:rPr>
          <w:rFonts w:asciiTheme="majorBidi" w:hAnsiTheme="majorBidi" w:cstheme="majorBidi"/>
          <w:b/>
          <w:bCs/>
          <w:sz w:val="26"/>
          <w:szCs w:val="26"/>
        </w:rPr>
        <w:t>Regulatory Framework</w:t>
      </w:r>
      <w:r w:rsidRPr="00A92155">
        <w:rPr>
          <w:rFonts w:asciiTheme="majorBidi" w:hAnsiTheme="majorBidi" w:cstheme="majorBidi"/>
          <w:b/>
          <w:bCs/>
          <w:sz w:val="26"/>
          <w:szCs w:val="26"/>
          <w:rtl/>
        </w:rPr>
        <w:t>)</w:t>
      </w:r>
    </w:p>
    <w:p w14:paraId="04F3D546"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يوفر الإطار القانوني الجسر الذي يربط التكنولوجيا بالثقة العامة والشرعية المؤسسية.</w:t>
      </w:r>
    </w:p>
    <w:p w14:paraId="19499295" w14:textId="77777777" w:rsidR="00202E2A" w:rsidRPr="00A92155" w:rsidRDefault="00202E2A">
      <w:pPr>
        <w:numPr>
          <w:ilvl w:val="0"/>
          <w:numId w:val="40"/>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حوكمة البيانات (</w:t>
      </w:r>
      <w:r w:rsidRPr="00A92155">
        <w:rPr>
          <w:rFonts w:asciiTheme="majorBidi" w:hAnsiTheme="majorBidi" w:cstheme="majorBidi"/>
          <w:b/>
          <w:bCs/>
          <w:sz w:val="26"/>
          <w:szCs w:val="26"/>
        </w:rPr>
        <w:t>Data Governance</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وضع سياسات واضحة لجمع وتبادل وحماية البيانات الحكومية الحساسة والبيانات التجارية الخاصة، مما يضمن الشفافية والمساءلة.</w:t>
      </w:r>
    </w:p>
    <w:p w14:paraId="368921CA" w14:textId="77777777" w:rsidR="00202E2A" w:rsidRPr="00A92155" w:rsidRDefault="00202E2A">
      <w:pPr>
        <w:numPr>
          <w:ilvl w:val="0"/>
          <w:numId w:val="40"/>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قوانين حماية الخصوصية والأمن السيبراني:</w:t>
      </w:r>
      <w:r w:rsidRPr="00A92155">
        <w:rPr>
          <w:rFonts w:asciiTheme="majorBidi" w:hAnsiTheme="majorBidi" w:cstheme="majorBidi"/>
          <w:sz w:val="26"/>
          <w:szCs w:val="26"/>
          <w:rtl/>
        </w:rPr>
        <w:t xml:space="preserve"> ضرورة إصدار وتحديث القوانين التي تواكب تطور الجرائم الإلكترونية (كالاحتيال والفدية الرقمية) وتضمن حماية حقوق الأفراد والشركات في البيئة الرقمية (</w:t>
      </w:r>
      <w:r w:rsidRPr="00A92155">
        <w:rPr>
          <w:rFonts w:asciiTheme="majorBidi" w:hAnsiTheme="majorBidi" w:cstheme="majorBidi"/>
          <w:sz w:val="26"/>
          <w:szCs w:val="26"/>
        </w:rPr>
        <w:t>Smith, A., 2020</w:t>
      </w:r>
      <w:r w:rsidRPr="00A92155">
        <w:rPr>
          <w:rFonts w:asciiTheme="majorBidi" w:hAnsiTheme="majorBidi" w:cstheme="majorBidi"/>
          <w:sz w:val="26"/>
          <w:szCs w:val="26"/>
          <w:rtl/>
        </w:rPr>
        <w:t>).</w:t>
      </w:r>
    </w:p>
    <w:p w14:paraId="45E21D0C"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هـ. التمويل وعائد الاستثمار الرقمي (</w:t>
      </w:r>
      <w:r w:rsidRPr="00A92155">
        <w:rPr>
          <w:rFonts w:asciiTheme="majorBidi" w:hAnsiTheme="majorBidi" w:cstheme="majorBidi"/>
          <w:b/>
          <w:bCs/>
          <w:sz w:val="26"/>
          <w:szCs w:val="26"/>
        </w:rPr>
        <w:t>Funding and Digital ROI</w:t>
      </w:r>
      <w:r w:rsidRPr="00A92155">
        <w:rPr>
          <w:rFonts w:asciiTheme="majorBidi" w:hAnsiTheme="majorBidi" w:cstheme="majorBidi"/>
          <w:b/>
          <w:bCs/>
          <w:sz w:val="26"/>
          <w:szCs w:val="26"/>
          <w:rtl/>
        </w:rPr>
        <w:t>)</w:t>
      </w:r>
    </w:p>
    <w:p w14:paraId="0E8126F6"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إن التحول الرقمي عملية مكلفة وتتطلب استثمارات ضخمة ومستمرة. يجب أن يتم النظر إلى الإنفاق الرقمي كـ </w:t>
      </w:r>
      <w:r w:rsidRPr="00A92155">
        <w:rPr>
          <w:rFonts w:asciiTheme="majorBidi" w:hAnsiTheme="majorBidi" w:cstheme="majorBidi"/>
          <w:b/>
          <w:bCs/>
          <w:sz w:val="26"/>
          <w:szCs w:val="26"/>
          <w:rtl/>
        </w:rPr>
        <w:t>استثمار استراتيجي</w:t>
      </w:r>
      <w:r w:rsidRPr="00A92155">
        <w:rPr>
          <w:rFonts w:asciiTheme="majorBidi" w:hAnsiTheme="majorBidi" w:cstheme="majorBidi"/>
          <w:sz w:val="26"/>
          <w:szCs w:val="26"/>
          <w:rtl/>
        </w:rPr>
        <w:t xml:space="preserve"> وليس مجرد تكلفة تشغيلية، مع قياس عائد الاستثمار ليس فقط مالياً، بل من حيث </w:t>
      </w:r>
      <w:r w:rsidRPr="00A92155">
        <w:rPr>
          <w:rFonts w:asciiTheme="majorBidi" w:hAnsiTheme="majorBidi" w:cstheme="majorBidi"/>
          <w:b/>
          <w:bCs/>
          <w:sz w:val="26"/>
          <w:szCs w:val="26"/>
          <w:rtl/>
        </w:rPr>
        <w:t>القيمة المضافة</w:t>
      </w:r>
      <w:r w:rsidRPr="00A92155">
        <w:rPr>
          <w:rFonts w:asciiTheme="majorBidi" w:hAnsiTheme="majorBidi" w:cstheme="majorBidi"/>
          <w:sz w:val="26"/>
          <w:szCs w:val="26"/>
          <w:rtl/>
        </w:rPr>
        <w:t xml:space="preserve"> (مثال: خفض زمن التخليص الجمركي، زيادة ثقة المستثمرين، تعزيز الأمن الوطني).</w:t>
      </w:r>
    </w:p>
    <w:p w14:paraId="0BC0576E"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2.1.6 التحول الرقمي في السياق السعودي: من الرؤية الوطنية 2030 إلى المبادرات الحكومية الرقمية</w:t>
      </w:r>
    </w:p>
    <w:p w14:paraId="6CE6C2F1"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يمثل المسار السعودي في التحول الرقمي نموذجاً للتغيير الموجه من القمة (</w:t>
      </w:r>
      <w:r w:rsidRPr="00A92155">
        <w:rPr>
          <w:rFonts w:asciiTheme="majorBidi" w:hAnsiTheme="majorBidi" w:cstheme="majorBidi"/>
          <w:sz w:val="26"/>
          <w:szCs w:val="26"/>
        </w:rPr>
        <w:t>Top-Down Approach</w:t>
      </w:r>
      <w:r w:rsidRPr="00A92155">
        <w:rPr>
          <w:rFonts w:asciiTheme="majorBidi" w:hAnsiTheme="majorBidi" w:cstheme="majorBidi"/>
          <w:sz w:val="26"/>
          <w:szCs w:val="26"/>
          <w:rtl/>
        </w:rPr>
        <w:t>)، حيث وُضع التحول الرقمي كأحد الأعمدة الرئيسية لتحقيق أهداف رؤية المملكة 2030 الطموحة.</w:t>
      </w:r>
    </w:p>
    <w:p w14:paraId="6BD1894A"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lastRenderedPageBreak/>
        <w:t>أ. دور الرؤية كـ "قوة دافعة مؤسسية"</w:t>
      </w:r>
    </w:p>
    <w:p w14:paraId="608CD1E5"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رؤية 2030 هي القوة الدافعة التي حققت التزاماً شاملاً وغير مسبوق بالتحول الرقمي، بهدف تنويع مصادر الدخل، ودفع الشركات للاستثمار في قطاعات التكنولوجيا، وتعزيز مكانة المملكة كمركز لوجستي عالمي. هذا الالتزام يندرج تحت مفهوم الضغط الإلزامي في النظرية المؤسسية.</w:t>
      </w:r>
    </w:p>
    <w:p w14:paraId="155D1B55"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ب. الاستراتيجيات والمبادرات المؤسسية</w:t>
      </w:r>
    </w:p>
    <w:p w14:paraId="2FEE36E4" w14:textId="77777777" w:rsidR="00202E2A" w:rsidRPr="00A92155" w:rsidRDefault="00202E2A">
      <w:pPr>
        <w:numPr>
          <w:ilvl w:val="0"/>
          <w:numId w:val="41"/>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استراتيجية الحكومة الرقمية (2023-2030):</w:t>
      </w:r>
      <w:r w:rsidRPr="00A92155">
        <w:rPr>
          <w:rFonts w:asciiTheme="majorBidi" w:hAnsiTheme="majorBidi" w:cstheme="majorBidi"/>
          <w:sz w:val="26"/>
          <w:szCs w:val="26"/>
          <w:rtl/>
        </w:rPr>
        <w:t xml:space="preserve"> تهدف إلى بناء بيئة عمل حكومية متكاملة وموثوقة، مع التركيز على التشغيل البيني وتبادل البيانات. وقد أشادت هيئة الحكومة الرقمية بالتقدم المحرز، مشيرة إلى ارتفاع مؤشر نضج التجربة الرقمية للخدمات الحكومية لعام 2025 إلى (86.71%).</w:t>
      </w:r>
    </w:p>
    <w:p w14:paraId="60BC8658" w14:textId="77777777" w:rsidR="00202E2A" w:rsidRPr="00A92155" w:rsidRDefault="00202E2A">
      <w:pPr>
        <w:numPr>
          <w:ilvl w:val="0"/>
          <w:numId w:val="41"/>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الاستراتيجية الوطنية للبيانات والذكاء الاصطناعي (</w:t>
      </w:r>
      <w:r w:rsidRPr="00A92155">
        <w:rPr>
          <w:rFonts w:asciiTheme="majorBidi" w:hAnsiTheme="majorBidi" w:cstheme="majorBidi"/>
          <w:b/>
          <w:bCs/>
          <w:sz w:val="26"/>
          <w:szCs w:val="26"/>
        </w:rPr>
        <w:t>SDAIA</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هذه الاستراتيجية هي أساس الانتقال إلى "الاقتصاد الذكي" عبر تسخير قدرات الذكاء الاصطناعي في تحليل المخاطر الأمنية، وتحسين الخدمات اللوجستية، ورفع الكفاءة الإنتاجية في القطاع العام.</w:t>
      </w:r>
    </w:p>
    <w:p w14:paraId="3B7ABCAE" w14:textId="77777777" w:rsidR="00202E2A" w:rsidRPr="00A92155" w:rsidRDefault="00202E2A">
      <w:pPr>
        <w:numPr>
          <w:ilvl w:val="0"/>
          <w:numId w:val="41"/>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الأمن السيبراني:</w:t>
      </w:r>
      <w:r w:rsidRPr="00A92155">
        <w:rPr>
          <w:rFonts w:asciiTheme="majorBidi" w:hAnsiTheme="majorBidi" w:cstheme="majorBidi"/>
          <w:sz w:val="26"/>
          <w:szCs w:val="26"/>
          <w:rtl/>
        </w:rPr>
        <w:t xml:space="preserve"> تم إنشاء الهيئة الوطنية للأمن السيبراني (</w:t>
      </w:r>
      <w:r w:rsidRPr="00A92155">
        <w:rPr>
          <w:rFonts w:asciiTheme="majorBidi" w:hAnsiTheme="majorBidi" w:cstheme="majorBidi"/>
          <w:sz w:val="26"/>
          <w:szCs w:val="26"/>
        </w:rPr>
        <w:t>NCA</w:t>
      </w:r>
      <w:r w:rsidRPr="00A92155">
        <w:rPr>
          <w:rFonts w:asciiTheme="majorBidi" w:hAnsiTheme="majorBidi" w:cstheme="majorBidi"/>
          <w:sz w:val="26"/>
          <w:szCs w:val="26"/>
          <w:rtl/>
        </w:rPr>
        <w:t>) لضمان حماية الفضاء السيبراني الوطني، مما يؤكد أن الأمن السيبراني هو ممكّن أساسي وليس مجرد تحدٍ في مسيرة التحول.</w:t>
      </w:r>
    </w:p>
    <w:p w14:paraId="6EA52976"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ج. المبادرات الملموسة ذات الصلة بالدراسة</w:t>
      </w:r>
    </w:p>
    <w:p w14:paraId="5134944B" w14:textId="77777777" w:rsidR="00202E2A" w:rsidRPr="00A92155" w:rsidRDefault="00202E2A">
      <w:pPr>
        <w:numPr>
          <w:ilvl w:val="0"/>
          <w:numId w:val="42"/>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منصة "أبشر":</w:t>
      </w:r>
      <w:r w:rsidRPr="00A92155">
        <w:rPr>
          <w:rFonts w:asciiTheme="majorBidi" w:hAnsiTheme="majorBidi" w:cstheme="majorBidi"/>
          <w:sz w:val="26"/>
          <w:szCs w:val="26"/>
          <w:rtl/>
        </w:rPr>
        <w:t xml:space="preserve"> نموذج لنجاح الحكومة الرقمية في توحيد الخدمات وتسهيلها على المواطنين.</w:t>
      </w:r>
    </w:p>
    <w:p w14:paraId="6929E7F8" w14:textId="77777777" w:rsidR="00202E2A" w:rsidRPr="00A92155" w:rsidRDefault="00202E2A">
      <w:pPr>
        <w:numPr>
          <w:ilvl w:val="0"/>
          <w:numId w:val="42"/>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"الجمرك الذكي" (</w:t>
      </w:r>
      <w:r w:rsidRPr="00A92155">
        <w:rPr>
          <w:rFonts w:asciiTheme="majorBidi" w:hAnsiTheme="majorBidi" w:cstheme="majorBidi"/>
          <w:b/>
          <w:bCs/>
          <w:sz w:val="26"/>
          <w:szCs w:val="26"/>
        </w:rPr>
        <w:t>Smart Customs</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العمل على تطبيق أحدث تقنيات الذكاء الاصطناعي وسلاسل الكتل في عمليات الجمارك لتقليل زمن التخليص وزيادة كفاءة الفحص الأمني، مما يعكس الدمج المباشر بين محوري الدراسة (</w:t>
      </w:r>
      <w:r w:rsidRPr="00A92155">
        <w:rPr>
          <w:rFonts w:asciiTheme="majorBidi" w:hAnsiTheme="majorBidi" w:cstheme="majorBidi"/>
          <w:sz w:val="26"/>
          <w:szCs w:val="26"/>
        </w:rPr>
        <w:t>WCO, 2023</w:t>
      </w:r>
      <w:r w:rsidRPr="00A92155">
        <w:rPr>
          <w:rFonts w:asciiTheme="majorBidi" w:hAnsiTheme="majorBidi" w:cstheme="majorBidi"/>
          <w:sz w:val="26"/>
          <w:szCs w:val="26"/>
          <w:rtl/>
        </w:rPr>
        <w:t>).</w:t>
      </w:r>
    </w:p>
    <w:p w14:paraId="07B5166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تعليق الباحث</w:t>
      </w:r>
      <w:r w:rsidRPr="00A92155">
        <w:rPr>
          <w:rFonts w:asciiTheme="majorBidi" w:hAnsiTheme="majorBidi" w:cstheme="majorBidi"/>
          <w:sz w:val="26"/>
          <w:szCs w:val="26"/>
          <w:rtl/>
        </w:rPr>
        <w:t xml:space="preserve"> أظهر السياق السعودي منهجية ناضجة في التحول الرقمي من خلال صياغة استراتيجيات متكاملة تعالج محددات النجاح الخمسة (البنية التحتية، رأس المال البشري، الثقافة، التشريعات، التمويل)، وهو ما يضع المملكة في طليعة الدول المتقدمة في هذا المجال.</w:t>
      </w:r>
    </w:p>
    <w:p w14:paraId="4929F457"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2.1.7 التجارب الدولية المقارنة</w:t>
      </w:r>
    </w:p>
    <w:p w14:paraId="698F95E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تُعد التجارب الدولية مرجعاً استراتيجياً لا غنى عنه لعملية القياس المعياري الاستراتيجي (</w:t>
      </w:r>
      <w:r w:rsidRPr="00A92155">
        <w:rPr>
          <w:rFonts w:asciiTheme="majorBidi" w:hAnsiTheme="majorBidi" w:cstheme="majorBidi"/>
          <w:sz w:val="26"/>
          <w:szCs w:val="26"/>
        </w:rPr>
        <w:t>Strategic Benchmarking</w:t>
      </w:r>
      <w:r w:rsidRPr="00A92155">
        <w:rPr>
          <w:rFonts w:asciiTheme="majorBidi" w:hAnsiTheme="majorBidi" w:cstheme="majorBidi"/>
          <w:sz w:val="26"/>
          <w:szCs w:val="26"/>
          <w:rtl/>
        </w:rPr>
        <w:t>)، حيث تُسهم في استخلاص الدروس المستفادة حول كيفية تحقيق التوازن الفعال بين تعزيز الأمن وتيسير التجارة عبر التحول الرقمي. فيما يلي تحليل معمق لأربع تجارب رائدة:</w:t>
      </w:r>
    </w:p>
    <w:p w14:paraId="4476B920"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أ. إستونيا: الريادة في الهوية والأمن السيادي</w:t>
      </w:r>
    </w:p>
    <w:p w14:paraId="19A8E448" w14:textId="77777777" w:rsidR="00202E2A" w:rsidRPr="00A92155" w:rsidRDefault="00202E2A">
      <w:pPr>
        <w:numPr>
          <w:ilvl w:val="0"/>
          <w:numId w:val="43"/>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الركيزة:</w:t>
      </w:r>
      <w:r w:rsidRPr="00A92155">
        <w:rPr>
          <w:rFonts w:asciiTheme="majorBidi" w:hAnsiTheme="majorBidi" w:cstheme="majorBidi"/>
          <w:sz w:val="26"/>
          <w:szCs w:val="26"/>
          <w:rtl/>
        </w:rPr>
        <w:t xml:space="preserve"> الحكومة الرقمية الموثوقة (</w:t>
      </w:r>
      <w:r w:rsidRPr="00A92155">
        <w:rPr>
          <w:rFonts w:asciiTheme="majorBidi" w:hAnsiTheme="majorBidi" w:cstheme="majorBidi"/>
          <w:sz w:val="26"/>
          <w:szCs w:val="26"/>
        </w:rPr>
        <w:t>E-Estonia</w:t>
      </w:r>
      <w:r w:rsidRPr="00A92155">
        <w:rPr>
          <w:rFonts w:asciiTheme="majorBidi" w:hAnsiTheme="majorBidi" w:cstheme="majorBidi"/>
          <w:sz w:val="26"/>
          <w:szCs w:val="26"/>
          <w:rtl/>
        </w:rPr>
        <w:t>) والهوية الرقمية الموحدة.</w:t>
      </w:r>
    </w:p>
    <w:p w14:paraId="7F4A67F5" w14:textId="77777777" w:rsidR="00202E2A" w:rsidRPr="00A92155" w:rsidRDefault="00202E2A">
      <w:pPr>
        <w:numPr>
          <w:ilvl w:val="0"/>
          <w:numId w:val="43"/>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الأمن:</w:t>
      </w:r>
      <w:r w:rsidRPr="00A92155">
        <w:rPr>
          <w:rFonts w:asciiTheme="majorBidi" w:hAnsiTheme="majorBidi" w:cstheme="majorBidi"/>
          <w:sz w:val="26"/>
          <w:szCs w:val="26"/>
          <w:rtl/>
        </w:rPr>
        <w:t xml:space="preserve"> تعتمد إستونيا على تقنية سلاسل الكتل (</w:t>
      </w:r>
      <w:r w:rsidRPr="00A92155">
        <w:rPr>
          <w:rFonts w:asciiTheme="majorBidi" w:hAnsiTheme="majorBidi" w:cstheme="majorBidi"/>
          <w:sz w:val="26"/>
          <w:szCs w:val="26"/>
        </w:rPr>
        <w:t>Blockchain</w:t>
      </w:r>
      <w:r w:rsidRPr="00A92155">
        <w:rPr>
          <w:rFonts w:asciiTheme="majorBidi" w:hAnsiTheme="majorBidi" w:cstheme="majorBidi"/>
          <w:sz w:val="26"/>
          <w:szCs w:val="26"/>
          <w:rtl/>
        </w:rPr>
        <w:t>) لحماية سجلات الدولة الحساسة، مما يجعلها مقاومة للعبث والتعديل (</w:t>
      </w:r>
      <w:r w:rsidRPr="00A92155">
        <w:rPr>
          <w:rFonts w:asciiTheme="majorBidi" w:hAnsiTheme="majorBidi" w:cstheme="majorBidi"/>
          <w:sz w:val="26"/>
          <w:szCs w:val="26"/>
        </w:rPr>
        <w:t>Tamper-Proof</w:t>
      </w:r>
      <w:r w:rsidRPr="00A92155">
        <w:rPr>
          <w:rFonts w:asciiTheme="majorBidi" w:hAnsiTheme="majorBidi" w:cstheme="majorBidi"/>
          <w:sz w:val="26"/>
          <w:szCs w:val="26"/>
          <w:rtl/>
        </w:rPr>
        <w:t>) ويضمن الأمن السيادي للبيانات.</w:t>
      </w:r>
    </w:p>
    <w:p w14:paraId="64831EFB" w14:textId="77777777" w:rsidR="00202E2A" w:rsidRPr="00A92155" w:rsidRDefault="00202E2A">
      <w:pPr>
        <w:numPr>
          <w:ilvl w:val="0"/>
          <w:numId w:val="43"/>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تيسير التجارة:</w:t>
      </w:r>
      <w:r w:rsidRPr="00A92155">
        <w:rPr>
          <w:rFonts w:asciiTheme="majorBidi" w:hAnsiTheme="majorBidi" w:cstheme="majorBidi"/>
          <w:sz w:val="26"/>
          <w:szCs w:val="26"/>
          <w:rtl/>
        </w:rPr>
        <w:t xml:space="preserve"> سمح نظام الإقامة الإلكترونية (</w:t>
      </w:r>
      <w:r w:rsidRPr="00A92155">
        <w:rPr>
          <w:rFonts w:asciiTheme="majorBidi" w:hAnsiTheme="majorBidi" w:cstheme="majorBidi"/>
          <w:sz w:val="26"/>
          <w:szCs w:val="26"/>
        </w:rPr>
        <w:t>e-Residency</w:t>
      </w:r>
      <w:r w:rsidRPr="00A92155">
        <w:rPr>
          <w:rFonts w:asciiTheme="majorBidi" w:hAnsiTheme="majorBidi" w:cstheme="majorBidi"/>
          <w:sz w:val="26"/>
          <w:szCs w:val="26"/>
          <w:rtl/>
        </w:rPr>
        <w:t>) لأي شخص حول العالم بتأسيس وإدارة شركته إلكترونياً بالكامل في الاتحاد الأوروبي، مما عزز جاذبيتها الاقتصادية بشكل كبير وفتح آفاقاً جديدة للتجارة الرقمية العالمية.</w:t>
      </w:r>
    </w:p>
    <w:p w14:paraId="1548827D"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ب. سنغافورة: التكامل بين اللوجستيات الذكية والأمن الحدودي</w:t>
      </w:r>
    </w:p>
    <w:p w14:paraId="19C2C031" w14:textId="77777777" w:rsidR="00202E2A" w:rsidRPr="00A92155" w:rsidRDefault="00202E2A">
      <w:pPr>
        <w:numPr>
          <w:ilvl w:val="0"/>
          <w:numId w:val="44"/>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lastRenderedPageBreak/>
        <w:t>الركيزة:</w:t>
      </w:r>
      <w:r w:rsidRPr="00A92155">
        <w:rPr>
          <w:rFonts w:asciiTheme="majorBidi" w:hAnsiTheme="majorBidi" w:cstheme="majorBidi"/>
          <w:sz w:val="26"/>
          <w:szCs w:val="26"/>
          <w:rtl/>
        </w:rPr>
        <w:t xml:space="preserve"> مبادرة الأمة الذكية (</w:t>
      </w:r>
      <w:r w:rsidRPr="00A92155">
        <w:rPr>
          <w:rFonts w:asciiTheme="majorBidi" w:hAnsiTheme="majorBidi" w:cstheme="majorBidi"/>
          <w:sz w:val="26"/>
          <w:szCs w:val="26"/>
        </w:rPr>
        <w:t>Smart Nation</w:t>
      </w:r>
      <w:r w:rsidRPr="00A92155">
        <w:rPr>
          <w:rFonts w:asciiTheme="majorBidi" w:hAnsiTheme="majorBidi" w:cstheme="majorBidi"/>
          <w:sz w:val="26"/>
          <w:szCs w:val="26"/>
          <w:rtl/>
        </w:rPr>
        <w:t>) والتركيز على مكانتها كمركز لوجستي عالمي.</w:t>
      </w:r>
    </w:p>
    <w:p w14:paraId="5F53D5EA" w14:textId="77777777" w:rsidR="00202E2A" w:rsidRPr="00A92155" w:rsidRDefault="00202E2A">
      <w:pPr>
        <w:numPr>
          <w:ilvl w:val="0"/>
          <w:numId w:val="44"/>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تيسير التجارة:</w:t>
      </w:r>
      <w:r w:rsidRPr="00A92155">
        <w:rPr>
          <w:rFonts w:asciiTheme="majorBidi" w:hAnsiTheme="majorBidi" w:cstheme="majorBidi"/>
          <w:sz w:val="26"/>
          <w:szCs w:val="26"/>
          <w:rtl/>
        </w:rPr>
        <w:t xml:space="preserve"> إنشاء نظام </w:t>
      </w:r>
      <w:r w:rsidRPr="00A92155">
        <w:rPr>
          <w:rFonts w:asciiTheme="majorBidi" w:hAnsiTheme="majorBidi" w:cstheme="majorBidi"/>
          <w:sz w:val="26"/>
          <w:szCs w:val="26"/>
        </w:rPr>
        <w:t>TradeNet</w:t>
      </w:r>
      <w:r w:rsidRPr="00A92155">
        <w:rPr>
          <w:rFonts w:asciiTheme="majorBidi" w:hAnsiTheme="majorBidi" w:cstheme="majorBidi"/>
          <w:sz w:val="26"/>
          <w:szCs w:val="26"/>
          <w:rtl/>
        </w:rPr>
        <w:t xml:space="preserve"> و </w:t>
      </w:r>
      <w:r w:rsidRPr="00A92155">
        <w:rPr>
          <w:rFonts w:asciiTheme="majorBidi" w:hAnsiTheme="majorBidi" w:cstheme="majorBidi"/>
          <w:sz w:val="26"/>
          <w:szCs w:val="26"/>
        </w:rPr>
        <w:t>TradeXchange</w:t>
      </w:r>
      <w:r w:rsidRPr="00A92155">
        <w:rPr>
          <w:rFonts w:asciiTheme="majorBidi" w:hAnsiTheme="majorBidi" w:cstheme="majorBidi"/>
          <w:sz w:val="26"/>
          <w:szCs w:val="26"/>
          <w:rtl/>
        </w:rPr>
        <w:t xml:space="preserve"> المتقدم (النافذة الواحدة) الذي يربط بين أكثر من 35 جهة حكومية وتجارية في عملية تخليص آلي وسريع للشحنات. وهذا أدى إلى خفض زمن التخليص إلى بضع دقائق في معظم الحالات.</w:t>
      </w:r>
    </w:p>
    <w:p w14:paraId="2E42621A" w14:textId="77777777" w:rsidR="00202E2A" w:rsidRPr="00A92155" w:rsidRDefault="00202E2A">
      <w:pPr>
        <w:numPr>
          <w:ilvl w:val="0"/>
          <w:numId w:val="44"/>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الأمن:</w:t>
      </w:r>
      <w:r w:rsidRPr="00A92155">
        <w:rPr>
          <w:rFonts w:asciiTheme="majorBidi" w:hAnsiTheme="majorBidi" w:cstheme="majorBidi"/>
          <w:sz w:val="26"/>
          <w:szCs w:val="26"/>
          <w:rtl/>
        </w:rPr>
        <w:t xml:space="preserve"> استخدام الذكاء الاصطناعي التنبؤي في تحليل بيانات الشحنات (</w:t>
      </w:r>
      <w:r w:rsidRPr="00A92155">
        <w:rPr>
          <w:rFonts w:asciiTheme="majorBidi" w:hAnsiTheme="majorBidi" w:cstheme="majorBidi"/>
          <w:sz w:val="26"/>
          <w:szCs w:val="26"/>
        </w:rPr>
        <w:t>Risk Analytics</w:t>
      </w:r>
      <w:r w:rsidRPr="00A92155">
        <w:rPr>
          <w:rFonts w:asciiTheme="majorBidi" w:hAnsiTheme="majorBidi" w:cstheme="majorBidi"/>
          <w:sz w:val="26"/>
          <w:szCs w:val="26"/>
          <w:rtl/>
        </w:rPr>
        <w:t>) لتحديد الشحنات ذات المخاطر الأمنية العالية فقط للتفتيش المادي، مما يحقق أعلى مستويات الأمن دون عرقلة التدفق التجاري.</w:t>
      </w:r>
    </w:p>
    <w:p w14:paraId="43BA4F18"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ج. كوريا الجنوبية: قوة البنية التحتية والانتشار المجتمعي</w:t>
      </w:r>
    </w:p>
    <w:p w14:paraId="5D7928C7" w14:textId="77777777" w:rsidR="00202E2A" w:rsidRPr="00A92155" w:rsidRDefault="00202E2A">
      <w:pPr>
        <w:numPr>
          <w:ilvl w:val="0"/>
          <w:numId w:val="45"/>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الركيزة:</w:t>
      </w:r>
      <w:r w:rsidRPr="00A92155">
        <w:rPr>
          <w:rFonts w:asciiTheme="majorBidi" w:hAnsiTheme="majorBidi" w:cstheme="majorBidi"/>
          <w:sz w:val="26"/>
          <w:szCs w:val="26"/>
          <w:rtl/>
        </w:rPr>
        <w:t xml:space="preserve"> الاستثمار القياسي في البنية التحتية للاتصالات (</w:t>
      </w:r>
      <w:r w:rsidRPr="00A92155">
        <w:rPr>
          <w:rFonts w:asciiTheme="majorBidi" w:hAnsiTheme="majorBidi" w:cstheme="majorBidi"/>
          <w:sz w:val="26"/>
          <w:szCs w:val="26"/>
        </w:rPr>
        <w:t>Gigabit Society</w:t>
      </w:r>
      <w:r w:rsidRPr="00A92155">
        <w:rPr>
          <w:rFonts w:asciiTheme="majorBidi" w:hAnsiTheme="majorBidi" w:cstheme="majorBidi"/>
          <w:sz w:val="26"/>
          <w:szCs w:val="26"/>
          <w:rtl/>
        </w:rPr>
        <w:t>) والوصول إلى إنترنت فائق السرعة.</w:t>
      </w:r>
    </w:p>
    <w:p w14:paraId="0C1E4B10" w14:textId="77777777" w:rsidR="00202E2A" w:rsidRPr="00A92155" w:rsidRDefault="00202E2A">
      <w:pPr>
        <w:numPr>
          <w:ilvl w:val="0"/>
          <w:numId w:val="45"/>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الأمن:</w:t>
      </w:r>
      <w:r w:rsidRPr="00A92155">
        <w:rPr>
          <w:rFonts w:asciiTheme="majorBidi" w:hAnsiTheme="majorBidi" w:cstheme="majorBidi"/>
          <w:sz w:val="26"/>
          <w:szCs w:val="26"/>
          <w:rtl/>
        </w:rPr>
        <w:t xml:space="preserve"> توفير بنية تحتية مرنة ومقاومة للصدمات (</w:t>
      </w:r>
      <w:r w:rsidRPr="00A92155">
        <w:rPr>
          <w:rFonts w:asciiTheme="majorBidi" w:hAnsiTheme="majorBidi" w:cstheme="majorBidi"/>
          <w:sz w:val="26"/>
          <w:szCs w:val="26"/>
        </w:rPr>
        <w:t>Resilience</w:t>
      </w:r>
      <w:r w:rsidRPr="00A92155">
        <w:rPr>
          <w:rFonts w:asciiTheme="majorBidi" w:hAnsiTheme="majorBidi" w:cstheme="majorBidi"/>
          <w:sz w:val="26"/>
          <w:szCs w:val="26"/>
          <w:rtl/>
        </w:rPr>
        <w:t>) على المستوى الوطني، مما يضمن استدامة العمليات الحكومية والتجارية حتى في مواجهة التهديدات السيبرانية.</w:t>
      </w:r>
    </w:p>
    <w:p w14:paraId="01326674" w14:textId="77777777" w:rsidR="00202E2A" w:rsidRPr="00A92155" w:rsidRDefault="00202E2A">
      <w:pPr>
        <w:numPr>
          <w:ilvl w:val="0"/>
          <w:numId w:val="45"/>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تيسير التجارة:</w:t>
      </w:r>
      <w:r w:rsidRPr="00A92155">
        <w:rPr>
          <w:rFonts w:asciiTheme="majorBidi" w:hAnsiTheme="majorBidi" w:cstheme="majorBidi"/>
          <w:sz w:val="26"/>
          <w:szCs w:val="26"/>
          <w:rtl/>
        </w:rPr>
        <w:t xml:space="preserve"> ساهمت البنية التحتية الموثوقة والمنتشرة في تمكين نمو قطاع التجارة الإلكترونية وسلاسل التوريد الرقمية بكفاءة عالية، مما رفع من تنافسيتها العالمية.</w:t>
      </w:r>
    </w:p>
    <w:p w14:paraId="0591281E"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د. الصين: نموذج التحول العملاق والرقمنة الشاملة</w:t>
      </w:r>
    </w:p>
    <w:p w14:paraId="2CBCAE50" w14:textId="77777777" w:rsidR="00202E2A" w:rsidRPr="00A92155" w:rsidRDefault="00202E2A">
      <w:pPr>
        <w:numPr>
          <w:ilvl w:val="0"/>
          <w:numId w:val="46"/>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الركيزة:</w:t>
      </w:r>
      <w:r w:rsidRPr="00A92155">
        <w:rPr>
          <w:rFonts w:asciiTheme="majorBidi" w:hAnsiTheme="majorBidi" w:cstheme="majorBidi"/>
          <w:sz w:val="26"/>
          <w:szCs w:val="26"/>
          <w:rtl/>
        </w:rPr>
        <w:t xml:space="preserve"> التحول القائم على البيانات الضخمة والرقمنة الشاملة للقطاعات.</w:t>
      </w:r>
    </w:p>
    <w:p w14:paraId="5D7806DD" w14:textId="77777777" w:rsidR="00202E2A" w:rsidRPr="00A92155" w:rsidRDefault="00202E2A">
      <w:pPr>
        <w:numPr>
          <w:ilvl w:val="0"/>
          <w:numId w:val="46"/>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تيسير التجارة:</w:t>
      </w:r>
      <w:r w:rsidRPr="00A92155">
        <w:rPr>
          <w:rFonts w:asciiTheme="majorBidi" w:hAnsiTheme="majorBidi" w:cstheme="majorBidi"/>
          <w:sz w:val="26"/>
          <w:szCs w:val="26"/>
          <w:rtl/>
        </w:rPr>
        <w:t xml:space="preserve"> رقمنة عمليات الموانئ والمناطق الحرة، وإنشاء منصات موحدة للتجارة الإلكترونية العابرة للحدود التي تستفيد من حجم السوق الهائل.</w:t>
      </w:r>
    </w:p>
    <w:p w14:paraId="60AC37FE" w14:textId="77777777" w:rsidR="00202E2A" w:rsidRPr="00A92155" w:rsidRDefault="00202E2A">
      <w:pPr>
        <w:numPr>
          <w:ilvl w:val="0"/>
          <w:numId w:val="46"/>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الأمن:</w:t>
      </w:r>
      <w:r w:rsidRPr="00A92155">
        <w:rPr>
          <w:rFonts w:asciiTheme="majorBidi" w:hAnsiTheme="majorBidi" w:cstheme="majorBidi"/>
          <w:sz w:val="26"/>
          <w:szCs w:val="26"/>
          <w:rtl/>
        </w:rPr>
        <w:t xml:space="preserve"> تطوير أنظمة أمنية متقدمة تعتمد على الذكاء الاصطناعي والمراقبة لتحقيق الأمن الوطني، مع التركيز على التحكم في تدفقات البيانات والمعلومات (</w:t>
      </w:r>
      <w:r w:rsidRPr="00A92155">
        <w:rPr>
          <w:rFonts w:asciiTheme="majorBidi" w:hAnsiTheme="majorBidi" w:cstheme="majorBidi"/>
          <w:sz w:val="26"/>
          <w:szCs w:val="26"/>
        </w:rPr>
        <w:t>Data Sovereignty</w:t>
      </w:r>
      <w:r w:rsidRPr="00A92155">
        <w:rPr>
          <w:rFonts w:asciiTheme="majorBidi" w:hAnsiTheme="majorBidi" w:cstheme="majorBidi"/>
          <w:sz w:val="26"/>
          <w:szCs w:val="26"/>
          <w:rtl/>
        </w:rPr>
        <w:t>).</w:t>
      </w:r>
    </w:p>
    <w:p w14:paraId="49ECFC6A"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الاستنتاج المنهجي:</w:t>
      </w:r>
      <w:r w:rsidRPr="00A92155">
        <w:rPr>
          <w:rFonts w:asciiTheme="majorBidi" w:hAnsiTheme="majorBidi" w:cstheme="majorBidi"/>
          <w:sz w:val="26"/>
          <w:szCs w:val="26"/>
          <w:rtl/>
        </w:rPr>
        <w:t xml:space="preserve"> تُؤكد هذه التجارب أن مفتاح النجاح يكمن في ربط القدرات التكنولوجية (الممثلة في التحول الرقمي) بالإرادة المؤسسية (المتمثلة في القيادة الرقمية)، لتحقيق مخرجات استراتيجية مزدوجة: </w:t>
      </w:r>
      <w:r w:rsidRPr="00A92155">
        <w:rPr>
          <w:rFonts w:asciiTheme="majorBidi" w:hAnsiTheme="majorBidi" w:cstheme="majorBidi"/>
          <w:b/>
          <w:bCs/>
          <w:sz w:val="26"/>
          <w:szCs w:val="26"/>
          <w:rtl/>
        </w:rPr>
        <w:t>الأمن غير القابل للمساومة، والتجارة الميسرة والمنافسة.</w:t>
      </w:r>
    </w:p>
    <w:p w14:paraId="239C52FD"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2.1.8 تقييم جاهزية المملكة للتحول الرقمي وفق مؤشرات الأمم المتحدة (</w:t>
      </w:r>
      <w:r w:rsidRPr="00A92155">
        <w:rPr>
          <w:rFonts w:asciiTheme="majorBidi" w:hAnsiTheme="majorBidi" w:cs="PT Bold Heading"/>
          <w:b/>
          <w:bCs/>
          <w:color w:val="000000" w:themeColor="text1"/>
          <w:sz w:val="26"/>
          <w:szCs w:val="26"/>
        </w:rPr>
        <w:t>EGDI</w:t>
      </w:r>
      <w:r w:rsidRPr="00A92155">
        <w:rPr>
          <w:rFonts w:asciiTheme="majorBidi" w:hAnsiTheme="majorBidi" w:cs="PT Bold Heading"/>
          <w:b/>
          <w:bCs/>
          <w:color w:val="000000" w:themeColor="text1"/>
          <w:sz w:val="26"/>
          <w:szCs w:val="26"/>
          <w:rtl/>
        </w:rPr>
        <w:t xml:space="preserve">، </w:t>
      </w:r>
      <w:r w:rsidRPr="00A92155">
        <w:rPr>
          <w:rFonts w:asciiTheme="majorBidi" w:hAnsiTheme="majorBidi" w:cs="PT Bold Heading"/>
          <w:b/>
          <w:bCs/>
          <w:color w:val="000000" w:themeColor="text1"/>
          <w:sz w:val="26"/>
          <w:szCs w:val="26"/>
        </w:rPr>
        <w:t>LPI</w:t>
      </w:r>
      <w:r w:rsidRPr="00A92155">
        <w:rPr>
          <w:rFonts w:asciiTheme="majorBidi" w:hAnsiTheme="majorBidi" w:cs="PT Bold Heading"/>
          <w:b/>
          <w:bCs/>
          <w:color w:val="000000" w:themeColor="text1"/>
          <w:sz w:val="26"/>
          <w:szCs w:val="26"/>
          <w:rtl/>
        </w:rPr>
        <w:t xml:space="preserve">، </w:t>
      </w:r>
      <w:r w:rsidRPr="00A92155">
        <w:rPr>
          <w:rFonts w:asciiTheme="majorBidi" w:hAnsiTheme="majorBidi" w:cs="PT Bold Heading"/>
          <w:b/>
          <w:bCs/>
          <w:color w:val="000000" w:themeColor="text1"/>
          <w:sz w:val="26"/>
          <w:szCs w:val="26"/>
        </w:rPr>
        <w:t>NRI</w:t>
      </w:r>
      <w:r w:rsidRPr="00A92155">
        <w:rPr>
          <w:rFonts w:asciiTheme="majorBidi" w:hAnsiTheme="majorBidi" w:cs="PT Bold Heading"/>
          <w:b/>
          <w:bCs/>
          <w:color w:val="000000" w:themeColor="text1"/>
          <w:sz w:val="26"/>
          <w:szCs w:val="26"/>
          <w:rtl/>
        </w:rPr>
        <w:t>)</w:t>
      </w:r>
    </w:p>
    <w:p w14:paraId="3F287DA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إن تقييم الجاهزية الرقمية للمملكة وفقاً للمؤشرات العالمية يوفر دليلاً كمياً موثوقاً على نجاح استراتيجية التحول الرقمي، لا سيما في الأبعاد المتعلقة بأداء الحكومة والخدمات اللوجستية والتجارة.</w:t>
      </w:r>
    </w:p>
    <w:p w14:paraId="0F68CC3B"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أ. مؤشر تطور الحكومة الإلكترونية (</w:t>
      </w:r>
      <w:r w:rsidRPr="00A92155">
        <w:rPr>
          <w:rFonts w:asciiTheme="majorBidi" w:hAnsiTheme="majorBidi" w:cstheme="majorBidi"/>
          <w:b/>
          <w:bCs/>
          <w:sz w:val="26"/>
          <w:szCs w:val="26"/>
        </w:rPr>
        <w:t>E-Government Development Index - EGDI</w:t>
      </w:r>
      <w:r w:rsidRPr="00A92155">
        <w:rPr>
          <w:rFonts w:asciiTheme="majorBidi" w:hAnsiTheme="majorBidi" w:cstheme="majorBidi"/>
          <w:b/>
          <w:bCs/>
          <w:sz w:val="26"/>
          <w:szCs w:val="26"/>
          <w:rtl/>
        </w:rPr>
        <w:t>)</w:t>
      </w:r>
    </w:p>
    <w:p w14:paraId="426FAA22"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يُعد مؤشر </w:t>
      </w:r>
      <w:r w:rsidRPr="00A92155">
        <w:rPr>
          <w:rFonts w:asciiTheme="majorBidi" w:hAnsiTheme="majorBidi" w:cstheme="majorBidi"/>
          <w:sz w:val="26"/>
          <w:szCs w:val="26"/>
        </w:rPr>
        <w:t>EGDI</w:t>
      </w:r>
      <w:r w:rsidRPr="00A92155">
        <w:rPr>
          <w:rFonts w:asciiTheme="majorBidi" w:hAnsiTheme="majorBidi" w:cstheme="majorBidi"/>
          <w:sz w:val="26"/>
          <w:szCs w:val="26"/>
          <w:rtl/>
        </w:rPr>
        <w:t>، الذي يصدر كل سنتين عن الأمم المتحدة، المعيار الأهم لقياس مدى نضج الحكومات الرقمية.</w:t>
      </w:r>
    </w:p>
    <w:p w14:paraId="50DEA4C1" w14:textId="77777777" w:rsidR="00202E2A" w:rsidRPr="00A92155" w:rsidRDefault="00202E2A">
      <w:pPr>
        <w:numPr>
          <w:ilvl w:val="0"/>
          <w:numId w:val="47"/>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القفزة في الترتيب العام:</w:t>
      </w:r>
      <w:r w:rsidRPr="00A92155">
        <w:rPr>
          <w:rFonts w:asciiTheme="majorBidi" w:hAnsiTheme="majorBidi" w:cstheme="majorBidi"/>
          <w:sz w:val="26"/>
          <w:szCs w:val="26"/>
          <w:rtl/>
        </w:rPr>
        <w:t xml:space="preserve"> سجلت المملكة أعلى نتيجة تاريخية لها بعد عام 2020، حيث قفزت </w:t>
      </w:r>
      <w:r w:rsidRPr="00A92155">
        <w:rPr>
          <w:rFonts w:asciiTheme="majorBidi" w:hAnsiTheme="majorBidi" w:cstheme="majorBidi"/>
          <w:b/>
          <w:bCs/>
          <w:sz w:val="26"/>
          <w:szCs w:val="26"/>
          <w:rtl/>
        </w:rPr>
        <w:t>12 مرتبة</w:t>
      </w:r>
      <w:r w:rsidRPr="00A92155">
        <w:rPr>
          <w:rFonts w:asciiTheme="majorBidi" w:hAnsiTheme="majorBidi" w:cstheme="majorBidi"/>
          <w:sz w:val="26"/>
          <w:szCs w:val="26"/>
          <w:rtl/>
        </w:rPr>
        <w:t xml:space="preserve"> عالمياً في عام 2022، متجاوزة العديد من دول مجموعة العشرين.</w:t>
      </w:r>
    </w:p>
    <w:p w14:paraId="0863681E" w14:textId="77777777" w:rsidR="00202E2A" w:rsidRPr="00A92155" w:rsidRDefault="00202E2A">
      <w:pPr>
        <w:numPr>
          <w:ilvl w:val="0"/>
          <w:numId w:val="47"/>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الريادة في مؤشر الخدمات الإلكترونية (</w:t>
      </w:r>
      <w:r w:rsidRPr="00A92155">
        <w:rPr>
          <w:rFonts w:asciiTheme="majorBidi" w:hAnsiTheme="majorBidi" w:cstheme="majorBidi"/>
          <w:b/>
          <w:bCs/>
          <w:sz w:val="26"/>
          <w:szCs w:val="26"/>
        </w:rPr>
        <w:t>OSI</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في عام 2024، حققت المملكة تصنيفاً تاريخياً بالحصول على المرتبة الرابعة عالمياً والأولى إقليمياً في هذا المؤشر الفرعي، مما يعكس الجودة العالية للخدمات الحكومية الرقمية المقدمة (هيئة الحكومة الرقمية، 2024).</w:t>
      </w:r>
    </w:p>
    <w:p w14:paraId="689DFEDE" w14:textId="77777777" w:rsidR="00202E2A" w:rsidRPr="00A92155" w:rsidRDefault="00202E2A">
      <w:pPr>
        <w:numPr>
          <w:ilvl w:val="0"/>
          <w:numId w:val="47"/>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lastRenderedPageBreak/>
        <w:t>نضج الحوكمة الرقمية:</w:t>
      </w:r>
      <w:r w:rsidRPr="00A92155">
        <w:rPr>
          <w:rFonts w:asciiTheme="majorBidi" w:hAnsiTheme="majorBidi" w:cstheme="majorBidi"/>
          <w:sz w:val="26"/>
          <w:szCs w:val="26"/>
          <w:rtl/>
        </w:rPr>
        <w:t xml:space="preserve"> أشاد التقرير بنضج التنظيمات الرقمية الحكومية التي وصلت إلى </w:t>
      </w:r>
      <w:r w:rsidRPr="00A92155">
        <w:rPr>
          <w:rFonts w:asciiTheme="majorBidi" w:hAnsiTheme="majorBidi" w:cstheme="majorBidi"/>
          <w:b/>
          <w:bCs/>
          <w:sz w:val="26"/>
          <w:szCs w:val="26"/>
          <w:rtl/>
        </w:rPr>
        <w:t>100%</w:t>
      </w:r>
      <w:r w:rsidRPr="00A92155">
        <w:rPr>
          <w:rFonts w:asciiTheme="majorBidi" w:hAnsiTheme="majorBidi" w:cstheme="majorBidi"/>
          <w:sz w:val="26"/>
          <w:szCs w:val="26"/>
          <w:rtl/>
        </w:rPr>
        <w:t xml:space="preserve">، ونسبة إتاحة ومشاركة البيانات الحكومية المفتوحة للمواطنين وقطاعات الأعمال التي بلغت </w:t>
      </w:r>
      <w:r w:rsidRPr="00A92155">
        <w:rPr>
          <w:rFonts w:asciiTheme="majorBidi" w:hAnsiTheme="majorBidi" w:cstheme="majorBidi"/>
          <w:b/>
          <w:bCs/>
          <w:sz w:val="26"/>
          <w:szCs w:val="26"/>
          <w:rtl/>
        </w:rPr>
        <w:t>100%</w:t>
      </w:r>
      <w:r w:rsidRPr="00A92155">
        <w:rPr>
          <w:rFonts w:asciiTheme="majorBidi" w:hAnsiTheme="majorBidi" w:cstheme="majorBidi"/>
          <w:sz w:val="26"/>
          <w:szCs w:val="26"/>
          <w:rtl/>
        </w:rPr>
        <w:t xml:space="preserve"> (هيئة الحكومة الرقمية، 2024).</w:t>
      </w:r>
    </w:p>
    <w:p w14:paraId="10477ECA"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الدلالة:</w:t>
      </w:r>
      <w:r w:rsidRPr="00A92155">
        <w:rPr>
          <w:rFonts w:asciiTheme="majorBidi" w:hAnsiTheme="majorBidi" w:cstheme="majorBidi"/>
          <w:sz w:val="26"/>
          <w:szCs w:val="26"/>
          <w:rtl/>
        </w:rPr>
        <w:t xml:space="preserve"> تعني هذه القفزات أن الأساس التكنولوجي والإداري للتحول الرقمي قد اكتمل، مما يمهد الطريق لتوظيف هذه المنظومة المتكاملة لخدمة أهداف الأمن وتيسير التجارة.</w:t>
      </w:r>
    </w:p>
    <w:p w14:paraId="21D7D3B1"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ب. مؤشر أداء الخدمات اللوجستية (</w:t>
      </w:r>
      <w:r w:rsidRPr="00A92155">
        <w:rPr>
          <w:rFonts w:asciiTheme="majorBidi" w:hAnsiTheme="majorBidi" w:cstheme="majorBidi"/>
          <w:b/>
          <w:bCs/>
          <w:sz w:val="26"/>
          <w:szCs w:val="26"/>
        </w:rPr>
        <w:t>Logistics Performance Index - LPI</w:t>
      </w:r>
      <w:r w:rsidRPr="00A92155">
        <w:rPr>
          <w:rFonts w:asciiTheme="majorBidi" w:hAnsiTheme="majorBidi" w:cstheme="majorBidi"/>
          <w:b/>
          <w:bCs/>
          <w:sz w:val="26"/>
          <w:szCs w:val="26"/>
          <w:rtl/>
        </w:rPr>
        <w:t>)</w:t>
      </w:r>
    </w:p>
    <w:p w14:paraId="6FE0EBA3"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يُعد مؤشر </w:t>
      </w:r>
      <w:r w:rsidRPr="00A92155">
        <w:rPr>
          <w:rFonts w:asciiTheme="majorBidi" w:hAnsiTheme="majorBidi" w:cstheme="majorBidi"/>
          <w:sz w:val="26"/>
          <w:szCs w:val="26"/>
        </w:rPr>
        <w:t>LPI</w:t>
      </w:r>
      <w:r w:rsidRPr="00A92155">
        <w:rPr>
          <w:rFonts w:asciiTheme="majorBidi" w:hAnsiTheme="majorBidi" w:cstheme="majorBidi"/>
          <w:sz w:val="26"/>
          <w:szCs w:val="26"/>
          <w:rtl/>
        </w:rPr>
        <w:t>، الصادر عن البنك الدولي، مقياساً مباشراً لفعالية محوري الدراسة، حيث يقيس كفاءة عمليات التخليص الجمركي، وجودة البنية التحتية التجارية، وسهولة تتبع الشحنات.</w:t>
      </w:r>
    </w:p>
    <w:p w14:paraId="22BCD13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الربط بتيسير التجارة:</w:t>
      </w:r>
      <w:r w:rsidRPr="00A92155">
        <w:rPr>
          <w:rFonts w:asciiTheme="majorBidi" w:hAnsiTheme="majorBidi" w:cstheme="majorBidi"/>
          <w:sz w:val="26"/>
          <w:szCs w:val="26"/>
          <w:rtl/>
        </w:rPr>
        <w:t xml:space="preserve"> يُعد التقدم في هذا المؤشر دليلاً قاطعاً على الأثر الإيجابي للتحول الرقمي في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وفي قطاع النقل والخدمات اللوجستية ككل. فالرقمنة تؤدي إلى خفض زمن وتكلفة التخليص الجمركي، مما يرفع من تصنيف المملكة كمركز لوجستي إقليمي وعالمي، وهو هدف أساسي من أهداف رؤية 2030 (</w:t>
      </w:r>
      <w:r w:rsidRPr="00A92155">
        <w:rPr>
          <w:rFonts w:asciiTheme="majorBidi" w:hAnsiTheme="majorBidi" w:cstheme="majorBidi"/>
          <w:sz w:val="26"/>
          <w:szCs w:val="26"/>
        </w:rPr>
        <w:t>World Bank, 2020</w:t>
      </w:r>
      <w:r w:rsidRPr="00A92155">
        <w:rPr>
          <w:rFonts w:asciiTheme="majorBidi" w:hAnsiTheme="majorBidi" w:cstheme="majorBidi"/>
          <w:sz w:val="26"/>
          <w:szCs w:val="26"/>
          <w:rtl/>
        </w:rPr>
        <w:t>).</w:t>
      </w:r>
    </w:p>
    <w:p w14:paraId="40B2EE57"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ج. مؤشر الجاهزية الشبكية (</w:t>
      </w:r>
      <w:r w:rsidRPr="00A92155">
        <w:rPr>
          <w:rFonts w:asciiTheme="majorBidi" w:hAnsiTheme="majorBidi" w:cstheme="majorBidi"/>
          <w:b/>
          <w:bCs/>
          <w:sz w:val="26"/>
          <w:szCs w:val="26"/>
        </w:rPr>
        <w:t>Network Readiness Index - NRI</w:t>
      </w:r>
      <w:r w:rsidRPr="00A92155">
        <w:rPr>
          <w:rFonts w:asciiTheme="majorBidi" w:hAnsiTheme="majorBidi" w:cstheme="majorBidi"/>
          <w:b/>
          <w:bCs/>
          <w:sz w:val="26"/>
          <w:szCs w:val="26"/>
          <w:rtl/>
        </w:rPr>
        <w:t>)</w:t>
      </w:r>
    </w:p>
    <w:p w14:paraId="2B6E64C3"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يقيس </w:t>
      </w:r>
      <w:r w:rsidRPr="00A92155">
        <w:rPr>
          <w:rFonts w:asciiTheme="majorBidi" w:hAnsiTheme="majorBidi" w:cstheme="majorBidi"/>
          <w:sz w:val="26"/>
          <w:szCs w:val="26"/>
        </w:rPr>
        <w:t>NRI</w:t>
      </w:r>
      <w:r w:rsidRPr="00A92155">
        <w:rPr>
          <w:rFonts w:asciiTheme="majorBidi" w:hAnsiTheme="majorBidi" w:cstheme="majorBidi"/>
          <w:sz w:val="26"/>
          <w:szCs w:val="26"/>
          <w:rtl/>
        </w:rPr>
        <w:t xml:space="preserve"> قدرة الدولة على استغلال الفرص التي تتيحها التقنيات الناشئة والاستثمار الفعال في البنية التحتية.</w:t>
      </w:r>
    </w:p>
    <w:p w14:paraId="451C488F" w14:textId="77777777" w:rsidR="00202E2A" w:rsidRPr="00A92155" w:rsidRDefault="00202E2A" w:rsidP="00202E2A">
      <w:pPr>
        <w:bidi/>
        <w:spacing w:line="240" w:lineRule="auto"/>
        <w:jc w:val="lowKashida"/>
        <w:rPr>
          <w:rFonts w:asciiTheme="majorBidi" w:hAnsiTheme="majorBidi" w:cstheme="majorBidi"/>
          <w:sz w:val="26"/>
          <w:szCs w:val="26"/>
          <w:rtl/>
        </w:rPr>
      </w:pPr>
      <w:r w:rsidRPr="00B6729E">
        <w:rPr>
          <w:rFonts w:asciiTheme="majorBidi" w:hAnsiTheme="majorBidi" w:cstheme="majorBidi"/>
          <w:sz w:val="26"/>
          <w:szCs w:val="26"/>
          <w:rtl/>
        </w:rPr>
        <w:t>دلالة التقدم:</w:t>
      </w:r>
      <w:r w:rsidRPr="00A92155">
        <w:rPr>
          <w:rFonts w:asciiTheme="majorBidi" w:hAnsiTheme="majorBidi" w:cstheme="majorBidi"/>
          <w:sz w:val="26"/>
          <w:szCs w:val="26"/>
          <w:rtl/>
        </w:rPr>
        <w:t xml:space="preserve"> يُؤكد التقدم في هذا المؤشر أن البيئة السعودية (من تشريعات، ثقافة، وبنية تحتية) جاهزة لاستقبال وتطبيق التقنيات المتقدمة اللازمة للمراحل المستقبلية من التحول الرقمي، لا سيما في مجالات الذكاء الاصطناعي وتحليل المخاطر الموجهة لخدمة الأمن والاقتصاد.</w:t>
      </w:r>
    </w:p>
    <w:p w14:paraId="691866DF" w14:textId="77777777" w:rsidR="00202E2A" w:rsidRPr="00A92155" w:rsidRDefault="00202E2A" w:rsidP="00202E2A">
      <w:pPr>
        <w:bidi/>
        <w:spacing w:line="240" w:lineRule="auto"/>
        <w:jc w:val="lowKashida"/>
        <w:rPr>
          <w:rFonts w:asciiTheme="majorBidi" w:hAnsiTheme="majorBidi" w:cstheme="majorBidi"/>
          <w:sz w:val="26"/>
          <w:szCs w:val="26"/>
          <w:rtl/>
        </w:rPr>
      </w:pPr>
      <w:r w:rsidRPr="00FF0F6B">
        <w:rPr>
          <w:rFonts w:asciiTheme="majorBidi" w:hAnsiTheme="majorBidi" w:cstheme="majorBidi" w:hint="cs"/>
          <w:b/>
          <w:bCs/>
          <w:sz w:val="26"/>
          <w:szCs w:val="26"/>
          <w:rtl/>
        </w:rPr>
        <w:t>تعليق الباحث:</w:t>
      </w:r>
      <w:r w:rsidRPr="00B6729E">
        <w:rPr>
          <w:rFonts w:asciiTheme="majorBidi" w:hAnsiTheme="majorBidi" w:cstheme="majorBidi" w:hint="cs"/>
          <w:sz w:val="26"/>
          <w:szCs w:val="26"/>
          <w:rtl/>
        </w:rPr>
        <w:t xml:space="preserve"> </w:t>
      </w:r>
      <w:r w:rsidRPr="00B6729E">
        <w:rPr>
          <w:rFonts w:asciiTheme="majorBidi" w:hAnsiTheme="majorBidi" w:cstheme="majorBidi"/>
          <w:sz w:val="26"/>
          <w:szCs w:val="26"/>
          <w:rtl/>
        </w:rPr>
        <w:t>لقد</w:t>
      </w:r>
      <w:r w:rsidRPr="00A92155">
        <w:rPr>
          <w:rFonts w:asciiTheme="majorBidi" w:hAnsiTheme="majorBidi" w:cstheme="majorBidi"/>
          <w:sz w:val="26"/>
          <w:szCs w:val="26"/>
          <w:rtl/>
        </w:rPr>
        <w:t xml:space="preserve"> أثبت التحول الرقمي في المملكة العربية السعودية، وفقاً للتقييم النظري والمؤشرات الدولية، أنه ليس مجرد برنامج تحسين خدمات، بل هو إطار عمل استراتيجي شامل (</w:t>
      </w:r>
      <w:r w:rsidRPr="00A92155">
        <w:rPr>
          <w:rFonts w:asciiTheme="majorBidi" w:hAnsiTheme="majorBidi" w:cstheme="majorBidi"/>
          <w:sz w:val="26"/>
          <w:szCs w:val="26"/>
        </w:rPr>
        <w:t>Digital Master</w:t>
      </w:r>
      <w:r w:rsidRPr="00A92155">
        <w:rPr>
          <w:rFonts w:asciiTheme="majorBidi" w:hAnsiTheme="majorBidi" w:cstheme="majorBidi"/>
          <w:sz w:val="26"/>
          <w:szCs w:val="26"/>
          <w:rtl/>
        </w:rPr>
        <w:t>) يُترجم نظريات الكفاءة الديناميكية والنظم إلى واقع ملموس. هذا المبحث يرسخ الثوابت المفاهيمية والمنهجية للدراسة، وينتقل بنا إلى المباحث اللاحقة التي ستفصل الأبعاد المكونة لهذا التحول وكيف تتكامل لخدمة الأمن وتيسير التجارة.</w:t>
      </w:r>
    </w:p>
    <w:p w14:paraId="682F5971" w14:textId="0FA3A2A9" w:rsidR="00202E2A" w:rsidRPr="00A92155" w:rsidRDefault="00FF0F6B" w:rsidP="00202E2A">
      <w:pPr>
        <w:bidi/>
        <w:spacing w:line="240" w:lineRule="auto"/>
        <w:jc w:val="lowKashida"/>
        <w:rPr>
          <w:rFonts w:asciiTheme="majorBidi" w:hAnsiTheme="majorBidi" w:cs="PT Bold Heading"/>
          <w:b/>
          <w:bCs/>
          <w:color w:val="000000" w:themeColor="text1"/>
          <w:sz w:val="26"/>
          <w:szCs w:val="26"/>
          <w:rtl/>
        </w:rPr>
      </w:pPr>
      <w:r w:rsidRPr="00FF0F6B">
        <w:rPr>
          <w:rFonts w:asciiTheme="majorBidi" w:hAnsiTheme="majorBidi" w:cs="PT Bold Heading"/>
          <w:b/>
          <w:bCs/>
          <w:color w:val="000000" w:themeColor="text1"/>
          <w:sz w:val="26"/>
          <w:szCs w:val="26"/>
          <w:rtl/>
        </w:rPr>
        <w:t xml:space="preserve">الباب </w:t>
      </w:r>
      <w:r w:rsidR="00202E2A" w:rsidRPr="00A92155">
        <w:rPr>
          <w:rFonts w:asciiTheme="majorBidi" w:hAnsiTheme="majorBidi" w:cs="PT Bold Heading"/>
          <w:b/>
          <w:bCs/>
          <w:color w:val="000000" w:themeColor="text1"/>
          <w:sz w:val="26"/>
          <w:szCs w:val="26"/>
          <w:rtl/>
        </w:rPr>
        <w:t>الثاني: الأبعاد المكونة للتحول الرقمي في المؤسسات الحكومية</w:t>
      </w:r>
    </w:p>
    <w:p w14:paraId="7B873B7C" w14:textId="72E6F74A"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 xml:space="preserve">مقدمة </w:t>
      </w:r>
    </w:p>
    <w:p w14:paraId="0E01F26B" w14:textId="0A9F6AF5"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بعد تحديد الإطار المفاهيمي والمنهجي للتحول الرقمي وتأصيله نظرياً في </w:t>
      </w:r>
      <w:r w:rsidR="00FC5227">
        <w:rPr>
          <w:rFonts w:asciiTheme="majorBidi" w:hAnsiTheme="majorBidi" w:cstheme="majorBidi" w:hint="cs"/>
          <w:sz w:val="26"/>
          <w:szCs w:val="26"/>
          <w:rtl/>
        </w:rPr>
        <w:t>الباب</w:t>
      </w:r>
      <w:r w:rsidRPr="00A92155">
        <w:rPr>
          <w:rFonts w:asciiTheme="majorBidi" w:hAnsiTheme="majorBidi" w:cstheme="majorBidi"/>
          <w:sz w:val="26"/>
          <w:szCs w:val="26"/>
          <w:rtl/>
        </w:rPr>
        <w:t xml:space="preserve"> الأول، ينتقل التحليل في هذا المبحث الثاني إلى الاشتقاق المنهجي للأبعاد المكونة لهذا التحول في سياق المؤسسات الحكومية، لا سيما تلك التي تتولى مهام استراتيجية مزدوجة كـ تعزيز الأمن وتيسير التجارة.</w:t>
      </w:r>
    </w:p>
    <w:p w14:paraId="7BBDBBC6"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إن التحول الرقمي ليس ظاهرة أحادية، بل هو منظومة ثلاثية الأبعاد تتطلب تضافر الجهود في الأسس الرقمية (</w:t>
      </w:r>
      <w:r w:rsidRPr="00A92155">
        <w:rPr>
          <w:rFonts w:asciiTheme="majorBidi" w:hAnsiTheme="majorBidi" w:cstheme="majorBidi"/>
          <w:sz w:val="26"/>
          <w:szCs w:val="26"/>
        </w:rPr>
        <w:t>Enablers</w:t>
      </w:r>
      <w:r w:rsidRPr="00A92155">
        <w:rPr>
          <w:rFonts w:asciiTheme="majorBidi" w:hAnsiTheme="majorBidi" w:cstheme="majorBidi"/>
          <w:sz w:val="26"/>
          <w:szCs w:val="26"/>
          <w:rtl/>
        </w:rPr>
        <w:t>)، الابتكار الرقمي (</w:t>
      </w:r>
      <w:r w:rsidRPr="00A92155">
        <w:rPr>
          <w:rFonts w:asciiTheme="majorBidi" w:hAnsiTheme="majorBidi" w:cstheme="majorBidi"/>
          <w:sz w:val="26"/>
          <w:szCs w:val="26"/>
        </w:rPr>
        <w:t>Drivers</w:t>
      </w:r>
      <w:r w:rsidRPr="00A92155">
        <w:rPr>
          <w:rFonts w:asciiTheme="majorBidi" w:hAnsiTheme="majorBidi" w:cstheme="majorBidi"/>
          <w:sz w:val="26"/>
          <w:szCs w:val="26"/>
          <w:rtl/>
        </w:rPr>
        <w:t>)، والحوكمة الرقمية (</w:t>
      </w:r>
      <w:r w:rsidRPr="00A92155">
        <w:rPr>
          <w:rFonts w:asciiTheme="majorBidi" w:hAnsiTheme="majorBidi" w:cstheme="majorBidi"/>
          <w:sz w:val="26"/>
          <w:szCs w:val="26"/>
        </w:rPr>
        <w:t>Controls</w:t>
      </w:r>
      <w:r w:rsidRPr="00A92155">
        <w:rPr>
          <w:rFonts w:asciiTheme="majorBidi" w:hAnsiTheme="majorBidi" w:cstheme="majorBidi"/>
          <w:sz w:val="26"/>
          <w:szCs w:val="26"/>
          <w:rtl/>
        </w:rPr>
        <w:t>). يُشبه هذا التصنيف بناء صرح مؤسسي: حيث تمثل الأسس الرقمية الأساس المتين، والابتكار الرقمي يمثل هيكل المبنى الذي يحقق الوظيفة، بينما تمثل الحوكمة الرقمية النظم والتشريعات التي تضمن سلامة المبنى واستدامته وشرعيته.</w:t>
      </w:r>
    </w:p>
    <w:p w14:paraId="38D99104" w14:textId="32F00EC6"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يهدف هذا </w:t>
      </w:r>
      <w:r w:rsidR="00D17BD8">
        <w:rPr>
          <w:rFonts w:asciiTheme="majorBidi" w:hAnsiTheme="majorBidi" w:cstheme="majorBidi" w:hint="cs"/>
          <w:sz w:val="26"/>
          <w:szCs w:val="26"/>
          <w:rtl/>
        </w:rPr>
        <w:t>الباب</w:t>
      </w:r>
      <w:r w:rsidRPr="00A92155">
        <w:rPr>
          <w:rFonts w:asciiTheme="majorBidi" w:hAnsiTheme="majorBidi" w:cstheme="majorBidi"/>
          <w:sz w:val="26"/>
          <w:szCs w:val="26"/>
          <w:rtl/>
        </w:rPr>
        <w:t xml:space="preserve"> إلى تفصيل كل بُعد من هذه الأبعاد الثلاثة، وكيف يُشكل بمكوناته الفرعية مجموعة متكاملة من المتطلبات الاستراتيجية اللازمة لـ هيئة الزكاة والضريبة والجمارك (</w:t>
      </w:r>
      <w:r w:rsidRPr="00A92155">
        <w:rPr>
          <w:rFonts w:asciiTheme="majorBidi" w:hAnsiTheme="majorBidi" w:cstheme="majorBidi"/>
          <w:sz w:val="26"/>
          <w:szCs w:val="26"/>
        </w:rPr>
        <w:t>ZATCA</w:t>
      </w:r>
      <w:r w:rsidRPr="00A92155">
        <w:rPr>
          <w:rFonts w:asciiTheme="majorBidi" w:hAnsiTheme="majorBidi" w:cstheme="majorBidi"/>
          <w:sz w:val="26"/>
          <w:szCs w:val="26"/>
          <w:rtl/>
        </w:rPr>
        <w:t>) لتحقيق التوازن بين مهامها الأمنية والاقتصادية. هذا التحليل يعتمد على أطر القياس العالمية التي تفترض أن النجاح يتطلب مستويات عالية من النضج في هذه الأبعاد الثلاثة مجتمعة (</w:t>
      </w:r>
      <w:r w:rsidRPr="00A92155">
        <w:rPr>
          <w:rFonts w:asciiTheme="majorBidi" w:hAnsiTheme="majorBidi" w:cstheme="majorBidi"/>
          <w:sz w:val="26"/>
          <w:szCs w:val="26"/>
        </w:rPr>
        <w:t>Westerman</w:t>
      </w:r>
      <w:r w:rsidRPr="00A92155">
        <w:rPr>
          <w:rFonts w:asciiTheme="majorBidi" w:hAnsiTheme="majorBidi" w:cstheme="majorBidi"/>
          <w:sz w:val="26"/>
          <w:szCs w:val="26"/>
          <w:rtl/>
        </w:rPr>
        <w:t xml:space="preserve"> &amp; </w:t>
      </w:r>
      <w:r w:rsidRPr="00A92155">
        <w:rPr>
          <w:rFonts w:asciiTheme="majorBidi" w:hAnsiTheme="majorBidi" w:cstheme="majorBidi"/>
          <w:sz w:val="26"/>
          <w:szCs w:val="26"/>
        </w:rPr>
        <w:t>Bonnet, 2023</w:t>
      </w:r>
      <w:r w:rsidRPr="00A92155">
        <w:rPr>
          <w:rFonts w:asciiTheme="majorBidi" w:hAnsiTheme="majorBidi" w:cstheme="majorBidi"/>
          <w:sz w:val="26"/>
          <w:szCs w:val="26"/>
          <w:rtl/>
        </w:rPr>
        <w:t>).</w:t>
      </w:r>
    </w:p>
    <w:p w14:paraId="0D9D2A7C"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lastRenderedPageBreak/>
        <w:t>2.2.1 البعد الأول: الأسس الرقمية (</w:t>
      </w:r>
      <w:r w:rsidRPr="00A92155">
        <w:rPr>
          <w:rFonts w:asciiTheme="majorBidi" w:hAnsiTheme="majorBidi" w:cs="PT Bold Heading"/>
          <w:b/>
          <w:bCs/>
          <w:color w:val="000000" w:themeColor="text1"/>
          <w:sz w:val="26"/>
          <w:szCs w:val="26"/>
        </w:rPr>
        <w:t>Digital Foundations</w:t>
      </w:r>
      <w:r w:rsidRPr="00A92155">
        <w:rPr>
          <w:rFonts w:asciiTheme="majorBidi" w:hAnsiTheme="majorBidi" w:cs="PT Bold Heading"/>
          <w:b/>
          <w:bCs/>
          <w:color w:val="000000" w:themeColor="text1"/>
          <w:sz w:val="26"/>
          <w:szCs w:val="26"/>
          <w:rtl/>
        </w:rPr>
        <w:t>)</w:t>
      </w:r>
    </w:p>
    <w:p w14:paraId="61739D5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يمثل هذا البعد الحتمية التمكينية (</w:t>
      </w:r>
      <w:r w:rsidRPr="00A92155">
        <w:rPr>
          <w:rFonts w:asciiTheme="majorBidi" w:hAnsiTheme="majorBidi" w:cstheme="majorBidi"/>
          <w:sz w:val="26"/>
          <w:szCs w:val="26"/>
        </w:rPr>
        <w:t>The Enabling Imperative</w:t>
      </w:r>
      <w:r w:rsidRPr="00A92155">
        <w:rPr>
          <w:rFonts w:asciiTheme="majorBidi" w:hAnsiTheme="majorBidi" w:cstheme="majorBidi"/>
          <w:sz w:val="26"/>
          <w:szCs w:val="26"/>
          <w:rtl/>
        </w:rPr>
        <w:t>) للتحول الرقمي، وهو يشتمل على الركائز المادية والبشرية التي لا يمكن للمؤسسة الاستغناء عنها للبدء أو الاستمرار في رحلتها الرقمية. أي قصور في هذه الأسس يؤدي حتماً إلى فشل مبادرات الابتكار والحوكمة، مهما كانت متطورة.</w:t>
      </w:r>
    </w:p>
    <w:p w14:paraId="2B6787E4"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2.2.1.1 البنية التحتية التكنولوجية والأمن السيبراني</w:t>
      </w:r>
    </w:p>
    <w:p w14:paraId="3DD510A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تُعد البنية التحتية المتطورة هي الشريان الحيوي الذي يضمن استمرارية الأعمال الرقمية، بينما يمثل الأمن السيبراني هو صمام الأمان الذي يحمي هذا الشريان من التوقف أو التلف. ويتطلب هذا المحور تركيزاً على خمسة مكونات حاسمة (</w:t>
      </w:r>
      <w:r w:rsidRPr="00A92155">
        <w:rPr>
          <w:rFonts w:asciiTheme="majorBidi" w:hAnsiTheme="majorBidi" w:cstheme="majorBidi"/>
          <w:sz w:val="26"/>
          <w:szCs w:val="26"/>
        </w:rPr>
        <w:t>Almarzooqi et al, 2021</w:t>
      </w:r>
      <w:r w:rsidRPr="00A92155">
        <w:rPr>
          <w:rFonts w:asciiTheme="majorBidi" w:hAnsiTheme="majorBidi" w:cstheme="majorBidi"/>
          <w:sz w:val="26"/>
          <w:szCs w:val="26"/>
          <w:rtl/>
        </w:rPr>
        <w:t>):</w:t>
      </w:r>
    </w:p>
    <w:p w14:paraId="31EC431D"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أ. النفاذية والتشغيل البيني (</w:t>
      </w:r>
      <w:r w:rsidRPr="00A92155">
        <w:rPr>
          <w:rFonts w:asciiTheme="majorBidi" w:hAnsiTheme="majorBidi" w:cstheme="majorBidi"/>
          <w:b/>
          <w:bCs/>
          <w:sz w:val="26"/>
          <w:szCs w:val="26"/>
        </w:rPr>
        <w:t>Interoperability and Seamlessness</w:t>
      </w:r>
      <w:r w:rsidRPr="00A92155">
        <w:rPr>
          <w:rFonts w:asciiTheme="majorBidi" w:hAnsiTheme="majorBidi" w:cstheme="majorBidi"/>
          <w:b/>
          <w:bCs/>
          <w:sz w:val="26"/>
          <w:szCs w:val="26"/>
          <w:rtl/>
        </w:rPr>
        <w:t>):</w:t>
      </w:r>
    </w:p>
    <w:p w14:paraId="4FD779B7" w14:textId="77777777" w:rsidR="00202E2A" w:rsidRPr="00A92155" w:rsidRDefault="00202E2A">
      <w:pPr>
        <w:numPr>
          <w:ilvl w:val="0"/>
          <w:numId w:val="48"/>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الأهمية للدراسة:</w:t>
      </w:r>
      <w:r w:rsidRPr="00A92155">
        <w:rPr>
          <w:rFonts w:asciiTheme="majorBidi" w:hAnsiTheme="majorBidi" w:cstheme="majorBidi"/>
          <w:sz w:val="26"/>
          <w:szCs w:val="26"/>
          <w:rtl/>
        </w:rPr>
        <w:t xml:space="preserve"> في سياق تيسير التجارة، فإن قدرة أنظمة الجمارك على التبادل الآني للبيانات مع هيئات النقل، وهيئات الصحة، والمؤسسات المالية، أمر جوهري. فالتشغيل البيني (</w:t>
      </w:r>
      <w:r w:rsidRPr="00A92155">
        <w:rPr>
          <w:rFonts w:asciiTheme="majorBidi" w:hAnsiTheme="majorBidi" w:cstheme="majorBidi"/>
          <w:sz w:val="26"/>
          <w:szCs w:val="26"/>
        </w:rPr>
        <w:t>Interoperability</w:t>
      </w:r>
      <w:r w:rsidRPr="00A92155">
        <w:rPr>
          <w:rFonts w:asciiTheme="majorBidi" w:hAnsiTheme="majorBidi" w:cstheme="majorBidi"/>
          <w:sz w:val="26"/>
          <w:szCs w:val="26"/>
          <w:rtl/>
        </w:rPr>
        <w:t>) هو المُمكّن الأساسي لـ "النافذة الواحدة" (</w:t>
      </w:r>
      <w:r w:rsidRPr="00A92155">
        <w:rPr>
          <w:rFonts w:asciiTheme="majorBidi" w:hAnsiTheme="majorBidi" w:cstheme="majorBidi"/>
          <w:sz w:val="26"/>
          <w:szCs w:val="26"/>
        </w:rPr>
        <w:t>Single Window</w:t>
      </w:r>
      <w:r w:rsidRPr="00A92155">
        <w:rPr>
          <w:rFonts w:asciiTheme="majorBidi" w:hAnsiTheme="majorBidi" w:cstheme="majorBidi"/>
          <w:sz w:val="26"/>
          <w:szCs w:val="26"/>
          <w:rtl/>
        </w:rPr>
        <w:t>) المتقدمة، والتي تسهم في تقليل زمن التخليص الجمركي بنسبة تصل إلى 40% (</w:t>
      </w:r>
      <w:r w:rsidRPr="00A92155">
        <w:rPr>
          <w:rFonts w:asciiTheme="majorBidi" w:hAnsiTheme="majorBidi" w:cstheme="majorBidi"/>
          <w:sz w:val="26"/>
          <w:szCs w:val="26"/>
        </w:rPr>
        <w:t>World Bank, 2020</w:t>
      </w:r>
      <w:r w:rsidRPr="00A92155">
        <w:rPr>
          <w:rFonts w:asciiTheme="majorBidi" w:hAnsiTheme="majorBidi" w:cstheme="majorBidi"/>
          <w:sz w:val="26"/>
          <w:szCs w:val="26"/>
          <w:rtl/>
        </w:rPr>
        <w:t>).</w:t>
      </w:r>
    </w:p>
    <w:p w14:paraId="18653494" w14:textId="77777777" w:rsidR="00202E2A" w:rsidRPr="00A92155" w:rsidRDefault="00202E2A">
      <w:pPr>
        <w:numPr>
          <w:ilvl w:val="0"/>
          <w:numId w:val="48"/>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المطلب:</w:t>
      </w:r>
      <w:r w:rsidRPr="00A92155">
        <w:rPr>
          <w:rFonts w:asciiTheme="majorBidi" w:hAnsiTheme="majorBidi" w:cstheme="majorBidi"/>
          <w:sz w:val="26"/>
          <w:szCs w:val="26"/>
          <w:rtl/>
        </w:rPr>
        <w:t xml:space="preserve"> يجب على المؤسسات الحكومية، بقيادة هيئة الحكومة الرقمية في المملكة، تطوير واجهات برمجية للتطبيق (</w:t>
      </w:r>
      <w:r w:rsidRPr="00A92155">
        <w:rPr>
          <w:rFonts w:asciiTheme="majorBidi" w:hAnsiTheme="majorBidi" w:cstheme="majorBidi"/>
          <w:sz w:val="26"/>
          <w:szCs w:val="26"/>
        </w:rPr>
        <w:t>APIs</w:t>
      </w:r>
      <w:r w:rsidRPr="00A92155">
        <w:rPr>
          <w:rFonts w:asciiTheme="majorBidi" w:hAnsiTheme="majorBidi" w:cstheme="majorBidi"/>
          <w:sz w:val="26"/>
          <w:szCs w:val="26"/>
          <w:rtl/>
        </w:rPr>
        <w:t>) موحدة تضمن تبادل البيانات بطريقة آمنة وموثوقة، وهذا يتطلب بنية تحتية تعتمد على تقنية السحابة الحكومية (</w:t>
      </w:r>
      <w:r w:rsidRPr="00A92155">
        <w:rPr>
          <w:rFonts w:asciiTheme="majorBidi" w:hAnsiTheme="majorBidi" w:cstheme="majorBidi"/>
          <w:sz w:val="26"/>
          <w:szCs w:val="26"/>
        </w:rPr>
        <w:t>Government Cloud</w:t>
      </w:r>
      <w:r w:rsidRPr="00A92155">
        <w:rPr>
          <w:rFonts w:asciiTheme="majorBidi" w:hAnsiTheme="majorBidi" w:cstheme="majorBidi"/>
          <w:sz w:val="26"/>
          <w:szCs w:val="26"/>
          <w:rtl/>
        </w:rPr>
        <w:t>) لضمان الرشاقة وسرعة النشر.</w:t>
      </w:r>
    </w:p>
    <w:p w14:paraId="7D9ED619"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ب. الأمن السيبراني كجزء أصيل (</w:t>
      </w:r>
      <w:r w:rsidRPr="00A92155">
        <w:rPr>
          <w:rFonts w:asciiTheme="majorBidi" w:hAnsiTheme="majorBidi" w:cstheme="majorBidi"/>
          <w:b/>
          <w:bCs/>
          <w:sz w:val="26"/>
          <w:szCs w:val="26"/>
        </w:rPr>
        <w:t>Security by Design</w:t>
      </w:r>
      <w:r w:rsidRPr="00A92155">
        <w:rPr>
          <w:rFonts w:asciiTheme="majorBidi" w:hAnsiTheme="majorBidi" w:cstheme="majorBidi"/>
          <w:b/>
          <w:bCs/>
          <w:sz w:val="26"/>
          <w:szCs w:val="26"/>
          <w:rtl/>
        </w:rPr>
        <w:t>):</w:t>
      </w:r>
    </w:p>
    <w:p w14:paraId="51887019" w14:textId="77777777" w:rsidR="00202E2A" w:rsidRPr="00A92155" w:rsidRDefault="00202E2A">
      <w:pPr>
        <w:numPr>
          <w:ilvl w:val="0"/>
          <w:numId w:val="49"/>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التحول المفاهيمي:</w:t>
      </w:r>
      <w:r w:rsidRPr="00A92155">
        <w:rPr>
          <w:rFonts w:asciiTheme="majorBidi" w:hAnsiTheme="majorBidi" w:cstheme="majorBidi"/>
          <w:sz w:val="26"/>
          <w:szCs w:val="26"/>
          <w:rtl/>
        </w:rPr>
        <w:t xml:space="preserve"> لم يعد الأمن السيبراني يُنظر إليه كـ طبقة حماية خارجية (</w:t>
      </w:r>
      <w:r w:rsidRPr="00A92155">
        <w:rPr>
          <w:rFonts w:asciiTheme="majorBidi" w:hAnsiTheme="majorBidi" w:cstheme="majorBidi"/>
          <w:sz w:val="26"/>
          <w:szCs w:val="26"/>
        </w:rPr>
        <w:t>Perimeter Layer</w:t>
      </w:r>
      <w:r w:rsidRPr="00A92155">
        <w:rPr>
          <w:rFonts w:asciiTheme="majorBidi" w:hAnsiTheme="majorBidi" w:cstheme="majorBidi"/>
          <w:sz w:val="26"/>
          <w:szCs w:val="26"/>
          <w:rtl/>
        </w:rPr>
        <w:t>)، بل كجزء مُدمج في تصميم كل نظام وتطبيق جديد. هذا يتوافق مع أفضل الممارسات الدولية (</w:t>
      </w:r>
      <w:r w:rsidRPr="00A92155">
        <w:rPr>
          <w:rFonts w:asciiTheme="majorBidi" w:hAnsiTheme="majorBidi" w:cstheme="majorBidi"/>
          <w:sz w:val="26"/>
          <w:szCs w:val="26"/>
        </w:rPr>
        <w:t>Smith, 2020</w:t>
      </w:r>
      <w:r w:rsidRPr="00A92155">
        <w:rPr>
          <w:rFonts w:asciiTheme="majorBidi" w:hAnsiTheme="majorBidi" w:cstheme="majorBidi"/>
          <w:sz w:val="26"/>
          <w:szCs w:val="26"/>
          <w:rtl/>
        </w:rPr>
        <w:t>).</w:t>
      </w:r>
    </w:p>
    <w:p w14:paraId="7A414206" w14:textId="77777777" w:rsidR="00202E2A" w:rsidRPr="00A92155" w:rsidRDefault="00202E2A">
      <w:pPr>
        <w:numPr>
          <w:ilvl w:val="0"/>
          <w:numId w:val="49"/>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الصلة بالأمن والتجارة:</w:t>
      </w:r>
      <w:r w:rsidRPr="00A92155">
        <w:rPr>
          <w:rFonts w:asciiTheme="majorBidi" w:hAnsiTheme="majorBidi" w:cstheme="majorBidi"/>
          <w:sz w:val="26"/>
          <w:szCs w:val="26"/>
          <w:rtl/>
        </w:rPr>
        <w:t xml:space="preserve"> إن تعزيز الأمن السيبراني له تأثير مباشر على الثقة التجارية. فإذا تعرضت أنظمة الجمارك أو الضرائب لاختراق (مثل هجمات الفدية)، فإن ذلك يوقف الحركة التجارية بالكامل ويؤدي إلى خسائر اقتصادية هائلة. لذا، يُعد الأمن السيبراني المتطور، القائم على الذكاء الاصطناعي للكشف عن التهديدات (</w:t>
      </w:r>
      <w:r w:rsidRPr="00A92155">
        <w:rPr>
          <w:rFonts w:asciiTheme="majorBidi" w:hAnsiTheme="majorBidi" w:cstheme="majorBidi"/>
          <w:sz w:val="26"/>
          <w:szCs w:val="26"/>
        </w:rPr>
        <w:t>AI-driven Threat Detection</w:t>
      </w:r>
      <w:r w:rsidRPr="00A92155">
        <w:rPr>
          <w:rFonts w:asciiTheme="majorBidi" w:hAnsiTheme="majorBidi" w:cstheme="majorBidi"/>
          <w:sz w:val="26"/>
          <w:szCs w:val="26"/>
          <w:rtl/>
        </w:rPr>
        <w:t>)، هو الضمانة لاستمرارية سلاسل التوريد.</w:t>
      </w:r>
    </w:p>
    <w:p w14:paraId="348EE34E" w14:textId="77777777" w:rsidR="00202E2A" w:rsidRPr="00A92155" w:rsidRDefault="00202E2A">
      <w:pPr>
        <w:numPr>
          <w:ilvl w:val="0"/>
          <w:numId w:val="49"/>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المتطلبات التقنية:</w:t>
      </w:r>
      <w:r w:rsidRPr="00A92155">
        <w:rPr>
          <w:rFonts w:asciiTheme="majorBidi" w:hAnsiTheme="majorBidi" w:cstheme="majorBidi"/>
          <w:sz w:val="26"/>
          <w:szCs w:val="26"/>
          <w:rtl/>
        </w:rPr>
        <w:t xml:space="preserve"> يجب تطبيق تقنيات مثل التشفير الشامل (</w:t>
      </w:r>
      <w:r w:rsidRPr="00A92155">
        <w:rPr>
          <w:rFonts w:asciiTheme="majorBidi" w:hAnsiTheme="majorBidi" w:cstheme="majorBidi"/>
          <w:sz w:val="26"/>
          <w:szCs w:val="26"/>
        </w:rPr>
        <w:t>End-to-End Encryption</w:t>
      </w:r>
      <w:r w:rsidRPr="00A92155">
        <w:rPr>
          <w:rFonts w:asciiTheme="majorBidi" w:hAnsiTheme="majorBidi" w:cstheme="majorBidi"/>
          <w:sz w:val="26"/>
          <w:szCs w:val="26"/>
          <w:rtl/>
        </w:rPr>
        <w:t>)، وإدارة الهوية والوصول المتقدمة (</w:t>
      </w:r>
      <w:r w:rsidRPr="00A92155">
        <w:rPr>
          <w:rFonts w:asciiTheme="majorBidi" w:hAnsiTheme="majorBidi" w:cstheme="majorBidi"/>
          <w:sz w:val="26"/>
          <w:szCs w:val="26"/>
        </w:rPr>
        <w:t>IAM</w:t>
      </w:r>
      <w:r w:rsidRPr="00A92155">
        <w:rPr>
          <w:rFonts w:asciiTheme="majorBidi" w:hAnsiTheme="majorBidi" w:cstheme="majorBidi"/>
          <w:sz w:val="26"/>
          <w:szCs w:val="26"/>
          <w:rtl/>
        </w:rPr>
        <w:t>)، والبنية التحتية للمفتاح العام (</w:t>
      </w:r>
      <w:r w:rsidRPr="00A92155">
        <w:rPr>
          <w:rFonts w:asciiTheme="majorBidi" w:hAnsiTheme="majorBidi" w:cstheme="majorBidi"/>
          <w:sz w:val="26"/>
          <w:szCs w:val="26"/>
        </w:rPr>
        <w:t>PKI</w:t>
      </w:r>
      <w:r w:rsidRPr="00A92155">
        <w:rPr>
          <w:rFonts w:asciiTheme="majorBidi" w:hAnsiTheme="majorBidi" w:cstheme="majorBidi"/>
          <w:sz w:val="26"/>
          <w:szCs w:val="26"/>
          <w:rtl/>
        </w:rPr>
        <w:t>) لتوثيق الهويات الرقمية للمستوردين والمصدرين .</w:t>
      </w:r>
    </w:p>
    <w:p w14:paraId="68B2FC61"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ج. مرونة الأنظمة واستدامتها (</w:t>
      </w:r>
      <w:r w:rsidRPr="00A92155">
        <w:rPr>
          <w:rFonts w:asciiTheme="majorBidi" w:hAnsiTheme="majorBidi" w:cstheme="majorBidi"/>
          <w:b/>
          <w:bCs/>
          <w:sz w:val="26"/>
          <w:szCs w:val="26"/>
        </w:rPr>
        <w:t>System Resilience</w:t>
      </w:r>
      <w:r w:rsidRPr="00A92155">
        <w:rPr>
          <w:rFonts w:asciiTheme="majorBidi" w:hAnsiTheme="majorBidi" w:cstheme="majorBidi"/>
          <w:b/>
          <w:bCs/>
          <w:sz w:val="26"/>
          <w:szCs w:val="26"/>
          <w:rtl/>
        </w:rPr>
        <w:t>):</w:t>
      </w:r>
    </w:p>
    <w:p w14:paraId="3588F54C" w14:textId="77777777" w:rsidR="00202E2A" w:rsidRPr="00A92155" w:rsidRDefault="00202E2A">
      <w:pPr>
        <w:numPr>
          <w:ilvl w:val="0"/>
          <w:numId w:val="50"/>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التعريف:</w:t>
      </w:r>
      <w:r w:rsidRPr="00A92155">
        <w:rPr>
          <w:rFonts w:asciiTheme="majorBidi" w:hAnsiTheme="majorBidi" w:cstheme="majorBidi"/>
          <w:sz w:val="26"/>
          <w:szCs w:val="26"/>
          <w:rtl/>
        </w:rPr>
        <w:t xml:space="preserve"> هي قدرة النظام على التعافي بسرعة من أي خلل أو هجوم أو كارثة طبيعية مع الحد الأدنى من التعطيل (</w:t>
      </w:r>
      <w:r w:rsidRPr="00A92155">
        <w:rPr>
          <w:rFonts w:asciiTheme="majorBidi" w:hAnsiTheme="majorBidi" w:cstheme="majorBidi"/>
          <w:sz w:val="26"/>
          <w:szCs w:val="26"/>
        </w:rPr>
        <w:t>Downtime</w:t>
      </w:r>
      <w:r w:rsidRPr="00A92155">
        <w:rPr>
          <w:rFonts w:asciiTheme="majorBidi" w:hAnsiTheme="majorBidi" w:cstheme="majorBidi"/>
          <w:sz w:val="26"/>
          <w:szCs w:val="26"/>
          <w:rtl/>
        </w:rPr>
        <w:t>).</w:t>
      </w:r>
    </w:p>
    <w:p w14:paraId="62373934" w14:textId="77777777" w:rsidR="00202E2A" w:rsidRPr="00A92155" w:rsidRDefault="00202E2A">
      <w:pPr>
        <w:numPr>
          <w:ilvl w:val="0"/>
          <w:numId w:val="50"/>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الاستراتيجية:</w:t>
      </w:r>
      <w:r w:rsidRPr="00A92155">
        <w:rPr>
          <w:rFonts w:asciiTheme="majorBidi" w:hAnsiTheme="majorBidi" w:cstheme="majorBidi"/>
          <w:sz w:val="26"/>
          <w:szCs w:val="26"/>
          <w:rtl/>
        </w:rPr>
        <w:t xml:space="preserve"> الاعتماد على مراكز بيانات ثانوية وخطط للتعافي من الكوارث (</w:t>
      </w:r>
      <w:r w:rsidRPr="00A92155">
        <w:rPr>
          <w:rFonts w:asciiTheme="majorBidi" w:hAnsiTheme="majorBidi" w:cstheme="majorBidi"/>
          <w:sz w:val="26"/>
          <w:szCs w:val="26"/>
        </w:rPr>
        <w:t>Disaster Recovery Plans</w:t>
      </w:r>
      <w:r w:rsidRPr="00A92155">
        <w:rPr>
          <w:rFonts w:asciiTheme="majorBidi" w:hAnsiTheme="majorBidi" w:cstheme="majorBidi"/>
          <w:sz w:val="26"/>
          <w:szCs w:val="26"/>
          <w:rtl/>
        </w:rPr>
        <w:t>) المحدثة باستمرار. في بيئة التجارة الحيوية، أي توقف للنظام يعني تكاليف تأخير باهظة تُثقل على الاقتصاد الوطني.</w:t>
      </w:r>
    </w:p>
    <w:p w14:paraId="7B9A5C80"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2.2.1.2 إدارة البيانات الضخمة والتحليلات المتقدمة</w:t>
      </w:r>
    </w:p>
    <w:p w14:paraId="6BDB87D1"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lastRenderedPageBreak/>
        <w:t>تمثل البيانات (</w:t>
      </w:r>
      <w:r w:rsidRPr="00A92155">
        <w:rPr>
          <w:rFonts w:asciiTheme="majorBidi" w:hAnsiTheme="majorBidi" w:cstheme="majorBidi"/>
          <w:sz w:val="26"/>
          <w:szCs w:val="26"/>
        </w:rPr>
        <w:t>Data</w:t>
      </w:r>
      <w:r w:rsidRPr="00A92155">
        <w:rPr>
          <w:rFonts w:asciiTheme="majorBidi" w:hAnsiTheme="majorBidi" w:cstheme="majorBidi"/>
          <w:sz w:val="26"/>
          <w:szCs w:val="26"/>
          <w:rtl/>
        </w:rPr>
        <w:t xml:space="preserve">) </w:t>
      </w:r>
      <w:r w:rsidRPr="00A92155">
        <w:rPr>
          <w:rFonts w:asciiTheme="majorBidi" w:hAnsiTheme="majorBidi" w:cstheme="majorBidi"/>
          <w:b/>
          <w:bCs/>
          <w:sz w:val="26"/>
          <w:szCs w:val="26"/>
          <w:rtl/>
        </w:rPr>
        <w:t>المحور المركزي</w:t>
      </w:r>
      <w:r w:rsidRPr="00A92155">
        <w:rPr>
          <w:rFonts w:asciiTheme="majorBidi" w:hAnsiTheme="majorBidi" w:cstheme="majorBidi"/>
          <w:sz w:val="26"/>
          <w:szCs w:val="26"/>
          <w:rtl/>
        </w:rPr>
        <w:t xml:space="preserve"> للتحول الرقمي، فهي "النفط الجديد" الذي يُشغل محركات الذكاء الاصطناعي. فالمؤسسة الحكومية التي لا تتقن إدارة بياناتها لا يمكنها أن تنجح في التحول الرقمي، أو في تحقيق الموازنة بين الأمن والتجارة (</w:t>
      </w:r>
      <w:r w:rsidRPr="00A92155">
        <w:rPr>
          <w:rFonts w:asciiTheme="majorBidi" w:hAnsiTheme="majorBidi" w:cstheme="majorBidi"/>
          <w:sz w:val="26"/>
          <w:szCs w:val="26"/>
        </w:rPr>
        <w:t>OECD, 2020</w:t>
      </w:r>
      <w:r w:rsidRPr="00A92155">
        <w:rPr>
          <w:rFonts w:asciiTheme="majorBidi" w:hAnsiTheme="majorBidi" w:cstheme="majorBidi"/>
          <w:sz w:val="26"/>
          <w:szCs w:val="26"/>
          <w:rtl/>
        </w:rPr>
        <w:t>).</w:t>
      </w:r>
    </w:p>
    <w:p w14:paraId="5FF65DBA"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أ. البيانات كأصل استراتيجي (</w:t>
      </w:r>
      <w:r w:rsidRPr="00A92155">
        <w:rPr>
          <w:rFonts w:asciiTheme="majorBidi" w:hAnsiTheme="majorBidi" w:cstheme="majorBidi"/>
          <w:b/>
          <w:bCs/>
          <w:sz w:val="26"/>
          <w:szCs w:val="26"/>
        </w:rPr>
        <w:t>Data as a Strategic Asset</w:t>
      </w:r>
      <w:r w:rsidRPr="00A92155">
        <w:rPr>
          <w:rFonts w:asciiTheme="majorBidi" w:hAnsiTheme="majorBidi" w:cstheme="majorBidi"/>
          <w:b/>
          <w:bCs/>
          <w:sz w:val="26"/>
          <w:szCs w:val="26"/>
          <w:rtl/>
        </w:rPr>
        <w:t>):</w:t>
      </w:r>
    </w:p>
    <w:p w14:paraId="09768BB4" w14:textId="77777777" w:rsidR="00202E2A" w:rsidRPr="00A92155" w:rsidRDefault="00202E2A">
      <w:pPr>
        <w:numPr>
          <w:ilvl w:val="0"/>
          <w:numId w:val="51"/>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المنظور الإداري:</w:t>
      </w:r>
      <w:r w:rsidRPr="00A92155">
        <w:rPr>
          <w:rFonts w:asciiTheme="majorBidi" w:hAnsiTheme="majorBidi" w:cstheme="majorBidi"/>
          <w:sz w:val="26"/>
          <w:szCs w:val="26"/>
          <w:rtl/>
        </w:rPr>
        <w:t xml:space="preserve"> يجب أن تنتقل المؤسسات الحكومية من اعتبار البيانات مجرد مدخلات للعمليات إلى اعتبارها </w:t>
      </w:r>
      <w:r w:rsidRPr="00A92155">
        <w:rPr>
          <w:rFonts w:asciiTheme="majorBidi" w:hAnsiTheme="majorBidi" w:cstheme="majorBidi"/>
          <w:b/>
          <w:bCs/>
          <w:sz w:val="26"/>
          <w:szCs w:val="26"/>
          <w:rtl/>
        </w:rPr>
        <w:t>أصل استراتيجي</w:t>
      </w:r>
      <w:r w:rsidRPr="00A92155">
        <w:rPr>
          <w:rFonts w:asciiTheme="majorBidi" w:hAnsiTheme="majorBidi" w:cstheme="majorBidi"/>
          <w:sz w:val="26"/>
          <w:szCs w:val="26"/>
          <w:rtl/>
        </w:rPr>
        <w:t xml:space="preserve"> يُمكن استثماره لزيادة الإيرادات (عبر التنبؤ بالتهرب الضريبي) وتعزيز الكفاءة (عبر إدارة المخاطر الأمنية).</w:t>
      </w:r>
    </w:p>
    <w:p w14:paraId="23DA37C8" w14:textId="77777777" w:rsidR="00202E2A" w:rsidRPr="00A92155" w:rsidRDefault="00202E2A">
      <w:pPr>
        <w:numPr>
          <w:ilvl w:val="0"/>
          <w:numId w:val="51"/>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البيانات والتجارة:</w:t>
      </w:r>
      <w:r w:rsidRPr="00A92155">
        <w:rPr>
          <w:rFonts w:asciiTheme="majorBidi" w:hAnsiTheme="majorBidi" w:cstheme="majorBidi"/>
          <w:sz w:val="26"/>
          <w:szCs w:val="26"/>
          <w:rtl/>
        </w:rPr>
        <w:t xml:space="preserve"> إن تحليل البيانات الضخمة (</w:t>
      </w:r>
      <w:r w:rsidRPr="00A92155">
        <w:rPr>
          <w:rFonts w:asciiTheme="majorBidi" w:hAnsiTheme="majorBidi" w:cstheme="majorBidi"/>
          <w:sz w:val="26"/>
          <w:szCs w:val="26"/>
        </w:rPr>
        <w:t>Big Data</w:t>
      </w:r>
      <w:r w:rsidRPr="00A92155">
        <w:rPr>
          <w:rFonts w:asciiTheme="majorBidi" w:hAnsiTheme="majorBidi" w:cstheme="majorBidi"/>
          <w:sz w:val="26"/>
          <w:szCs w:val="26"/>
          <w:rtl/>
        </w:rPr>
        <w:t>) لعمليات التجارة (بيانات الشحن، الفواتير، البلدان المصدرة، تاريخ المستورد) يُمكن هيئة الزكاة والضريبة والجمارك من بناء نماذج تنبؤية دقيقة (</w:t>
      </w:r>
      <w:r w:rsidRPr="00A92155">
        <w:rPr>
          <w:rFonts w:asciiTheme="majorBidi" w:hAnsiTheme="majorBidi" w:cstheme="majorBidi"/>
          <w:sz w:val="26"/>
          <w:szCs w:val="26"/>
        </w:rPr>
        <w:t>Predictive Models</w:t>
      </w:r>
      <w:r w:rsidRPr="00A92155">
        <w:rPr>
          <w:rFonts w:asciiTheme="majorBidi" w:hAnsiTheme="majorBidi" w:cstheme="majorBidi"/>
          <w:sz w:val="26"/>
          <w:szCs w:val="26"/>
          <w:rtl/>
        </w:rPr>
        <w:t>) لتصنيف المخاطر الجمركية والضريبية، مما يسمح بتسريع مرور الشحنات ذات المخاطر المنخفضة (</w:t>
      </w:r>
      <w:r w:rsidRPr="00A92155">
        <w:rPr>
          <w:rFonts w:asciiTheme="majorBidi" w:hAnsiTheme="majorBidi" w:cstheme="majorBidi"/>
          <w:sz w:val="26"/>
          <w:szCs w:val="26"/>
        </w:rPr>
        <w:t>Green Channel</w:t>
      </w:r>
      <w:r w:rsidRPr="00A92155">
        <w:rPr>
          <w:rFonts w:asciiTheme="majorBidi" w:hAnsiTheme="majorBidi" w:cstheme="majorBidi"/>
          <w:sz w:val="26"/>
          <w:szCs w:val="26"/>
          <w:rtl/>
        </w:rPr>
        <w:t>) وتركيز الموارد الأمنية على الشحنات المشبوهة (</w:t>
      </w:r>
      <w:r w:rsidRPr="00A92155">
        <w:rPr>
          <w:rFonts w:asciiTheme="majorBidi" w:hAnsiTheme="majorBidi" w:cstheme="majorBidi"/>
          <w:sz w:val="26"/>
          <w:szCs w:val="26"/>
        </w:rPr>
        <w:t>Red Channel</w:t>
      </w:r>
      <w:r w:rsidRPr="00A92155">
        <w:rPr>
          <w:rFonts w:asciiTheme="majorBidi" w:hAnsiTheme="majorBidi" w:cstheme="majorBidi"/>
          <w:sz w:val="26"/>
          <w:szCs w:val="26"/>
          <w:rtl/>
        </w:rPr>
        <w:t>).</w:t>
      </w:r>
    </w:p>
    <w:p w14:paraId="059AC0C3"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ب. حوكمة البيانات وجودتها (</w:t>
      </w:r>
      <w:r w:rsidRPr="00A92155">
        <w:rPr>
          <w:rFonts w:asciiTheme="majorBidi" w:hAnsiTheme="majorBidi" w:cstheme="majorBidi"/>
          <w:b/>
          <w:bCs/>
          <w:sz w:val="26"/>
          <w:szCs w:val="26"/>
        </w:rPr>
        <w:t>Data Governance and Quality</w:t>
      </w:r>
      <w:r w:rsidRPr="00A92155">
        <w:rPr>
          <w:rFonts w:asciiTheme="majorBidi" w:hAnsiTheme="majorBidi" w:cstheme="majorBidi"/>
          <w:b/>
          <w:bCs/>
          <w:sz w:val="26"/>
          <w:szCs w:val="26"/>
          <w:rtl/>
        </w:rPr>
        <w:t>):</w:t>
      </w:r>
    </w:p>
    <w:p w14:paraId="1CE1A8CC" w14:textId="77777777" w:rsidR="00202E2A" w:rsidRPr="00A92155" w:rsidRDefault="00202E2A">
      <w:pPr>
        <w:numPr>
          <w:ilvl w:val="0"/>
          <w:numId w:val="52"/>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المتطلب:</w:t>
      </w:r>
      <w:r w:rsidRPr="00A92155">
        <w:rPr>
          <w:rFonts w:asciiTheme="majorBidi" w:hAnsiTheme="majorBidi" w:cstheme="majorBidi"/>
          <w:sz w:val="26"/>
          <w:szCs w:val="26"/>
          <w:rtl/>
        </w:rPr>
        <w:t xml:space="preserve"> لا يكفي جمع البيانات، بل يجب تطبيق أطر عمل قوية لـ حوكمة البيانات (</w:t>
      </w:r>
      <w:r w:rsidRPr="00A92155">
        <w:rPr>
          <w:rFonts w:asciiTheme="majorBidi" w:hAnsiTheme="majorBidi" w:cstheme="majorBidi"/>
          <w:sz w:val="26"/>
          <w:szCs w:val="26"/>
        </w:rPr>
        <w:t>Data Governance</w:t>
      </w:r>
      <w:r w:rsidRPr="00A92155">
        <w:rPr>
          <w:rFonts w:asciiTheme="majorBidi" w:hAnsiTheme="majorBidi" w:cstheme="majorBidi"/>
          <w:sz w:val="26"/>
          <w:szCs w:val="26"/>
          <w:rtl/>
        </w:rPr>
        <w:t>) تضمن:</w:t>
      </w:r>
    </w:p>
    <w:p w14:paraId="1815572E" w14:textId="77777777" w:rsidR="00202E2A" w:rsidRPr="00A92155" w:rsidRDefault="00202E2A">
      <w:pPr>
        <w:numPr>
          <w:ilvl w:val="1"/>
          <w:numId w:val="52"/>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جودة البيانات:</w:t>
      </w:r>
      <w:r w:rsidRPr="00A92155">
        <w:rPr>
          <w:rFonts w:asciiTheme="majorBidi" w:hAnsiTheme="majorBidi" w:cstheme="majorBidi"/>
          <w:sz w:val="26"/>
          <w:szCs w:val="26"/>
          <w:rtl/>
        </w:rPr>
        <w:t xml:space="preserve"> دقتها، واكتمالها، وتحديثها. البيانات غير الدقيقة تؤدي إلى قرارات أمنية أو تجارية خاطئة ومكلفة.</w:t>
      </w:r>
    </w:p>
    <w:p w14:paraId="05BE349D" w14:textId="77777777" w:rsidR="00202E2A" w:rsidRPr="00A92155" w:rsidRDefault="00202E2A">
      <w:pPr>
        <w:numPr>
          <w:ilvl w:val="1"/>
          <w:numId w:val="52"/>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الوصول والأمان:</w:t>
      </w:r>
      <w:r w:rsidRPr="00A92155">
        <w:rPr>
          <w:rFonts w:asciiTheme="majorBidi" w:hAnsiTheme="majorBidi" w:cstheme="majorBidi"/>
          <w:sz w:val="26"/>
          <w:szCs w:val="26"/>
          <w:rtl/>
        </w:rPr>
        <w:t xml:space="preserve"> تحديد من يمكنه الوصول إلى أي بيانات (البيانات الجمركية، بيانات الموردين، البيانات الضريبية) وتطبيق آليات أمنية صارمة لحمايتها (</w:t>
      </w:r>
      <w:r w:rsidRPr="00A92155">
        <w:rPr>
          <w:rFonts w:asciiTheme="majorBidi" w:hAnsiTheme="majorBidi" w:cstheme="majorBidi"/>
          <w:sz w:val="26"/>
          <w:szCs w:val="26"/>
        </w:rPr>
        <w:t>Data Masking, Encryption</w:t>
      </w:r>
      <w:r w:rsidRPr="00A92155">
        <w:rPr>
          <w:rFonts w:asciiTheme="majorBidi" w:hAnsiTheme="majorBidi" w:cstheme="majorBidi"/>
          <w:sz w:val="26"/>
          <w:szCs w:val="26"/>
          <w:rtl/>
        </w:rPr>
        <w:t>).</w:t>
      </w:r>
    </w:p>
    <w:p w14:paraId="6CF527A6" w14:textId="77777777" w:rsidR="00202E2A" w:rsidRPr="00A92155" w:rsidRDefault="00202E2A">
      <w:pPr>
        <w:numPr>
          <w:ilvl w:val="0"/>
          <w:numId w:val="52"/>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الأثر المؤسسي:</w:t>
      </w:r>
      <w:r w:rsidRPr="00A92155">
        <w:rPr>
          <w:rFonts w:asciiTheme="majorBidi" w:hAnsiTheme="majorBidi" w:cstheme="majorBidi"/>
          <w:sz w:val="26"/>
          <w:szCs w:val="26"/>
          <w:rtl/>
        </w:rPr>
        <w:t xml:space="preserve"> إن إنشاء هيئات مثل الهيئة السعودية للبيانات والذكاء الاصطناعي (</w:t>
      </w:r>
      <w:r w:rsidRPr="00A92155">
        <w:rPr>
          <w:rFonts w:asciiTheme="majorBidi" w:hAnsiTheme="majorBidi" w:cstheme="majorBidi"/>
          <w:sz w:val="26"/>
          <w:szCs w:val="26"/>
        </w:rPr>
        <w:t>SDAIA</w:t>
      </w:r>
      <w:r w:rsidRPr="00A92155">
        <w:rPr>
          <w:rFonts w:asciiTheme="majorBidi" w:hAnsiTheme="majorBidi" w:cstheme="majorBidi"/>
          <w:sz w:val="26"/>
          <w:szCs w:val="26"/>
          <w:rtl/>
        </w:rPr>
        <w:t>) هو تجسيد لهذا الاعتراف الوطني بالبيانات كأصل سيادي يجب إدارته وحوكمته على المستوى الأعلى.</w:t>
      </w:r>
    </w:p>
    <w:p w14:paraId="13FF097D"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ج. التحليلات المتقدمة والذكاء التشغيلي (</w:t>
      </w:r>
      <w:r w:rsidRPr="00A92155">
        <w:rPr>
          <w:rFonts w:asciiTheme="majorBidi" w:hAnsiTheme="majorBidi" w:cstheme="majorBidi"/>
          <w:b/>
          <w:bCs/>
          <w:sz w:val="26"/>
          <w:szCs w:val="26"/>
        </w:rPr>
        <w:t>Advanced Analytics and Operational Intelligence</w:t>
      </w:r>
      <w:r w:rsidRPr="00A92155">
        <w:rPr>
          <w:rFonts w:asciiTheme="majorBidi" w:hAnsiTheme="majorBidi" w:cstheme="majorBidi"/>
          <w:b/>
          <w:bCs/>
          <w:sz w:val="26"/>
          <w:szCs w:val="26"/>
          <w:rtl/>
        </w:rPr>
        <w:t>):</w:t>
      </w:r>
    </w:p>
    <w:p w14:paraId="3A1BAF64" w14:textId="77777777" w:rsidR="00202E2A" w:rsidRPr="00A92155" w:rsidRDefault="00202E2A">
      <w:pPr>
        <w:numPr>
          <w:ilvl w:val="0"/>
          <w:numId w:val="53"/>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الذكاء التشغيلي:</w:t>
      </w:r>
      <w:r w:rsidRPr="00A92155">
        <w:rPr>
          <w:rFonts w:asciiTheme="majorBidi" w:hAnsiTheme="majorBidi" w:cstheme="majorBidi"/>
          <w:sz w:val="26"/>
          <w:szCs w:val="26"/>
          <w:rtl/>
        </w:rPr>
        <w:t xml:space="preserve"> استخدام أدوات التحليل الآني (</w:t>
      </w:r>
      <w:r w:rsidRPr="00A92155">
        <w:rPr>
          <w:rFonts w:asciiTheme="majorBidi" w:hAnsiTheme="majorBidi" w:cstheme="majorBidi"/>
          <w:sz w:val="26"/>
          <w:szCs w:val="26"/>
        </w:rPr>
        <w:t>Real-Time Analytics</w:t>
      </w:r>
      <w:r w:rsidRPr="00A92155">
        <w:rPr>
          <w:rFonts w:asciiTheme="majorBidi" w:hAnsiTheme="majorBidi" w:cstheme="majorBidi"/>
          <w:sz w:val="26"/>
          <w:szCs w:val="26"/>
          <w:rtl/>
        </w:rPr>
        <w:t>) لرصد العمليات التجارية والجمركية فور حدوثها. هذا يُمكن فرق الأمن من التدخل السريع في حال اكتشاف أي شحنة مخالفة أو محاولة تهريب أثناء مرورها بالنظام.</w:t>
      </w:r>
    </w:p>
    <w:p w14:paraId="532464E5" w14:textId="77777777" w:rsidR="00202E2A" w:rsidRPr="00A92155" w:rsidRDefault="00202E2A">
      <w:pPr>
        <w:numPr>
          <w:ilvl w:val="0"/>
          <w:numId w:val="53"/>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التعلم الآلي (</w:t>
      </w:r>
      <w:r w:rsidRPr="00A92155">
        <w:rPr>
          <w:rFonts w:asciiTheme="majorBidi" w:hAnsiTheme="majorBidi" w:cstheme="majorBidi"/>
          <w:b/>
          <w:bCs/>
          <w:sz w:val="26"/>
          <w:szCs w:val="26"/>
        </w:rPr>
        <w:t>Machine Learning</w:t>
      </w:r>
      <w:r w:rsidRPr="00A92155">
        <w:rPr>
          <w:rFonts w:asciiTheme="majorBidi" w:hAnsiTheme="majorBidi" w:cstheme="majorBidi"/>
          <w:b/>
          <w:bCs/>
          <w:sz w:val="26"/>
          <w:szCs w:val="26"/>
          <w:rtl/>
        </w:rPr>
        <w:t>) في التحليل:</w:t>
      </w:r>
      <w:r w:rsidRPr="00A92155">
        <w:rPr>
          <w:rFonts w:asciiTheme="majorBidi" w:hAnsiTheme="majorBidi" w:cstheme="majorBidi"/>
          <w:sz w:val="26"/>
          <w:szCs w:val="26"/>
          <w:rtl/>
        </w:rPr>
        <w:t xml:space="preserve"> استخدام خوارزميات التعلم الآلي لتحديد الأنماط السلوكية الشاذة (</w:t>
      </w:r>
      <w:r w:rsidRPr="00A92155">
        <w:rPr>
          <w:rFonts w:asciiTheme="majorBidi" w:hAnsiTheme="majorBidi" w:cstheme="majorBidi"/>
          <w:sz w:val="26"/>
          <w:szCs w:val="26"/>
        </w:rPr>
        <w:t>Anomaly Detection</w:t>
      </w:r>
      <w:r w:rsidRPr="00A92155">
        <w:rPr>
          <w:rFonts w:asciiTheme="majorBidi" w:hAnsiTheme="majorBidi" w:cstheme="majorBidi"/>
          <w:sz w:val="26"/>
          <w:szCs w:val="26"/>
          <w:rtl/>
        </w:rPr>
        <w:t>) التي قد تدل على نشاط إجرامي أو تهرب ضريبي، مما يعزز من كفاءة وفعالية الأداء الأمني والمالي للمؤسسة (</w:t>
      </w:r>
      <w:r w:rsidRPr="00A92155">
        <w:rPr>
          <w:rFonts w:asciiTheme="majorBidi" w:hAnsiTheme="majorBidi" w:cstheme="majorBidi"/>
          <w:sz w:val="26"/>
          <w:szCs w:val="26"/>
        </w:rPr>
        <w:t>PwC, 2023</w:t>
      </w:r>
      <w:r w:rsidRPr="00A92155">
        <w:rPr>
          <w:rFonts w:asciiTheme="majorBidi" w:hAnsiTheme="majorBidi" w:cstheme="majorBidi"/>
          <w:sz w:val="26"/>
          <w:szCs w:val="26"/>
          <w:rtl/>
        </w:rPr>
        <w:t>).</w:t>
      </w:r>
    </w:p>
    <w:p w14:paraId="363F8FAA"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PT Bold Heading"/>
          <w:b/>
          <w:bCs/>
          <w:color w:val="000000" w:themeColor="text1"/>
          <w:sz w:val="26"/>
          <w:szCs w:val="26"/>
          <w:rtl/>
        </w:rPr>
        <w:t>2.2.1.3 تطوير الكفاءات الرقمية للموظفين (</w:t>
      </w:r>
      <w:r w:rsidRPr="00A92155">
        <w:rPr>
          <w:rFonts w:asciiTheme="majorBidi" w:hAnsiTheme="majorBidi" w:cs="PT Bold Heading"/>
          <w:b/>
          <w:bCs/>
          <w:color w:val="000000" w:themeColor="text1"/>
          <w:sz w:val="26"/>
          <w:szCs w:val="26"/>
        </w:rPr>
        <w:t>Digital Competencies</w:t>
      </w:r>
      <w:r w:rsidRPr="00A92155">
        <w:rPr>
          <w:rFonts w:asciiTheme="majorBidi" w:hAnsiTheme="majorBidi" w:cs="PT Bold Heading"/>
          <w:b/>
          <w:bCs/>
          <w:color w:val="000000" w:themeColor="text1"/>
          <w:sz w:val="26"/>
          <w:szCs w:val="26"/>
          <w:rtl/>
        </w:rPr>
        <w:t>)</w:t>
      </w:r>
    </w:p>
    <w:p w14:paraId="3F774ADE"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إن الرأس المال البشري هو المحدد الأهم لنجاح التحول الرقمي، فالأدوات التقنية المتقدمة تصبح بلا قيمة إذا لم يكن هناك كوادر قادرة على تشغيلها، تطويرها، واستثمار إمكانياتها. هذا يتطلب تحولاً ثقافياً ومؤسسياً شاملاً (</w:t>
      </w:r>
      <w:r w:rsidRPr="00A92155">
        <w:rPr>
          <w:rFonts w:asciiTheme="majorBidi" w:hAnsiTheme="majorBidi" w:cstheme="majorBidi"/>
          <w:sz w:val="26"/>
          <w:szCs w:val="26"/>
        </w:rPr>
        <w:t>Hanelt et al, 2021</w:t>
      </w:r>
      <w:r w:rsidRPr="00A92155">
        <w:rPr>
          <w:rFonts w:asciiTheme="majorBidi" w:hAnsiTheme="majorBidi" w:cstheme="majorBidi"/>
          <w:sz w:val="26"/>
          <w:szCs w:val="26"/>
          <w:rtl/>
        </w:rPr>
        <w:t>).</w:t>
      </w:r>
    </w:p>
    <w:p w14:paraId="5E8005E1"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أ. إعادة تشكيل الأدوار والمهارات (</w:t>
      </w:r>
      <w:r w:rsidRPr="00A92155">
        <w:rPr>
          <w:rFonts w:asciiTheme="majorBidi" w:hAnsiTheme="majorBidi" w:cstheme="majorBidi"/>
          <w:b/>
          <w:bCs/>
          <w:sz w:val="26"/>
          <w:szCs w:val="26"/>
        </w:rPr>
        <w:t>Reskilling and Upskilling</w:t>
      </w:r>
      <w:r w:rsidRPr="00A92155">
        <w:rPr>
          <w:rFonts w:asciiTheme="majorBidi" w:hAnsiTheme="majorBidi" w:cstheme="majorBidi"/>
          <w:b/>
          <w:bCs/>
          <w:sz w:val="26"/>
          <w:szCs w:val="26"/>
          <w:rtl/>
        </w:rPr>
        <w:t>):</w:t>
      </w:r>
    </w:p>
    <w:p w14:paraId="706E83C5" w14:textId="77777777" w:rsidR="00202E2A" w:rsidRPr="00A92155" w:rsidRDefault="00202E2A">
      <w:pPr>
        <w:numPr>
          <w:ilvl w:val="0"/>
          <w:numId w:val="54"/>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lastRenderedPageBreak/>
        <w:t>التحول المطلوب:</w:t>
      </w:r>
      <w:r w:rsidRPr="00A92155">
        <w:rPr>
          <w:rFonts w:asciiTheme="majorBidi" w:hAnsiTheme="majorBidi" w:cstheme="majorBidi"/>
          <w:sz w:val="26"/>
          <w:szCs w:val="26"/>
          <w:rtl/>
        </w:rPr>
        <w:t xml:space="preserve"> يجب على المؤسسات الحكومية الانتقال من توظيف موظفين ذوي مهارات عامة إلى تطوير موظفين ذوي مهارات رقمية تخصصية في مجالات مثل الأمن السيبراني، تحليل البيانات، إدارة المشاريع الرقمية (</w:t>
      </w:r>
      <w:r w:rsidRPr="00A92155">
        <w:rPr>
          <w:rFonts w:asciiTheme="majorBidi" w:hAnsiTheme="majorBidi" w:cstheme="majorBidi"/>
          <w:sz w:val="26"/>
          <w:szCs w:val="26"/>
        </w:rPr>
        <w:t>Agile/Scrum</w:t>
      </w:r>
      <w:r w:rsidRPr="00A92155">
        <w:rPr>
          <w:rFonts w:asciiTheme="majorBidi" w:hAnsiTheme="majorBidi" w:cstheme="majorBidi"/>
          <w:sz w:val="26"/>
          <w:szCs w:val="26"/>
          <w:rtl/>
        </w:rPr>
        <w:t>)، وتطوير الخدمات القائمة على السحابة.</w:t>
      </w:r>
    </w:p>
    <w:p w14:paraId="5AC20025" w14:textId="77777777" w:rsidR="00202E2A" w:rsidRPr="00A92155" w:rsidRDefault="00202E2A">
      <w:pPr>
        <w:numPr>
          <w:ilvl w:val="0"/>
          <w:numId w:val="54"/>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الرؤية السعودية:</w:t>
      </w:r>
      <w:r w:rsidRPr="00A92155">
        <w:rPr>
          <w:rFonts w:asciiTheme="majorBidi" w:hAnsiTheme="majorBidi" w:cstheme="majorBidi"/>
          <w:sz w:val="26"/>
          <w:szCs w:val="26"/>
          <w:rtl/>
        </w:rPr>
        <w:t xml:space="preserve"> تُعد برامج بناء القدرات الوطنية في المملكة (كبرنامج التحول الوطني) استثماراً مباشراً في هذا البعد، من خلال دعم تطوير المهارات المتقدمة في الجامعات والمعاهد التقنية، وتمكين المرأة في قطاع التقنية.</w:t>
      </w:r>
    </w:p>
    <w:p w14:paraId="5F8C74B7"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ب. القيادة الرقمية والتحول الثقافي (</w:t>
      </w:r>
      <w:r w:rsidRPr="00A92155">
        <w:rPr>
          <w:rFonts w:asciiTheme="majorBidi" w:hAnsiTheme="majorBidi" w:cstheme="majorBidi"/>
          <w:b/>
          <w:bCs/>
          <w:sz w:val="26"/>
          <w:szCs w:val="26"/>
        </w:rPr>
        <w:t>Digital Leadership and Cultural Change</w:t>
      </w:r>
      <w:r w:rsidRPr="00A92155">
        <w:rPr>
          <w:rFonts w:asciiTheme="majorBidi" w:hAnsiTheme="majorBidi" w:cstheme="majorBidi"/>
          <w:b/>
          <w:bCs/>
          <w:sz w:val="26"/>
          <w:szCs w:val="26"/>
          <w:rtl/>
        </w:rPr>
        <w:t>):</w:t>
      </w:r>
    </w:p>
    <w:p w14:paraId="2A667230" w14:textId="77777777" w:rsidR="00202E2A" w:rsidRPr="00A92155" w:rsidRDefault="00202E2A">
      <w:pPr>
        <w:numPr>
          <w:ilvl w:val="0"/>
          <w:numId w:val="55"/>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القيادة الرقمية:</w:t>
      </w:r>
      <w:r w:rsidRPr="00A92155">
        <w:rPr>
          <w:rFonts w:asciiTheme="majorBidi" w:hAnsiTheme="majorBidi" w:cstheme="majorBidi"/>
          <w:sz w:val="26"/>
          <w:szCs w:val="26"/>
          <w:rtl/>
        </w:rPr>
        <w:t xml:space="preserve"> يجب على القادة في هيئة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أن يكونوا رواد تغيير (</w:t>
      </w:r>
      <w:r w:rsidRPr="00A92155">
        <w:rPr>
          <w:rFonts w:asciiTheme="majorBidi" w:hAnsiTheme="majorBidi" w:cstheme="majorBidi"/>
          <w:sz w:val="26"/>
          <w:szCs w:val="26"/>
        </w:rPr>
        <w:t>Change Agents</w:t>
      </w:r>
      <w:r w:rsidRPr="00A92155">
        <w:rPr>
          <w:rFonts w:asciiTheme="majorBidi" w:hAnsiTheme="majorBidi" w:cstheme="majorBidi"/>
          <w:sz w:val="26"/>
          <w:szCs w:val="26"/>
          <w:rtl/>
        </w:rPr>
        <w:t xml:space="preserve">)، يمتلكون رؤية واضحة للتحول الرقمي (القيادة الرقمية - </w:t>
      </w:r>
      <w:r w:rsidRPr="00A92155">
        <w:rPr>
          <w:rFonts w:asciiTheme="majorBidi" w:hAnsiTheme="majorBidi" w:cstheme="majorBidi"/>
          <w:sz w:val="26"/>
          <w:szCs w:val="26"/>
        </w:rPr>
        <w:t>Westerman</w:t>
      </w:r>
      <w:r w:rsidRPr="00A92155">
        <w:rPr>
          <w:rFonts w:asciiTheme="majorBidi" w:hAnsiTheme="majorBidi" w:cstheme="majorBidi"/>
          <w:sz w:val="26"/>
          <w:szCs w:val="26"/>
          <w:rtl/>
        </w:rPr>
        <w:t xml:space="preserve"> &amp; </w:t>
      </w:r>
      <w:r w:rsidRPr="00A92155">
        <w:rPr>
          <w:rFonts w:asciiTheme="majorBidi" w:hAnsiTheme="majorBidi" w:cstheme="majorBidi"/>
          <w:sz w:val="26"/>
          <w:szCs w:val="26"/>
        </w:rPr>
        <w:t>Bonnet</w:t>
      </w:r>
      <w:r w:rsidRPr="00A92155">
        <w:rPr>
          <w:rFonts w:asciiTheme="majorBidi" w:hAnsiTheme="majorBidi" w:cstheme="majorBidi"/>
          <w:sz w:val="26"/>
          <w:szCs w:val="26"/>
          <w:rtl/>
        </w:rPr>
        <w:t>)، ويدعمون ثقافة التجريب والتعلم من الأخطاء (</w:t>
      </w:r>
      <w:r w:rsidRPr="00A92155">
        <w:rPr>
          <w:rFonts w:asciiTheme="majorBidi" w:hAnsiTheme="majorBidi" w:cstheme="majorBidi"/>
          <w:sz w:val="26"/>
          <w:szCs w:val="26"/>
        </w:rPr>
        <w:t>Fail Fast</w:t>
      </w:r>
      <w:r w:rsidRPr="00A92155">
        <w:rPr>
          <w:rFonts w:asciiTheme="majorBidi" w:hAnsiTheme="majorBidi" w:cstheme="majorBidi"/>
          <w:sz w:val="26"/>
          <w:szCs w:val="26"/>
          <w:rtl/>
        </w:rPr>
        <w:t>). هذا يقلل من مقاومة التغيير بين الموظفين.</w:t>
      </w:r>
    </w:p>
    <w:p w14:paraId="37376FE2" w14:textId="77777777" w:rsidR="00202E2A" w:rsidRPr="00A92155" w:rsidRDefault="00202E2A">
      <w:pPr>
        <w:numPr>
          <w:ilvl w:val="0"/>
          <w:numId w:val="55"/>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ثقافة البيانات (</w:t>
      </w:r>
      <w:r w:rsidRPr="00A92155">
        <w:rPr>
          <w:rFonts w:asciiTheme="majorBidi" w:hAnsiTheme="majorBidi" w:cstheme="majorBidi"/>
          <w:b/>
          <w:bCs/>
          <w:sz w:val="26"/>
          <w:szCs w:val="26"/>
        </w:rPr>
        <w:t>Data Culture</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يتطلب الأمر ترسيخ ثقافة اتخاذ القرار القائم على البيانات (</w:t>
      </w:r>
      <w:r w:rsidRPr="00A92155">
        <w:rPr>
          <w:rFonts w:asciiTheme="majorBidi" w:hAnsiTheme="majorBidi" w:cstheme="majorBidi"/>
          <w:sz w:val="26"/>
          <w:szCs w:val="26"/>
        </w:rPr>
        <w:t>Data-Driven Decision Making</w:t>
      </w:r>
      <w:r w:rsidRPr="00A92155">
        <w:rPr>
          <w:rFonts w:asciiTheme="majorBidi" w:hAnsiTheme="majorBidi" w:cstheme="majorBidi"/>
          <w:sz w:val="26"/>
          <w:szCs w:val="26"/>
          <w:rtl/>
        </w:rPr>
        <w:t>) بدلاً من الاعتماد على الخبرة أو الحدس فقط. هذا المحور يرتبط ارتباطاً وثيقاً بنجاح إدارة التحليلات المتقدمة.</w:t>
      </w:r>
    </w:p>
    <w:p w14:paraId="64CBFFC6"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ج. تطوير الكفاءات الديناميكية (</w:t>
      </w:r>
      <w:r w:rsidRPr="00A92155">
        <w:rPr>
          <w:rFonts w:asciiTheme="majorBidi" w:hAnsiTheme="majorBidi" w:cstheme="majorBidi"/>
          <w:b/>
          <w:bCs/>
          <w:sz w:val="26"/>
          <w:szCs w:val="26"/>
        </w:rPr>
        <w:t>Developing Dynamic Capabilities</w:t>
      </w:r>
      <w:r w:rsidRPr="00A92155">
        <w:rPr>
          <w:rFonts w:asciiTheme="majorBidi" w:hAnsiTheme="majorBidi" w:cstheme="majorBidi"/>
          <w:b/>
          <w:bCs/>
          <w:sz w:val="26"/>
          <w:szCs w:val="26"/>
          <w:rtl/>
        </w:rPr>
        <w:t>):</w:t>
      </w:r>
    </w:p>
    <w:p w14:paraId="0120447F" w14:textId="77777777" w:rsidR="00202E2A" w:rsidRPr="00A92155" w:rsidRDefault="00202E2A">
      <w:pPr>
        <w:numPr>
          <w:ilvl w:val="0"/>
          <w:numId w:val="56"/>
        </w:num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بالعودة إلى نظرية الكفاءة الديناميكية (</w:t>
      </w:r>
      <w:r w:rsidRPr="00A92155">
        <w:rPr>
          <w:rFonts w:asciiTheme="majorBidi" w:hAnsiTheme="majorBidi" w:cstheme="majorBidi"/>
          <w:sz w:val="26"/>
          <w:szCs w:val="26"/>
        </w:rPr>
        <w:t>DCT</w:t>
      </w:r>
      <w:r w:rsidRPr="00A92155">
        <w:rPr>
          <w:rFonts w:asciiTheme="majorBidi" w:hAnsiTheme="majorBidi" w:cstheme="majorBidi"/>
          <w:sz w:val="26"/>
          <w:szCs w:val="26"/>
          <w:rtl/>
        </w:rPr>
        <w:t>)، فإن تطوير الكفاءات الرقمية ليس هدفاً في حد ذاته، بل هو وسيلة لبناء قدرة المؤسسة على الاستكشاف، الاستغلال، والتحويل في بيئة متغيرة. هذا يضمن أن المؤسسة لا تكتفي بتبني التقنيات الحالية، بل تكون قادرة على استيعاب التقنيات المستقبلية (مثل الذكاء الاصطناعي التوليدي) وتوظيفها بفعالية (</w:t>
      </w:r>
      <w:r w:rsidRPr="00A92155">
        <w:rPr>
          <w:rFonts w:asciiTheme="majorBidi" w:hAnsiTheme="majorBidi" w:cstheme="majorBidi"/>
          <w:sz w:val="26"/>
          <w:szCs w:val="26"/>
        </w:rPr>
        <w:t>Chirumalla, 2021</w:t>
      </w:r>
      <w:r w:rsidRPr="00A92155">
        <w:rPr>
          <w:rFonts w:asciiTheme="majorBidi" w:hAnsiTheme="majorBidi" w:cstheme="majorBidi"/>
          <w:sz w:val="26"/>
          <w:szCs w:val="26"/>
          <w:rtl/>
        </w:rPr>
        <w:t>).</w:t>
      </w:r>
    </w:p>
    <w:p w14:paraId="4DF06F63"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2.2.2 البعد الثاني: الابتكار الرقمي (</w:t>
      </w:r>
      <w:r w:rsidRPr="00A92155">
        <w:rPr>
          <w:rFonts w:asciiTheme="majorBidi" w:hAnsiTheme="majorBidi" w:cs="PT Bold Heading"/>
          <w:b/>
          <w:bCs/>
          <w:color w:val="000000" w:themeColor="text1"/>
          <w:sz w:val="26"/>
          <w:szCs w:val="26"/>
        </w:rPr>
        <w:t>Digital Innovation</w:t>
      </w:r>
      <w:r w:rsidRPr="00A92155">
        <w:rPr>
          <w:rFonts w:asciiTheme="majorBidi" w:hAnsiTheme="majorBidi" w:cs="PT Bold Heading"/>
          <w:b/>
          <w:bCs/>
          <w:color w:val="000000" w:themeColor="text1"/>
          <w:sz w:val="26"/>
          <w:szCs w:val="26"/>
          <w:rtl/>
        </w:rPr>
        <w:t>)</w:t>
      </w:r>
    </w:p>
    <w:p w14:paraId="1BEE0C19"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يمثل الابتكار الرقمي قاطرة التحول، حيث يتجاوز هذا البعد مجرد استخدام التقنيات المتاحة ليصبح عملية توليد قيمة جديدة (</w:t>
      </w:r>
      <w:r w:rsidRPr="00A92155">
        <w:rPr>
          <w:rFonts w:asciiTheme="majorBidi" w:hAnsiTheme="majorBidi" w:cstheme="majorBidi"/>
          <w:sz w:val="26"/>
          <w:szCs w:val="26"/>
        </w:rPr>
        <w:t>Value Creation</w:t>
      </w:r>
      <w:r w:rsidRPr="00A92155">
        <w:rPr>
          <w:rFonts w:asciiTheme="majorBidi" w:hAnsiTheme="majorBidi" w:cstheme="majorBidi"/>
          <w:sz w:val="26"/>
          <w:szCs w:val="26"/>
          <w:rtl/>
        </w:rPr>
        <w:t>) وإعادة تعريف الخدمات الحكومية باستخدام التقنيات الناشئة. إنه البُعد الذي يُحوّل الكفاءة الإجرائية (المتحققة من الأسس الرقمية) إلى ميزة استراتيجية (</w:t>
      </w:r>
      <w:r w:rsidRPr="00A92155">
        <w:rPr>
          <w:rFonts w:asciiTheme="majorBidi" w:hAnsiTheme="majorBidi" w:cstheme="majorBidi"/>
          <w:sz w:val="26"/>
          <w:szCs w:val="26"/>
        </w:rPr>
        <w:t>Muehlburger et al., 2019</w:t>
      </w:r>
      <w:r w:rsidRPr="00A92155">
        <w:rPr>
          <w:rFonts w:asciiTheme="majorBidi" w:hAnsiTheme="majorBidi" w:cstheme="majorBidi"/>
          <w:sz w:val="26"/>
          <w:szCs w:val="26"/>
          <w:rtl/>
        </w:rPr>
        <w:t>).</w:t>
      </w:r>
    </w:p>
    <w:p w14:paraId="1652E5F0"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2.2.2.1 الذكاء الاصطناعي وإنترنت الأشياء في العمل الحكومي</w:t>
      </w:r>
    </w:p>
    <w:p w14:paraId="054BED46"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تُعد هذه التقنيات هي الأكثر تأثيراً في تحقيق التوازن بين الأمن وتيسير التجارة، فهي توفر إمكانية الأتمتة الذكية والتحليل التنبؤي غير المسبوق:</w:t>
      </w:r>
    </w:p>
    <w:p w14:paraId="4CDA5C0A"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أ. الذكاء الاصطناعي لتعزيز الأمن (</w:t>
      </w:r>
      <w:r w:rsidRPr="00A92155">
        <w:rPr>
          <w:rFonts w:asciiTheme="majorBidi" w:hAnsiTheme="majorBidi" w:cstheme="majorBidi"/>
          <w:b/>
          <w:bCs/>
          <w:sz w:val="26"/>
          <w:szCs w:val="26"/>
        </w:rPr>
        <w:t>AI for Security Enhancement</w:t>
      </w:r>
      <w:r w:rsidRPr="00A92155">
        <w:rPr>
          <w:rFonts w:asciiTheme="majorBidi" w:hAnsiTheme="majorBidi" w:cstheme="majorBidi"/>
          <w:b/>
          <w:bCs/>
          <w:sz w:val="26"/>
          <w:szCs w:val="26"/>
          <w:rtl/>
        </w:rPr>
        <w:t>):</w:t>
      </w:r>
    </w:p>
    <w:p w14:paraId="7009BBA7" w14:textId="77777777" w:rsidR="00202E2A" w:rsidRPr="00A92155" w:rsidRDefault="00202E2A">
      <w:pPr>
        <w:numPr>
          <w:ilvl w:val="0"/>
          <w:numId w:val="57"/>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أتمتة اتخاذ القرار الأمني:</w:t>
      </w:r>
      <w:r w:rsidRPr="00A92155">
        <w:rPr>
          <w:rFonts w:asciiTheme="majorBidi" w:hAnsiTheme="majorBidi" w:cstheme="majorBidi"/>
          <w:sz w:val="26"/>
          <w:szCs w:val="26"/>
          <w:rtl/>
        </w:rPr>
        <w:t xml:space="preserve"> يتم استخدام خوارزميات التعلم الآلي (</w:t>
      </w:r>
      <w:r w:rsidRPr="00A92155">
        <w:rPr>
          <w:rFonts w:asciiTheme="majorBidi" w:hAnsiTheme="majorBidi" w:cstheme="majorBidi"/>
          <w:sz w:val="26"/>
          <w:szCs w:val="26"/>
        </w:rPr>
        <w:t>Machine Learning</w:t>
      </w:r>
      <w:r w:rsidRPr="00A92155">
        <w:rPr>
          <w:rFonts w:asciiTheme="majorBidi" w:hAnsiTheme="majorBidi" w:cstheme="majorBidi"/>
          <w:sz w:val="26"/>
          <w:szCs w:val="26"/>
          <w:rtl/>
        </w:rPr>
        <w:t>) والتعلم العميق (</w:t>
      </w:r>
      <w:r w:rsidRPr="00A92155">
        <w:rPr>
          <w:rFonts w:asciiTheme="majorBidi" w:hAnsiTheme="majorBidi" w:cstheme="majorBidi"/>
          <w:sz w:val="26"/>
          <w:szCs w:val="26"/>
        </w:rPr>
        <w:t>Deep Learning</w:t>
      </w:r>
      <w:r w:rsidRPr="00A92155">
        <w:rPr>
          <w:rFonts w:asciiTheme="majorBidi" w:hAnsiTheme="majorBidi" w:cstheme="majorBidi"/>
          <w:sz w:val="26"/>
          <w:szCs w:val="26"/>
          <w:rtl/>
        </w:rPr>
        <w:t xml:space="preserve">) في هيئات مثل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لتحليل كميات هائلة من البيانات في وقت قياسي. هذا التحليل يمكن النظام من:</w:t>
      </w:r>
    </w:p>
    <w:p w14:paraId="4070F592" w14:textId="77777777" w:rsidR="00202E2A" w:rsidRPr="00A92155" w:rsidRDefault="00202E2A">
      <w:pPr>
        <w:numPr>
          <w:ilvl w:val="1"/>
          <w:numId w:val="57"/>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اكتشاف الاحتيال والتهريب:</w:t>
      </w:r>
      <w:r w:rsidRPr="00A92155">
        <w:rPr>
          <w:rFonts w:asciiTheme="majorBidi" w:hAnsiTheme="majorBidi" w:cstheme="majorBidi"/>
          <w:sz w:val="26"/>
          <w:szCs w:val="26"/>
          <w:rtl/>
        </w:rPr>
        <w:t xml:space="preserve"> تحديد الأنماط المعقدة وغير المعتادة في الوثائق الجمركية أو الضريبية التي قد تشير إلى محاولة تهرب أو غسيل أموال.</w:t>
      </w:r>
    </w:p>
    <w:p w14:paraId="4889BE47" w14:textId="77777777" w:rsidR="00202E2A" w:rsidRPr="00A92155" w:rsidRDefault="00202E2A">
      <w:pPr>
        <w:numPr>
          <w:ilvl w:val="1"/>
          <w:numId w:val="57"/>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التفتيش الذكي للمخاطر:</w:t>
      </w:r>
      <w:r w:rsidRPr="00A92155">
        <w:rPr>
          <w:rFonts w:asciiTheme="majorBidi" w:hAnsiTheme="majorBidi" w:cstheme="majorBidi"/>
          <w:sz w:val="26"/>
          <w:szCs w:val="26"/>
          <w:rtl/>
        </w:rPr>
        <w:t xml:space="preserve"> استخدام الذكاء الاصطناعي في كاميرات المراقبة، وأجهزة الأشعة السينية (</w:t>
      </w:r>
      <w:r w:rsidRPr="00A92155">
        <w:rPr>
          <w:rFonts w:asciiTheme="majorBidi" w:hAnsiTheme="majorBidi" w:cstheme="majorBidi"/>
          <w:sz w:val="26"/>
          <w:szCs w:val="26"/>
        </w:rPr>
        <w:t>X-Ray Scanners</w:t>
      </w:r>
      <w:r w:rsidRPr="00A92155">
        <w:rPr>
          <w:rFonts w:asciiTheme="majorBidi" w:hAnsiTheme="majorBidi" w:cstheme="majorBidi"/>
          <w:sz w:val="26"/>
          <w:szCs w:val="26"/>
          <w:rtl/>
        </w:rPr>
        <w:t>)، ومستشعرات الحدود لربط الصور مع بيانات الشحن، وتحديد العناصر المشبوهة أو المتفجرات بشكل آلي، مما يقلل من التدخل البشري والوقت المستغرق في التفتيش (</w:t>
      </w:r>
      <w:r w:rsidRPr="00A92155">
        <w:rPr>
          <w:rFonts w:asciiTheme="majorBidi" w:hAnsiTheme="majorBidi" w:cstheme="majorBidi"/>
          <w:sz w:val="26"/>
          <w:szCs w:val="26"/>
        </w:rPr>
        <w:t>Smith, J., 2018</w:t>
      </w:r>
      <w:r w:rsidRPr="00A92155">
        <w:rPr>
          <w:rFonts w:asciiTheme="majorBidi" w:hAnsiTheme="majorBidi" w:cstheme="majorBidi"/>
          <w:sz w:val="26"/>
          <w:szCs w:val="26"/>
          <w:rtl/>
        </w:rPr>
        <w:t>).</w:t>
      </w:r>
    </w:p>
    <w:p w14:paraId="67557445"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lastRenderedPageBreak/>
        <w:t>ب. إنترنت الأشياء لتيسير التجارة (</w:t>
      </w:r>
      <w:r w:rsidRPr="00A92155">
        <w:rPr>
          <w:rFonts w:asciiTheme="majorBidi" w:hAnsiTheme="majorBidi" w:cstheme="majorBidi"/>
          <w:b/>
          <w:bCs/>
          <w:sz w:val="26"/>
          <w:szCs w:val="26"/>
        </w:rPr>
        <w:t>IoT for Trade Facilitation</w:t>
      </w:r>
      <w:r w:rsidRPr="00A92155">
        <w:rPr>
          <w:rFonts w:asciiTheme="majorBidi" w:hAnsiTheme="majorBidi" w:cstheme="majorBidi"/>
          <w:b/>
          <w:bCs/>
          <w:sz w:val="26"/>
          <w:szCs w:val="26"/>
          <w:rtl/>
        </w:rPr>
        <w:t>):</w:t>
      </w:r>
    </w:p>
    <w:p w14:paraId="545A6A09" w14:textId="77777777" w:rsidR="00202E2A" w:rsidRPr="00A92155" w:rsidRDefault="00202E2A">
      <w:pPr>
        <w:numPr>
          <w:ilvl w:val="0"/>
          <w:numId w:val="58"/>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اللوجستيات الذكية وتتبع الشحنات:</w:t>
      </w:r>
      <w:r w:rsidRPr="00A92155">
        <w:rPr>
          <w:rFonts w:asciiTheme="majorBidi" w:hAnsiTheme="majorBidi" w:cstheme="majorBidi"/>
          <w:sz w:val="26"/>
          <w:szCs w:val="26"/>
          <w:rtl/>
        </w:rPr>
        <w:t xml:space="preserve"> يتم استخدام أجهزة إنترنت الأشياء (</w:t>
      </w:r>
      <w:r w:rsidRPr="00A92155">
        <w:rPr>
          <w:rFonts w:asciiTheme="majorBidi" w:hAnsiTheme="majorBidi" w:cstheme="majorBidi"/>
          <w:sz w:val="26"/>
          <w:szCs w:val="26"/>
        </w:rPr>
        <w:t>IoT</w:t>
      </w:r>
      <w:r w:rsidRPr="00A92155">
        <w:rPr>
          <w:rFonts w:asciiTheme="majorBidi" w:hAnsiTheme="majorBidi" w:cstheme="majorBidi"/>
          <w:sz w:val="26"/>
          <w:szCs w:val="26"/>
          <w:rtl/>
        </w:rPr>
        <w:t>) في سلاسل التوريد لمراقبة ظروف الشحن (درجة الحرارة، الرطوبة، الموقع الجغرافي) في الوقت الفعلي.</w:t>
      </w:r>
    </w:p>
    <w:p w14:paraId="2BA2B57C" w14:textId="77777777" w:rsidR="00202E2A" w:rsidRPr="00A92155" w:rsidRDefault="00202E2A">
      <w:pPr>
        <w:numPr>
          <w:ilvl w:val="0"/>
          <w:numId w:val="58"/>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الأثر المزدوج:</w:t>
      </w:r>
    </w:p>
    <w:p w14:paraId="1C192433" w14:textId="77777777" w:rsidR="00202E2A" w:rsidRPr="00A92155" w:rsidRDefault="00202E2A">
      <w:pPr>
        <w:numPr>
          <w:ilvl w:val="1"/>
          <w:numId w:val="58"/>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الأمن:</w:t>
      </w:r>
      <w:r w:rsidRPr="00A92155">
        <w:rPr>
          <w:rFonts w:asciiTheme="majorBidi" w:hAnsiTheme="majorBidi" w:cstheme="majorBidi"/>
          <w:sz w:val="26"/>
          <w:szCs w:val="26"/>
          <w:rtl/>
        </w:rPr>
        <w:t xml:space="preserve"> تضمن مستشعرات </w:t>
      </w:r>
      <w:r w:rsidRPr="00A92155">
        <w:rPr>
          <w:rFonts w:asciiTheme="majorBidi" w:hAnsiTheme="majorBidi" w:cstheme="majorBidi"/>
          <w:sz w:val="26"/>
          <w:szCs w:val="26"/>
        </w:rPr>
        <w:t>IoT</w:t>
      </w:r>
      <w:r w:rsidRPr="00A92155">
        <w:rPr>
          <w:rFonts w:asciiTheme="majorBidi" w:hAnsiTheme="majorBidi" w:cstheme="majorBidi"/>
          <w:sz w:val="26"/>
          <w:szCs w:val="26"/>
          <w:rtl/>
        </w:rPr>
        <w:t xml:space="preserve"> أن الشحنة لم يتم فتحها أو العبث بها منذ مغادرتها نقطة المنشأ (</w:t>
      </w:r>
      <w:r w:rsidRPr="00A92155">
        <w:rPr>
          <w:rFonts w:asciiTheme="majorBidi" w:hAnsiTheme="majorBidi" w:cstheme="majorBidi"/>
          <w:sz w:val="26"/>
          <w:szCs w:val="26"/>
        </w:rPr>
        <w:t>Chain of Custody</w:t>
      </w:r>
      <w:r w:rsidRPr="00A92155">
        <w:rPr>
          <w:rFonts w:asciiTheme="majorBidi" w:hAnsiTheme="majorBidi" w:cstheme="majorBidi"/>
          <w:sz w:val="26"/>
          <w:szCs w:val="26"/>
          <w:rtl/>
        </w:rPr>
        <w:t>).</w:t>
      </w:r>
    </w:p>
    <w:p w14:paraId="0B8E7D51" w14:textId="77777777" w:rsidR="00202E2A" w:rsidRPr="00A92155" w:rsidRDefault="00202E2A">
      <w:pPr>
        <w:numPr>
          <w:ilvl w:val="1"/>
          <w:numId w:val="58"/>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التجارة:</w:t>
      </w:r>
      <w:r w:rsidRPr="00A92155">
        <w:rPr>
          <w:rFonts w:asciiTheme="majorBidi" w:hAnsiTheme="majorBidi" w:cstheme="majorBidi"/>
          <w:sz w:val="26"/>
          <w:szCs w:val="26"/>
          <w:rtl/>
        </w:rPr>
        <w:t xml:space="preserve"> توفر بيانات دقيقة تضمن جودة المنتج، مما يسرع عملية التخليص لعدم الحاجة إلى تفتيش عشوائي شامل، ويقلل من النزاعات التجارية (</w:t>
      </w:r>
      <w:r w:rsidRPr="00A92155">
        <w:rPr>
          <w:rFonts w:asciiTheme="majorBidi" w:hAnsiTheme="majorBidi" w:cstheme="majorBidi"/>
          <w:sz w:val="26"/>
          <w:szCs w:val="26"/>
        </w:rPr>
        <w:t>World Bank, 2020</w:t>
      </w:r>
      <w:r w:rsidRPr="00A92155">
        <w:rPr>
          <w:rFonts w:asciiTheme="majorBidi" w:hAnsiTheme="majorBidi" w:cstheme="majorBidi"/>
          <w:sz w:val="26"/>
          <w:szCs w:val="26"/>
          <w:rtl/>
        </w:rPr>
        <w:t>).</w:t>
      </w:r>
    </w:p>
    <w:p w14:paraId="746A3628" w14:textId="77777777" w:rsidR="00202E2A" w:rsidRPr="00A92155" w:rsidRDefault="00202E2A">
      <w:pPr>
        <w:numPr>
          <w:ilvl w:val="0"/>
          <w:numId w:val="58"/>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الموانئ والمستودعات الذكية:</w:t>
      </w:r>
      <w:r w:rsidRPr="00A92155">
        <w:rPr>
          <w:rFonts w:asciiTheme="majorBidi" w:hAnsiTheme="majorBidi" w:cstheme="majorBidi"/>
          <w:sz w:val="26"/>
          <w:szCs w:val="26"/>
          <w:rtl/>
        </w:rPr>
        <w:t xml:space="preserve"> استخدام شبكات الاستشعار (</w:t>
      </w:r>
      <w:r w:rsidRPr="00A92155">
        <w:rPr>
          <w:rFonts w:asciiTheme="majorBidi" w:hAnsiTheme="majorBidi" w:cstheme="majorBidi"/>
          <w:sz w:val="26"/>
          <w:szCs w:val="26"/>
        </w:rPr>
        <w:t>IoT Sensors</w:t>
      </w:r>
      <w:r w:rsidRPr="00A92155">
        <w:rPr>
          <w:rFonts w:asciiTheme="majorBidi" w:hAnsiTheme="majorBidi" w:cstheme="majorBidi"/>
          <w:sz w:val="26"/>
          <w:szCs w:val="26"/>
          <w:rtl/>
        </w:rPr>
        <w:t>) في إدارة المخزون والموانئ لزيادة كفاءة استغلال المساحات وتحسين تدفق البضائع الداخلة والخارجة، مما يقلل تكاليف التخزين ويحسن من تصنيف المملكة في مؤشر أداء الخدمات اللوجستية (</w:t>
      </w:r>
      <w:r w:rsidRPr="00A92155">
        <w:rPr>
          <w:rFonts w:asciiTheme="majorBidi" w:hAnsiTheme="majorBidi" w:cstheme="majorBidi"/>
          <w:sz w:val="26"/>
          <w:szCs w:val="26"/>
        </w:rPr>
        <w:t>LPI</w:t>
      </w:r>
      <w:r w:rsidRPr="00A92155">
        <w:rPr>
          <w:rFonts w:asciiTheme="majorBidi" w:hAnsiTheme="majorBidi" w:cstheme="majorBidi"/>
          <w:sz w:val="26"/>
          <w:szCs w:val="26"/>
          <w:rtl/>
        </w:rPr>
        <w:t>).</w:t>
      </w:r>
    </w:p>
    <w:p w14:paraId="29ACA367"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ج. الذكاء الاصطناعي التوليدي (</w:t>
      </w:r>
      <w:r w:rsidRPr="00A92155">
        <w:rPr>
          <w:rFonts w:asciiTheme="majorBidi" w:hAnsiTheme="majorBidi" w:cstheme="majorBidi"/>
          <w:b/>
          <w:bCs/>
          <w:sz w:val="26"/>
          <w:szCs w:val="26"/>
        </w:rPr>
        <w:t>Generative AI</w:t>
      </w:r>
      <w:r w:rsidRPr="00A92155">
        <w:rPr>
          <w:rFonts w:asciiTheme="majorBidi" w:hAnsiTheme="majorBidi" w:cstheme="majorBidi"/>
          <w:b/>
          <w:bCs/>
          <w:sz w:val="26"/>
          <w:szCs w:val="26"/>
          <w:rtl/>
        </w:rPr>
        <w:t>) كأداة جديدة:</w:t>
      </w:r>
    </w:p>
    <w:p w14:paraId="5F057E75" w14:textId="77777777" w:rsidR="00202E2A" w:rsidRPr="00A92155" w:rsidRDefault="00202E2A">
      <w:pPr>
        <w:numPr>
          <w:ilvl w:val="0"/>
          <w:numId w:val="59"/>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الخدمة الحكومية:</w:t>
      </w:r>
      <w:r w:rsidRPr="00A92155">
        <w:rPr>
          <w:rFonts w:asciiTheme="majorBidi" w:hAnsiTheme="majorBidi" w:cstheme="majorBidi"/>
          <w:sz w:val="26"/>
          <w:szCs w:val="26"/>
          <w:rtl/>
        </w:rPr>
        <w:t xml:space="preserve"> بدء استخدام الذكاء الاصطناعي التوليدي (</w:t>
      </w:r>
      <w:r w:rsidRPr="00A92155">
        <w:rPr>
          <w:rFonts w:asciiTheme="majorBidi" w:hAnsiTheme="majorBidi" w:cstheme="majorBidi"/>
          <w:sz w:val="26"/>
          <w:szCs w:val="26"/>
        </w:rPr>
        <w:t>GenAI</w:t>
      </w:r>
      <w:r w:rsidRPr="00A92155">
        <w:rPr>
          <w:rFonts w:asciiTheme="majorBidi" w:hAnsiTheme="majorBidi" w:cstheme="majorBidi"/>
          <w:sz w:val="26"/>
          <w:szCs w:val="26"/>
          <w:rtl/>
        </w:rPr>
        <w:t>) في إنشاء أدوات مساعدة افتراضية متقدمة (</w:t>
      </w:r>
      <w:r w:rsidRPr="00A92155">
        <w:rPr>
          <w:rFonts w:asciiTheme="majorBidi" w:hAnsiTheme="majorBidi" w:cstheme="majorBidi"/>
          <w:sz w:val="26"/>
          <w:szCs w:val="26"/>
        </w:rPr>
        <w:t>Virtual Assistants</w:t>
      </w:r>
      <w:r w:rsidRPr="00A92155">
        <w:rPr>
          <w:rFonts w:asciiTheme="majorBidi" w:hAnsiTheme="majorBidi" w:cstheme="majorBidi"/>
          <w:sz w:val="26"/>
          <w:szCs w:val="26"/>
          <w:rtl/>
        </w:rPr>
        <w:t>) قادرة على الإجابة على استفسارات المستوردين والمصدرين المعقدة بشكل آلي وسريع، وتوفير معلومات جمركية وضريبية دقيقة، مما يرفع من مستوى الخدمة الحكومية.</w:t>
      </w:r>
    </w:p>
    <w:p w14:paraId="70D138C0"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2.2.2.2 المنصات الرقمية والتفاعل مع المستفيدين</w:t>
      </w:r>
    </w:p>
    <w:p w14:paraId="257B0D52"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تُمثل المنصات الرقمية (</w:t>
      </w:r>
      <w:r w:rsidRPr="00A92155">
        <w:rPr>
          <w:rFonts w:asciiTheme="majorBidi" w:hAnsiTheme="majorBidi" w:cstheme="majorBidi"/>
          <w:sz w:val="26"/>
          <w:szCs w:val="26"/>
        </w:rPr>
        <w:t>Digital Platforms</w:t>
      </w:r>
      <w:r w:rsidRPr="00A92155">
        <w:rPr>
          <w:rFonts w:asciiTheme="majorBidi" w:hAnsiTheme="majorBidi" w:cstheme="majorBidi"/>
          <w:sz w:val="26"/>
          <w:szCs w:val="26"/>
          <w:rtl/>
        </w:rPr>
        <w:t>) التحول من النموذج الحكومي القائم على الإدارات المنعزلة (</w:t>
      </w:r>
      <w:r w:rsidRPr="00A92155">
        <w:rPr>
          <w:rFonts w:asciiTheme="majorBidi" w:hAnsiTheme="majorBidi" w:cstheme="majorBidi"/>
          <w:sz w:val="26"/>
          <w:szCs w:val="26"/>
        </w:rPr>
        <w:t>Silos</w:t>
      </w:r>
      <w:r w:rsidRPr="00A92155">
        <w:rPr>
          <w:rFonts w:asciiTheme="majorBidi" w:hAnsiTheme="majorBidi" w:cstheme="majorBidi"/>
          <w:sz w:val="26"/>
          <w:szCs w:val="26"/>
          <w:rtl/>
        </w:rPr>
        <w:t>) إلى نموذج الخدمة المتكاملة (</w:t>
      </w:r>
      <w:r w:rsidRPr="00A92155">
        <w:rPr>
          <w:rFonts w:asciiTheme="majorBidi" w:hAnsiTheme="majorBidi" w:cstheme="majorBidi"/>
          <w:sz w:val="26"/>
          <w:szCs w:val="26"/>
        </w:rPr>
        <w:t>Whole-of-Government Approach</w:t>
      </w:r>
      <w:r w:rsidRPr="00A92155">
        <w:rPr>
          <w:rFonts w:asciiTheme="majorBidi" w:hAnsiTheme="majorBidi" w:cstheme="majorBidi"/>
          <w:sz w:val="26"/>
          <w:szCs w:val="26"/>
          <w:rtl/>
        </w:rPr>
        <w:t>) الذي يضع المستفيد في المركز (</w:t>
      </w:r>
      <w:r w:rsidRPr="00A92155">
        <w:rPr>
          <w:rFonts w:asciiTheme="majorBidi" w:hAnsiTheme="majorBidi" w:cstheme="majorBidi"/>
          <w:sz w:val="26"/>
          <w:szCs w:val="26"/>
        </w:rPr>
        <w:t>Muehlburger et al., 2019</w:t>
      </w:r>
      <w:r w:rsidRPr="00A92155">
        <w:rPr>
          <w:rFonts w:asciiTheme="majorBidi" w:hAnsiTheme="majorBidi" w:cstheme="majorBidi"/>
          <w:sz w:val="26"/>
          <w:szCs w:val="26"/>
          <w:rtl/>
        </w:rPr>
        <w:t>).</w:t>
      </w:r>
    </w:p>
    <w:p w14:paraId="7CBAC818"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أ. المنصة الرقمية الموحدة (</w:t>
      </w:r>
      <w:r w:rsidRPr="00A92155">
        <w:rPr>
          <w:rFonts w:asciiTheme="majorBidi" w:hAnsiTheme="majorBidi" w:cstheme="majorBidi"/>
          <w:b/>
          <w:bCs/>
          <w:sz w:val="26"/>
          <w:szCs w:val="26"/>
        </w:rPr>
        <w:t>Single Window/Platform</w:t>
      </w:r>
      <w:r w:rsidRPr="00A92155">
        <w:rPr>
          <w:rFonts w:asciiTheme="majorBidi" w:hAnsiTheme="majorBidi" w:cstheme="majorBidi"/>
          <w:b/>
          <w:bCs/>
          <w:sz w:val="26"/>
          <w:szCs w:val="26"/>
          <w:rtl/>
        </w:rPr>
        <w:t>):</w:t>
      </w:r>
    </w:p>
    <w:p w14:paraId="249B4199" w14:textId="77777777" w:rsidR="00202E2A" w:rsidRPr="00A92155" w:rsidRDefault="00202E2A">
      <w:pPr>
        <w:numPr>
          <w:ilvl w:val="0"/>
          <w:numId w:val="60"/>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التحول في التجارة:</w:t>
      </w:r>
      <w:r w:rsidRPr="00A92155">
        <w:rPr>
          <w:rFonts w:asciiTheme="majorBidi" w:hAnsiTheme="majorBidi" w:cstheme="majorBidi"/>
          <w:sz w:val="26"/>
          <w:szCs w:val="26"/>
          <w:rtl/>
        </w:rPr>
        <w:t xml:space="preserve"> تُعد منصات "النافذة الواحدة" (كما في تجربة سنغافورة و</w:t>
      </w:r>
      <w:r w:rsidRPr="00A92155">
        <w:rPr>
          <w:rFonts w:asciiTheme="majorBidi" w:hAnsiTheme="majorBidi" w:cstheme="majorBidi"/>
          <w:sz w:val="26"/>
          <w:szCs w:val="26"/>
        </w:rPr>
        <w:t>ZATCA</w:t>
      </w:r>
      <w:r w:rsidRPr="00A92155">
        <w:rPr>
          <w:rFonts w:asciiTheme="majorBidi" w:hAnsiTheme="majorBidi" w:cstheme="majorBidi"/>
          <w:sz w:val="26"/>
          <w:szCs w:val="26"/>
          <w:rtl/>
        </w:rPr>
        <w:t>) هي المظهر الأبرز لنجاح الابتكار الرقمي في تيسير التجارة. حيث تسمح للمستورد أو المصدر بتقديم جميع الوثائق والمعاملات المطلوبة (جمركية، صحية، بيئية، ضريبية) مرة واحدة وإلكترونياً (</w:t>
      </w:r>
      <w:r w:rsidRPr="00A92155">
        <w:rPr>
          <w:rFonts w:asciiTheme="majorBidi" w:hAnsiTheme="majorBidi" w:cstheme="majorBidi"/>
          <w:sz w:val="26"/>
          <w:szCs w:val="26"/>
        </w:rPr>
        <w:t>World Customs Organization - WCO, 2023</w:t>
      </w:r>
      <w:r w:rsidRPr="00A92155">
        <w:rPr>
          <w:rFonts w:asciiTheme="majorBidi" w:hAnsiTheme="majorBidi" w:cstheme="majorBidi"/>
          <w:sz w:val="26"/>
          <w:szCs w:val="26"/>
          <w:rtl/>
        </w:rPr>
        <w:t>).</w:t>
      </w:r>
    </w:p>
    <w:p w14:paraId="73304E3D" w14:textId="77777777" w:rsidR="00202E2A" w:rsidRPr="00A92155" w:rsidRDefault="00202E2A">
      <w:pPr>
        <w:numPr>
          <w:ilvl w:val="0"/>
          <w:numId w:val="60"/>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الفوائد المنهجية:</w:t>
      </w:r>
    </w:p>
    <w:p w14:paraId="1F367B30" w14:textId="77777777" w:rsidR="00202E2A" w:rsidRPr="00A92155" w:rsidRDefault="00202E2A">
      <w:pPr>
        <w:numPr>
          <w:ilvl w:val="1"/>
          <w:numId w:val="60"/>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الكفاءة:</w:t>
      </w:r>
      <w:r w:rsidRPr="00A92155">
        <w:rPr>
          <w:rFonts w:asciiTheme="majorBidi" w:hAnsiTheme="majorBidi" w:cstheme="majorBidi"/>
          <w:sz w:val="26"/>
          <w:szCs w:val="26"/>
          <w:rtl/>
        </w:rPr>
        <w:t xml:space="preserve"> تقليل زمن التخليص، حيث تقوم المنصة بتوزيع البيانات على الجهات المعنية آلياً.</w:t>
      </w:r>
    </w:p>
    <w:p w14:paraId="0820B230" w14:textId="77777777" w:rsidR="00202E2A" w:rsidRPr="00A92155" w:rsidRDefault="00202E2A">
      <w:pPr>
        <w:numPr>
          <w:ilvl w:val="1"/>
          <w:numId w:val="60"/>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الأمن والشفافية:</w:t>
      </w:r>
      <w:r w:rsidRPr="00A92155">
        <w:rPr>
          <w:rFonts w:asciiTheme="majorBidi" w:hAnsiTheme="majorBidi" w:cstheme="majorBidi"/>
          <w:sz w:val="26"/>
          <w:szCs w:val="26"/>
          <w:rtl/>
        </w:rPr>
        <w:t xml:space="preserve"> زيادة الشفافية والمساءلة، والحد من التفاعل البشري المباشر الذي قد يؤدي إلى الفساد.</w:t>
      </w:r>
    </w:p>
    <w:p w14:paraId="6960956E"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ب. الحكومة الاستباقية (</w:t>
      </w:r>
      <w:r w:rsidRPr="00A92155">
        <w:rPr>
          <w:rFonts w:asciiTheme="majorBidi" w:hAnsiTheme="majorBidi" w:cstheme="majorBidi"/>
          <w:b/>
          <w:bCs/>
          <w:sz w:val="26"/>
          <w:szCs w:val="26"/>
        </w:rPr>
        <w:t>Proactive Government</w:t>
      </w:r>
      <w:r w:rsidRPr="00A92155">
        <w:rPr>
          <w:rFonts w:asciiTheme="majorBidi" w:hAnsiTheme="majorBidi" w:cstheme="majorBidi"/>
          <w:b/>
          <w:bCs/>
          <w:sz w:val="26"/>
          <w:szCs w:val="26"/>
          <w:rtl/>
        </w:rPr>
        <w:t>):</w:t>
      </w:r>
    </w:p>
    <w:p w14:paraId="39518D6E" w14:textId="77777777" w:rsidR="00202E2A" w:rsidRPr="00A92155" w:rsidRDefault="00202E2A">
      <w:pPr>
        <w:numPr>
          <w:ilvl w:val="0"/>
          <w:numId w:val="61"/>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التنبؤ بالاحتياج:</w:t>
      </w:r>
      <w:r w:rsidRPr="00A92155">
        <w:rPr>
          <w:rFonts w:asciiTheme="majorBidi" w:hAnsiTheme="majorBidi" w:cstheme="majorBidi"/>
          <w:sz w:val="26"/>
          <w:szCs w:val="26"/>
          <w:rtl/>
        </w:rPr>
        <w:t xml:space="preserve"> باستخدام البيانات والمنصات، يمكن للحكومة الانتقال من تقديم الخدمات عند الطلب إلى تقديم الخدمات بشكل استباقي (</w:t>
      </w:r>
      <w:r w:rsidRPr="00A92155">
        <w:rPr>
          <w:rFonts w:asciiTheme="majorBidi" w:hAnsiTheme="majorBidi" w:cstheme="majorBidi"/>
          <w:sz w:val="26"/>
          <w:szCs w:val="26"/>
        </w:rPr>
        <w:t>Proactive</w:t>
      </w:r>
      <w:r w:rsidRPr="00A92155">
        <w:rPr>
          <w:rFonts w:asciiTheme="majorBidi" w:hAnsiTheme="majorBidi" w:cstheme="majorBidi"/>
          <w:sz w:val="26"/>
          <w:szCs w:val="26"/>
          <w:rtl/>
        </w:rPr>
        <w:t>). فمثلاً، يمكن للنظام أن يتوقع حاجة شركة معينة إلى تجديد رخصة استيراد معينة قبل انتهائها بوقت كافٍ بناءً على سجلها التجاري، وإرسال تنبيه أو بدء الإجراءات آلياً.</w:t>
      </w:r>
    </w:p>
    <w:p w14:paraId="08AB8117" w14:textId="77777777" w:rsidR="00202E2A" w:rsidRPr="00A92155" w:rsidRDefault="00202E2A">
      <w:pPr>
        <w:numPr>
          <w:ilvl w:val="0"/>
          <w:numId w:val="61"/>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lastRenderedPageBreak/>
        <w:t>الاستفادة المزدوجة:</w:t>
      </w:r>
      <w:r w:rsidRPr="00A92155">
        <w:rPr>
          <w:rFonts w:asciiTheme="majorBidi" w:hAnsiTheme="majorBidi" w:cstheme="majorBidi"/>
          <w:sz w:val="26"/>
          <w:szCs w:val="26"/>
          <w:rtl/>
        </w:rPr>
        <w:t xml:space="preserve"> هذا يرفع من مستوى تجربة العميل (</w:t>
      </w:r>
      <w:r w:rsidRPr="00A92155">
        <w:rPr>
          <w:rFonts w:asciiTheme="majorBidi" w:hAnsiTheme="majorBidi" w:cstheme="majorBidi"/>
          <w:sz w:val="26"/>
          <w:szCs w:val="26"/>
        </w:rPr>
        <w:t>Citizen/Business Experience</w:t>
      </w:r>
      <w:r w:rsidRPr="00A92155">
        <w:rPr>
          <w:rFonts w:asciiTheme="majorBidi" w:hAnsiTheme="majorBidi" w:cstheme="majorBidi"/>
          <w:sz w:val="26"/>
          <w:szCs w:val="26"/>
          <w:rtl/>
        </w:rPr>
        <w:t>) ويقلل من احتمالية التوقفات التشغيلية التي قد تؤثر سلباً على الإيرادات الحكومية والتجارة.</w:t>
      </w:r>
    </w:p>
    <w:p w14:paraId="368417D0"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ج. التفاعل والمشاركة (</w:t>
      </w:r>
      <w:r w:rsidRPr="00A92155">
        <w:rPr>
          <w:rFonts w:asciiTheme="majorBidi" w:hAnsiTheme="majorBidi" w:cstheme="majorBidi"/>
          <w:b/>
          <w:bCs/>
          <w:sz w:val="26"/>
          <w:szCs w:val="26"/>
        </w:rPr>
        <w:t>Engagement and Participation</w:t>
      </w:r>
      <w:r w:rsidRPr="00A92155">
        <w:rPr>
          <w:rFonts w:asciiTheme="majorBidi" w:hAnsiTheme="majorBidi" w:cstheme="majorBidi"/>
          <w:b/>
          <w:bCs/>
          <w:sz w:val="26"/>
          <w:szCs w:val="26"/>
          <w:rtl/>
        </w:rPr>
        <w:t>):</w:t>
      </w:r>
    </w:p>
    <w:p w14:paraId="049252D8" w14:textId="77777777" w:rsidR="00202E2A" w:rsidRPr="00A92155" w:rsidRDefault="00202E2A">
      <w:pPr>
        <w:numPr>
          <w:ilvl w:val="0"/>
          <w:numId w:val="62"/>
        </w:num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يجب أن تُصمم المنصات الرقمية لتكون قنوات ثنائية الاتجاه لـ المشاركة المفتوحة. وهذا يشمل:</w:t>
      </w:r>
    </w:p>
    <w:p w14:paraId="7C80D87F" w14:textId="77777777" w:rsidR="00202E2A" w:rsidRPr="00A92155" w:rsidRDefault="00202E2A">
      <w:pPr>
        <w:numPr>
          <w:ilvl w:val="1"/>
          <w:numId w:val="62"/>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التعاون التشريعي:</w:t>
      </w:r>
      <w:r w:rsidRPr="00A92155">
        <w:rPr>
          <w:rFonts w:asciiTheme="majorBidi" w:hAnsiTheme="majorBidi" w:cstheme="majorBidi"/>
          <w:sz w:val="26"/>
          <w:szCs w:val="26"/>
          <w:rtl/>
        </w:rPr>
        <w:t xml:space="preserve"> استخدام المنصات لجمع مقترحات وآراء القطاع الخاص (المستوردين، المصدرين) حول الإجراءات الجمركية والضريبية المقترحة، مما يزيد من شرعية وفعالية القرارات (</w:t>
      </w:r>
      <w:r w:rsidRPr="00A92155">
        <w:rPr>
          <w:rFonts w:asciiTheme="majorBidi" w:hAnsiTheme="majorBidi" w:cstheme="majorBidi"/>
          <w:sz w:val="26"/>
          <w:szCs w:val="26"/>
        </w:rPr>
        <w:t>Muehlburger et al., 2019</w:t>
      </w:r>
      <w:r w:rsidRPr="00A92155">
        <w:rPr>
          <w:rFonts w:asciiTheme="majorBidi" w:hAnsiTheme="majorBidi" w:cstheme="majorBidi"/>
          <w:sz w:val="26"/>
          <w:szCs w:val="26"/>
          <w:rtl/>
        </w:rPr>
        <w:t>).</w:t>
      </w:r>
    </w:p>
    <w:p w14:paraId="75FE6A88" w14:textId="77777777" w:rsidR="00202E2A" w:rsidRPr="00A92155" w:rsidRDefault="00202E2A">
      <w:pPr>
        <w:numPr>
          <w:ilvl w:val="1"/>
          <w:numId w:val="62"/>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الشفافية في الأداء:</w:t>
      </w:r>
      <w:r w:rsidRPr="00A92155">
        <w:rPr>
          <w:rFonts w:asciiTheme="majorBidi" w:hAnsiTheme="majorBidi" w:cstheme="majorBidi"/>
          <w:sz w:val="26"/>
          <w:szCs w:val="26"/>
          <w:rtl/>
        </w:rPr>
        <w:t xml:space="preserve"> نشر مؤشرات الأداء الرئيسية (</w:t>
      </w:r>
      <w:r w:rsidRPr="00A92155">
        <w:rPr>
          <w:rFonts w:asciiTheme="majorBidi" w:hAnsiTheme="majorBidi" w:cstheme="majorBidi"/>
          <w:sz w:val="26"/>
          <w:szCs w:val="26"/>
        </w:rPr>
        <w:t>KPIs</w:t>
      </w:r>
      <w:r w:rsidRPr="00A92155">
        <w:rPr>
          <w:rFonts w:asciiTheme="majorBidi" w:hAnsiTheme="majorBidi" w:cstheme="majorBidi"/>
          <w:sz w:val="26"/>
          <w:szCs w:val="26"/>
          <w:rtl/>
        </w:rPr>
        <w:t>) مثل متوسط زمن التخليص الجمركي على المنصات، مما يعزز الثقة والمساءلة.</w:t>
      </w:r>
    </w:p>
    <w:p w14:paraId="3C49E0E9"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2.2.2.3 الابتكار المفتوح والتكامل مع القطاع الخاص</w:t>
      </w:r>
    </w:p>
    <w:p w14:paraId="79462E12"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الابتكار الرقمي لا يمكن أن يكون نشاطاً داخلياً بحتاً في القطاع الحكومي، بل يتطلب الاستفادة من الخبرات والرشاقة التي يوفرها القطاع الخاص (</w:t>
      </w:r>
      <w:r w:rsidRPr="00A92155">
        <w:rPr>
          <w:rFonts w:asciiTheme="majorBidi" w:hAnsiTheme="majorBidi" w:cstheme="majorBidi"/>
          <w:sz w:val="26"/>
          <w:szCs w:val="26"/>
        </w:rPr>
        <w:t>Megrel et al., 2018</w:t>
      </w:r>
      <w:r w:rsidRPr="00A92155">
        <w:rPr>
          <w:rFonts w:asciiTheme="majorBidi" w:hAnsiTheme="majorBidi" w:cstheme="majorBidi"/>
          <w:sz w:val="26"/>
          <w:szCs w:val="26"/>
          <w:rtl/>
        </w:rPr>
        <w:t>).</w:t>
      </w:r>
    </w:p>
    <w:p w14:paraId="14626A2B"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أ. الابتكار المفتوح (</w:t>
      </w:r>
      <w:r w:rsidRPr="00A92155">
        <w:rPr>
          <w:rFonts w:asciiTheme="majorBidi" w:hAnsiTheme="majorBidi" w:cstheme="majorBidi"/>
          <w:b/>
          <w:bCs/>
          <w:sz w:val="26"/>
          <w:szCs w:val="26"/>
        </w:rPr>
        <w:t>Open Innovation</w:t>
      </w:r>
      <w:r w:rsidRPr="00A92155">
        <w:rPr>
          <w:rFonts w:asciiTheme="majorBidi" w:hAnsiTheme="majorBidi" w:cstheme="majorBidi"/>
          <w:b/>
          <w:bCs/>
          <w:sz w:val="26"/>
          <w:szCs w:val="26"/>
          <w:rtl/>
        </w:rPr>
        <w:t>) في التقنية:</w:t>
      </w:r>
    </w:p>
    <w:p w14:paraId="1E8FB064" w14:textId="77777777" w:rsidR="00202E2A" w:rsidRPr="00A92155" w:rsidRDefault="00202E2A">
      <w:pPr>
        <w:numPr>
          <w:ilvl w:val="0"/>
          <w:numId w:val="63"/>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التعريف:</w:t>
      </w:r>
      <w:r w:rsidRPr="00A92155">
        <w:rPr>
          <w:rFonts w:asciiTheme="majorBidi" w:hAnsiTheme="majorBidi" w:cstheme="majorBidi"/>
          <w:sz w:val="26"/>
          <w:szCs w:val="26"/>
          <w:rtl/>
        </w:rPr>
        <w:t xml:space="preserve"> تبني مفهوم إدخال الأفكار والحلول والتقنيات من مصادر خارجية (شركات التقنية، الشركات الناشئة، الجامعات) في عملية التحول الرقمي الحكومي.</w:t>
      </w:r>
    </w:p>
    <w:p w14:paraId="096EABB9" w14:textId="77777777" w:rsidR="00202E2A" w:rsidRPr="00A92155" w:rsidRDefault="00202E2A">
      <w:pPr>
        <w:numPr>
          <w:ilvl w:val="0"/>
          <w:numId w:val="63"/>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الهدف:</w:t>
      </w:r>
      <w:r w:rsidRPr="00A92155">
        <w:rPr>
          <w:rFonts w:asciiTheme="majorBidi" w:hAnsiTheme="majorBidi" w:cstheme="majorBidi"/>
          <w:sz w:val="26"/>
          <w:szCs w:val="26"/>
          <w:rtl/>
        </w:rPr>
        <w:t xml:space="preserve"> تسريع عملية تطوير الحلول الرقمية، وتقليل المخاطر التقنية المرتبطة بالحلول الداخلية، وضمان أن الأنظمة الحكومية تظل على اطلاع بأحدث التطورات التكنولوجية.</w:t>
      </w:r>
    </w:p>
    <w:p w14:paraId="75BE7EF1" w14:textId="77777777" w:rsidR="00202E2A" w:rsidRPr="00A92155" w:rsidRDefault="00202E2A">
      <w:pPr>
        <w:numPr>
          <w:ilvl w:val="0"/>
          <w:numId w:val="63"/>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الأمثلة:</w:t>
      </w:r>
      <w:r w:rsidRPr="00A92155">
        <w:rPr>
          <w:rFonts w:asciiTheme="majorBidi" w:hAnsiTheme="majorBidi" w:cstheme="majorBidi"/>
          <w:sz w:val="26"/>
          <w:szCs w:val="26"/>
          <w:rtl/>
        </w:rPr>
        <w:t xml:space="preserve"> إطلاق تحديات الابتكار (</w:t>
      </w:r>
      <w:r w:rsidRPr="00A92155">
        <w:rPr>
          <w:rFonts w:asciiTheme="majorBidi" w:hAnsiTheme="majorBidi" w:cstheme="majorBidi"/>
          <w:sz w:val="26"/>
          <w:szCs w:val="26"/>
        </w:rPr>
        <w:t>Hackathons</w:t>
      </w:r>
      <w:r w:rsidRPr="00A92155">
        <w:rPr>
          <w:rFonts w:asciiTheme="majorBidi" w:hAnsiTheme="majorBidi" w:cstheme="majorBidi"/>
          <w:sz w:val="26"/>
          <w:szCs w:val="26"/>
          <w:rtl/>
        </w:rPr>
        <w:t>) بالتعاون مع الشركات الناشئة لإيجاد حلول مبتكرة لمشاكل الجمارك المعقدة، مثل كيفية تسريع فحص المنتجات الغذائية دون المساس بالمعايير الصحية.</w:t>
      </w:r>
    </w:p>
    <w:p w14:paraId="2818E03C"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ب. الشراكة في التكنولوجيا المتقدمة (</w:t>
      </w:r>
      <w:r w:rsidRPr="00A92155">
        <w:rPr>
          <w:rFonts w:asciiTheme="majorBidi" w:hAnsiTheme="majorBidi" w:cstheme="majorBidi"/>
          <w:b/>
          <w:bCs/>
          <w:sz w:val="26"/>
          <w:szCs w:val="26"/>
        </w:rPr>
        <w:t>Partnerships in Advanced Tech</w:t>
      </w:r>
      <w:r w:rsidRPr="00A92155">
        <w:rPr>
          <w:rFonts w:asciiTheme="majorBidi" w:hAnsiTheme="majorBidi" w:cstheme="majorBidi"/>
          <w:b/>
          <w:bCs/>
          <w:sz w:val="26"/>
          <w:szCs w:val="26"/>
          <w:rtl/>
        </w:rPr>
        <w:t>):</w:t>
      </w:r>
    </w:p>
    <w:p w14:paraId="5D5F1ADD" w14:textId="77777777" w:rsidR="00202E2A" w:rsidRPr="00A92155" w:rsidRDefault="00202E2A">
      <w:pPr>
        <w:numPr>
          <w:ilvl w:val="0"/>
          <w:numId w:val="64"/>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البنية التحتية والخدمات السحابية:</w:t>
      </w:r>
      <w:r w:rsidRPr="00A92155">
        <w:rPr>
          <w:rFonts w:asciiTheme="majorBidi" w:hAnsiTheme="majorBidi" w:cstheme="majorBidi"/>
          <w:sz w:val="26"/>
          <w:szCs w:val="26"/>
          <w:rtl/>
        </w:rPr>
        <w:t xml:space="preserve"> الاعتماد على الشراكة مع مقدمي الخدمات السحابية العالميين والمحليين لتوفير بنية تحتية آمنة ومرنة للأنظمة الحكومية (</w:t>
      </w:r>
      <w:r w:rsidRPr="00A92155">
        <w:rPr>
          <w:rFonts w:asciiTheme="majorBidi" w:hAnsiTheme="majorBidi" w:cstheme="majorBidi"/>
          <w:sz w:val="26"/>
          <w:szCs w:val="26"/>
        </w:rPr>
        <w:t>IaaS, PaaS</w:t>
      </w:r>
      <w:r w:rsidRPr="00A92155">
        <w:rPr>
          <w:rFonts w:asciiTheme="majorBidi" w:hAnsiTheme="majorBidi" w:cstheme="majorBidi"/>
          <w:sz w:val="26"/>
          <w:szCs w:val="26"/>
          <w:rtl/>
        </w:rPr>
        <w:t>).</w:t>
      </w:r>
    </w:p>
    <w:p w14:paraId="24966B8D" w14:textId="77777777" w:rsidR="00202E2A" w:rsidRPr="00A92155" w:rsidRDefault="00202E2A">
      <w:pPr>
        <w:numPr>
          <w:ilvl w:val="0"/>
          <w:numId w:val="64"/>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تطوير البلوكتشين (</w:t>
      </w:r>
      <w:r w:rsidRPr="00A92155">
        <w:rPr>
          <w:rFonts w:asciiTheme="majorBidi" w:hAnsiTheme="majorBidi" w:cstheme="majorBidi"/>
          <w:b/>
          <w:bCs/>
          <w:sz w:val="26"/>
          <w:szCs w:val="26"/>
        </w:rPr>
        <w:t>Blockchain</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تُعد تقنية البلوكتشين أداة واعدة لزيادة أمان وشفافية المعاملات التجارية. وتتطلب هذه التقنية التعاون الوثيق مع الشركات الخاصة لإنشاء سلاسل كتل تجارية موثوقة لتوثيق ملكية الشحنات وأصولها، مما يعزز الثقة في التجارة العابرة للحدود</w:t>
      </w:r>
    </w:p>
    <w:p w14:paraId="39A8BCD7" w14:textId="77777777" w:rsidR="00202E2A" w:rsidRPr="00A92155" w:rsidRDefault="00202E2A" w:rsidP="00202E2A">
      <w:pPr>
        <w:bidi/>
        <w:spacing w:line="240" w:lineRule="auto"/>
        <w:jc w:val="center"/>
        <w:rPr>
          <w:rFonts w:asciiTheme="majorBidi" w:hAnsiTheme="majorBidi" w:cstheme="majorBidi"/>
          <w:sz w:val="26"/>
          <w:szCs w:val="26"/>
          <w:rtl/>
        </w:rPr>
      </w:pPr>
      <w:r w:rsidRPr="00A92155">
        <w:rPr>
          <w:rFonts w:asciiTheme="majorBidi" w:hAnsiTheme="majorBidi" w:cstheme="majorBidi"/>
          <w:noProof/>
          <w:sz w:val="26"/>
          <w:szCs w:val="26"/>
        </w:rPr>
        <w:lastRenderedPageBreak/>
        <w:drawing>
          <wp:inline distT="0" distB="0" distL="0" distR="0" wp14:anchorId="17A9077C" wp14:editId="4A90D3F9">
            <wp:extent cx="5517214" cy="3116912"/>
            <wp:effectExtent l="0" t="0" r="7620" b="7620"/>
            <wp:docPr id="324137929" name="Picture 2" descr="Image of Blockchain in Supply Ch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descr="Image of Blockchain in Supply Chai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561947" cy="3142184"/>
                    </a:xfrm>
                    <a:prstGeom prst="rect">
                      <a:avLst/>
                    </a:prstGeom>
                    <a:noFill/>
                    <a:ln>
                      <a:noFill/>
                    </a:ln>
                  </pic:spPr>
                </pic:pic>
              </a:graphicData>
            </a:graphic>
          </wp:inline>
        </w:drawing>
      </w:r>
    </w:p>
    <w:p w14:paraId="19615BED"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ج. دور المؤسسات الجامعية ومراكز البحوث:</w:t>
      </w:r>
    </w:p>
    <w:p w14:paraId="47104214" w14:textId="77777777" w:rsidR="00202E2A" w:rsidRPr="00A92155" w:rsidRDefault="00202E2A">
      <w:pPr>
        <w:numPr>
          <w:ilvl w:val="0"/>
          <w:numId w:val="65"/>
        </w:num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الشراكة مع الجامعات ومراكز الأبحاث الوطنية لإنشاء "مختبرات حية" (</w:t>
      </w:r>
      <w:r w:rsidRPr="00A92155">
        <w:rPr>
          <w:rFonts w:asciiTheme="majorBidi" w:hAnsiTheme="majorBidi" w:cstheme="majorBidi"/>
          <w:sz w:val="26"/>
          <w:szCs w:val="26"/>
        </w:rPr>
        <w:t>Living Labs</w:t>
      </w:r>
      <w:r w:rsidRPr="00A92155">
        <w:rPr>
          <w:rFonts w:asciiTheme="majorBidi" w:hAnsiTheme="majorBidi" w:cstheme="majorBidi"/>
          <w:sz w:val="26"/>
          <w:szCs w:val="26"/>
          <w:rtl/>
        </w:rPr>
        <w:t>) لتبادل الخبرات في مجال الأمن السيبراني والذكاء الاصطناعي، وتدريب الكفاءات، وتوطين التقنية، مما يعكس البُعد المؤسسي الابتكاري في التحول الرقمي.</w:t>
      </w:r>
    </w:p>
    <w:p w14:paraId="55C3CED5"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2.2.3 البعد الثالث: الحوكمة الرقمية (</w:t>
      </w:r>
      <w:r w:rsidRPr="00A92155">
        <w:rPr>
          <w:rFonts w:asciiTheme="majorBidi" w:hAnsiTheme="majorBidi" w:cs="PT Bold Heading"/>
          <w:b/>
          <w:bCs/>
          <w:color w:val="000000" w:themeColor="text1"/>
          <w:sz w:val="26"/>
          <w:szCs w:val="26"/>
        </w:rPr>
        <w:t>Digital Governance</w:t>
      </w:r>
      <w:r w:rsidRPr="00A92155">
        <w:rPr>
          <w:rFonts w:asciiTheme="majorBidi" w:hAnsiTheme="majorBidi" w:cs="PT Bold Heading"/>
          <w:b/>
          <w:bCs/>
          <w:color w:val="000000" w:themeColor="text1"/>
          <w:sz w:val="26"/>
          <w:szCs w:val="26"/>
          <w:rtl/>
        </w:rPr>
        <w:t>)</w:t>
      </w:r>
    </w:p>
    <w:p w14:paraId="53E2ABDA"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يُمثل هذا البعد الضمانة الاستراتيجية للتحول الرقمي، فهو الإطار الذي يضمن أن استخدام التكنولوجيا والابتكار يتم بطريقة مسؤولة، أخلاقية، قانونية، وفعالة (</w:t>
      </w:r>
      <w:r w:rsidRPr="00A92155">
        <w:rPr>
          <w:rFonts w:asciiTheme="majorBidi" w:hAnsiTheme="majorBidi" w:cstheme="majorBidi"/>
          <w:sz w:val="26"/>
          <w:szCs w:val="26"/>
        </w:rPr>
        <w:t>Vial, 2019</w:t>
      </w:r>
      <w:r w:rsidRPr="00A92155">
        <w:rPr>
          <w:rFonts w:asciiTheme="majorBidi" w:hAnsiTheme="majorBidi" w:cstheme="majorBidi"/>
          <w:sz w:val="26"/>
          <w:szCs w:val="26"/>
          <w:rtl/>
        </w:rPr>
        <w:t>). فالحوكمة الرقمية هي التي تربط الأهداف التكنولوجية بالأهداف الوطنية لـ الشرعية والمساءلة (</w:t>
      </w:r>
      <w:r w:rsidRPr="00A92155">
        <w:rPr>
          <w:rFonts w:asciiTheme="majorBidi" w:hAnsiTheme="majorBidi" w:cstheme="majorBidi"/>
          <w:sz w:val="26"/>
          <w:szCs w:val="26"/>
        </w:rPr>
        <w:t>Legitimacy and Accountability</w:t>
      </w:r>
      <w:r w:rsidRPr="00A92155">
        <w:rPr>
          <w:rFonts w:asciiTheme="majorBidi" w:hAnsiTheme="majorBidi" w:cstheme="majorBidi"/>
          <w:sz w:val="26"/>
          <w:szCs w:val="26"/>
          <w:rtl/>
        </w:rPr>
        <w:t>).</w:t>
      </w:r>
    </w:p>
    <w:p w14:paraId="39E7A84E"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2.2.3.1 السياسات الوطنية للتنظيم الرقمي</w:t>
      </w:r>
    </w:p>
    <w:p w14:paraId="07309793"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تُعد السياسات الوطنية هي الأساس الذي يُنشئ البيئة المُنظمة والواثقة لنجاح التحول الرقمي في القطاع الحكومي والخاص على حد سواء.</w:t>
      </w:r>
    </w:p>
    <w:p w14:paraId="6E3390B5"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أ. استراتيجيات التكامل والتنسيق الوطني (</w:t>
      </w:r>
      <w:r w:rsidRPr="00A92155">
        <w:rPr>
          <w:rFonts w:asciiTheme="majorBidi" w:hAnsiTheme="majorBidi" w:cstheme="majorBidi"/>
          <w:b/>
          <w:bCs/>
          <w:sz w:val="26"/>
          <w:szCs w:val="26"/>
        </w:rPr>
        <w:t>National Integration Strategies</w:t>
      </w:r>
      <w:r w:rsidRPr="00A92155">
        <w:rPr>
          <w:rFonts w:asciiTheme="majorBidi" w:hAnsiTheme="majorBidi" w:cstheme="majorBidi"/>
          <w:b/>
          <w:bCs/>
          <w:sz w:val="26"/>
          <w:szCs w:val="26"/>
          <w:rtl/>
        </w:rPr>
        <w:t>):</w:t>
      </w:r>
    </w:p>
    <w:p w14:paraId="4B435355" w14:textId="77777777" w:rsidR="00202E2A" w:rsidRPr="00A92155" w:rsidRDefault="00202E2A">
      <w:pPr>
        <w:numPr>
          <w:ilvl w:val="0"/>
          <w:numId w:val="66"/>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مفهوم الحكومة ككل (</w:t>
      </w:r>
      <w:r w:rsidRPr="00A92155">
        <w:rPr>
          <w:rFonts w:asciiTheme="majorBidi" w:hAnsiTheme="majorBidi" w:cstheme="majorBidi"/>
          <w:b/>
          <w:bCs/>
          <w:sz w:val="26"/>
          <w:szCs w:val="26"/>
        </w:rPr>
        <w:t>Whole-of-Government</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تضمن السياسات الوطنية، التي تقودها هيئة الحكومة الرقمية في المملكة، أن التحول الرقمي لا يتم بمعزل عن بعضه. فالحاجة إلى تبادل البيانات بين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ووزارة الداخلية والجهات الأمنية تتطلب إطاراً وطنياً موحداً يحدد المعايير التقنية، ومستويات الأمان، وبروتوكولات التبادل (</w:t>
      </w:r>
      <w:r w:rsidRPr="00A92155">
        <w:rPr>
          <w:rFonts w:asciiTheme="majorBidi" w:hAnsiTheme="majorBidi" w:cstheme="majorBidi"/>
          <w:sz w:val="26"/>
          <w:szCs w:val="26"/>
        </w:rPr>
        <w:t>Smith, 2020</w:t>
      </w:r>
      <w:r w:rsidRPr="00A92155">
        <w:rPr>
          <w:rFonts w:asciiTheme="majorBidi" w:hAnsiTheme="majorBidi" w:cstheme="majorBidi"/>
          <w:sz w:val="26"/>
          <w:szCs w:val="26"/>
          <w:rtl/>
        </w:rPr>
        <w:t>).</w:t>
      </w:r>
    </w:p>
    <w:p w14:paraId="70E0CD27" w14:textId="77777777" w:rsidR="00202E2A" w:rsidRPr="00A92155" w:rsidRDefault="00202E2A">
      <w:pPr>
        <w:numPr>
          <w:ilvl w:val="0"/>
          <w:numId w:val="66"/>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التمويل والحوكمة العليا:</w:t>
      </w:r>
      <w:r w:rsidRPr="00A92155">
        <w:rPr>
          <w:rFonts w:asciiTheme="majorBidi" w:hAnsiTheme="majorBidi" w:cstheme="majorBidi"/>
          <w:sz w:val="26"/>
          <w:szCs w:val="26"/>
          <w:rtl/>
        </w:rPr>
        <w:t xml:space="preserve"> وضع سياسات لتمويل مشاريع التحول الرقمي ذات الأولوية الاستراتيجية (مثل مشاريع الأمن السيبراني والتجارة الذكية)، والعمل على تقليل الازدواجية في الإنفاق التكنولوجي بين الجهات الحكومية.</w:t>
      </w:r>
    </w:p>
    <w:p w14:paraId="7B2B32DF"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ب. التزام بالمعايير العالمية (</w:t>
      </w:r>
      <w:r w:rsidRPr="00A92155">
        <w:rPr>
          <w:rFonts w:asciiTheme="majorBidi" w:hAnsiTheme="majorBidi" w:cstheme="majorBidi"/>
          <w:b/>
          <w:bCs/>
          <w:sz w:val="26"/>
          <w:szCs w:val="26"/>
        </w:rPr>
        <w:t>Commitment to International Standards</w:t>
      </w:r>
      <w:r w:rsidRPr="00A92155">
        <w:rPr>
          <w:rFonts w:asciiTheme="majorBidi" w:hAnsiTheme="majorBidi" w:cstheme="majorBidi"/>
          <w:b/>
          <w:bCs/>
          <w:sz w:val="26"/>
          <w:szCs w:val="26"/>
          <w:rtl/>
        </w:rPr>
        <w:t>):</w:t>
      </w:r>
    </w:p>
    <w:p w14:paraId="434B8FD2" w14:textId="77777777" w:rsidR="00202E2A" w:rsidRPr="00A92155" w:rsidRDefault="00202E2A">
      <w:pPr>
        <w:numPr>
          <w:ilvl w:val="0"/>
          <w:numId w:val="67"/>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lastRenderedPageBreak/>
        <w:t>معايير التجارة الدولية:</w:t>
      </w:r>
      <w:r w:rsidRPr="00A92155">
        <w:rPr>
          <w:rFonts w:asciiTheme="majorBidi" w:hAnsiTheme="majorBidi" w:cstheme="majorBidi"/>
          <w:sz w:val="26"/>
          <w:szCs w:val="26"/>
          <w:rtl/>
        </w:rPr>
        <w:t xml:space="preserve"> وضع سياسات تضمن التزام المملكة بالمعايير الرقمية لمنظمة التجارة العالمية (</w:t>
      </w:r>
      <w:r w:rsidRPr="00A92155">
        <w:rPr>
          <w:rFonts w:asciiTheme="majorBidi" w:hAnsiTheme="majorBidi" w:cstheme="majorBidi"/>
          <w:sz w:val="26"/>
          <w:szCs w:val="26"/>
        </w:rPr>
        <w:t>WTO</w:t>
      </w:r>
      <w:r w:rsidRPr="00A92155">
        <w:rPr>
          <w:rFonts w:asciiTheme="majorBidi" w:hAnsiTheme="majorBidi" w:cstheme="majorBidi"/>
          <w:sz w:val="26"/>
          <w:szCs w:val="26"/>
          <w:rtl/>
        </w:rPr>
        <w:t>) والمنظمة العالمية للجمارك (</w:t>
      </w:r>
      <w:r w:rsidRPr="00A92155">
        <w:rPr>
          <w:rFonts w:asciiTheme="majorBidi" w:hAnsiTheme="majorBidi" w:cstheme="majorBidi"/>
          <w:sz w:val="26"/>
          <w:szCs w:val="26"/>
        </w:rPr>
        <w:t>WCO</w:t>
      </w:r>
      <w:r w:rsidRPr="00A92155">
        <w:rPr>
          <w:rFonts w:asciiTheme="majorBidi" w:hAnsiTheme="majorBidi" w:cstheme="majorBidi"/>
          <w:sz w:val="26"/>
          <w:szCs w:val="26"/>
          <w:rtl/>
        </w:rPr>
        <w:t>). هذا الالتزام (الذي يندرج تحت الضغط المعياري في النظرية المؤسسية) ضروري لـ التنافسية التجارية.</w:t>
      </w:r>
    </w:p>
    <w:p w14:paraId="44D93A0A" w14:textId="77777777" w:rsidR="00202E2A" w:rsidRPr="00A92155" w:rsidRDefault="00202E2A">
      <w:pPr>
        <w:numPr>
          <w:ilvl w:val="0"/>
          <w:numId w:val="67"/>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معايير الأمن السيبراني:</w:t>
      </w:r>
      <w:r w:rsidRPr="00A92155">
        <w:rPr>
          <w:rFonts w:asciiTheme="majorBidi" w:hAnsiTheme="majorBidi" w:cstheme="majorBidi"/>
          <w:sz w:val="26"/>
          <w:szCs w:val="26"/>
          <w:rtl/>
        </w:rPr>
        <w:t xml:space="preserve"> تبني وتطبيق أطر عمل دولية في الأمن السيبراني (مثل </w:t>
      </w:r>
      <w:r w:rsidRPr="00A92155">
        <w:rPr>
          <w:rFonts w:asciiTheme="majorBidi" w:hAnsiTheme="majorBidi" w:cstheme="majorBidi"/>
          <w:sz w:val="26"/>
          <w:szCs w:val="26"/>
        </w:rPr>
        <w:t>NIST</w:t>
      </w:r>
      <w:r w:rsidRPr="00A92155">
        <w:rPr>
          <w:rFonts w:asciiTheme="majorBidi" w:hAnsiTheme="majorBidi" w:cstheme="majorBidi"/>
          <w:sz w:val="26"/>
          <w:szCs w:val="26"/>
          <w:rtl/>
        </w:rPr>
        <w:t xml:space="preserve"> أو </w:t>
      </w:r>
      <w:r w:rsidRPr="00A92155">
        <w:rPr>
          <w:rFonts w:asciiTheme="majorBidi" w:hAnsiTheme="majorBidi" w:cstheme="majorBidi"/>
          <w:sz w:val="26"/>
          <w:szCs w:val="26"/>
        </w:rPr>
        <w:t>ISO 27001</w:t>
      </w:r>
      <w:r w:rsidRPr="00A92155">
        <w:rPr>
          <w:rFonts w:asciiTheme="majorBidi" w:hAnsiTheme="majorBidi" w:cstheme="majorBidi"/>
          <w:sz w:val="26"/>
          <w:szCs w:val="26"/>
          <w:rtl/>
        </w:rPr>
        <w:t>) عبر جميع المؤسسات الحيوية، مما يعزز من ثقة الشركاء التجاريين الدوليين في البيئة الرقمية السعودية.</w:t>
      </w:r>
    </w:p>
    <w:p w14:paraId="5C9467CD"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ج. سياسات توطين التقنية (</w:t>
      </w:r>
      <w:r w:rsidRPr="00A92155">
        <w:rPr>
          <w:rFonts w:asciiTheme="majorBidi" w:hAnsiTheme="majorBidi" w:cstheme="majorBidi"/>
          <w:b/>
          <w:bCs/>
          <w:sz w:val="26"/>
          <w:szCs w:val="26"/>
        </w:rPr>
        <w:t>Technology Localization Policies</w:t>
      </w:r>
      <w:r w:rsidRPr="00A92155">
        <w:rPr>
          <w:rFonts w:asciiTheme="majorBidi" w:hAnsiTheme="majorBidi" w:cstheme="majorBidi"/>
          <w:b/>
          <w:bCs/>
          <w:sz w:val="26"/>
          <w:szCs w:val="26"/>
          <w:rtl/>
        </w:rPr>
        <w:t>):</w:t>
      </w:r>
    </w:p>
    <w:p w14:paraId="445EF8F7" w14:textId="77777777" w:rsidR="00202E2A" w:rsidRPr="00A92155" w:rsidRDefault="00202E2A">
      <w:pPr>
        <w:numPr>
          <w:ilvl w:val="0"/>
          <w:numId w:val="68"/>
        </w:num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وضع سياسات وطنية تشجع على توطين التقنيات المتقدمة (مثل الذكاء الاصطناعي، الأمن السيبراني، وتصنيع المستشعرات) وتقليل الاعتماد على التقنيات الأجنبية، مما يساهم في الأمن الوطني الاقتصادي والتقني، ويدعم </w:t>
      </w:r>
      <w:r w:rsidRPr="00A92155">
        <w:rPr>
          <w:rFonts w:asciiTheme="majorBidi" w:hAnsiTheme="majorBidi" w:cstheme="majorBidi"/>
          <w:b/>
          <w:bCs/>
          <w:sz w:val="26"/>
          <w:szCs w:val="26"/>
          <w:rtl/>
        </w:rPr>
        <w:t>المحتوى المحلي</w:t>
      </w:r>
      <w:r w:rsidRPr="00A92155">
        <w:rPr>
          <w:rFonts w:asciiTheme="majorBidi" w:hAnsiTheme="majorBidi" w:cstheme="majorBidi"/>
          <w:sz w:val="26"/>
          <w:szCs w:val="26"/>
          <w:rtl/>
        </w:rPr>
        <w:t xml:space="preserve"> في رؤية 2030.</w:t>
      </w:r>
    </w:p>
    <w:p w14:paraId="0A81FF3D"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2.2.3.2 معايير الجودة والشفافية والمساءلة</w:t>
      </w:r>
    </w:p>
    <w:p w14:paraId="3829830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يجب أن تضمن الحوكمة الرقمية أن التكنولوجيا لا تزيد من الغموض أو البيروقراطية، بل تعمل كأداة لتعزيز الثقة (</w:t>
      </w:r>
      <w:r w:rsidRPr="00A92155">
        <w:rPr>
          <w:rFonts w:asciiTheme="majorBidi" w:hAnsiTheme="majorBidi" w:cstheme="majorBidi"/>
          <w:sz w:val="26"/>
          <w:szCs w:val="26"/>
        </w:rPr>
        <w:t>Trust</w:t>
      </w:r>
      <w:r w:rsidRPr="00A92155">
        <w:rPr>
          <w:rFonts w:asciiTheme="majorBidi" w:hAnsiTheme="majorBidi" w:cstheme="majorBidi"/>
          <w:sz w:val="26"/>
          <w:szCs w:val="26"/>
          <w:rtl/>
        </w:rPr>
        <w:t>) بين الحكومة والمستفيدين (</w:t>
      </w:r>
      <w:r w:rsidRPr="00A92155">
        <w:rPr>
          <w:rFonts w:asciiTheme="majorBidi" w:hAnsiTheme="majorBidi" w:cstheme="majorBidi"/>
          <w:sz w:val="26"/>
          <w:szCs w:val="26"/>
        </w:rPr>
        <w:t>Vial, 2019</w:t>
      </w:r>
      <w:r w:rsidRPr="00A92155">
        <w:rPr>
          <w:rFonts w:asciiTheme="majorBidi" w:hAnsiTheme="majorBidi" w:cstheme="majorBidi"/>
          <w:sz w:val="26"/>
          <w:szCs w:val="26"/>
          <w:rtl/>
        </w:rPr>
        <w:t>).</w:t>
      </w:r>
    </w:p>
    <w:p w14:paraId="2B948267"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أ. الجودة وتجربة المستفيد (</w:t>
      </w:r>
      <w:r w:rsidRPr="00A92155">
        <w:rPr>
          <w:rFonts w:asciiTheme="majorBidi" w:hAnsiTheme="majorBidi" w:cstheme="majorBidi"/>
          <w:b/>
          <w:bCs/>
          <w:sz w:val="26"/>
          <w:szCs w:val="26"/>
        </w:rPr>
        <w:t>Quality and User Experience - UX</w:t>
      </w:r>
      <w:r w:rsidRPr="00A92155">
        <w:rPr>
          <w:rFonts w:asciiTheme="majorBidi" w:hAnsiTheme="majorBidi" w:cstheme="majorBidi"/>
          <w:b/>
          <w:bCs/>
          <w:sz w:val="26"/>
          <w:szCs w:val="26"/>
          <w:rtl/>
        </w:rPr>
        <w:t>):</w:t>
      </w:r>
    </w:p>
    <w:p w14:paraId="7B5B819B" w14:textId="77777777" w:rsidR="00202E2A" w:rsidRPr="00A92155" w:rsidRDefault="00202E2A">
      <w:pPr>
        <w:numPr>
          <w:ilvl w:val="0"/>
          <w:numId w:val="69"/>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القياس المعياري:</w:t>
      </w:r>
      <w:r w:rsidRPr="00A92155">
        <w:rPr>
          <w:rFonts w:asciiTheme="majorBidi" w:hAnsiTheme="majorBidi" w:cstheme="majorBidi"/>
          <w:sz w:val="26"/>
          <w:szCs w:val="26"/>
          <w:rtl/>
        </w:rPr>
        <w:t xml:space="preserve"> وضع معايير صارمة لجودة الخدمات الرقمية الحكومية، مع التركيز على تجربة المستفيد (</w:t>
      </w:r>
      <w:r w:rsidRPr="00A92155">
        <w:rPr>
          <w:rFonts w:asciiTheme="majorBidi" w:hAnsiTheme="majorBidi" w:cstheme="majorBidi"/>
          <w:sz w:val="26"/>
          <w:szCs w:val="26"/>
        </w:rPr>
        <w:t>UX</w:t>
      </w:r>
      <w:r w:rsidRPr="00A92155">
        <w:rPr>
          <w:rFonts w:asciiTheme="majorBidi" w:hAnsiTheme="majorBidi" w:cstheme="majorBidi"/>
          <w:sz w:val="26"/>
          <w:szCs w:val="26"/>
          <w:rtl/>
        </w:rPr>
        <w:t>). فنجاح منصات التجارة (</w:t>
      </w:r>
      <w:r w:rsidRPr="00A92155">
        <w:rPr>
          <w:rFonts w:asciiTheme="majorBidi" w:hAnsiTheme="majorBidi" w:cstheme="majorBidi"/>
          <w:sz w:val="26"/>
          <w:szCs w:val="26"/>
        </w:rPr>
        <w:t>ZATCA</w:t>
      </w:r>
      <w:r w:rsidRPr="00A92155">
        <w:rPr>
          <w:rFonts w:asciiTheme="majorBidi" w:hAnsiTheme="majorBidi" w:cstheme="majorBidi"/>
          <w:sz w:val="26"/>
          <w:szCs w:val="26"/>
          <w:rtl/>
        </w:rPr>
        <w:t>) لا يُقاس فقط بمدى عملها التقني، بل بمدى سهولة استخدامها، وسرعة استجابتها، وقدرتها على حل المشكلات بفعالية.</w:t>
      </w:r>
    </w:p>
    <w:p w14:paraId="00880F7F" w14:textId="77777777" w:rsidR="00202E2A" w:rsidRPr="00A92155" w:rsidRDefault="00202E2A">
      <w:pPr>
        <w:numPr>
          <w:ilvl w:val="0"/>
          <w:numId w:val="69"/>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القياس:</w:t>
      </w:r>
      <w:r w:rsidRPr="00A92155">
        <w:rPr>
          <w:rFonts w:asciiTheme="majorBidi" w:hAnsiTheme="majorBidi" w:cstheme="majorBidi"/>
          <w:sz w:val="26"/>
          <w:szCs w:val="26"/>
          <w:rtl/>
        </w:rPr>
        <w:t xml:space="preserve"> يتم ذلك عبر مؤشرات أداء رئيسية (</w:t>
      </w:r>
      <w:r w:rsidRPr="00A92155">
        <w:rPr>
          <w:rFonts w:asciiTheme="majorBidi" w:hAnsiTheme="majorBidi" w:cstheme="majorBidi"/>
          <w:sz w:val="26"/>
          <w:szCs w:val="26"/>
        </w:rPr>
        <w:t>KPIs</w:t>
      </w:r>
      <w:r w:rsidRPr="00A92155">
        <w:rPr>
          <w:rFonts w:asciiTheme="majorBidi" w:hAnsiTheme="majorBidi" w:cstheme="majorBidi"/>
          <w:sz w:val="26"/>
          <w:szCs w:val="26"/>
          <w:rtl/>
        </w:rPr>
        <w:t>) مثل معدل إكمال الخدمة (</w:t>
      </w:r>
      <w:r w:rsidRPr="00A92155">
        <w:rPr>
          <w:rFonts w:asciiTheme="majorBidi" w:hAnsiTheme="majorBidi" w:cstheme="majorBidi"/>
          <w:sz w:val="26"/>
          <w:szCs w:val="26"/>
        </w:rPr>
        <w:t>Service Completion Rate</w:t>
      </w:r>
      <w:r w:rsidRPr="00A92155">
        <w:rPr>
          <w:rFonts w:asciiTheme="majorBidi" w:hAnsiTheme="majorBidi" w:cstheme="majorBidi"/>
          <w:sz w:val="26"/>
          <w:szCs w:val="26"/>
          <w:rtl/>
        </w:rPr>
        <w:t>)، وزمن الاستجابة (</w:t>
      </w:r>
      <w:r w:rsidRPr="00A92155">
        <w:rPr>
          <w:rFonts w:asciiTheme="majorBidi" w:hAnsiTheme="majorBidi" w:cstheme="majorBidi"/>
          <w:sz w:val="26"/>
          <w:szCs w:val="26"/>
        </w:rPr>
        <w:t>Response Time</w:t>
      </w:r>
      <w:r w:rsidRPr="00A92155">
        <w:rPr>
          <w:rFonts w:asciiTheme="majorBidi" w:hAnsiTheme="majorBidi" w:cstheme="majorBidi"/>
          <w:sz w:val="26"/>
          <w:szCs w:val="26"/>
          <w:rtl/>
        </w:rPr>
        <w:t>)، ومؤشر صافي نقاط الترويج (</w:t>
      </w:r>
      <w:r w:rsidRPr="00A92155">
        <w:rPr>
          <w:rFonts w:asciiTheme="majorBidi" w:hAnsiTheme="majorBidi" w:cstheme="majorBidi"/>
          <w:sz w:val="26"/>
          <w:szCs w:val="26"/>
        </w:rPr>
        <w:t>Net Promoter Score - NPS</w:t>
      </w:r>
      <w:r w:rsidRPr="00A92155">
        <w:rPr>
          <w:rFonts w:asciiTheme="majorBidi" w:hAnsiTheme="majorBidi" w:cstheme="majorBidi"/>
          <w:sz w:val="26"/>
          <w:szCs w:val="26"/>
          <w:rtl/>
        </w:rPr>
        <w:t>) للمستفيدين.</w:t>
      </w:r>
    </w:p>
    <w:p w14:paraId="7EC73C19"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ب. الشفافية والوصول للمعلومات (</w:t>
      </w:r>
      <w:r w:rsidRPr="00A92155">
        <w:rPr>
          <w:rFonts w:asciiTheme="majorBidi" w:hAnsiTheme="majorBidi" w:cstheme="majorBidi"/>
          <w:b/>
          <w:bCs/>
          <w:sz w:val="26"/>
          <w:szCs w:val="26"/>
        </w:rPr>
        <w:t>Transparency and Information Access</w:t>
      </w:r>
      <w:r w:rsidRPr="00A92155">
        <w:rPr>
          <w:rFonts w:asciiTheme="majorBidi" w:hAnsiTheme="majorBidi" w:cstheme="majorBidi"/>
          <w:b/>
          <w:bCs/>
          <w:sz w:val="26"/>
          <w:szCs w:val="26"/>
          <w:rtl/>
        </w:rPr>
        <w:t>):</w:t>
      </w:r>
    </w:p>
    <w:p w14:paraId="3C59776E" w14:textId="77777777" w:rsidR="00202E2A" w:rsidRPr="00A92155" w:rsidRDefault="00202E2A">
      <w:pPr>
        <w:numPr>
          <w:ilvl w:val="0"/>
          <w:numId w:val="70"/>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الوصول المفتوح:</w:t>
      </w:r>
      <w:r w:rsidRPr="00A92155">
        <w:rPr>
          <w:rFonts w:asciiTheme="majorBidi" w:hAnsiTheme="majorBidi" w:cstheme="majorBidi"/>
          <w:sz w:val="26"/>
          <w:szCs w:val="26"/>
          <w:rtl/>
        </w:rPr>
        <w:t xml:space="preserve"> تضمن الحوكمة الرقمية إتاحة البيانات الحكومية المفتوحة (</w:t>
      </w:r>
      <w:r w:rsidRPr="00A92155">
        <w:rPr>
          <w:rFonts w:asciiTheme="majorBidi" w:hAnsiTheme="majorBidi" w:cstheme="majorBidi"/>
          <w:sz w:val="26"/>
          <w:szCs w:val="26"/>
        </w:rPr>
        <w:t>Open Data</w:t>
      </w:r>
      <w:r w:rsidRPr="00A92155">
        <w:rPr>
          <w:rFonts w:asciiTheme="majorBidi" w:hAnsiTheme="majorBidi" w:cstheme="majorBidi"/>
          <w:sz w:val="26"/>
          <w:szCs w:val="26"/>
          <w:rtl/>
        </w:rPr>
        <w:t>) للقطاع الخاص والجمهور (ما لم تكن بيانات حساسة أو شخصية)، مما يدعم الابتكار الاقتصادي ويزيد من شرعية القرارات الحكومية.</w:t>
      </w:r>
    </w:p>
    <w:p w14:paraId="4F478F00" w14:textId="77777777" w:rsidR="00202E2A" w:rsidRPr="00A92155" w:rsidRDefault="00202E2A">
      <w:pPr>
        <w:numPr>
          <w:ilvl w:val="0"/>
          <w:numId w:val="70"/>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الشفافية في العمليات:</w:t>
      </w:r>
      <w:r w:rsidRPr="00A92155">
        <w:rPr>
          <w:rFonts w:asciiTheme="majorBidi" w:hAnsiTheme="majorBidi" w:cstheme="majorBidi"/>
          <w:sz w:val="26"/>
          <w:szCs w:val="26"/>
          <w:rtl/>
        </w:rPr>
        <w:t xml:space="preserve"> استخدام التقنية لعرض حالة المعاملات الجمركية أو الضريبية للمستفيد في الوقت الفعلي. هذه الشفافية تقلل من حالة عدم اليقين في سلاسل التوريد وتمنع الممارسات غير القانونية أو التأخير غير المبرر.</w:t>
      </w:r>
    </w:p>
    <w:p w14:paraId="0745DD41"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ج. المساءلة في اتخاذ القرار (</w:t>
      </w:r>
      <w:r w:rsidRPr="00A92155">
        <w:rPr>
          <w:rFonts w:asciiTheme="majorBidi" w:hAnsiTheme="majorBidi" w:cstheme="majorBidi"/>
          <w:b/>
          <w:bCs/>
          <w:sz w:val="26"/>
          <w:szCs w:val="26"/>
        </w:rPr>
        <w:t>Accountability in Decision-Making</w:t>
      </w:r>
      <w:r w:rsidRPr="00A92155">
        <w:rPr>
          <w:rFonts w:asciiTheme="majorBidi" w:hAnsiTheme="majorBidi" w:cstheme="majorBidi"/>
          <w:b/>
          <w:bCs/>
          <w:sz w:val="26"/>
          <w:szCs w:val="26"/>
          <w:rtl/>
        </w:rPr>
        <w:t>):</w:t>
      </w:r>
    </w:p>
    <w:p w14:paraId="1E45A975" w14:textId="77777777" w:rsidR="00202E2A" w:rsidRPr="00A92155" w:rsidRDefault="00202E2A">
      <w:pPr>
        <w:numPr>
          <w:ilvl w:val="0"/>
          <w:numId w:val="71"/>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أخلاقيات الذكاء الاصطناعي:</w:t>
      </w:r>
      <w:r w:rsidRPr="00A92155">
        <w:rPr>
          <w:rFonts w:asciiTheme="majorBidi" w:hAnsiTheme="majorBidi" w:cstheme="majorBidi"/>
          <w:sz w:val="26"/>
          <w:szCs w:val="26"/>
          <w:rtl/>
        </w:rPr>
        <w:t xml:space="preserve"> في ظل استخدام الذكاء الاصطناعي في اتخاذ القرارات الأمنية (مثل رفض شحنة أو تحديد مخاطرها)، يجب أن تضمن الحوكمة الرقمية وجود آليات للمساءلة. يجب أن تكون قرارات الذكاء الاصطناعي قابلة للتفسير (</w:t>
      </w:r>
      <w:r w:rsidRPr="00A92155">
        <w:rPr>
          <w:rFonts w:asciiTheme="majorBidi" w:hAnsiTheme="majorBidi" w:cstheme="majorBidi"/>
          <w:sz w:val="26"/>
          <w:szCs w:val="26"/>
        </w:rPr>
        <w:t>Explainable AI - XAI</w:t>
      </w:r>
      <w:r w:rsidRPr="00A92155">
        <w:rPr>
          <w:rFonts w:asciiTheme="majorBidi" w:hAnsiTheme="majorBidi" w:cstheme="majorBidi"/>
          <w:sz w:val="26"/>
          <w:szCs w:val="26"/>
          <w:rtl/>
        </w:rPr>
        <w:t>)، بحيث يمكن للمستورد معرفة سبب تصنيف شحنته كعالية المخاطر، مما يضمن العدالة القانونية والإجرائية.</w:t>
      </w:r>
    </w:p>
    <w:p w14:paraId="7182B2BC" w14:textId="77777777" w:rsidR="00202E2A" w:rsidRPr="00A92155" w:rsidRDefault="00202E2A">
      <w:pPr>
        <w:numPr>
          <w:ilvl w:val="0"/>
          <w:numId w:val="71"/>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المراجعة الرقمية (</w:t>
      </w:r>
      <w:r w:rsidRPr="00A92155">
        <w:rPr>
          <w:rFonts w:asciiTheme="majorBidi" w:hAnsiTheme="majorBidi" w:cstheme="majorBidi"/>
          <w:b/>
          <w:bCs/>
          <w:sz w:val="26"/>
          <w:szCs w:val="26"/>
        </w:rPr>
        <w:t>Digital Auditing</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إنشاء سجلات رقمية غير قابلة للتعديل (باستخدام تقنيات مثل البلوكتشين) لجميع العمليات والمعاملات، مما يسهل المراجعة والتدقيق والمساءلة في حال وقوع خطأ أو احتيال.</w:t>
      </w:r>
    </w:p>
    <w:p w14:paraId="3E0FD035"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lastRenderedPageBreak/>
        <w:t>2.2.3.3 أخلاقيات البيانات والتشريعات الرقمية</w:t>
      </w:r>
    </w:p>
    <w:p w14:paraId="7FB3491B"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هذا هو البعد الأعمق للحوكمة، ويتعلق بضمان أن التحول الرقمي يحترم حقوق الأفراد والشركات ويحافظ على المبادئ الأخلاقية الوطنية.</w:t>
      </w:r>
    </w:p>
    <w:p w14:paraId="1C08986E"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أ. قوانين حماية البيانات والخصوصية (</w:t>
      </w:r>
      <w:r w:rsidRPr="00A92155">
        <w:rPr>
          <w:rFonts w:asciiTheme="majorBidi" w:hAnsiTheme="majorBidi" w:cstheme="majorBidi"/>
          <w:b/>
          <w:bCs/>
          <w:sz w:val="26"/>
          <w:szCs w:val="26"/>
        </w:rPr>
        <w:t>Data Protection and Privacy Laws</w:t>
      </w:r>
      <w:r w:rsidRPr="00A92155">
        <w:rPr>
          <w:rFonts w:asciiTheme="majorBidi" w:hAnsiTheme="majorBidi" w:cstheme="majorBidi"/>
          <w:b/>
          <w:bCs/>
          <w:sz w:val="26"/>
          <w:szCs w:val="26"/>
          <w:rtl/>
        </w:rPr>
        <w:t>):</w:t>
      </w:r>
    </w:p>
    <w:p w14:paraId="10CC851D" w14:textId="77777777" w:rsidR="00202E2A" w:rsidRPr="00A92155" w:rsidRDefault="00202E2A">
      <w:pPr>
        <w:numPr>
          <w:ilvl w:val="0"/>
          <w:numId w:val="72"/>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السيادة على البيانات (</w:t>
      </w:r>
      <w:r w:rsidRPr="00A92155">
        <w:rPr>
          <w:rFonts w:asciiTheme="majorBidi" w:hAnsiTheme="majorBidi" w:cstheme="majorBidi"/>
          <w:b/>
          <w:bCs/>
          <w:sz w:val="26"/>
          <w:szCs w:val="26"/>
        </w:rPr>
        <w:t>Data Sovereignty</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إصدار وتطبيق تشريعات وطنية صارمة لحماية البيانات الشخصية والمالية والتجارية، وهو ما يضمن سيطرة الدولة على بياناتها الحساسة ويحقق ثقة المستثمر (</w:t>
      </w:r>
      <w:r w:rsidRPr="00A92155">
        <w:rPr>
          <w:rFonts w:asciiTheme="majorBidi" w:hAnsiTheme="majorBidi" w:cstheme="majorBidi"/>
          <w:sz w:val="26"/>
          <w:szCs w:val="26"/>
        </w:rPr>
        <w:t>Smith, 2020</w:t>
      </w:r>
      <w:r w:rsidRPr="00A92155">
        <w:rPr>
          <w:rFonts w:asciiTheme="majorBidi" w:hAnsiTheme="majorBidi" w:cstheme="majorBidi"/>
          <w:sz w:val="26"/>
          <w:szCs w:val="26"/>
          <w:rtl/>
        </w:rPr>
        <w:t>).</w:t>
      </w:r>
    </w:p>
    <w:p w14:paraId="111B5226" w14:textId="77777777" w:rsidR="00202E2A" w:rsidRPr="00A92155" w:rsidRDefault="00202E2A">
      <w:pPr>
        <w:numPr>
          <w:ilvl w:val="0"/>
          <w:numId w:val="72"/>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تكامل التشريعات:</w:t>
      </w:r>
      <w:r w:rsidRPr="00A92155">
        <w:rPr>
          <w:rFonts w:asciiTheme="majorBidi" w:hAnsiTheme="majorBidi" w:cstheme="majorBidi"/>
          <w:sz w:val="26"/>
          <w:szCs w:val="26"/>
          <w:rtl/>
        </w:rPr>
        <w:t xml:space="preserve"> يجب أن تكون التشريعات الرقمية (مثل قانون المعاملات الإلكترونية وقانون حماية البيانات الشخصية) متكاملة وغير متضاربة مع مهام الجهات الأمنية والجمارك، مما يضمن عدم وجود ثغرات قانونية تستغل من قبل المخترقين أو المتهربين.</w:t>
      </w:r>
    </w:p>
    <w:p w14:paraId="602B4083"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ب. أخلاقيات الذكاء الاصطناعي (</w:t>
      </w:r>
      <w:r w:rsidRPr="00A92155">
        <w:rPr>
          <w:rFonts w:asciiTheme="majorBidi" w:hAnsiTheme="majorBidi" w:cstheme="majorBidi"/>
          <w:b/>
          <w:bCs/>
          <w:sz w:val="26"/>
          <w:szCs w:val="26"/>
        </w:rPr>
        <w:t>AI Ethics</w:t>
      </w:r>
      <w:r w:rsidRPr="00A92155">
        <w:rPr>
          <w:rFonts w:asciiTheme="majorBidi" w:hAnsiTheme="majorBidi" w:cstheme="majorBidi"/>
          <w:b/>
          <w:bCs/>
          <w:sz w:val="26"/>
          <w:szCs w:val="26"/>
          <w:rtl/>
        </w:rPr>
        <w:t>):</w:t>
      </w:r>
    </w:p>
    <w:p w14:paraId="7656D115" w14:textId="77777777" w:rsidR="00202E2A" w:rsidRPr="00A92155" w:rsidRDefault="00202E2A">
      <w:pPr>
        <w:numPr>
          <w:ilvl w:val="0"/>
          <w:numId w:val="73"/>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التحيز والتمييز:</w:t>
      </w:r>
      <w:r w:rsidRPr="00A92155">
        <w:rPr>
          <w:rFonts w:asciiTheme="majorBidi" w:hAnsiTheme="majorBidi" w:cstheme="majorBidi"/>
          <w:sz w:val="26"/>
          <w:szCs w:val="26"/>
          <w:rtl/>
        </w:rPr>
        <w:t xml:space="preserve"> يجب أن تضع التشريعات معايير لضمان أن خوارزميات الذكاء الاصطناعي المستخدمة في العمل الحكومي (كشف الاحتيال، تصنيف المخاطر) لا تحتوي على تحيز (</w:t>
      </w:r>
      <w:r w:rsidRPr="00A92155">
        <w:rPr>
          <w:rFonts w:asciiTheme="majorBidi" w:hAnsiTheme="majorBidi" w:cstheme="majorBidi"/>
          <w:sz w:val="26"/>
          <w:szCs w:val="26"/>
        </w:rPr>
        <w:t>Bias</w:t>
      </w:r>
      <w:r w:rsidRPr="00A92155">
        <w:rPr>
          <w:rFonts w:asciiTheme="majorBidi" w:hAnsiTheme="majorBidi" w:cstheme="majorBidi"/>
          <w:sz w:val="26"/>
          <w:szCs w:val="26"/>
          <w:rtl/>
        </w:rPr>
        <w:t>) قد يؤدي إلى التمييز ضد شركات أو أفراد معينين بشكل غير عادل (</w:t>
      </w:r>
      <w:r w:rsidRPr="00A92155">
        <w:rPr>
          <w:rFonts w:asciiTheme="majorBidi" w:hAnsiTheme="majorBidi" w:cstheme="majorBidi"/>
          <w:sz w:val="26"/>
          <w:szCs w:val="26"/>
        </w:rPr>
        <w:t>PwC, 2023</w:t>
      </w:r>
      <w:r w:rsidRPr="00A92155">
        <w:rPr>
          <w:rFonts w:asciiTheme="majorBidi" w:hAnsiTheme="majorBidi" w:cstheme="majorBidi"/>
          <w:sz w:val="26"/>
          <w:szCs w:val="26"/>
          <w:rtl/>
        </w:rPr>
        <w:t>).</w:t>
      </w:r>
    </w:p>
    <w:p w14:paraId="7B9FF741" w14:textId="77777777" w:rsidR="00202E2A" w:rsidRPr="00A92155" w:rsidRDefault="00202E2A">
      <w:pPr>
        <w:numPr>
          <w:ilvl w:val="0"/>
          <w:numId w:val="73"/>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الإشراف البشري:</w:t>
      </w:r>
      <w:r w:rsidRPr="00A92155">
        <w:rPr>
          <w:rFonts w:asciiTheme="majorBidi" w:hAnsiTheme="majorBidi" w:cstheme="majorBidi"/>
          <w:sz w:val="26"/>
          <w:szCs w:val="26"/>
          <w:rtl/>
        </w:rPr>
        <w:t xml:space="preserve"> ضمان وجود مستوى من الإشراف البشري (</w:t>
      </w:r>
      <w:r w:rsidRPr="00A92155">
        <w:rPr>
          <w:rFonts w:asciiTheme="majorBidi" w:hAnsiTheme="majorBidi" w:cstheme="majorBidi"/>
          <w:sz w:val="26"/>
          <w:szCs w:val="26"/>
        </w:rPr>
        <w:t>Human Oversight</w:t>
      </w:r>
      <w:r w:rsidRPr="00A92155">
        <w:rPr>
          <w:rFonts w:asciiTheme="majorBidi" w:hAnsiTheme="majorBidi" w:cstheme="majorBidi"/>
          <w:sz w:val="26"/>
          <w:szCs w:val="26"/>
          <w:rtl/>
        </w:rPr>
        <w:t>) على القرارات التي يتخذها الذكاء الاصطناعي، خاصة في الأمور التي تنطوي على عقوبات مالية أو إجراءات أمنية مشددة.</w:t>
      </w:r>
    </w:p>
    <w:p w14:paraId="42DD76B8"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ج. أمن وشرعية المعاملات الإلكترونية:</w:t>
      </w:r>
    </w:p>
    <w:p w14:paraId="45203F4B" w14:textId="77777777" w:rsidR="00202E2A" w:rsidRPr="00A92155" w:rsidRDefault="00202E2A">
      <w:pPr>
        <w:numPr>
          <w:ilvl w:val="0"/>
          <w:numId w:val="74"/>
        </w:num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وضع إطار قانوني موثوق لـ التوقيع الرقمي (</w:t>
      </w:r>
      <w:r w:rsidRPr="00A92155">
        <w:rPr>
          <w:rFonts w:asciiTheme="majorBidi" w:hAnsiTheme="majorBidi" w:cstheme="majorBidi"/>
          <w:sz w:val="26"/>
          <w:szCs w:val="26"/>
        </w:rPr>
        <w:t>Digital Signature</w:t>
      </w:r>
      <w:r w:rsidRPr="00A92155">
        <w:rPr>
          <w:rFonts w:asciiTheme="majorBidi" w:hAnsiTheme="majorBidi" w:cstheme="majorBidi"/>
          <w:sz w:val="26"/>
          <w:szCs w:val="26"/>
          <w:rtl/>
        </w:rPr>
        <w:t>) والهوية الرقمية الموحدة، يضمن أن المعاملات الإلكترونية لها نفس القوة القانونية للمعاملات الورقية التقليدية، مما يشجع على التبني الكامل للخدمات الرقمية في التجارة.</w:t>
      </w:r>
    </w:p>
    <w:p w14:paraId="012900E8"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2.2.4 التفاعل بين الأبعاد الثلاثة وتأثيرها في الأداء الحكومي</w:t>
      </w:r>
    </w:p>
    <w:p w14:paraId="1D1483E6"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إن القيمة الحقيقية للتحول الرقمي تكمن في </w:t>
      </w:r>
      <w:r w:rsidRPr="00A92155">
        <w:rPr>
          <w:rFonts w:asciiTheme="majorBidi" w:hAnsiTheme="majorBidi" w:cstheme="majorBidi"/>
          <w:b/>
          <w:bCs/>
          <w:sz w:val="26"/>
          <w:szCs w:val="26"/>
          <w:rtl/>
        </w:rPr>
        <w:t>التفاعل المنهجي والتكاملي</w:t>
      </w:r>
      <w:r w:rsidRPr="00A92155">
        <w:rPr>
          <w:rFonts w:asciiTheme="majorBidi" w:hAnsiTheme="majorBidi" w:cstheme="majorBidi"/>
          <w:sz w:val="26"/>
          <w:szCs w:val="26"/>
          <w:rtl/>
        </w:rPr>
        <w:t xml:space="preserve"> بين أبعاده الثلاثة. فالنجاح ليس وليد تفوق في بُعد واحد (مثال: بنية تحتية قوية) مقابل إهمال بُعد آخر (مثال: حوكمة ضعيفة)، بل هو نتيجة لتفاعل ديناميكي متوازن يشكل نظاماً رقمياً (</w:t>
      </w:r>
      <w:r w:rsidRPr="00A92155">
        <w:rPr>
          <w:rFonts w:asciiTheme="majorBidi" w:hAnsiTheme="majorBidi" w:cstheme="majorBidi"/>
          <w:sz w:val="26"/>
          <w:szCs w:val="26"/>
        </w:rPr>
        <w:t>Digital System</w:t>
      </w:r>
      <w:r w:rsidRPr="00A92155">
        <w:rPr>
          <w:rFonts w:asciiTheme="majorBidi" w:hAnsiTheme="majorBidi" w:cstheme="majorBidi"/>
          <w:sz w:val="26"/>
          <w:szCs w:val="26"/>
          <w:rtl/>
        </w:rPr>
        <w:t>) متكاملاً (</w:t>
      </w:r>
      <w:r w:rsidRPr="00A92155">
        <w:rPr>
          <w:rFonts w:asciiTheme="majorBidi" w:hAnsiTheme="majorBidi" w:cstheme="majorBidi"/>
          <w:sz w:val="26"/>
          <w:szCs w:val="26"/>
        </w:rPr>
        <w:t>Matt et al., 2015</w:t>
      </w:r>
      <w:r w:rsidRPr="00A92155">
        <w:rPr>
          <w:rFonts w:asciiTheme="majorBidi" w:hAnsiTheme="majorBidi" w:cstheme="majorBidi"/>
          <w:sz w:val="26"/>
          <w:szCs w:val="26"/>
          <w:rtl/>
        </w:rPr>
        <w:t>).</w:t>
      </w:r>
    </w:p>
    <w:p w14:paraId="3714CA33"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أ. التفاعل بين الأسس الرقمية والابتكار الرقمي (</w:t>
      </w:r>
      <w:r w:rsidRPr="00A92155">
        <w:rPr>
          <w:rFonts w:asciiTheme="majorBidi" w:hAnsiTheme="majorBidi" w:cstheme="majorBidi"/>
          <w:b/>
          <w:bCs/>
          <w:sz w:val="26"/>
          <w:szCs w:val="26"/>
        </w:rPr>
        <w:t>Foundations</w:t>
      </w:r>
      <w:r w:rsidRPr="00A92155">
        <w:rPr>
          <w:rFonts w:asciiTheme="majorBidi" w:hAnsiTheme="majorBidi" w:cstheme="majorBidi"/>
          <w:b/>
          <w:bCs/>
          <w:sz w:val="26"/>
          <w:szCs w:val="26"/>
          <w:rtl/>
        </w:rPr>
        <w:t xml:space="preserve"> $\</w:t>
      </w:r>
      <w:r w:rsidRPr="00A92155">
        <w:rPr>
          <w:rFonts w:asciiTheme="majorBidi" w:hAnsiTheme="majorBidi" w:cstheme="majorBidi"/>
          <w:b/>
          <w:bCs/>
          <w:sz w:val="26"/>
          <w:szCs w:val="26"/>
        </w:rPr>
        <w:t>leftrightarrow</w:t>
      </w:r>
      <w:r w:rsidRPr="00A92155">
        <w:rPr>
          <w:rFonts w:asciiTheme="majorBidi" w:hAnsiTheme="majorBidi" w:cstheme="majorBidi"/>
          <w:b/>
          <w:bCs/>
          <w:sz w:val="26"/>
          <w:szCs w:val="26"/>
          <w:rtl/>
        </w:rPr>
        <w:t xml:space="preserve">$ </w:t>
      </w:r>
      <w:r w:rsidRPr="00A92155">
        <w:rPr>
          <w:rFonts w:asciiTheme="majorBidi" w:hAnsiTheme="majorBidi" w:cstheme="majorBidi"/>
          <w:b/>
          <w:bCs/>
          <w:sz w:val="26"/>
          <w:szCs w:val="26"/>
        </w:rPr>
        <w:t>Innovation</w:t>
      </w:r>
      <w:r w:rsidRPr="00A92155">
        <w:rPr>
          <w:rFonts w:asciiTheme="majorBidi" w:hAnsiTheme="majorBidi" w:cstheme="majorBidi"/>
          <w:b/>
          <w:bCs/>
          <w:sz w:val="26"/>
          <w:szCs w:val="26"/>
          <w:rtl/>
        </w:rPr>
        <w:t>):</w:t>
      </w:r>
    </w:p>
    <w:p w14:paraId="339DDBFC" w14:textId="77777777" w:rsidR="00202E2A" w:rsidRPr="00A92155" w:rsidRDefault="00202E2A">
      <w:pPr>
        <w:numPr>
          <w:ilvl w:val="0"/>
          <w:numId w:val="75"/>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العلاقة:</w:t>
      </w:r>
      <w:r w:rsidRPr="00A92155">
        <w:rPr>
          <w:rFonts w:asciiTheme="majorBidi" w:hAnsiTheme="majorBidi" w:cstheme="majorBidi"/>
          <w:sz w:val="26"/>
          <w:szCs w:val="26"/>
          <w:rtl/>
        </w:rPr>
        <w:t xml:space="preserve"> علاقة </w:t>
      </w:r>
      <w:r w:rsidRPr="00A92155">
        <w:rPr>
          <w:rFonts w:asciiTheme="majorBidi" w:hAnsiTheme="majorBidi" w:cstheme="majorBidi"/>
          <w:b/>
          <w:bCs/>
          <w:sz w:val="26"/>
          <w:szCs w:val="26"/>
          <w:rtl/>
        </w:rPr>
        <w:t>سببية وتمكينية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Causal and Enabling</w:t>
      </w:r>
      <w:r w:rsidRPr="00A92155">
        <w:rPr>
          <w:rFonts w:asciiTheme="majorBidi" w:hAnsiTheme="majorBidi" w:cstheme="majorBidi"/>
          <w:sz w:val="26"/>
          <w:szCs w:val="26"/>
          <w:rtl/>
        </w:rPr>
        <w:t>). لا يمكن للابتكار الرقمي أن يزدهر دون وجود أسس رقمية متينة.</w:t>
      </w:r>
    </w:p>
    <w:p w14:paraId="4A0D1F6C" w14:textId="77777777" w:rsidR="00202E2A" w:rsidRPr="00A92155" w:rsidRDefault="00202E2A">
      <w:pPr>
        <w:numPr>
          <w:ilvl w:val="1"/>
          <w:numId w:val="75"/>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مثال (</w:t>
      </w:r>
      <w:r w:rsidRPr="00A92155">
        <w:rPr>
          <w:rFonts w:asciiTheme="majorBidi" w:hAnsiTheme="majorBidi" w:cstheme="majorBidi"/>
          <w:b/>
          <w:bCs/>
          <w:sz w:val="26"/>
          <w:szCs w:val="26"/>
        </w:rPr>
        <w:t>ZATCA</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لا يمكن استخدام الذكاء الاصطناعي (الابتكار) لتحليل مخاطر التهريب إلا إذا كانت هناك بنية تحتية سحابية قوية (الأسس) قادرة على تخزين ومعالجة البيانات الضخمة الآتية من المنافذ الجمركية، مع وجود كفاءات رقمية مدربة على بناء نماذج التعلم الآلي.</w:t>
      </w:r>
    </w:p>
    <w:p w14:paraId="747B5A02" w14:textId="77777777" w:rsidR="00202E2A" w:rsidRPr="00A92155" w:rsidRDefault="00202E2A">
      <w:pPr>
        <w:numPr>
          <w:ilvl w:val="0"/>
          <w:numId w:val="75"/>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التأثير على الأداء:</w:t>
      </w:r>
      <w:r w:rsidRPr="00A92155">
        <w:rPr>
          <w:rFonts w:asciiTheme="majorBidi" w:hAnsiTheme="majorBidi" w:cstheme="majorBidi"/>
          <w:sz w:val="26"/>
          <w:szCs w:val="26"/>
          <w:rtl/>
        </w:rPr>
        <w:t xml:space="preserve"> يضمن هذا التفاعل أن تكون مبادرات الابتكار قابلة للتوسع (</w:t>
      </w:r>
      <w:r w:rsidRPr="00A92155">
        <w:rPr>
          <w:rFonts w:asciiTheme="majorBidi" w:hAnsiTheme="majorBidi" w:cstheme="majorBidi"/>
          <w:sz w:val="26"/>
          <w:szCs w:val="26"/>
        </w:rPr>
        <w:t>Scalable</w:t>
      </w:r>
      <w:r w:rsidRPr="00A92155">
        <w:rPr>
          <w:rFonts w:asciiTheme="majorBidi" w:hAnsiTheme="majorBidi" w:cstheme="majorBidi"/>
          <w:sz w:val="26"/>
          <w:szCs w:val="26"/>
          <w:rtl/>
        </w:rPr>
        <w:t>)، وذات تكلفة فعالة (</w:t>
      </w:r>
      <w:r w:rsidRPr="00A92155">
        <w:rPr>
          <w:rFonts w:asciiTheme="majorBidi" w:hAnsiTheme="majorBidi" w:cstheme="majorBidi"/>
          <w:sz w:val="26"/>
          <w:szCs w:val="26"/>
        </w:rPr>
        <w:t>Cost-Effective</w:t>
      </w:r>
      <w:r w:rsidRPr="00A92155">
        <w:rPr>
          <w:rFonts w:asciiTheme="majorBidi" w:hAnsiTheme="majorBidi" w:cstheme="majorBidi"/>
          <w:sz w:val="26"/>
          <w:szCs w:val="26"/>
          <w:rtl/>
        </w:rPr>
        <w:t>)، مما يعزز قدرة المؤسسة على خلق قيمة جديدة بفعالية.</w:t>
      </w:r>
    </w:p>
    <w:p w14:paraId="3B38EE85"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lastRenderedPageBreak/>
        <w:t>ب. التفاعل بين الابتكار الرقمي والحوكمة الرقمية (</w:t>
      </w:r>
      <w:r w:rsidRPr="00A92155">
        <w:rPr>
          <w:rFonts w:asciiTheme="majorBidi" w:hAnsiTheme="majorBidi" w:cstheme="majorBidi"/>
          <w:b/>
          <w:bCs/>
          <w:sz w:val="26"/>
          <w:szCs w:val="26"/>
        </w:rPr>
        <w:t>Innovation</w:t>
      </w:r>
      <w:r w:rsidRPr="00A92155">
        <w:rPr>
          <w:rFonts w:asciiTheme="majorBidi" w:hAnsiTheme="majorBidi" w:cstheme="majorBidi"/>
          <w:b/>
          <w:bCs/>
          <w:sz w:val="26"/>
          <w:szCs w:val="26"/>
          <w:rtl/>
        </w:rPr>
        <w:t xml:space="preserve"> $\</w:t>
      </w:r>
      <w:r w:rsidRPr="00A92155">
        <w:rPr>
          <w:rFonts w:asciiTheme="majorBidi" w:hAnsiTheme="majorBidi" w:cstheme="majorBidi"/>
          <w:b/>
          <w:bCs/>
          <w:sz w:val="26"/>
          <w:szCs w:val="26"/>
        </w:rPr>
        <w:t>leftrightarrow</w:t>
      </w:r>
      <w:r w:rsidRPr="00A92155">
        <w:rPr>
          <w:rFonts w:asciiTheme="majorBidi" w:hAnsiTheme="majorBidi" w:cstheme="majorBidi"/>
          <w:b/>
          <w:bCs/>
          <w:sz w:val="26"/>
          <w:szCs w:val="26"/>
          <w:rtl/>
        </w:rPr>
        <w:t xml:space="preserve">$ </w:t>
      </w:r>
      <w:r w:rsidRPr="00A92155">
        <w:rPr>
          <w:rFonts w:asciiTheme="majorBidi" w:hAnsiTheme="majorBidi" w:cstheme="majorBidi"/>
          <w:b/>
          <w:bCs/>
          <w:sz w:val="26"/>
          <w:szCs w:val="26"/>
        </w:rPr>
        <w:t>Governance</w:t>
      </w:r>
      <w:r w:rsidRPr="00A92155">
        <w:rPr>
          <w:rFonts w:asciiTheme="majorBidi" w:hAnsiTheme="majorBidi" w:cstheme="majorBidi"/>
          <w:b/>
          <w:bCs/>
          <w:sz w:val="26"/>
          <w:szCs w:val="26"/>
          <w:rtl/>
        </w:rPr>
        <w:t>):</w:t>
      </w:r>
    </w:p>
    <w:p w14:paraId="12233E75" w14:textId="77777777" w:rsidR="00202E2A" w:rsidRPr="00A92155" w:rsidRDefault="00202E2A">
      <w:pPr>
        <w:numPr>
          <w:ilvl w:val="0"/>
          <w:numId w:val="76"/>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العلاقة:</w:t>
      </w:r>
      <w:r w:rsidRPr="00A92155">
        <w:rPr>
          <w:rFonts w:asciiTheme="majorBidi" w:hAnsiTheme="majorBidi" w:cstheme="majorBidi"/>
          <w:sz w:val="26"/>
          <w:szCs w:val="26"/>
          <w:rtl/>
        </w:rPr>
        <w:t xml:space="preserve"> علاقة ضابطة ومشرّعة (</w:t>
      </w:r>
      <w:r w:rsidRPr="00A92155">
        <w:rPr>
          <w:rFonts w:asciiTheme="majorBidi" w:hAnsiTheme="majorBidi" w:cstheme="majorBidi"/>
          <w:sz w:val="26"/>
          <w:szCs w:val="26"/>
        </w:rPr>
        <w:t>Regulatory and Legislating</w:t>
      </w:r>
      <w:r w:rsidRPr="00A92155">
        <w:rPr>
          <w:rFonts w:asciiTheme="majorBidi" w:hAnsiTheme="majorBidi" w:cstheme="majorBidi"/>
          <w:sz w:val="26"/>
          <w:szCs w:val="26"/>
          <w:rtl/>
        </w:rPr>
        <w:t>). تعمل الحوكمة على توجيه الابتكار لضمان تحقيق الأهداف الوطنية مع الالتزام بالشرعية والأخلاق.</w:t>
      </w:r>
    </w:p>
    <w:p w14:paraId="6D1FD5AF" w14:textId="77777777" w:rsidR="00202E2A" w:rsidRPr="00A92155" w:rsidRDefault="00202E2A">
      <w:pPr>
        <w:numPr>
          <w:ilvl w:val="1"/>
          <w:numId w:val="76"/>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مثال (</w:t>
      </w:r>
      <w:r w:rsidRPr="00A92155">
        <w:rPr>
          <w:rFonts w:asciiTheme="majorBidi" w:hAnsiTheme="majorBidi" w:cstheme="majorBidi"/>
          <w:b/>
          <w:bCs/>
          <w:sz w:val="26"/>
          <w:szCs w:val="26"/>
        </w:rPr>
        <w:t>ZATCA</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استخدام الذكاء الاصطناعي (الابتكار) في تحليل بيانات الأفراد يتطلب وجود تشريعات واضحة لحماية البيانات وأخلاقيات للذكاء الاصطناعي (الحوكمة) تمنع التحيز أو التعدي على الخصوصية. فالحوكمة تمنع الابتكار من أن يصبح "فوضى رقمية".</w:t>
      </w:r>
    </w:p>
    <w:p w14:paraId="795589D7" w14:textId="77777777" w:rsidR="00202E2A" w:rsidRPr="00A92155" w:rsidRDefault="00202E2A">
      <w:pPr>
        <w:numPr>
          <w:ilvl w:val="0"/>
          <w:numId w:val="76"/>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التأثير على الأداء:</w:t>
      </w:r>
      <w:r w:rsidRPr="00A92155">
        <w:rPr>
          <w:rFonts w:asciiTheme="majorBidi" w:hAnsiTheme="majorBidi" w:cstheme="majorBidi"/>
          <w:sz w:val="26"/>
          <w:szCs w:val="26"/>
          <w:rtl/>
        </w:rPr>
        <w:t xml:space="preserve"> يضمن هذا التفاعل أن تكون نتائج الابتكار موثوقة ومقبولة اجتماعياً وقانونياً (</w:t>
      </w:r>
      <w:r w:rsidRPr="00A92155">
        <w:rPr>
          <w:rFonts w:asciiTheme="majorBidi" w:hAnsiTheme="majorBidi" w:cstheme="majorBidi"/>
          <w:sz w:val="26"/>
          <w:szCs w:val="26"/>
        </w:rPr>
        <w:t>Legitimate and Trustworthy</w:t>
      </w:r>
      <w:r w:rsidRPr="00A92155">
        <w:rPr>
          <w:rFonts w:asciiTheme="majorBidi" w:hAnsiTheme="majorBidi" w:cstheme="majorBidi"/>
          <w:sz w:val="26"/>
          <w:szCs w:val="26"/>
          <w:rtl/>
        </w:rPr>
        <w:t>)، مما يزيد من ثقة الجمهور والقطاع الخاص في التعامل مع الحكومة الرقمية.</w:t>
      </w:r>
    </w:p>
    <w:p w14:paraId="6195F344"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ج. التفاعل بين الأسس الرقمية والحوكمة الرقمية (</w:t>
      </w:r>
      <w:r w:rsidRPr="00A92155">
        <w:rPr>
          <w:rFonts w:asciiTheme="majorBidi" w:hAnsiTheme="majorBidi" w:cstheme="majorBidi"/>
          <w:b/>
          <w:bCs/>
          <w:sz w:val="26"/>
          <w:szCs w:val="26"/>
        </w:rPr>
        <w:t>Foundations</w:t>
      </w:r>
      <w:r w:rsidRPr="00A92155">
        <w:rPr>
          <w:rFonts w:asciiTheme="majorBidi" w:hAnsiTheme="majorBidi" w:cstheme="majorBidi"/>
          <w:b/>
          <w:bCs/>
          <w:sz w:val="26"/>
          <w:szCs w:val="26"/>
          <w:rtl/>
        </w:rPr>
        <w:t xml:space="preserve"> $\</w:t>
      </w:r>
      <w:r w:rsidRPr="00A92155">
        <w:rPr>
          <w:rFonts w:asciiTheme="majorBidi" w:hAnsiTheme="majorBidi" w:cstheme="majorBidi"/>
          <w:b/>
          <w:bCs/>
          <w:sz w:val="26"/>
          <w:szCs w:val="26"/>
        </w:rPr>
        <w:t>leftrightarrow</w:t>
      </w:r>
      <w:r w:rsidRPr="00A92155">
        <w:rPr>
          <w:rFonts w:asciiTheme="majorBidi" w:hAnsiTheme="majorBidi" w:cstheme="majorBidi"/>
          <w:b/>
          <w:bCs/>
          <w:sz w:val="26"/>
          <w:szCs w:val="26"/>
          <w:rtl/>
        </w:rPr>
        <w:t xml:space="preserve">$ </w:t>
      </w:r>
      <w:r w:rsidRPr="00A92155">
        <w:rPr>
          <w:rFonts w:asciiTheme="majorBidi" w:hAnsiTheme="majorBidi" w:cstheme="majorBidi"/>
          <w:b/>
          <w:bCs/>
          <w:sz w:val="26"/>
          <w:szCs w:val="26"/>
        </w:rPr>
        <w:t>Governance</w:t>
      </w:r>
      <w:r w:rsidRPr="00A92155">
        <w:rPr>
          <w:rFonts w:asciiTheme="majorBidi" w:hAnsiTheme="majorBidi" w:cstheme="majorBidi"/>
          <w:b/>
          <w:bCs/>
          <w:sz w:val="26"/>
          <w:szCs w:val="26"/>
          <w:rtl/>
        </w:rPr>
        <w:t>):</w:t>
      </w:r>
    </w:p>
    <w:p w14:paraId="50A262C6" w14:textId="77777777" w:rsidR="00202E2A" w:rsidRPr="00A92155" w:rsidRDefault="00202E2A">
      <w:pPr>
        <w:numPr>
          <w:ilvl w:val="0"/>
          <w:numId w:val="77"/>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العلاقة:</w:t>
      </w:r>
      <w:r w:rsidRPr="00A92155">
        <w:rPr>
          <w:rFonts w:asciiTheme="majorBidi" w:hAnsiTheme="majorBidi" w:cstheme="majorBidi"/>
          <w:sz w:val="26"/>
          <w:szCs w:val="26"/>
          <w:rtl/>
        </w:rPr>
        <w:t xml:space="preserve"> علاقة استدامة وموثوقية (</w:t>
      </w:r>
      <w:r w:rsidRPr="00A92155">
        <w:rPr>
          <w:rFonts w:asciiTheme="majorBidi" w:hAnsiTheme="majorBidi" w:cstheme="majorBidi"/>
          <w:sz w:val="26"/>
          <w:szCs w:val="26"/>
        </w:rPr>
        <w:t>Sustainability and Reliability</w:t>
      </w:r>
      <w:r w:rsidRPr="00A92155">
        <w:rPr>
          <w:rFonts w:asciiTheme="majorBidi" w:hAnsiTheme="majorBidi" w:cstheme="majorBidi"/>
          <w:sz w:val="26"/>
          <w:szCs w:val="26"/>
          <w:rtl/>
        </w:rPr>
        <w:t>). الحوكمة تضمن أن الأسس الرقمية مستمرة ومطبقة وفقاً لأعلى المعايير.</w:t>
      </w:r>
    </w:p>
    <w:p w14:paraId="00B4356D" w14:textId="77777777" w:rsidR="00202E2A" w:rsidRPr="00A92155" w:rsidRDefault="00202E2A">
      <w:pPr>
        <w:numPr>
          <w:ilvl w:val="1"/>
          <w:numId w:val="77"/>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مثال (</w:t>
      </w:r>
      <w:r w:rsidRPr="00A92155">
        <w:rPr>
          <w:rFonts w:asciiTheme="majorBidi" w:hAnsiTheme="majorBidi" w:cstheme="majorBidi"/>
          <w:b/>
          <w:bCs/>
          <w:sz w:val="26"/>
          <w:szCs w:val="26"/>
        </w:rPr>
        <w:t>ZATCA</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إن الالتزام بـ معايير الأمن السيبراني الوطنية والدولية (الحوكمة) هو الذي يضمن أن البنية التحتية (الأسس) مصممة ومُدارة بشكل صحيح لمقاومة الهجمات.</w:t>
      </w:r>
    </w:p>
    <w:p w14:paraId="1C7254DE" w14:textId="77777777" w:rsidR="00202E2A" w:rsidRPr="00A92155" w:rsidRDefault="00202E2A">
      <w:pPr>
        <w:numPr>
          <w:ilvl w:val="0"/>
          <w:numId w:val="77"/>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التأثير على الأداء:</w:t>
      </w:r>
      <w:r w:rsidRPr="00A92155">
        <w:rPr>
          <w:rFonts w:asciiTheme="majorBidi" w:hAnsiTheme="majorBidi" w:cstheme="majorBidi"/>
          <w:sz w:val="26"/>
          <w:szCs w:val="26"/>
          <w:rtl/>
        </w:rPr>
        <w:t xml:space="preserve"> يضمن هذا التفاعل الاستدامة والشرعية التشغيلية (</w:t>
      </w:r>
      <w:r w:rsidRPr="00A92155">
        <w:rPr>
          <w:rFonts w:asciiTheme="majorBidi" w:hAnsiTheme="majorBidi" w:cstheme="majorBidi"/>
          <w:sz w:val="26"/>
          <w:szCs w:val="26"/>
        </w:rPr>
        <w:t>Operational Legitimacy</w:t>
      </w:r>
      <w:r w:rsidRPr="00A92155">
        <w:rPr>
          <w:rFonts w:asciiTheme="majorBidi" w:hAnsiTheme="majorBidi" w:cstheme="majorBidi"/>
          <w:sz w:val="26"/>
          <w:szCs w:val="26"/>
          <w:rtl/>
        </w:rPr>
        <w:t>)، حيث يخضع كل مكون تقني لإطار تنظيمي يضمن جودته وسلامته.</w:t>
      </w:r>
    </w:p>
    <w:p w14:paraId="692E79F3"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د. المنظومة المتكاملة لتحقيق التوازن (</w:t>
      </w:r>
      <w:r w:rsidRPr="00A92155">
        <w:rPr>
          <w:rFonts w:asciiTheme="majorBidi" w:hAnsiTheme="majorBidi" w:cstheme="majorBidi"/>
          <w:b/>
          <w:bCs/>
          <w:sz w:val="26"/>
          <w:szCs w:val="26"/>
        </w:rPr>
        <w:t>The Integrated System for Balance</w:t>
      </w:r>
      <w:r w:rsidRPr="00A92155">
        <w:rPr>
          <w:rFonts w:asciiTheme="majorBidi" w:hAnsiTheme="majorBidi" w:cstheme="majorBidi"/>
          <w:b/>
          <w:bCs/>
          <w:sz w:val="26"/>
          <w:szCs w:val="26"/>
          <w:rtl/>
        </w:rPr>
        <w:t>)</w:t>
      </w:r>
    </w:p>
    <w:p w14:paraId="3709588D" w14:textId="77777777" w:rsidR="00202E2A" w:rsidRPr="00A92155" w:rsidRDefault="00202E2A">
      <w:pPr>
        <w:numPr>
          <w:ilvl w:val="0"/>
          <w:numId w:val="78"/>
        </w:num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يُعد التحول الرقمي الناجح، في سياق الموازنة بين الأمن وتيسير التجارة، تطبيقاً نموذجياً لـ </w:t>
      </w:r>
      <w:r w:rsidRPr="00A92155">
        <w:rPr>
          <w:rFonts w:asciiTheme="majorBidi" w:hAnsiTheme="majorBidi" w:cstheme="majorBidi"/>
          <w:b/>
          <w:bCs/>
          <w:sz w:val="26"/>
          <w:szCs w:val="26"/>
          <w:rtl/>
        </w:rPr>
        <w:t>نظرية النظم (</w:t>
      </w:r>
      <w:r w:rsidRPr="00A92155">
        <w:rPr>
          <w:rFonts w:asciiTheme="majorBidi" w:hAnsiTheme="majorBidi" w:cstheme="majorBidi"/>
          <w:b/>
          <w:bCs/>
          <w:sz w:val="26"/>
          <w:szCs w:val="26"/>
        </w:rPr>
        <w:t>Systems Theory</w:t>
      </w:r>
      <w:r w:rsidRPr="00A92155">
        <w:rPr>
          <w:rFonts w:asciiTheme="majorBidi" w:hAnsiTheme="majorBidi" w:cstheme="majorBidi"/>
          <w:b/>
          <w:bCs/>
          <w:sz w:val="26"/>
          <w:szCs w:val="26"/>
          <w:rtl/>
        </w:rPr>
        <w:t>)</w:t>
      </w:r>
      <w:r w:rsidRPr="00A92155">
        <w:rPr>
          <w:rFonts w:asciiTheme="majorBidi" w:hAnsiTheme="majorBidi" w:cstheme="majorBidi"/>
          <w:sz w:val="26"/>
          <w:szCs w:val="26"/>
          <w:rtl/>
        </w:rPr>
        <w:t>.</w:t>
      </w:r>
    </w:p>
    <w:p w14:paraId="7C96DF5A" w14:textId="77777777" w:rsidR="00202E2A" w:rsidRPr="00A92155" w:rsidRDefault="00202E2A">
      <w:pPr>
        <w:numPr>
          <w:ilvl w:val="0"/>
          <w:numId w:val="78"/>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الأسس (</w:t>
      </w:r>
      <w:r w:rsidRPr="00A92155">
        <w:rPr>
          <w:rFonts w:asciiTheme="majorBidi" w:hAnsiTheme="majorBidi" w:cstheme="majorBidi"/>
          <w:b/>
          <w:bCs/>
          <w:sz w:val="26"/>
          <w:szCs w:val="26"/>
        </w:rPr>
        <w:t>Data, Infrastructure, Skills</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توفر السرعة والقدرة على المعالجة.</w:t>
      </w:r>
    </w:p>
    <w:p w14:paraId="4303807F" w14:textId="77777777" w:rsidR="00202E2A" w:rsidRPr="00A92155" w:rsidRDefault="00202E2A">
      <w:pPr>
        <w:numPr>
          <w:ilvl w:val="0"/>
          <w:numId w:val="78"/>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الابتكار (</w:t>
      </w:r>
      <w:r w:rsidRPr="00A92155">
        <w:rPr>
          <w:rFonts w:asciiTheme="majorBidi" w:hAnsiTheme="majorBidi" w:cstheme="majorBidi"/>
          <w:b/>
          <w:bCs/>
          <w:sz w:val="26"/>
          <w:szCs w:val="26"/>
        </w:rPr>
        <w:t>AI, IoT, Platforms</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يستخدم هذه السرعة في بناء نماذج ذكية لـ إدارة المخاطر (</w:t>
      </w:r>
      <w:r w:rsidRPr="00A92155">
        <w:rPr>
          <w:rFonts w:asciiTheme="majorBidi" w:hAnsiTheme="majorBidi" w:cstheme="majorBidi"/>
          <w:sz w:val="26"/>
          <w:szCs w:val="26"/>
        </w:rPr>
        <w:t>Risk Management</w:t>
      </w:r>
      <w:r w:rsidRPr="00A92155">
        <w:rPr>
          <w:rFonts w:asciiTheme="majorBidi" w:hAnsiTheme="majorBidi" w:cstheme="majorBidi"/>
          <w:sz w:val="26"/>
          <w:szCs w:val="26"/>
          <w:rtl/>
        </w:rPr>
        <w:t>).</w:t>
      </w:r>
    </w:p>
    <w:p w14:paraId="78656B44" w14:textId="77777777" w:rsidR="00202E2A" w:rsidRPr="00A92155" w:rsidRDefault="00202E2A">
      <w:pPr>
        <w:numPr>
          <w:ilvl w:val="0"/>
          <w:numId w:val="78"/>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الحوكمة (</w:t>
      </w:r>
      <w:r w:rsidRPr="00A92155">
        <w:rPr>
          <w:rFonts w:asciiTheme="majorBidi" w:hAnsiTheme="majorBidi" w:cstheme="majorBidi"/>
          <w:b/>
          <w:bCs/>
          <w:sz w:val="26"/>
          <w:szCs w:val="26"/>
        </w:rPr>
        <w:t>Legislation, Ethics, Accountability</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تضع الضوابط التي تضمن أن السرعة لا تأتي على حساب الأمن، وأن القرارات الأمنية لا تعرقل التجارة بشكل غير عادل.</w:t>
      </w:r>
    </w:p>
    <w:p w14:paraId="65D0F574" w14:textId="77777777" w:rsidR="00202E2A" w:rsidRPr="00A92155" w:rsidRDefault="00202E2A">
      <w:pPr>
        <w:numPr>
          <w:ilvl w:val="0"/>
          <w:numId w:val="78"/>
        </w:numPr>
        <w:bidi/>
        <w:spacing w:line="240" w:lineRule="auto"/>
        <w:jc w:val="lowKashida"/>
        <w:rPr>
          <w:rFonts w:asciiTheme="majorBidi" w:hAnsiTheme="majorBidi" w:cstheme="majorBidi"/>
          <w:sz w:val="26"/>
          <w:szCs w:val="26"/>
        </w:rPr>
      </w:pPr>
      <w:r w:rsidRPr="00A92155">
        <w:rPr>
          <w:rFonts w:asciiTheme="majorBidi" w:hAnsiTheme="majorBidi" w:cstheme="majorBidi"/>
          <w:b/>
          <w:bCs/>
          <w:sz w:val="26"/>
          <w:szCs w:val="26"/>
          <w:rtl/>
        </w:rPr>
        <w:t>التأثير الكلي:</w:t>
      </w:r>
      <w:r w:rsidRPr="00A92155">
        <w:rPr>
          <w:rFonts w:asciiTheme="majorBidi" w:hAnsiTheme="majorBidi" w:cstheme="majorBidi"/>
          <w:sz w:val="26"/>
          <w:szCs w:val="26"/>
          <w:rtl/>
        </w:rPr>
        <w:t xml:space="preserve"> هذا التكامل يخلق الرشاقة المؤسسية (</w:t>
      </w:r>
      <w:r w:rsidRPr="00A92155">
        <w:rPr>
          <w:rFonts w:asciiTheme="majorBidi" w:hAnsiTheme="majorBidi" w:cstheme="majorBidi"/>
          <w:sz w:val="26"/>
          <w:szCs w:val="26"/>
        </w:rPr>
        <w:t>Organizational Agility</w:t>
      </w:r>
      <w:r w:rsidRPr="00A92155">
        <w:rPr>
          <w:rFonts w:asciiTheme="majorBidi" w:hAnsiTheme="majorBidi" w:cstheme="majorBidi"/>
          <w:sz w:val="26"/>
          <w:szCs w:val="26"/>
          <w:rtl/>
        </w:rPr>
        <w:t>)، حيث تتمكن المؤسسة من تيسير التجارة بالاعتماد على السرعة والكفاءة الآلية (مخرجات الابتكار)، وفي الوقت نفسه، تعزيز الأمن بالتركيز على المخاطر المحددة بدقة (مخرجات الذكاء الاصطناعي)، وكل ذلك يتم ضمن إطار شفاف ومسؤول (مخرجات الحوكمة).</w:t>
      </w:r>
    </w:p>
    <w:p w14:paraId="743A0755" w14:textId="129D29AD" w:rsidR="00202E2A" w:rsidRPr="00A92155" w:rsidRDefault="00FF0F6B" w:rsidP="00202E2A">
      <w:pPr>
        <w:bidi/>
        <w:spacing w:line="240" w:lineRule="auto"/>
        <w:jc w:val="lowKashida"/>
        <w:rPr>
          <w:rFonts w:asciiTheme="majorBidi" w:hAnsiTheme="majorBidi" w:cs="PT Bold Heading"/>
          <w:b/>
          <w:bCs/>
          <w:color w:val="000000" w:themeColor="text1"/>
          <w:sz w:val="26"/>
          <w:szCs w:val="26"/>
          <w:rtl/>
        </w:rPr>
      </w:pPr>
      <w:r w:rsidRPr="00FF0F6B">
        <w:rPr>
          <w:rFonts w:asciiTheme="majorBidi" w:hAnsiTheme="majorBidi" w:cs="PT Bold Heading"/>
          <w:b/>
          <w:bCs/>
          <w:color w:val="000000" w:themeColor="text1"/>
          <w:sz w:val="26"/>
          <w:szCs w:val="26"/>
          <w:rtl/>
        </w:rPr>
        <w:t xml:space="preserve">الباب </w:t>
      </w:r>
      <w:r w:rsidR="00202E2A" w:rsidRPr="00A92155">
        <w:rPr>
          <w:rFonts w:asciiTheme="majorBidi" w:hAnsiTheme="majorBidi" w:cs="PT Bold Heading"/>
          <w:b/>
          <w:bCs/>
          <w:color w:val="000000" w:themeColor="text1"/>
          <w:sz w:val="26"/>
          <w:szCs w:val="26"/>
          <w:rtl/>
        </w:rPr>
        <w:t>الثالث: تعزيز الأمن في بيئة التحول الرقمي</w:t>
      </w:r>
    </w:p>
    <w:p w14:paraId="71384A54"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 xml:space="preserve">مقدمة </w:t>
      </w:r>
    </w:p>
    <w:p w14:paraId="17885B80" w14:textId="327800CD"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يُشكل هذا </w:t>
      </w:r>
      <w:r w:rsidR="0030012B">
        <w:rPr>
          <w:rFonts w:asciiTheme="majorBidi" w:hAnsiTheme="majorBidi" w:cstheme="majorBidi" w:hint="cs"/>
          <w:sz w:val="26"/>
          <w:szCs w:val="26"/>
          <w:rtl/>
        </w:rPr>
        <w:t>الباب</w:t>
      </w:r>
      <w:r w:rsidRPr="00A92155">
        <w:rPr>
          <w:rFonts w:asciiTheme="majorBidi" w:hAnsiTheme="majorBidi" w:cstheme="majorBidi"/>
          <w:sz w:val="26"/>
          <w:szCs w:val="26"/>
          <w:rtl/>
        </w:rPr>
        <w:t xml:space="preserve"> نقطة الارتكاز المنهجية التي تنتقل بالدراسة من الإطار النظري للتحول الرقمي (المتغير المستقل) إلى تحديد وتفصيل المتغير التابع: تعزيز الأمن، وذلك في سياق المؤسسات الحكومية الحيوية، وتحديداً هيئة الزكاة والضريبة والجمارك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في المملكة العربية السعودية. يُنظر إلى الأمن هنا بصفته مخرَجاً متكاملاً </w:t>
      </w:r>
      <w:r w:rsidRPr="00A92155">
        <w:rPr>
          <w:rFonts w:asciiTheme="majorBidi" w:hAnsiTheme="majorBidi" w:cstheme="majorBidi"/>
          <w:sz w:val="26"/>
          <w:szCs w:val="26"/>
          <w:rtl/>
        </w:rPr>
        <w:lastRenderedPageBreak/>
        <w:t>(</w:t>
      </w:r>
      <w:r w:rsidRPr="00A92155">
        <w:rPr>
          <w:rFonts w:asciiTheme="majorBidi" w:hAnsiTheme="majorBidi" w:cstheme="majorBidi"/>
          <w:sz w:val="26"/>
          <w:szCs w:val="26"/>
        </w:rPr>
        <w:t>Integrated Outcome</w:t>
      </w:r>
      <w:r w:rsidRPr="00A92155">
        <w:rPr>
          <w:rFonts w:asciiTheme="majorBidi" w:hAnsiTheme="majorBidi" w:cstheme="majorBidi"/>
          <w:sz w:val="26"/>
          <w:szCs w:val="26"/>
          <w:rtl/>
        </w:rPr>
        <w:t>) للجهود الرقمية، لا مجرد إجراء تقني (</w:t>
      </w:r>
      <w:r w:rsidRPr="00A92155">
        <w:rPr>
          <w:rFonts w:asciiTheme="majorBidi" w:hAnsiTheme="majorBidi" w:cstheme="majorBidi"/>
          <w:sz w:val="26"/>
          <w:szCs w:val="26"/>
        </w:rPr>
        <w:t>Smith, 2020</w:t>
      </w:r>
      <w:r w:rsidRPr="00A92155">
        <w:rPr>
          <w:rFonts w:asciiTheme="majorBidi" w:hAnsiTheme="majorBidi" w:cstheme="majorBidi"/>
          <w:sz w:val="26"/>
          <w:szCs w:val="26"/>
          <w:rtl/>
        </w:rPr>
        <w:t>). يُعد الأمن، بشقيه (السيبراني والمعلوماتي)، المُمكِّن الأساسي لتيسير التجارة وضمان استدامة الإيرادات الحكومية.</w:t>
      </w:r>
    </w:p>
    <w:p w14:paraId="652AEF0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يتطلب تحديد "تعزيز الأمن" كمتغير تابع في بيئة التحول الرقمي تفكيكه إلى مجموعة من الأبعاد الفرعية المترابطة التي تشمل الجوانب التقنية، التشغيلية، القانونية، والاجتماعية. هذه الأبعاد هي التي يمكن قياسها وتحليلها لتحديد مدى نجاح التحول الرقمي في تحقيق هدفه الأمني المزدوج (حماية الحدود وحماية الإيرادات) (</w:t>
      </w:r>
      <w:r w:rsidRPr="00A92155">
        <w:rPr>
          <w:rFonts w:asciiTheme="majorBidi" w:hAnsiTheme="majorBidi" w:cstheme="majorBidi"/>
          <w:sz w:val="26"/>
          <w:szCs w:val="26"/>
        </w:rPr>
        <w:t>World Customs Organization - WCO, 2023</w:t>
      </w:r>
      <w:r w:rsidRPr="00A92155">
        <w:rPr>
          <w:rFonts w:asciiTheme="majorBidi" w:hAnsiTheme="majorBidi" w:cstheme="majorBidi"/>
          <w:sz w:val="26"/>
          <w:szCs w:val="26"/>
          <w:rtl/>
        </w:rPr>
        <w:t>).</w:t>
      </w:r>
    </w:p>
    <w:p w14:paraId="3B20BBDB"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الأبعاد الفرعية للمتغير التابع: تعزيز الأمن</w:t>
      </w:r>
    </w:p>
    <w:p w14:paraId="71D39201" w14:textId="77777777" w:rsidR="00202E2A" w:rsidRPr="00A92155" w:rsidRDefault="00202E2A">
      <w:pPr>
        <w:numPr>
          <w:ilvl w:val="0"/>
          <w:numId w:val="79"/>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الأمن السيبراني وحماية البيانات (</w:t>
      </w:r>
      <w:r w:rsidRPr="00A92155">
        <w:rPr>
          <w:rFonts w:asciiTheme="majorBidi" w:hAnsiTheme="majorBidi" w:cstheme="majorBidi"/>
          <w:b/>
          <w:bCs/>
          <w:sz w:val="26"/>
          <w:szCs w:val="26"/>
        </w:rPr>
        <w:t>Cybersecurity and Data Protection</w:t>
      </w:r>
      <w:r w:rsidRPr="00A92155">
        <w:rPr>
          <w:rFonts w:asciiTheme="majorBidi" w:hAnsiTheme="majorBidi" w:cstheme="majorBidi"/>
          <w:b/>
          <w:bCs/>
          <w:sz w:val="26"/>
          <w:szCs w:val="26"/>
          <w:rtl/>
        </w:rPr>
        <w:t>).</w:t>
      </w:r>
    </w:p>
    <w:p w14:paraId="5C951B36" w14:textId="77777777" w:rsidR="00202E2A" w:rsidRPr="00A92155" w:rsidRDefault="00202E2A">
      <w:pPr>
        <w:numPr>
          <w:ilvl w:val="0"/>
          <w:numId w:val="79"/>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تحسين كفاءة الرقابة الجمركية والحد من التهريب (</w:t>
      </w:r>
      <w:r w:rsidRPr="00A92155">
        <w:rPr>
          <w:rFonts w:asciiTheme="majorBidi" w:hAnsiTheme="majorBidi" w:cstheme="majorBidi"/>
          <w:b/>
          <w:bCs/>
          <w:sz w:val="26"/>
          <w:szCs w:val="26"/>
        </w:rPr>
        <w:t>Improving Customs Control Efficiency and Reducing Smuggling</w:t>
      </w:r>
      <w:r w:rsidRPr="00A92155">
        <w:rPr>
          <w:rFonts w:asciiTheme="majorBidi" w:hAnsiTheme="majorBidi" w:cstheme="majorBidi"/>
          <w:b/>
          <w:bCs/>
          <w:sz w:val="26"/>
          <w:szCs w:val="26"/>
          <w:rtl/>
        </w:rPr>
        <w:t>).</w:t>
      </w:r>
    </w:p>
    <w:p w14:paraId="5F41C15B" w14:textId="77777777" w:rsidR="00202E2A" w:rsidRPr="00A92155" w:rsidRDefault="00202E2A">
      <w:pPr>
        <w:numPr>
          <w:ilvl w:val="0"/>
          <w:numId w:val="79"/>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تعزيز التكامل والشراكات الاستراتيجية (</w:t>
      </w:r>
      <w:r w:rsidRPr="00A92155">
        <w:rPr>
          <w:rFonts w:asciiTheme="majorBidi" w:hAnsiTheme="majorBidi" w:cstheme="majorBidi"/>
          <w:b/>
          <w:bCs/>
          <w:sz w:val="26"/>
          <w:szCs w:val="26"/>
        </w:rPr>
        <w:t>Enhancing Integration and Strategic Partnerships</w:t>
      </w:r>
      <w:r w:rsidRPr="00A92155">
        <w:rPr>
          <w:rFonts w:asciiTheme="majorBidi" w:hAnsiTheme="majorBidi" w:cstheme="majorBidi"/>
          <w:b/>
          <w:bCs/>
          <w:sz w:val="26"/>
          <w:szCs w:val="26"/>
          <w:rtl/>
        </w:rPr>
        <w:t>).</w:t>
      </w:r>
    </w:p>
    <w:p w14:paraId="78A3989F" w14:textId="77777777" w:rsidR="00202E2A" w:rsidRPr="00A92155" w:rsidRDefault="00202E2A">
      <w:pPr>
        <w:numPr>
          <w:ilvl w:val="0"/>
          <w:numId w:val="79"/>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البُعد القانوني والسياسي (</w:t>
      </w:r>
      <w:r w:rsidRPr="00A92155">
        <w:rPr>
          <w:rFonts w:asciiTheme="majorBidi" w:hAnsiTheme="majorBidi" w:cstheme="majorBidi"/>
          <w:b/>
          <w:bCs/>
          <w:sz w:val="26"/>
          <w:szCs w:val="26"/>
        </w:rPr>
        <w:t>The Legal and Political Dimension</w:t>
      </w:r>
      <w:r w:rsidRPr="00A92155">
        <w:rPr>
          <w:rFonts w:asciiTheme="majorBidi" w:hAnsiTheme="majorBidi" w:cstheme="majorBidi"/>
          <w:b/>
          <w:bCs/>
          <w:sz w:val="26"/>
          <w:szCs w:val="26"/>
          <w:rtl/>
        </w:rPr>
        <w:t>).</w:t>
      </w:r>
    </w:p>
    <w:p w14:paraId="3723006D" w14:textId="77777777" w:rsidR="00202E2A" w:rsidRPr="00A92155" w:rsidRDefault="00202E2A">
      <w:pPr>
        <w:numPr>
          <w:ilvl w:val="0"/>
          <w:numId w:val="79"/>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البُعد الاجتماعي والثقافي (</w:t>
      </w:r>
      <w:r w:rsidRPr="00A92155">
        <w:rPr>
          <w:rFonts w:asciiTheme="majorBidi" w:hAnsiTheme="majorBidi" w:cstheme="majorBidi"/>
          <w:b/>
          <w:bCs/>
          <w:sz w:val="26"/>
          <w:szCs w:val="26"/>
        </w:rPr>
        <w:t>The Social and Cultural Dimension</w:t>
      </w:r>
      <w:r w:rsidRPr="00A92155">
        <w:rPr>
          <w:rFonts w:asciiTheme="majorBidi" w:hAnsiTheme="majorBidi" w:cstheme="majorBidi"/>
          <w:b/>
          <w:bCs/>
          <w:sz w:val="26"/>
          <w:szCs w:val="26"/>
          <w:rtl/>
        </w:rPr>
        <w:t>).</w:t>
      </w:r>
    </w:p>
    <w:p w14:paraId="54D42864"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2.3.1 البُعد الأول: الأمن السيبراني وحماية البيانات</w:t>
      </w:r>
    </w:p>
    <w:p w14:paraId="6A1E798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يُعد هذا البُعد هو الترجمة التقنية والفنية المباشرة لـ "تعزيز الأمن"، وهو يرتكز على حماية الأصول الرقمية للمؤسسة في مواجهة التهديدات المتزايدة (</w:t>
      </w:r>
      <w:r w:rsidRPr="00A92155">
        <w:rPr>
          <w:rFonts w:asciiTheme="majorBidi" w:hAnsiTheme="majorBidi" w:cstheme="majorBidi"/>
          <w:sz w:val="26"/>
          <w:szCs w:val="26"/>
        </w:rPr>
        <w:t>Vial, 2019</w:t>
      </w:r>
      <w:r w:rsidRPr="00A92155">
        <w:rPr>
          <w:rFonts w:asciiTheme="majorBidi" w:hAnsiTheme="majorBidi" w:cstheme="majorBidi"/>
          <w:sz w:val="26"/>
          <w:szCs w:val="26"/>
          <w:rtl/>
        </w:rPr>
        <w:t>).</w:t>
      </w:r>
    </w:p>
    <w:p w14:paraId="2E289A17"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2.3.1.1 الإطار النظري للأمن السيبراني في المؤسسات العامة</w:t>
      </w:r>
    </w:p>
    <w:p w14:paraId="66AC35BA" w14:textId="77777777" w:rsidR="00202E2A" w:rsidRPr="00A92155" w:rsidRDefault="00202E2A">
      <w:pPr>
        <w:numPr>
          <w:ilvl w:val="0"/>
          <w:numId w:val="80"/>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الأمن كدفاع عميق (</w:t>
      </w:r>
      <w:r w:rsidRPr="00A92155">
        <w:rPr>
          <w:rFonts w:asciiTheme="majorBidi" w:hAnsiTheme="majorBidi" w:cstheme="majorBidi"/>
          <w:b/>
          <w:bCs/>
          <w:sz w:val="26"/>
          <w:szCs w:val="26"/>
        </w:rPr>
        <w:t>Defense-in-Depth</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نظرياً، لم يعد الدفاع السيبراني يعتمد على نقطة واحدة، بل على بنية دفاعية متعددة الطبقات (</w:t>
      </w:r>
      <w:r w:rsidRPr="00A92155">
        <w:rPr>
          <w:rFonts w:asciiTheme="majorBidi" w:hAnsiTheme="majorBidi" w:cstheme="majorBidi"/>
          <w:sz w:val="26"/>
          <w:szCs w:val="26"/>
        </w:rPr>
        <w:t>Multi-Layered Defense Architecture</w:t>
      </w:r>
      <w:r w:rsidRPr="00A92155">
        <w:rPr>
          <w:rFonts w:asciiTheme="majorBidi" w:hAnsiTheme="majorBidi" w:cstheme="majorBidi"/>
          <w:sz w:val="26"/>
          <w:szCs w:val="26"/>
          <w:rtl/>
        </w:rPr>
        <w:t>) تبدأ من الوعي البشري وتصل إلى التشفير المتقدم وأنظمة الذكاء الاصطناعي للكشف (</w:t>
      </w:r>
      <w:r w:rsidRPr="00A92155">
        <w:rPr>
          <w:rFonts w:asciiTheme="majorBidi" w:hAnsiTheme="majorBidi" w:cstheme="majorBidi"/>
          <w:sz w:val="26"/>
          <w:szCs w:val="26"/>
        </w:rPr>
        <w:t>Muehlburger et al., 2019</w:t>
      </w:r>
      <w:r w:rsidRPr="00A92155">
        <w:rPr>
          <w:rFonts w:asciiTheme="majorBidi" w:hAnsiTheme="majorBidi" w:cstheme="majorBidi"/>
          <w:sz w:val="26"/>
          <w:szCs w:val="26"/>
          <w:rtl/>
        </w:rPr>
        <w:t>).</w:t>
      </w:r>
    </w:p>
    <w:p w14:paraId="77960472" w14:textId="77777777" w:rsidR="00202E2A" w:rsidRPr="00A92155" w:rsidRDefault="00202E2A">
      <w:pPr>
        <w:numPr>
          <w:ilvl w:val="0"/>
          <w:numId w:val="80"/>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الثقة المعدومة (</w:t>
      </w:r>
      <w:r w:rsidRPr="00A92155">
        <w:rPr>
          <w:rFonts w:asciiTheme="majorBidi" w:hAnsiTheme="majorBidi" w:cstheme="majorBidi"/>
          <w:b/>
          <w:bCs/>
          <w:sz w:val="26"/>
          <w:szCs w:val="26"/>
        </w:rPr>
        <w:t>Zero Trust Architecture - ZTA</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تبنت الأطر الحديثة للأمن السيبراني، مبدأ الثقة المعدومة (</w:t>
      </w:r>
      <w:r w:rsidRPr="00A92155">
        <w:rPr>
          <w:rFonts w:asciiTheme="majorBidi" w:hAnsiTheme="majorBidi" w:cstheme="majorBidi"/>
          <w:sz w:val="26"/>
          <w:szCs w:val="26"/>
        </w:rPr>
        <w:t>Never Trust, Always Verify</w:t>
      </w:r>
      <w:r w:rsidRPr="00A92155">
        <w:rPr>
          <w:rFonts w:asciiTheme="majorBidi" w:hAnsiTheme="majorBidi" w:cstheme="majorBidi"/>
          <w:sz w:val="26"/>
          <w:szCs w:val="26"/>
          <w:rtl/>
        </w:rPr>
        <w:t>)، مما يتطلب التحقق المستمر من هوية وسلامة كل مستخدم وجهاز يحاول الوصول إلى شبكات الهيئة، حتى لو كان داخلياً (</w:t>
      </w:r>
      <w:r w:rsidRPr="00A92155">
        <w:rPr>
          <w:rFonts w:asciiTheme="majorBidi" w:hAnsiTheme="majorBidi" w:cstheme="majorBidi"/>
          <w:sz w:val="26"/>
          <w:szCs w:val="26"/>
        </w:rPr>
        <w:t>Smith, 2020</w:t>
      </w:r>
      <w:r w:rsidRPr="00A92155">
        <w:rPr>
          <w:rFonts w:asciiTheme="majorBidi" w:hAnsiTheme="majorBidi" w:cstheme="majorBidi"/>
          <w:sz w:val="26"/>
          <w:szCs w:val="26"/>
          <w:rtl/>
        </w:rPr>
        <w:t>).</w:t>
      </w:r>
    </w:p>
    <w:p w14:paraId="51358E7C"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2.3.1.2 حماية البيانات الضخمة والخصوصية</w:t>
      </w:r>
    </w:p>
    <w:p w14:paraId="0EA81BAB" w14:textId="77777777" w:rsidR="00202E2A" w:rsidRPr="00A92155" w:rsidRDefault="00202E2A">
      <w:pPr>
        <w:numPr>
          <w:ilvl w:val="0"/>
          <w:numId w:val="81"/>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الأمن المعلوماتي والسيادة على البيانات (</w:t>
      </w:r>
      <w:r w:rsidRPr="00A92155">
        <w:rPr>
          <w:rFonts w:asciiTheme="majorBidi" w:hAnsiTheme="majorBidi" w:cstheme="majorBidi"/>
          <w:b/>
          <w:bCs/>
          <w:sz w:val="26"/>
          <w:szCs w:val="26"/>
        </w:rPr>
        <w:t>Data Sovereignty</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يُعد الأمن المعلوماتي هو المسؤول عن ضمان سرية (</w:t>
      </w:r>
      <w:r w:rsidRPr="00A92155">
        <w:rPr>
          <w:rFonts w:asciiTheme="majorBidi" w:hAnsiTheme="majorBidi" w:cstheme="majorBidi"/>
          <w:sz w:val="26"/>
          <w:szCs w:val="26"/>
        </w:rPr>
        <w:t>Confidentiality</w:t>
      </w:r>
      <w:r w:rsidRPr="00A92155">
        <w:rPr>
          <w:rFonts w:asciiTheme="majorBidi" w:hAnsiTheme="majorBidi" w:cstheme="majorBidi"/>
          <w:sz w:val="26"/>
          <w:szCs w:val="26"/>
          <w:rtl/>
        </w:rPr>
        <w:t>)، وسلامة (</w:t>
      </w:r>
      <w:r w:rsidRPr="00A92155">
        <w:rPr>
          <w:rFonts w:asciiTheme="majorBidi" w:hAnsiTheme="majorBidi" w:cstheme="majorBidi"/>
          <w:sz w:val="26"/>
          <w:szCs w:val="26"/>
        </w:rPr>
        <w:t>Integrity</w:t>
      </w:r>
      <w:r w:rsidRPr="00A92155">
        <w:rPr>
          <w:rFonts w:asciiTheme="majorBidi" w:hAnsiTheme="majorBidi" w:cstheme="majorBidi"/>
          <w:sz w:val="26"/>
          <w:szCs w:val="26"/>
          <w:rtl/>
        </w:rPr>
        <w:t>)، وتوافر (</w:t>
      </w:r>
      <w:r w:rsidRPr="00A92155">
        <w:rPr>
          <w:rFonts w:asciiTheme="majorBidi" w:hAnsiTheme="majorBidi" w:cstheme="majorBidi"/>
          <w:sz w:val="26"/>
          <w:szCs w:val="26"/>
        </w:rPr>
        <w:t>Availability</w:t>
      </w:r>
      <w:r w:rsidRPr="00A92155">
        <w:rPr>
          <w:rFonts w:asciiTheme="majorBidi" w:hAnsiTheme="majorBidi" w:cstheme="majorBidi"/>
          <w:sz w:val="26"/>
          <w:szCs w:val="26"/>
          <w:rtl/>
        </w:rPr>
        <w:t xml:space="preserve">) البيانات الضخمة التي تتعامل معها </w:t>
      </w:r>
      <w:r w:rsidRPr="00A92155">
        <w:rPr>
          <w:rFonts w:asciiTheme="majorBidi" w:hAnsiTheme="majorBidi" w:cstheme="majorBidi"/>
          <w:sz w:val="26"/>
          <w:szCs w:val="26"/>
        </w:rPr>
        <w:t>ZATCA (Almarzooqi et al., 2021)</w:t>
      </w:r>
      <w:r w:rsidRPr="00A92155">
        <w:rPr>
          <w:rFonts w:asciiTheme="majorBidi" w:hAnsiTheme="majorBidi" w:cstheme="majorBidi"/>
          <w:sz w:val="26"/>
          <w:szCs w:val="26"/>
          <w:rtl/>
        </w:rPr>
        <w:t>.</w:t>
      </w:r>
    </w:p>
    <w:p w14:paraId="623A22D2" w14:textId="77777777" w:rsidR="00202E2A" w:rsidRPr="00A92155" w:rsidRDefault="00202E2A">
      <w:pPr>
        <w:numPr>
          <w:ilvl w:val="0"/>
          <w:numId w:val="81"/>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تشريعات الخصوصية:</w:t>
      </w:r>
      <w:r w:rsidRPr="00A92155">
        <w:rPr>
          <w:rFonts w:asciiTheme="majorBidi" w:hAnsiTheme="majorBidi" w:cstheme="majorBidi"/>
          <w:sz w:val="26"/>
          <w:szCs w:val="26"/>
          <w:rtl/>
        </w:rPr>
        <w:t xml:space="preserve"> في المملكة، يُعد قانون حماية البيانات الشخصية (</w:t>
      </w:r>
      <w:r w:rsidRPr="00A92155">
        <w:rPr>
          <w:rFonts w:asciiTheme="majorBidi" w:hAnsiTheme="majorBidi" w:cstheme="majorBidi"/>
          <w:sz w:val="26"/>
          <w:szCs w:val="26"/>
        </w:rPr>
        <w:t>PDPL</w:t>
      </w:r>
      <w:r w:rsidRPr="00A92155">
        <w:rPr>
          <w:rFonts w:asciiTheme="majorBidi" w:hAnsiTheme="majorBidi" w:cstheme="majorBidi"/>
          <w:sz w:val="26"/>
          <w:szCs w:val="26"/>
          <w:rtl/>
        </w:rPr>
        <w:t>) هو الإطار القانوني النافذ الذي يُلزم الهيئة بتبني ضوابط مشددة لحماية البيانات، ويُعزز هذا من الثقة في المنصات الضريبية والجمركية (</w:t>
      </w:r>
      <w:r w:rsidRPr="00A92155">
        <w:rPr>
          <w:rFonts w:asciiTheme="majorBidi" w:hAnsiTheme="majorBidi" w:cstheme="majorBidi"/>
          <w:sz w:val="26"/>
          <w:szCs w:val="26"/>
        </w:rPr>
        <w:t>Almarzooqi et al., 2021</w:t>
      </w:r>
      <w:r w:rsidRPr="00A92155">
        <w:rPr>
          <w:rFonts w:asciiTheme="majorBidi" w:hAnsiTheme="majorBidi" w:cstheme="majorBidi"/>
          <w:sz w:val="26"/>
          <w:szCs w:val="26"/>
          <w:rtl/>
        </w:rPr>
        <w:t>).</w:t>
      </w:r>
    </w:p>
    <w:p w14:paraId="6B56B8DD"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2.3.2 البُعد الثاني: تحسين كفاءة الرقابة الجمركية والحد من التهريب</w:t>
      </w:r>
    </w:p>
    <w:p w14:paraId="78FEE9A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lastRenderedPageBreak/>
        <w:t>يركز هذا البُعد على الكفاءة التشغيلية والعملياتية للأمن، حيث يُترجم التحول الرقمي إلى قدرة فعلية على تخفيف المخاطر (</w:t>
      </w:r>
      <w:r w:rsidRPr="00A92155">
        <w:rPr>
          <w:rFonts w:asciiTheme="majorBidi" w:hAnsiTheme="majorBidi" w:cstheme="majorBidi"/>
          <w:sz w:val="26"/>
          <w:szCs w:val="26"/>
        </w:rPr>
        <w:t>Risk Mitigation</w:t>
      </w:r>
      <w:r w:rsidRPr="00A92155">
        <w:rPr>
          <w:rFonts w:asciiTheme="majorBidi" w:hAnsiTheme="majorBidi" w:cstheme="majorBidi"/>
          <w:sz w:val="26"/>
          <w:szCs w:val="26"/>
          <w:rtl/>
        </w:rPr>
        <w:t>) وتحقيق التوازن بين الأمن وتيسير التجارة (</w:t>
      </w:r>
      <w:r w:rsidRPr="00A92155">
        <w:rPr>
          <w:rFonts w:asciiTheme="majorBidi" w:hAnsiTheme="majorBidi" w:cstheme="majorBidi"/>
          <w:sz w:val="26"/>
          <w:szCs w:val="26"/>
        </w:rPr>
        <w:t>World Bank, 2020</w:t>
      </w:r>
      <w:r w:rsidRPr="00A92155">
        <w:rPr>
          <w:rFonts w:asciiTheme="majorBidi" w:hAnsiTheme="majorBidi" w:cstheme="majorBidi"/>
          <w:sz w:val="26"/>
          <w:szCs w:val="26"/>
          <w:rtl/>
        </w:rPr>
        <w:t>).</w:t>
      </w:r>
    </w:p>
    <w:p w14:paraId="66576132"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2.3.2.1 الأمن الرقمي كأداة لتقييم وإدارة المخاطر (</w:t>
      </w:r>
      <w:r w:rsidRPr="00A92155">
        <w:rPr>
          <w:rFonts w:asciiTheme="majorBidi" w:hAnsiTheme="majorBidi" w:cstheme="majorBidi"/>
          <w:b/>
          <w:bCs/>
          <w:sz w:val="26"/>
          <w:szCs w:val="26"/>
        </w:rPr>
        <w:t>Risk Management</w:t>
      </w:r>
      <w:r w:rsidRPr="00A92155">
        <w:rPr>
          <w:rFonts w:asciiTheme="majorBidi" w:hAnsiTheme="majorBidi" w:cstheme="majorBidi"/>
          <w:b/>
          <w:bCs/>
          <w:sz w:val="26"/>
          <w:szCs w:val="26"/>
          <w:rtl/>
        </w:rPr>
        <w:t>)</w:t>
      </w:r>
    </w:p>
    <w:p w14:paraId="4138A2CA" w14:textId="77777777" w:rsidR="00202E2A" w:rsidRPr="00A92155" w:rsidRDefault="00202E2A">
      <w:pPr>
        <w:numPr>
          <w:ilvl w:val="0"/>
          <w:numId w:val="82"/>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الانتقال إلى الانتقائية الذكية:</w:t>
      </w:r>
      <w:r w:rsidRPr="00A92155">
        <w:rPr>
          <w:rFonts w:asciiTheme="majorBidi" w:hAnsiTheme="majorBidi" w:cstheme="majorBidi"/>
          <w:sz w:val="26"/>
          <w:szCs w:val="26"/>
          <w:rtl/>
        </w:rPr>
        <w:t xml:space="preserve"> التحول الرقمي يُمكّن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من الانتقال من التفتيش الشامل إلى نموذج إدارة المخاطر الذكية (</w:t>
      </w:r>
      <w:r w:rsidRPr="00A92155">
        <w:rPr>
          <w:rFonts w:asciiTheme="majorBidi" w:hAnsiTheme="majorBidi" w:cstheme="majorBidi"/>
          <w:sz w:val="26"/>
          <w:szCs w:val="26"/>
        </w:rPr>
        <w:t>Smart Risk Management</w:t>
      </w:r>
      <w:r w:rsidRPr="00A92155">
        <w:rPr>
          <w:rFonts w:asciiTheme="majorBidi" w:hAnsiTheme="majorBidi" w:cstheme="majorBidi"/>
          <w:sz w:val="26"/>
          <w:szCs w:val="26"/>
          <w:rtl/>
        </w:rPr>
        <w:t>)، وهو أساس تعزيز الأمن الرقمي والتشغيلي (</w:t>
      </w:r>
      <w:r w:rsidRPr="00A92155">
        <w:rPr>
          <w:rFonts w:asciiTheme="majorBidi" w:hAnsiTheme="majorBidi" w:cstheme="majorBidi"/>
          <w:sz w:val="26"/>
          <w:szCs w:val="26"/>
        </w:rPr>
        <w:t>WCO, 2023</w:t>
      </w:r>
      <w:r w:rsidRPr="00A92155">
        <w:rPr>
          <w:rFonts w:asciiTheme="majorBidi" w:hAnsiTheme="majorBidi" w:cstheme="majorBidi"/>
          <w:sz w:val="26"/>
          <w:szCs w:val="26"/>
          <w:rtl/>
        </w:rPr>
        <w:t>).</w:t>
      </w:r>
    </w:p>
    <w:p w14:paraId="34CA013D" w14:textId="77777777" w:rsidR="00202E2A" w:rsidRPr="00A92155" w:rsidRDefault="00202E2A">
      <w:pPr>
        <w:numPr>
          <w:ilvl w:val="0"/>
          <w:numId w:val="82"/>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الذكاء الاصطناعي في الكشف التنبؤي:</w:t>
      </w:r>
      <w:r w:rsidRPr="00A92155">
        <w:rPr>
          <w:rFonts w:asciiTheme="majorBidi" w:hAnsiTheme="majorBidi" w:cstheme="majorBidi"/>
          <w:sz w:val="26"/>
          <w:szCs w:val="26"/>
          <w:rtl/>
        </w:rPr>
        <w:t xml:space="preserve"> تُستخدم خوارزميات التعلم الآلي (</w:t>
      </w:r>
      <w:r w:rsidRPr="00A92155">
        <w:rPr>
          <w:rFonts w:asciiTheme="majorBidi" w:hAnsiTheme="majorBidi" w:cstheme="majorBidi"/>
          <w:sz w:val="26"/>
          <w:szCs w:val="26"/>
        </w:rPr>
        <w:t>Machine Learning</w:t>
      </w:r>
      <w:r w:rsidRPr="00A92155">
        <w:rPr>
          <w:rFonts w:asciiTheme="majorBidi" w:hAnsiTheme="majorBidi" w:cstheme="majorBidi"/>
          <w:sz w:val="26"/>
          <w:szCs w:val="26"/>
          <w:rtl/>
        </w:rPr>
        <w:t>) في تحليل بيانات الشحن والسلوكيات التجارية للتنبؤ (</w:t>
      </w:r>
      <w:r w:rsidRPr="00A92155">
        <w:rPr>
          <w:rFonts w:asciiTheme="majorBidi" w:hAnsiTheme="majorBidi" w:cstheme="majorBidi"/>
          <w:sz w:val="26"/>
          <w:szCs w:val="26"/>
        </w:rPr>
        <w:t>Prediction</w:t>
      </w:r>
      <w:r w:rsidRPr="00A92155">
        <w:rPr>
          <w:rFonts w:asciiTheme="majorBidi" w:hAnsiTheme="majorBidi" w:cstheme="majorBidi"/>
          <w:sz w:val="26"/>
          <w:szCs w:val="26"/>
          <w:rtl/>
        </w:rPr>
        <w:t>) باحتمالية التهريب أو المخالفة، وتصنيف الشحنات بشكل فوري. هذا يضمن تركيز الموارد الأمنية على الشحنات عالية المخاطر (</w:t>
      </w:r>
      <w:r w:rsidRPr="00A92155">
        <w:rPr>
          <w:rFonts w:asciiTheme="majorBidi" w:hAnsiTheme="majorBidi" w:cstheme="majorBidi"/>
          <w:sz w:val="26"/>
          <w:szCs w:val="26"/>
        </w:rPr>
        <w:t>PwC, 2023</w:t>
      </w:r>
      <w:r w:rsidRPr="00A92155">
        <w:rPr>
          <w:rFonts w:asciiTheme="majorBidi" w:hAnsiTheme="majorBidi" w:cstheme="majorBidi"/>
          <w:sz w:val="26"/>
          <w:szCs w:val="26"/>
          <w:rtl/>
        </w:rPr>
        <w:t>).</w:t>
      </w:r>
    </w:p>
    <w:p w14:paraId="449E638B"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2.3.2.2 دور إنترنت الأشياء (</w:t>
      </w:r>
      <w:r w:rsidRPr="00A92155">
        <w:rPr>
          <w:rFonts w:asciiTheme="majorBidi" w:hAnsiTheme="majorBidi" w:cstheme="majorBidi"/>
          <w:b/>
          <w:bCs/>
          <w:sz w:val="26"/>
          <w:szCs w:val="26"/>
        </w:rPr>
        <w:t>IoT</w:t>
      </w:r>
      <w:r w:rsidRPr="00A92155">
        <w:rPr>
          <w:rFonts w:asciiTheme="majorBidi" w:hAnsiTheme="majorBidi" w:cstheme="majorBidi"/>
          <w:b/>
          <w:bCs/>
          <w:sz w:val="26"/>
          <w:szCs w:val="26"/>
          <w:rtl/>
        </w:rPr>
        <w:t>) في الرقابة الحدودية</w:t>
      </w:r>
    </w:p>
    <w:p w14:paraId="0B5D91EF" w14:textId="77777777" w:rsidR="00202E2A" w:rsidRPr="00A92155" w:rsidRDefault="00202E2A">
      <w:pPr>
        <w:numPr>
          <w:ilvl w:val="0"/>
          <w:numId w:val="83"/>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الأتمتة والأمان في سلاسل الإمداد:</w:t>
      </w:r>
      <w:r w:rsidRPr="00A92155">
        <w:rPr>
          <w:rFonts w:asciiTheme="majorBidi" w:hAnsiTheme="majorBidi" w:cstheme="majorBidi"/>
          <w:sz w:val="26"/>
          <w:szCs w:val="26"/>
          <w:rtl/>
        </w:rPr>
        <w:t xml:space="preserve"> تُستخدم تقنية إنترنت الأشياء (</w:t>
      </w:r>
      <w:r w:rsidRPr="00A92155">
        <w:rPr>
          <w:rFonts w:asciiTheme="majorBidi" w:hAnsiTheme="majorBidi" w:cstheme="majorBidi"/>
          <w:sz w:val="26"/>
          <w:szCs w:val="26"/>
        </w:rPr>
        <w:t>IoT</w:t>
      </w:r>
      <w:r w:rsidRPr="00A92155">
        <w:rPr>
          <w:rFonts w:asciiTheme="majorBidi" w:hAnsiTheme="majorBidi" w:cstheme="majorBidi"/>
          <w:sz w:val="26"/>
          <w:szCs w:val="26"/>
          <w:rtl/>
        </w:rPr>
        <w:t>) لتعزيز الأمن عبر التتبع والتحقق (</w:t>
      </w:r>
      <w:r w:rsidRPr="00A92155">
        <w:rPr>
          <w:rFonts w:asciiTheme="majorBidi" w:hAnsiTheme="majorBidi" w:cstheme="majorBidi"/>
          <w:sz w:val="26"/>
          <w:szCs w:val="26"/>
        </w:rPr>
        <w:t>Tracking and Verification</w:t>
      </w:r>
      <w:r w:rsidRPr="00A92155">
        <w:rPr>
          <w:rFonts w:asciiTheme="majorBidi" w:hAnsiTheme="majorBidi" w:cstheme="majorBidi"/>
          <w:sz w:val="26"/>
          <w:szCs w:val="26"/>
          <w:rtl/>
        </w:rPr>
        <w:t xml:space="preserve">) باستخدام مستشعرات </w:t>
      </w:r>
      <w:r w:rsidRPr="00A92155">
        <w:rPr>
          <w:rFonts w:asciiTheme="majorBidi" w:hAnsiTheme="majorBidi" w:cstheme="majorBidi"/>
          <w:sz w:val="26"/>
          <w:szCs w:val="26"/>
        </w:rPr>
        <w:t>IoT</w:t>
      </w:r>
      <w:r w:rsidRPr="00A92155">
        <w:rPr>
          <w:rFonts w:asciiTheme="majorBidi" w:hAnsiTheme="majorBidi" w:cstheme="majorBidi"/>
          <w:sz w:val="26"/>
          <w:szCs w:val="26"/>
          <w:rtl/>
        </w:rPr>
        <w:t xml:space="preserve"> والأختام الإلكترونية (</w:t>
      </w:r>
      <w:r w:rsidRPr="00A92155">
        <w:rPr>
          <w:rFonts w:asciiTheme="majorBidi" w:hAnsiTheme="majorBidi" w:cstheme="majorBidi"/>
          <w:sz w:val="26"/>
          <w:szCs w:val="26"/>
        </w:rPr>
        <w:t>E-Seals</w:t>
      </w:r>
      <w:r w:rsidRPr="00A92155">
        <w:rPr>
          <w:rFonts w:asciiTheme="majorBidi" w:hAnsiTheme="majorBidi" w:cstheme="majorBidi"/>
          <w:sz w:val="26"/>
          <w:szCs w:val="26"/>
          <w:rtl/>
        </w:rPr>
        <w:t>) لمراقبة مسار الشحنات في الوقت الفعلي وضمان سلسلة حضانة (</w:t>
      </w:r>
      <w:r w:rsidRPr="00A92155">
        <w:rPr>
          <w:rFonts w:asciiTheme="majorBidi" w:hAnsiTheme="majorBidi" w:cstheme="majorBidi"/>
          <w:sz w:val="26"/>
          <w:szCs w:val="26"/>
        </w:rPr>
        <w:t>Chain of Custody</w:t>
      </w:r>
      <w:r w:rsidRPr="00A92155">
        <w:rPr>
          <w:rFonts w:asciiTheme="majorBidi" w:hAnsiTheme="majorBidi" w:cstheme="majorBidi"/>
          <w:sz w:val="26"/>
          <w:szCs w:val="26"/>
          <w:rtl/>
        </w:rPr>
        <w:t>) آمنة (</w:t>
      </w:r>
      <w:r w:rsidRPr="00A92155">
        <w:rPr>
          <w:rFonts w:asciiTheme="majorBidi" w:hAnsiTheme="majorBidi" w:cstheme="majorBidi"/>
          <w:sz w:val="26"/>
          <w:szCs w:val="26"/>
        </w:rPr>
        <w:t>Smith, J., 2018</w:t>
      </w:r>
      <w:r w:rsidRPr="00A92155">
        <w:rPr>
          <w:rFonts w:asciiTheme="majorBidi" w:hAnsiTheme="majorBidi" w:cstheme="majorBidi"/>
          <w:sz w:val="26"/>
          <w:szCs w:val="26"/>
          <w:rtl/>
        </w:rPr>
        <w:t>).</w:t>
      </w:r>
    </w:p>
    <w:p w14:paraId="1FB42769"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2.3.2.3 دراسات سابقة حول كفاءة الرقابة الرقمية</w:t>
      </w:r>
    </w:p>
    <w:p w14:paraId="5D58B9B7" w14:textId="77777777" w:rsidR="00202E2A" w:rsidRPr="00A92155" w:rsidRDefault="00202E2A">
      <w:pPr>
        <w:numPr>
          <w:ilvl w:val="0"/>
          <w:numId w:val="84"/>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 xml:space="preserve">دراسة </w:t>
      </w:r>
      <w:r w:rsidRPr="00A92155">
        <w:rPr>
          <w:rFonts w:asciiTheme="majorBidi" w:hAnsiTheme="majorBidi" w:cstheme="majorBidi"/>
          <w:b/>
          <w:bCs/>
          <w:sz w:val="26"/>
          <w:szCs w:val="26"/>
        </w:rPr>
        <w:t>WCO</w:t>
      </w:r>
      <w:r w:rsidRPr="00A92155">
        <w:rPr>
          <w:rFonts w:asciiTheme="majorBidi" w:hAnsiTheme="majorBidi" w:cstheme="majorBidi"/>
          <w:b/>
          <w:bCs/>
          <w:sz w:val="26"/>
          <w:szCs w:val="26"/>
          <w:rtl/>
        </w:rPr>
        <w:t xml:space="preserve"> (2023):</w:t>
      </w:r>
      <w:r w:rsidRPr="00A92155">
        <w:rPr>
          <w:rFonts w:asciiTheme="majorBidi" w:hAnsiTheme="majorBidi" w:cstheme="majorBidi"/>
          <w:sz w:val="26"/>
          <w:szCs w:val="26"/>
          <w:rtl/>
        </w:rPr>
        <w:t xml:space="preserve"> أكدت أن تبني نماذج "الجمارك 4.0" (</w:t>
      </w:r>
      <w:r w:rsidRPr="00A92155">
        <w:rPr>
          <w:rFonts w:asciiTheme="majorBidi" w:hAnsiTheme="majorBidi" w:cstheme="majorBidi"/>
          <w:sz w:val="26"/>
          <w:szCs w:val="26"/>
        </w:rPr>
        <w:t>Customs 4.0</w:t>
      </w:r>
      <w:r w:rsidRPr="00A92155">
        <w:rPr>
          <w:rFonts w:asciiTheme="majorBidi" w:hAnsiTheme="majorBidi" w:cstheme="majorBidi"/>
          <w:sz w:val="26"/>
          <w:szCs w:val="26"/>
          <w:rtl/>
        </w:rPr>
        <w:t>)، القائمة على الذكاء الاصطناعي، أدى إلى زيادة كفاءة الكشف عن البضائع الممنوعة بنسبة تصل إلى 30% وتقليل متوسط زمن التخليص الجمركي بنسبة 40%، مما يثبت أن الأمن والكفاءة ليسا متناقضين.</w:t>
      </w:r>
    </w:p>
    <w:p w14:paraId="2FD981C4"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2.3.3 البُعد الثالث: تعزيز التكامل والشراكات الاستراتيجية</w:t>
      </w:r>
    </w:p>
    <w:p w14:paraId="4653FF5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يتطلب تعزيز الأمن تجاوز الحدود المؤسسية والعمل ضمن منظومة تكاملية (</w:t>
      </w:r>
      <w:r w:rsidRPr="00A92155">
        <w:rPr>
          <w:rFonts w:asciiTheme="majorBidi" w:hAnsiTheme="majorBidi" w:cstheme="majorBidi"/>
          <w:sz w:val="26"/>
          <w:szCs w:val="26"/>
        </w:rPr>
        <w:t>Ecosystem</w:t>
      </w:r>
      <w:r w:rsidRPr="00A92155">
        <w:rPr>
          <w:rFonts w:asciiTheme="majorBidi" w:hAnsiTheme="majorBidi" w:cstheme="majorBidi"/>
          <w:sz w:val="26"/>
          <w:szCs w:val="26"/>
          <w:rtl/>
        </w:rPr>
        <w:t>) تشمل الشركاء المحليين والدوليين (</w:t>
      </w:r>
      <w:r w:rsidRPr="00A92155">
        <w:rPr>
          <w:rFonts w:asciiTheme="majorBidi" w:hAnsiTheme="majorBidi" w:cstheme="majorBidi"/>
          <w:sz w:val="26"/>
          <w:szCs w:val="26"/>
        </w:rPr>
        <w:t>Almarzooqi et al., 2021</w:t>
      </w:r>
      <w:r w:rsidRPr="00A92155">
        <w:rPr>
          <w:rFonts w:asciiTheme="majorBidi" w:hAnsiTheme="majorBidi" w:cstheme="majorBidi"/>
          <w:sz w:val="26"/>
          <w:szCs w:val="26"/>
          <w:rtl/>
        </w:rPr>
        <w:t>).</w:t>
      </w:r>
    </w:p>
    <w:p w14:paraId="1F777CDB"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2.3.3.1 التكامل الداخلي (</w:t>
      </w:r>
      <w:r w:rsidRPr="00A92155">
        <w:rPr>
          <w:rFonts w:asciiTheme="majorBidi" w:hAnsiTheme="majorBidi" w:cs="PT Bold Heading"/>
          <w:b/>
          <w:bCs/>
          <w:color w:val="000000" w:themeColor="text1"/>
          <w:sz w:val="26"/>
          <w:szCs w:val="26"/>
        </w:rPr>
        <w:t>Whole-of-Government Approach</w:t>
      </w:r>
      <w:r w:rsidRPr="00A92155">
        <w:rPr>
          <w:rFonts w:asciiTheme="majorBidi" w:hAnsiTheme="majorBidi" w:cs="PT Bold Heading"/>
          <w:b/>
          <w:bCs/>
          <w:color w:val="000000" w:themeColor="text1"/>
          <w:sz w:val="26"/>
          <w:szCs w:val="26"/>
          <w:rtl/>
        </w:rPr>
        <w:t>)</w:t>
      </w:r>
    </w:p>
    <w:p w14:paraId="45FDA5A4" w14:textId="77777777" w:rsidR="00202E2A" w:rsidRPr="00A92155" w:rsidRDefault="00202E2A">
      <w:pPr>
        <w:numPr>
          <w:ilvl w:val="0"/>
          <w:numId w:val="85"/>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الأمن السيبراني المشترك:</w:t>
      </w:r>
      <w:r w:rsidRPr="00A92155">
        <w:rPr>
          <w:rFonts w:asciiTheme="majorBidi" w:hAnsiTheme="majorBidi" w:cstheme="majorBidi"/>
          <w:sz w:val="26"/>
          <w:szCs w:val="26"/>
          <w:rtl/>
        </w:rPr>
        <w:t xml:space="preserve"> يتطلب التحول الرقمي التكامل التام في تبادل المعلومات الأمنية (</w:t>
      </w:r>
      <w:r w:rsidRPr="00A92155">
        <w:rPr>
          <w:rFonts w:asciiTheme="majorBidi" w:hAnsiTheme="majorBidi" w:cstheme="majorBidi"/>
          <w:sz w:val="26"/>
          <w:szCs w:val="26"/>
        </w:rPr>
        <w:t>Threat Intelligence</w:t>
      </w:r>
      <w:r w:rsidRPr="00A92155">
        <w:rPr>
          <w:rFonts w:asciiTheme="majorBidi" w:hAnsiTheme="majorBidi" w:cstheme="majorBidi"/>
          <w:sz w:val="26"/>
          <w:szCs w:val="26"/>
          <w:rtl/>
        </w:rPr>
        <w:t>) مع جهات حيوية مثل الهيئة الوطنية للأمن السيبراني (</w:t>
      </w:r>
      <w:r w:rsidRPr="00A92155">
        <w:rPr>
          <w:rFonts w:asciiTheme="majorBidi" w:hAnsiTheme="majorBidi" w:cstheme="majorBidi"/>
          <w:sz w:val="26"/>
          <w:szCs w:val="26"/>
        </w:rPr>
        <w:t>NCA</w:t>
      </w:r>
      <w:r w:rsidRPr="00A92155">
        <w:rPr>
          <w:rFonts w:asciiTheme="majorBidi" w:hAnsiTheme="majorBidi" w:cstheme="majorBidi"/>
          <w:sz w:val="26"/>
          <w:szCs w:val="26"/>
          <w:rtl/>
        </w:rPr>
        <w:t>) ووزارة الداخلية، وفقاً لمتطلبات ضوابط الأمن السيبراني الوطنية (</w:t>
      </w:r>
      <w:r w:rsidRPr="00A92155">
        <w:rPr>
          <w:rFonts w:asciiTheme="majorBidi" w:hAnsiTheme="majorBidi" w:cstheme="majorBidi"/>
          <w:sz w:val="26"/>
          <w:szCs w:val="26"/>
        </w:rPr>
        <w:t>Smith, 2020</w:t>
      </w:r>
      <w:r w:rsidRPr="00A92155">
        <w:rPr>
          <w:rFonts w:asciiTheme="majorBidi" w:hAnsiTheme="majorBidi" w:cstheme="majorBidi"/>
          <w:sz w:val="26"/>
          <w:szCs w:val="26"/>
          <w:rtl/>
        </w:rPr>
        <w:t>).</w:t>
      </w:r>
    </w:p>
    <w:p w14:paraId="2EC85461" w14:textId="77777777" w:rsidR="00202E2A" w:rsidRPr="00A92155" w:rsidRDefault="00202E2A">
      <w:pPr>
        <w:numPr>
          <w:ilvl w:val="0"/>
          <w:numId w:val="85"/>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منصة النافذة الواحدة كنموذج تكامل:</w:t>
      </w:r>
      <w:r w:rsidRPr="00A92155">
        <w:rPr>
          <w:rFonts w:asciiTheme="majorBidi" w:hAnsiTheme="majorBidi" w:cstheme="majorBidi"/>
          <w:sz w:val="26"/>
          <w:szCs w:val="26"/>
          <w:rtl/>
        </w:rPr>
        <w:t xml:space="preserve"> تُعد منصات "النافذة الواحدة" (</w:t>
      </w:r>
      <w:r w:rsidRPr="00A92155">
        <w:rPr>
          <w:rFonts w:asciiTheme="majorBidi" w:hAnsiTheme="majorBidi" w:cstheme="majorBidi"/>
          <w:sz w:val="26"/>
          <w:szCs w:val="26"/>
        </w:rPr>
        <w:t>Single Window</w:t>
      </w:r>
      <w:r w:rsidRPr="00A92155">
        <w:rPr>
          <w:rFonts w:asciiTheme="majorBidi" w:hAnsiTheme="majorBidi" w:cstheme="majorBidi"/>
          <w:sz w:val="26"/>
          <w:szCs w:val="26"/>
          <w:rtl/>
        </w:rPr>
        <w:t>) نموذجاً عملياً للتكامل بين الجمارك وهيئات الأغذية والتجارة، مما يعزز الأمن من خلال توحيد مصدر المعلومة والتحقق (</w:t>
      </w:r>
      <w:r w:rsidRPr="00A92155">
        <w:rPr>
          <w:rFonts w:asciiTheme="majorBidi" w:hAnsiTheme="majorBidi" w:cstheme="majorBidi"/>
          <w:sz w:val="26"/>
          <w:szCs w:val="26"/>
        </w:rPr>
        <w:t>World Bank, 2020</w:t>
      </w:r>
      <w:r w:rsidRPr="00A92155">
        <w:rPr>
          <w:rFonts w:asciiTheme="majorBidi" w:hAnsiTheme="majorBidi" w:cstheme="majorBidi"/>
          <w:sz w:val="26"/>
          <w:szCs w:val="26"/>
          <w:rtl/>
        </w:rPr>
        <w:t>).</w:t>
      </w:r>
    </w:p>
    <w:p w14:paraId="5659D1DF"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2.3.3.2 الشراكات الاستراتيجية والتعاون الدولي</w:t>
      </w:r>
    </w:p>
    <w:p w14:paraId="4ED54089" w14:textId="77777777" w:rsidR="00202E2A" w:rsidRPr="00A92155" w:rsidRDefault="00202E2A">
      <w:pPr>
        <w:numPr>
          <w:ilvl w:val="0"/>
          <w:numId w:val="86"/>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التعاون الأمني الدولي:</w:t>
      </w:r>
      <w:r w:rsidRPr="00A92155">
        <w:rPr>
          <w:rFonts w:asciiTheme="majorBidi" w:hAnsiTheme="majorBidi" w:cstheme="majorBidi"/>
          <w:sz w:val="26"/>
          <w:szCs w:val="26"/>
          <w:rtl/>
        </w:rPr>
        <w:t xml:space="preserve"> يتطلب الأمن السيبراني التعاون مع المنظمات الدولية (مثل </w:t>
      </w:r>
      <w:r w:rsidRPr="00A92155">
        <w:rPr>
          <w:rFonts w:asciiTheme="majorBidi" w:hAnsiTheme="majorBidi" w:cstheme="majorBidi"/>
          <w:sz w:val="26"/>
          <w:szCs w:val="26"/>
        </w:rPr>
        <w:t>WCO</w:t>
      </w:r>
      <w:r w:rsidRPr="00A92155">
        <w:rPr>
          <w:rFonts w:asciiTheme="majorBidi" w:hAnsiTheme="majorBidi" w:cstheme="majorBidi"/>
          <w:sz w:val="26"/>
          <w:szCs w:val="26"/>
          <w:rtl/>
        </w:rPr>
        <w:t>) لتبني معايير أمنية موحدة، وتبادل الخبرات حول التهديدات العابرة للحدود.</w:t>
      </w:r>
    </w:p>
    <w:p w14:paraId="6619B084" w14:textId="77777777" w:rsidR="00202E2A" w:rsidRPr="00A92155" w:rsidRDefault="00202E2A">
      <w:pPr>
        <w:numPr>
          <w:ilvl w:val="0"/>
          <w:numId w:val="86"/>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lastRenderedPageBreak/>
        <w:t>الشراكة مع القطاع الخاص:</w:t>
      </w:r>
      <w:r w:rsidRPr="00A92155">
        <w:rPr>
          <w:rFonts w:asciiTheme="majorBidi" w:hAnsiTheme="majorBidi" w:cstheme="majorBidi"/>
          <w:sz w:val="26"/>
          <w:szCs w:val="26"/>
          <w:rtl/>
        </w:rPr>
        <w:t xml:space="preserve"> يتطلب تعزيز الأمن الشراكة مع شركات التقنية والأمن السيبراني المتخصصة لتوفير حلول متقدمة في مجالات مثل الذكاء الاصطناعي الوقائي (</w:t>
      </w:r>
      <w:r w:rsidRPr="00A92155">
        <w:rPr>
          <w:rFonts w:asciiTheme="majorBidi" w:hAnsiTheme="majorBidi" w:cstheme="majorBidi"/>
          <w:sz w:val="26"/>
          <w:szCs w:val="26"/>
        </w:rPr>
        <w:t>Preventive AI</w:t>
      </w:r>
      <w:r w:rsidRPr="00A92155">
        <w:rPr>
          <w:rFonts w:asciiTheme="majorBidi" w:hAnsiTheme="majorBidi" w:cstheme="majorBidi"/>
          <w:sz w:val="26"/>
          <w:szCs w:val="26"/>
          <w:rtl/>
        </w:rPr>
        <w:t>) وخدمات الأمن السحابي المُدارة، مما يسرّع عملية الابتكار الأمني (</w:t>
      </w:r>
      <w:r w:rsidRPr="00A92155">
        <w:rPr>
          <w:rFonts w:asciiTheme="majorBidi" w:hAnsiTheme="majorBidi" w:cstheme="majorBidi"/>
          <w:sz w:val="26"/>
          <w:szCs w:val="26"/>
        </w:rPr>
        <w:t>Hanelt et al., 2021</w:t>
      </w:r>
      <w:r w:rsidRPr="00A92155">
        <w:rPr>
          <w:rFonts w:asciiTheme="majorBidi" w:hAnsiTheme="majorBidi" w:cstheme="majorBidi"/>
          <w:sz w:val="26"/>
          <w:szCs w:val="26"/>
          <w:rtl/>
        </w:rPr>
        <w:t>).</w:t>
      </w:r>
    </w:p>
    <w:p w14:paraId="0295B59D"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2.3.3.3 دراسات سابقة حول التكامل الأمني</w:t>
      </w:r>
    </w:p>
    <w:p w14:paraId="4464EC9A" w14:textId="77777777" w:rsidR="00202E2A" w:rsidRPr="00A92155" w:rsidRDefault="00202E2A">
      <w:pPr>
        <w:numPr>
          <w:ilvl w:val="0"/>
          <w:numId w:val="87"/>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 xml:space="preserve">دراسة </w:t>
      </w:r>
      <w:r w:rsidRPr="00A92155">
        <w:rPr>
          <w:rFonts w:asciiTheme="majorBidi" w:hAnsiTheme="majorBidi" w:cstheme="majorBidi"/>
          <w:b/>
          <w:bCs/>
          <w:sz w:val="26"/>
          <w:szCs w:val="26"/>
        </w:rPr>
        <w:t>OECD</w:t>
      </w:r>
      <w:r w:rsidRPr="00A92155">
        <w:rPr>
          <w:rFonts w:asciiTheme="majorBidi" w:hAnsiTheme="majorBidi" w:cstheme="majorBidi"/>
          <w:b/>
          <w:bCs/>
          <w:sz w:val="26"/>
          <w:szCs w:val="26"/>
          <w:rtl/>
        </w:rPr>
        <w:t xml:space="preserve"> (2018):</w:t>
      </w:r>
      <w:r w:rsidRPr="00A92155">
        <w:rPr>
          <w:rFonts w:asciiTheme="majorBidi" w:hAnsiTheme="majorBidi" w:cstheme="majorBidi"/>
          <w:sz w:val="26"/>
          <w:szCs w:val="26"/>
          <w:rtl/>
        </w:rPr>
        <w:t xml:space="preserve"> أكدت أن تحقيق "التجارة الرقمية الآمنة" (</w:t>
      </w:r>
      <w:r w:rsidRPr="00A92155">
        <w:rPr>
          <w:rFonts w:asciiTheme="majorBidi" w:hAnsiTheme="majorBidi" w:cstheme="majorBidi"/>
          <w:sz w:val="26"/>
          <w:szCs w:val="26"/>
        </w:rPr>
        <w:t>Secure Digital Trade</w:t>
      </w:r>
      <w:r w:rsidRPr="00A92155">
        <w:rPr>
          <w:rFonts w:asciiTheme="majorBidi" w:hAnsiTheme="majorBidi" w:cstheme="majorBidi"/>
          <w:sz w:val="26"/>
          <w:szCs w:val="26"/>
          <w:rtl/>
        </w:rPr>
        <w:t>) يتطلب تعاوناً وثيقاً بين الجمارك، والبنوك، وشركات التأمين، لتطبيق تقنيات مثل البلوكتشين (</w:t>
      </w:r>
      <w:r w:rsidRPr="00A92155">
        <w:rPr>
          <w:rFonts w:asciiTheme="majorBidi" w:hAnsiTheme="majorBidi" w:cstheme="majorBidi"/>
          <w:sz w:val="26"/>
          <w:szCs w:val="26"/>
        </w:rPr>
        <w:t>Blockchain</w:t>
      </w:r>
      <w:r w:rsidRPr="00A92155">
        <w:rPr>
          <w:rFonts w:asciiTheme="majorBidi" w:hAnsiTheme="majorBidi" w:cstheme="majorBidi"/>
          <w:sz w:val="26"/>
          <w:szCs w:val="26"/>
          <w:rtl/>
        </w:rPr>
        <w:t>) في توثيق ملكية الشحنات، مما يزيد من الأمان ويقلل من الاحتيال الجمركي.</w:t>
      </w:r>
    </w:p>
    <w:p w14:paraId="6ED59BFF"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2.3.4 البُعد الرابع: البُعد القانوني والسياسي</w:t>
      </w:r>
    </w:p>
    <w:p w14:paraId="13CE847E"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يُشكل هذا البُعد الإطار الحاكم الذي يضمن أن يكون "تعزيز الأمن" مشروعاً شرعياً، ومسؤولاً، ومُتفقاً مع السيادة الوطنية، وهو مرتبط ارتباطاً وثيقاً بـ </w:t>
      </w:r>
      <w:r w:rsidRPr="00A92155">
        <w:rPr>
          <w:rFonts w:asciiTheme="majorBidi" w:hAnsiTheme="majorBidi" w:cstheme="majorBidi"/>
          <w:b/>
          <w:bCs/>
          <w:sz w:val="26"/>
          <w:szCs w:val="26"/>
          <w:rtl/>
        </w:rPr>
        <w:t>الحوكمة الرقمية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Vial, 2019</w:t>
      </w:r>
      <w:r w:rsidRPr="00A92155">
        <w:rPr>
          <w:rFonts w:asciiTheme="majorBidi" w:hAnsiTheme="majorBidi" w:cstheme="majorBidi"/>
          <w:sz w:val="26"/>
          <w:szCs w:val="26"/>
          <w:rtl/>
        </w:rPr>
        <w:t>).</w:t>
      </w:r>
    </w:p>
    <w:p w14:paraId="74BD9D2D"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2.3.4.1 السياسات الوطنية والتنظيم الأمني (</w:t>
      </w:r>
      <w:r w:rsidRPr="00A92155">
        <w:rPr>
          <w:rFonts w:asciiTheme="majorBidi" w:hAnsiTheme="majorBidi" w:cs="PT Bold Heading"/>
          <w:b/>
          <w:bCs/>
          <w:color w:val="000000" w:themeColor="text1"/>
          <w:sz w:val="26"/>
          <w:szCs w:val="26"/>
        </w:rPr>
        <w:t>National Security Policy</w:t>
      </w:r>
      <w:r w:rsidRPr="00A92155">
        <w:rPr>
          <w:rFonts w:asciiTheme="majorBidi" w:hAnsiTheme="majorBidi" w:cs="PT Bold Heading"/>
          <w:b/>
          <w:bCs/>
          <w:color w:val="000000" w:themeColor="text1"/>
          <w:sz w:val="26"/>
          <w:szCs w:val="26"/>
          <w:rtl/>
        </w:rPr>
        <w:t>)</w:t>
      </w:r>
    </w:p>
    <w:p w14:paraId="2943CB86" w14:textId="77777777" w:rsidR="00202E2A" w:rsidRPr="00A92155" w:rsidRDefault="00202E2A">
      <w:pPr>
        <w:numPr>
          <w:ilvl w:val="0"/>
          <w:numId w:val="88"/>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الاستراتيجية الوطنية:</w:t>
      </w:r>
      <w:r w:rsidRPr="00A92155">
        <w:rPr>
          <w:rFonts w:asciiTheme="majorBidi" w:hAnsiTheme="majorBidi" w:cstheme="majorBidi"/>
          <w:sz w:val="26"/>
          <w:szCs w:val="26"/>
          <w:rtl/>
        </w:rPr>
        <w:t xml:space="preserve"> ينبع الأمن السيبراني في المملكة من الاستراتيجية الوطنية للأمن السيبراني التي تشرف عليها </w:t>
      </w:r>
      <w:r w:rsidRPr="00A92155">
        <w:rPr>
          <w:rFonts w:asciiTheme="majorBidi" w:hAnsiTheme="majorBidi" w:cstheme="majorBidi"/>
          <w:sz w:val="26"/>
          <w:szCs w:val="26"/>
        </w:rPr>
        <w:t>NCA</w:t>
      </w:r>
      <w:r w:rsidRPr="00A92155">
        <w:rPr>
          <w:rFonts w:asciiTheme="majorBidi" w:hAnsiTheme="majorBidi" w:cstheme="majorBidi"/>
          <w:sz w:val="26"/>
          <w:szCs w:val="26"/>
          <w:rtl/>
        </w:rPr>
        <w:t xml:space="preserve">، وتوفر الغطاء السياسي والقانوني لجهود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في حماية البنية التحتية الحيوية (</w:t>
      </w:r>
      <w:r w:rsidRPr="00A92155">
        <w:rPr>
          <w:rFonts w:asciiTheme="majorBidi" w:hAnsiTheme="majorBidi" w:cstheme="majorBidi"/>
          <w:sz w:val="26"/>
          <w:szCs w:val="26"/>
        </w:rPr>
        <w:t>Critical Infrastructure Protection</w:t>
      </w:r>
      <w:r w:rsidRPr="00A92155">
        <w:rPr>
          <w:rFonts w:asciiTheme="majorBidi" w:hAnsiTheme="majorBidi" w:cstheme="majorBidi"/>
          <w:sz w:val="26"/>
          <w:szCs w:val="26"/>
          <w:rtl/>
        </w:rPr>
        <w:t>) (</w:t>
      </w:r>
      <w:r w:rsidRPr="00A92155">
        <w:rPr>
          <w:rFonts w:asciiTheme="majorBidi" w:hAnsiTheme="majorBidi" w:cstheme="majorBidi"/>
          <w:sz w:val="26"/>
          <w:szCs w:val="26"/>
        </w:rPr>
        <w:t>Smith, 2020</w:t>
      </w:r>
      <w:r w:rsidRPr="00A92155">
        <w:rPr>
          <w:rFonts w:asciiTheme="majorBidi" w:hAnsiTheme="majorBidi" w:cstheme="majorBidi"/>
          <w:sz w:val="26"/>
          <w:szCs w:val="26"/>
          <w:rtl/>
        </w:rPr>
        <w:t>).</w:t>
      </w:r>
    </w:p>
    <w:p w14:paraId="28E3970B" w14:textId="77777777" w:rsidR="00202E2A" w:rsidRPr="00A92155" w:rsidRDefault="00202E2A">
      <w:pPr>
        <w:numPr>
          <w:ilvl w:val="0"/>
          <w:numId w:val="88"/>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الامتثال القانوني (</w:t>
      </w:r>
      <w:r w:rsidRPr="00A92155">
        <w:rPr>
          <w:rFonts w:asciiTheme="majorBidi" w:hAnsiTheme="majorBidi" w:cstheme="majorBidi"/>
          <w:b/>
          <w:bCs/>
          <w:sz w:val="26"/>
          <w:szCs w:val="26"/>
        </w:rPr>
        <w:t>Compliance</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يجب على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الالتزام بجميع الضوابط الصادرة عن </w:t>
      </w:r>
      <w:r w:rsidRPr="00A92155">
        <w:rPr>
          <w:rFonts w:asciiTheme="majorBidi" w:hAnsiTheme="majorBidi" w:cstheme="majorBidi"/>
          <w:sz w:val="26"/>
          <w:szCs w:val="26"/>
        </w:rPr>
        <w:t>NCA</w:t>
      </w:r>
      <w:r w:rsidRPr="00A92155">
        <w:rPr>
          <w:rFonts w:asciiTheme="majorBidi" w:hAnsiTheme="majorBidi" w:cstheme="majorBidi"/>
          <w:sz w:val="26"/>
          <w:szCs w:val="26"/>
          <w:rtl/>
        </w:rPr>
        <w:t xml:space="preserve">، وبمعايير دولية مختارة (كـ </w:t>
      </w:r>
      <w:r w:rsidRPr="00A92155">
        <w:rPr>
          <w:rFonts w:asciiTheme="majorBidi" w:hAnsiTheme="majorBidi" w:cstheme="majorBidi"/>
          <w:sz w:val="26"/>
          <w:szCs w:val="26"/>
        </w:rPr>
        <w:t>ISO 27001</w:t>
      </w:r>
      <w:r w:rsidRPr="00A92155">
        <w:rPr>
          <w:rFonts w:asciiTheme="majorBidi" w:hAnsiTheme="majorBidi" w:cstheme="majorBidi"/>
          <w:sz w:val="26"/>
          <w:szCs w:val="26"/>
          <w:rtl/>
        </w:rPr>
        <w:t xml:space="preserve"> أو </w:t>
      </w:r>
      <w:r w:rsidRPr="00A92155">
        <w:rPr>
          <w:rFonts w:asciiTheme="majorBidi" w:hAnsiTheme="majorBidi" w:cstheme="majorBidi"/>
          <w:sz w:val="26"/>
          <w:szCs w:val="26"/>
        </w:rPr>
        <w:t>NIST</w:t>
      </w:r>
      <w:r w:rsidRPr="00A92155">
        <w:rPr>
          <w:rFonts w:asciiTheme="majorBidi" w:hAnsiTheme="majorBidi" w:cstheme="majorBidi"/>
          <w:sz w:val="26"/>
          <w:szCs w:val="26"/>
          <w:rtl/>
        </w:rPr>
        <w:t>) لتقييم النضج الأمني، مما يُعد بُعداً سياسياً يعزز مكانة المملكة في المؤشرات الدولية للأمن (</w:t>
      </w:r>
      <w:r w:rsidRPr="00A92155">
        <w:rPr>
          <w:rFonts w:asciiTheme="majorBidi" w:hAnsiTheme="majorBidi" w:cstheme="majorBidi"/>
          <w:sz w:val="26"/>
          <w:szCs w:val="26"/>
        </w:rPr>
        <w:t>Vial, 2019</w:t>
      </w:r>
      <w:r w:rsidRPr="00A92155">
        <w:rPr>
          <w:rFonts w:asciiTheme="majorBidi" w:hAnsiTheme="majorBidi" w:cstheme="majorBidi"/>
          <w:sz w:val="26"/>
          <w:szCs w:val="26"/>
          <w:rtl/>
        </w:rPr>
        <w:t>).</w:t>
      </w:r>
    </w:p>
    <w:p w14:paraId="3E263FC9"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2.3.4.2 التشريعات الرقمية والمساءلة (</w:t>
      </w:r>
      <w:r w:rsidRPr="00A92155">
        <w:rPr>
          <w:rFonts w:asciiTheme="majorBidi" w:hAnsiTheme="majorBidi" w:cs="PT Bold Heading"/>
          <w:b/>
          <w:bCs/>
          <w:color w:val="000000" w:themeColor="text1"/>
          <w:sz w:val="26"/>
          <w:szCs w:val="26"/>
        </w:rPr>
        <w:t>Legislation and Accountability</w:t>
      </w:r>
      <w:r w:rsidRPr="00A92155">
        <w:rPr>
          <w:rFonts w:asciiTheme="majorBidi" w:hAnsiTheme="majorBidi" w:cs="PT Bold Heading"/>
          <w:b/>
          <w:bCs/>
          <w:color w:val="000000" w:themeColor="text1"/>
          <w:sz w:val="26"/>
          <w:szCs w:val="26"/>
          <w:rtl/>
        </w:rPr>
        <w:t>)</w:t>
      </w:r>
    </w:p>
    <w:p w14:paraId="5C69E419" w14:textId="77777777" w:rsidR="00202E2A" w:rsidRPr="00A92155" w:rsidRDefault="00202E2A">
      <w:pPr>
        <w:numPr>
          <w:ilvl w:val="0"/>
          <w:numId w:val="89"/>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مساءلة الذكاء الاصطناعي (</w:t>
      </w:r>
      <w:r w:rsidRPr="00A92155">
        <w:rPr>
          <w:rFonts w:asciiTheme="majorBidi" w:hAnsiTheme="majorBidi" w:cstheme="majorBidi"/>
          <w:b/>
          <w:bCs/>
          <w:sz w:val="26"/>
          <w:szCs w:val="26"/>
        </w:rPr>
        <w:t>AI Accountability</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في ظل استخدام الذكاء الاصطناعي في اتخاذ قرارات مصيرية (مثل تصنيف الشحنات)، يجب أن يُلزم البُعد القانوني الهيئة بضمان قابلية تفسير قرارات الذكاء الاصطناعي (</w:t>
      </w:r>
      <w:r w:rsidRPr="00A92155">
        <w:rPr>
          <w:rFonts w:asciiTheme="majorBidi" w:hAnsiTheme="majorBidi" w:cstheme="majorBidi"/>
          <w:sz w:val="26"/>
          <w:szCs w:val="26"/>
        </w:rPr>
        <w:t>Explainable AI - XAI</w:t>
      </w:r>
      <w:r w:rsidRPr="00A92155">
        <w:rPr>
          <w:rFonts w:asciiTheme="majorBidi" w:hAnsiTheme="majorBidi" w:cstheme="majorBidi"/>
          <w:sz w:val="26"/>
          <w:szCs w:val="26"/>
          <w:rtl/>
        </w:rPr>
        <w:t>)، لتوفير العدالة والشفافية للمكلفين والشركات (</w:t>
      </w:r>
      <w:r w:rsidRPr="00A92155">
        <w:rPr>
          <w:rFonts w:asciiTheme="majorBidi" w:hAnsiTheme="majorBidi" w:cstheme="majorBidi"/>
          <w:sz w:val="26"/>
          <w:szCs w:val="26"/>
        </w:rPr>
        <w:t>PwC, 2023</w:t>
      </w:r>
      <w:r w:rsidRPr="00A92155">
        <w:rPr>
          <w:rFonts w:asciiTheme="majorBidi" w:hAnsiTheme="majorBidi" w:cstheme="majorBidi"/>
          <w:sz w:val="26"/>
          <w:szCs w:val="26"/>
          <w:rtl/>
        </w:rPr>
        <w:t>).</w:t>
      </w:r>
    </w:p>
    <w:p w14:paraId="65608A5E"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2.3.4.3 دراسات سابقة حول البُعد القانوني والأمني</w:t>
      </w:r>
    </w:p>
    <w:p w14:paraId="43A91895" w14:textId="77777777" w:rsidR="00202E2A" w:rsidRPr="00A92155" w:rsidRDefault="00202E2A">
      <w:pPr>
        <w:numPr>
          <w:ilvl w:val="0"/>
          <w:numId w:val="90"/>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دراسة سميث (</w:t>
      </w:r>
      <w:r w:rsidRPr="00A92155">
        <w:rPr>
          <w:rFonts w:asciiTheme="majorBidi" w:hAnsiTheme="majorBidi" w:cstheme="majorBidi"/>
          <w:b/>
          <w:bCs/>
          <w:sz w:val="26"/>
          <w:szCs w:val="26"/>
        </w:rPr>
        <w:t>Smith, 2020</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شددت على أن نجاح التحول الرقمي الحكومي يعتمد بشكل أساسي على وجود إطار قانوني وسياسي واضح يحدد مسؤوليات الأمن السيبراني، وأكدت أن ضعف الإطار القانوني يُعد أكبر تحدي لـ "تعزيز الأمن".</w:t>
      </w:r>
    </w:p>
    <w:p w14:paraId="4920DD33" w14:textId="77777777" w:rsidR="00202E2A" w:rsidRPr="00A92155" w:rsidRDefault="00202E2A">
      <w:pPr>
        <w:numPr>
          <w:ilvl w:val="0"/>
          <w:numId w:val="90"/>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دراسة منظمة التعاون الاقتصادي والتنمية (</w:t>
      </w:r>
      <w:r w:rsidRPr="00A92155">
        <w:rPr>
          <w:rFonts w:asciiTheme="majorBidi" w:hAnsiTheme="majorBidi" w:cstheme="majorBidi"/>
          <w:b/>
          <w:bCs/>
          <w:sz w:val="26"/>
          <w:szCs w:val="26"/>
        </w:rPr>
        <w:t>OECD, 2020</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أشارت إلى أن الدول التي لديها قوانين متطورة لحماية البيانات، والتي تضمن السيادة عليها، هي الأكثر نجاحاً في بناء بيئة تجارة رقمية آمنة وموثوقة.</w:t>
      </w:r>
    </w:p>
    <w:p w14:paraId="0CD2DBE6"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2.3.5 البُعد الخامس: البُعد الاجتماعي والثقافي</w:t>
      </w:r>
    </w:p>
    <w:p w14:paraId="104ACF63"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يُشير هذا البُعد إلى أهمية العوامل البشرية والثقافية في تحقيق "تعزيز الأمن"، حيث أن الجانب التقني وحده لا يكفي، بل يجب بناء ثقافة أمنية (</w:t>
      </w:r>
      <w:r w:rsidRPr="00A92155">
        <w:rPr>
          <w:rFonts w:asciiTheme="majorBidi" w:hAnsiTheme="majorBidi" w:cstheme="majorBidi"/>
          <w:sz w:val="26"/>
          <w:szCs w:val="26"/>
        </w:rPr>
        <w:t>Security Culture</w:t>
      </w:r>
      <w:r w:rsidRPr="00A92155">
        <w:rPr>
          <w:rFonts w:asciiTheme="majorBidi" w:hAnsiTheme="majorBidi" w:cstheme="majorBidi"/>
          <w:sz w:val="26"/>
          <w:szCs w:val="26"/>
          <w:rtl/>
        </w:rPr>
        <w:t>) قوية (</w:t>
      </w:r>
      <w:r w:rsidRPr="00A92155">
        <w:rPr>
          <w:rFonts w:asciiTheme="majorBidi" w:hAnsiTheme="majorBidi" w:cstheme="majorBidi"/>
          <w:sz w:val="26"/>
          <w:szCs w:val="26"/>
        </w:rPr>
        <w:t>Rogers, 2003</w:t>
      </w:r>
      <w:r w:rsidRPr="00A92155">
        <w:rPr>
          <w:rFonts w:asciiTheme="majorBidi" w:hAnsiTheme="majorBidi" w:cstheme="majorBidi"/>
          <w:sz w:val="26"/>
          <w:szCs w:val="26"/>
          <w:rtl/>
        </w:rPr>
        <w:t>).</w:t>
      </w:r>
    </w:p>
    <w:p w14:paraId="2102D1B9"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lastRenderedPageBreak/>
        <w:t>2.3.5.1 بناء ثقافة الوعي الأمني للموظفين (</w:t>
      </w:r>
      <w:r w:rsidRPr="00A92155">
        <w:rPr>
          <w:rFonts w:asciiTheme="majorBidi" w:hAnsiTheme="majorBidi" w:cs="PT Bold Heading"/>
          <w:b/>
          <w:bCs/>
          <w:color w:val="000000" w:themeColor="text1"/>
          <w:sz w:val="26"/>
          <w:szCs w:val="26"/>
        </w:rPr>
        <w:t>Employee Security Awareness</w:t>
      </w:r>
      <w:r w:rsidRPr="00A92155">
        <w:rPr>
          <w:rFonts w:asciiTheme="majorBidi" w:hAnsiTheme="majorBidi" w:cs="PT Bold Heading"/>
          <w:b/>
          <w:bCs/>
          <w:color w:val="000000" w:themeColor="text1"/>
          <w:sz w:val="26"/>
          <w:szCs w:val="26"/>
          <w:rtl/>
        </w:rPr>
        <w:t>)</w:t>
      </w:r>
    </w:p>
    <w:p w14:paraId="04346800" w14:textId="77777777" w:rsidR="00202E2A" w:rsidRPr="00A92155" w:rsidRDefault="00202E2A">
      <w:pPr>
        <w:numPr>
          <w:ilvl w:val="0"/>
          <w:numId w:val="91"/>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العنصر البشري كأضعف نقطة:</w:t>
      </w:r>
      <w:r w:rsidRPr="00A92155">
        <w:rPr>
          <w:rFonts w:asciiTheme="majorBidi" w:hAnsiTheme="majorBidi" w:cstheme="majorBidi"/>
          <w:sz w:val="26"/>
          <w:szCs w:val="26"/>
          <w:rtl/>
        </w:rPr>
        <w:t xml:space="preserve"> يظل العنصر البشري هو المدخل الأكثر شيوعاً للهجمات، لذا يتطلب تعزيز الأمن تحويل الموظفين في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إلى خط دفاع أول من خلال التدريب المنهجي المستمر الذي يعتمد على محاكاة اختبارات الاختراق الاجتماعية، والالتزام بسياسات الهيئة (</w:t>
      </w:r>
      <w:r w:rsidRPr="00A92155">
        <w:rPr>
          <w:rFonts w:asciiTheme="majorBidi" w:hAnsiTheme="majorBidi" w:cstheme="majorBidi"/>
          <w:sz w:val="26"/>
          <w:szCs w:val="26"/>
        </w:rPr>
        <w:t>Hanelt et al., 2021</w:t>
      </w:r>
      <w:r w:rsidRPr="00A92155">
        <w:rPr>
          <w:rFonts w:asciiTheme="majorBidi" w:hAnsiTheme="majorBidi" w:cstheme="majorBidi"/>
          <w:sz w:val="26"/>
          <w:szCs w:val="26"/>
          <w:rtl/>
        </w:rPr>
        <w:t>).</w:t>
      </w:r>
    </w:p>
    <w:p w14:paraId="6986678B"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2.3.5.2 ثقافة الشفافية والثقة (</w:t>
      </w:r>
      <w:r w:rsidRPr="00A92155">
        <w:rPr>
          <w:rFonts w:asciiTheme="majorBidi" w:hAnsiTheme="majorBidi" w:cs="PT Bold Heading"/>
          <w:b/>
          <w:bCs/>
          <w:color w:val="000000" w:themeColor="text1"/>
          <w:sz w:val="26"/>
          <w:szCs w:val="26"/>
        </w:rPr>
        <w:t>Transparency and Trust Culture</w:t>
      </w:r>
      <w:r w:rsidRPr="00A92155">
        <w:rPr>
          <w:rFonts w:asciiTheme="majorBidi" w:hAnsiTheme="majorBidi" w:cs="PT Bold Heading"/>
          <w:b/>
          <w:bCs/>
          <w:color w:val="000000" w:themeColor="text1"/>
          <w:sz w:val="26"/>
          <w:szCs w:val="26"/>
          <w:rtl/>
        </w:rPr>
        <w:t>)</w:t>
      </w:r>
    </w:p>
    <w:p w14:paraId="643F2B64" w14:textId="77777777" w:rsidR="00202E2A" w:rsidRPr="00A92155" w:rsidRDefault="00202E2A">
      <w:pPr>
        <w:numPr>
          <w:ilvl w:val="0"/>
          <w:numId w:val="92"/>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الثقة المتبادلة:</w:t>
      </w:r>
      <w:r w:rsidRPr="00A92155">
        <w:rPr>
          <w:rFonts w:asciiTheme="majorBidi" w:hAnsiTheme="majorBidi" w:cstheme="majorBidi"/>
          <w:sz w:val="26"/>
          <w:szCs w:val="26"/>
          <w:rtl/>
        </w:rPr>
        <w:t xml:space="preserve"> يتطلب تعزيز الأمن بناء ثقة بين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والمكلفين/المستوردين، وذلك بتبني ثقافة </w:t>
      </w:r>
      <w:r w:rsidRPr="00A92155">
        <w:rPr>
          <w:rFonts w:asciiTheme="majorBidi" w:hAnsiTheme="majorBidi" w:cstheme="majorBidi"/>
          <w:b/>
          <w:bCs/>
          <w:sz w:val="26"/>
          <w:szCs w:val="26"/>
          <w:rtl/>
        </w:rPr>
        <w:t>الشفافية</w:t>
      </w:r>
      <w:r w:rsidRPr="00A92155">
        <w:rPr>
          <w:rFonts w:asciiTheme="majorBidi" w:hAnsiTheme="majorBidi" w:cstheme="majorBidi"/>
          <w:sz w:val="26"/>
          <w:szCs w:val="26"/>
          <w:rtl/>
        </w:rPr>
        <w:t xml:space="preserve"> في الإجراءات الأمنية وتوضيح كيفية حماية البيانات (</w:t>
      </w:r>
      <w:r w:rsidRPr="00A92155">
        <w:rPr>
          <w:rFonts w:asciiTheme="majorBidi" w:hAnsiTheme="majorBidi" w:cstheme="majorBidi"/>
          <w:sz w:val="26"/>
          <w:szCs w:val="26"/>
        </w:rPr>
        <w:t>World Bank, 2020</w:t>
      </w:r>
      <w:r w:rsidRPr="00A92155">
        <w:rPr>
          <w:rFonts w:asciiTheme="majorBidi" w:hAnsiTheme="majorBidi" w:cstheme="majorBidi"/>
          <w:sz w:val="26"/>
          <w:szCs w:val="26"/>
          <w:rtl/>
        </w:rPr>
        <w:t>).</w:t>
      </w:r>
    </w:p>
    <w:p w14:paraId="66708ABF"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2.3.5.3 دراسات سابقة حول البُعد الاجتماعي والثقافي والأمن</w:t>
      </w:r>
    </w:p>
    <w:p w14:paraId="06879F0D" w14:textId="77777777" w:rsidR="00202E2A" w:rsidRPr="00A92155" w:rsidRDefault="00202E2A">
      <w:pPr>
        <w:numPr>
          <w:ilvl w:val="0"/>
          <w:numId w:val="93"/>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دراسة روجرز (</w:t>
      </w:r>
      <w:r w:rsidRPr="00A92155">
        <w:rPr>
          <w:rFonts w:asciiTheme="majorBidi" w:hAnsiTheme="majorBidi" w:cstheme="majorBidi"/>
          <w:b/>
          <w:bCs/>
          <w:sz w:val="26"/>
          <w:szCs w:val="26"/>
        </w:rPr>
        <w:t>Rogers, 2003</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تشير نظرية نشر الابتكار (</w:t>
      </w:r>
      <w:r w:rsidRPr="00A92155">
        <w:rPr>
          <w:rFonts w:asciiTheme="majorBidi" w:hAnsiTheme="majorBidi" w:cstheme="majorBidi"/>
          <w:sz w:val="26"/>
          <w:szCs w:val="26"/>
        </w:rPr>
        <w:t>Diffusion of Innovations</w:t>
      </w:r>
      <w:r w:rsidRPr="00A92155">
        <w:rPr>
          <w:rFonts w:asciiTheme="majorBidi" w:hAnsiTheme="majorBidi" w:cstheme="majorBidi"/>
          <w:sz w:val="26"/>
          <w:szCs w:val="26"/>
          <w:rtl/>
        </w:rPr>
        <w:t>) إلى أن تبني أي تقنية (مثل الأمن السيبراني) يعتمد على العوامل الاجتماعية والثقافية داخل المنظمة.</w:t>
      </w:r>
    </w:p>
    <w:p w14:paraId="1BED6B26" w14:textId="77777777" w:rsidR="00202E2A" w:rsidRPr="00A92155" w:rsidRDefault="00202E2A">
      <w:pPr>
        <w:numPr>
          <w:ilvl w:val="0"/>
          <w:numId w:val="93"/>
        </w:numPr>
        <w:bidi/>
        <w:spacing w:line="240" w:lineRule="auto"/>
        <w:jc w:val="lowKashida"/>
        <w:rPr>
          <w:rFonts w:asciiTheme="majorBidi" w:hAnsiTheme="majorBidi" w:cstheme="majorBidi"/>
          <w:sz w:val="26"/>
          <w:szCs w:val="26"/>
        </w:rPr>
      </w:pPr>
      <w:r w:rsidRPr="00A92155">
        <w:rPr>
          <w:rFonts w:asciiTheme="majorBidi" w:hAnsiTheme="majorBidi" w:cstheme="majorBidi"/>
          <w:b/>
          <w:bCs/>
          <w:sz w:val="26"/>
          <w:szCs w:val="26"/>
          <w:rtl/>
        </w:rPr>
        <w:t>دراسة حنلت وآخرون (</w:t>
      </w:r>
      <w:r w:rsidRPr="00A92155">
        <w:rPr>
          <w:rFonts w:asciiTheme="majorBidi" w:hAnsiTheme="majorBidi" w:cstheme="majorBidi"/>
          <w:b/>
          <w:bCs/>
          <w:sz w:val="26"/>
          <w:szCs w:val="26"/>
        </w:rPr>
        <w:t>Hanelt et al., 2021</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أكدت أن التحول الثقافي هو العامل الأكثر أهمية في نجاح التحول الرقمي الحكومي، مشيرة إلى أن بناء الكفاءات الرقمية (</w:t>
      </w:r>
      <w:r w:rsidRPr="00A92155">
        <w:rPr>
          <w:rFonts w:asciiTheme="majorBidi" w:hAnsiTheme="majorBidi" w:cstheme="majorBidi"/>
          <w:sz w:val="26"/>
          <w:szCs w:val="26"/>
        </w:rPr>
        <w:t>Digital Competencies</w:t>
      </w:r>
      <w:r w:rsidRPr="00A92155">
        <w:rPr>
          <w:rFonts w:asciiTheme="majorBidi" w:hAnsiTheme="majorBidi" w:cstheme="majorBidi"/>
          <w:sz w:val="26"/>
          <w:szCs w:val="26"/>
          <w:rtl/>
        </w:rPr>
        <w:t>) لدى الموظفين هو المفتاح لضمان الاستخدام الآمن والفعال.</w:t>
      </w:r>
    </w:p>
    <w:p w14:paraId="7E3457D5"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Pr>
      </w:pPr>
      <w:r w:rsidRPr="00A92155">
        <w:rPr>
          <w:rFonts w:asciiTheme="majorBidi" w:hAnsiTheme="majorBidi" w:cs="PT Bold Heading" w:hint="cs"/>
          <w:b/>
          <w:bCs/>
          <w:color w:val="000000" w:themeColor="text1"/>
          <w:sz w:val="26"/>
          <w:szCs w:val="26"/>
          <w:rtl/>
        </w:rPr>
        <w:t>2.3.6</w:t>
      </w:r>
      <w:r w:rsidRPr="00A92155">
        <w:rPr>
          <w:rFonts w:asciiTheme="majorBidi" w:hAnsiTheme="majorBidi" w:cs="PT Bold Heading"/>
          <w:b/>
          <w:bCs/>
          <w:color w:val="000000" w:themeColor="text1"/>
          <w:sz w:val="26"/>
          <w:szCs w:val="26"/>
        </w:rPr>
        <w:t xml:space="preserve"> </w:t>
      </w:r>
      <w:r w:rsidRPr="00A92155">
        <w:rPr>
          <w:rFonts w:asciiTheme="majorBidi" w:hAnsiTheme="majorBidi" w:cs="PT Bold Heading"/>
          <w:b/>
          <w:bCs/>
          <w:color w:val="000000" w:themeColor="text1"/>
          <w:sz w:val="26"/>
          <w:szCs w:val="26"/>
          <w:rtl/>
        </w:rPr>
        <w:t>بناء ثقافة الوعي الأمني لدى العاملين والمستفيدين</w:t>
      </w:r>
    </w:p>
    <w:p w14:paraId="391A8E13" w14:textId="77777777" w:rsidR="00202E2A" w:rsidRPr="00A92155" w:rsidRDefault="00202E2A" w:rsidP="00202E2A">
      <w:pPr>
        <w:bidi/>
        <w:spacing w:line="240" w:lineRule="auto"/>
        <w:jc w:val="lowKashida"/>
        <w:rPr>
          <w:rFonts w:asciiTheme="majorBidi" w:hAnsiTheme="majorBidi" w:cstheme="majorBidi"/>
          <w:sz w:val="26"/>
          <w:szCs w:val="26"/>
        </w:rPr>
      </w:pPr>
      <w:r w:rsidRPr="00A92155">
        <w:rPr>
          <w:rFonts w:asciiTheme="majorBidi" w:hAnsiTheme="majorBidi" w:cstheme="majorBidi"/>
          <w:sz w:val="26"/>
          <w:szCs w:val="26"/>
          <w:rtl/>
        </w:rPr>
        <w:t>يُعد العامل البشري أضعف حلقة</w:t>
      </w:r>
      <w:r w:rsidRPr="00A92155">
        <w:rPr>
          <w:rFonts w:asciiTheme="majorBidi" w:hAnsiTheme="majorBidi" w:cstheme="majorBidi"/>
          <w:sz w:val="26"/>
          <w:szCs w:val="26"/>
        </w:rPr>
        <w:t xml:space="preserve"> (The Weakest Link) </w:t>
      </w:r>
      <w:r w:rsidRPr="00A92155">
        <w:rPr>
          <w:rFonts w:asciiTheme="majorBidi" w:hAnsiTheme="majorBidi" w:cstheme="majorBidi"/>
          <w:sz w:val="26"/>
          <w:szCs w:val="26"/>
          <w:rtl/>
        </w:rPr>
        <w:t>وأقوى حلقة في المنظومة الأمنية على حد سواء. لذا، فإن بناء ثقافة الوعي الأمني يمثل بُعداً حاسماً لنجاح "تعزيز الأمن" (المتغير التابع)</w:t>
      </w:r>
      <w:r w:rsidRPr="00A92155">
        <w:rPr>
          <w:rFonts w:asciiTheme="majorBidi" w:hAnsiTheme="majorBidi" w:cstheme="majorBidi"/>
          <w:sz w:val="26"/>
          <w:szCs w:val="26"/>
        </w:rPr>
        <w:t>.</w:t>
      </w:r>
    </w:p>
    <w:p w14:paraId="4AC946F1" w14:textId="77777777" w:rsidR="00202E2A" w:rsidRPr="00A92155" w:rsidRDefault="00202E2A" w:rsidP="00202E2A">
      <w:pPr>
        <w:bidi/>
        <w:spacing w:line="240" w:lineRule="auto"/>
        <w:jc w:val="lowKashida"/>
        <w:rPr>
          <w:rFonts w:asciiTheme="majorBidi" w:hAnsiTheme="majorBidi" w:cstheme="majorBidi"/>
          <w:sz w:val="26"/>
          <w:szCs w:val="26"/>
        </w:rPr>
      </w:pPr>
      <w:r w:rsidRPr="00A92155">
        <w:rPr>
          <w:rFonts w:asciiTheme="majorBidi" w:hAnsiTheme="majorBidi" w:cstheme="majorBidi"/>
          <w:b/>
          <w:bCs/>
          <w:sz w:val="26"/>
          <w:szCs w:val="26"/>
          <w:rtl/>
        </w:rPr>
        <w:t>أ. الوعي الأمني للعاملين</w:t>
      </w:r>
      <w:r w:rsidRPr="00A92155">
        <w:rPr>
          <w:rFonts w:asciiTheme="majorBidi" w:hAnsiTheme="majorBidi" w:cstheme="majorBidi"/>
          <w:b/>
          <w:bCs/>
          <w:sz w:val="26"/>
          <w:szCs w:val="26"/>
        </w:rPr>
        <w:t xml:space="preserve"> (Employee Security Awareness):</w:t>
      </w:r>
    </w:p>
    <w:p w14:paraId="26B375CD" w14:textId="77777777" w:rsidR="00202E2A" w:rsidRPr="00A92155" w:rsidRDefault="00202E2A">
      <w:pPr>
        <w:numPr>
          <w:ilvl w:val="0"/>
          <w:numId w:val="97"/>
        </w:numPr>
        <w:bidi/>
        <w:spacing w:line="240" w:lineRule="auto"/>
        <w:jc w:val="lowKashida"/>
        <w:rPr>
          <w:rFonts w:asciiTheme="majorBidi" w:hAnsiTheme="majorBidi" w:cstheme="majorBidi"/>
          <w:sz w:val="26"/>
          <w:szCs w:val="26"/>
        </w:rPr>
      </w:pPr>
      <w:r w:rsidRPr="00A92155">
        <w:rPr>
          <w:rFonts w:asciiTheme="majorBidi" w:hAnsiTheme="majorBidi" w:cstheme="majorBidi"/>
          <w:b/>
          <w:bCs/>
          <w:sz w:val="26"/>
          <w:szCs w:val="26"/>
          <w:rtl/>
        </w:rPr>
        <w:t>العنصر البشري كخط دفاع أول</w:t>
      </w:r>
      <w:r w:rsidRPr="00A92155">
        <w:rPr>
          <w:rFonts w:asciiTheme="majorBidi" w:hAnsiTheme="majorBidi" w:cstheme="majorBidi"/>
          <w:b/>
          <w:bCs/>
          <w:sz w:val="26"/>
          <w:szCs w:val="26"/>
        </w:rPr>
        <w:t>:</w:t>
      </w:r>
      <w:r w:rsidRPr="00A92155">
        <w:rPr>
          <w:rFonts w:asciiTheme="majorBidi" w:hAnsiTheme="majorBidi" w:cstheme="majorBidi"/>
          <w:sz w:val="26"/>
          <w:szCs w:val="26"/>
        </w:rPr>
        <w:t xml:space="preserve"> </w:t>
      </w:r>
      <w:r w:rsidRPr="00A92155">
        <w:rPr>
          <w:rFonts w:asciiTheme="majorBidi" w:hAnsiTheme="majorBidi" w:cstheme="majorBidi"/>
          <w:sz w:val="26"/>
          <w:szCs w:val="26"/>
          <w:rtl/>
        </w:rPr>
        <w:t>على الرغم من تطور التقنيات، يظل العنصر البشري هو المدخل الأكثر شيوعاً للهجمات (مثل التصيد الاحتيالي، أو إهمال كلمة المرور). لذا، فإن تعزيز الأمن يتطلب تحويل الموظفين في هيئة</w:t>
      </w:r>
      <w:r w:rsidRPr="00A92155">
        <w:rPr>
          <w:rFonts w:asciiTheme="majorBidi" w:hAnsiTheme="majorBidi" w:cstheme="majorBidi"/>
          <w:sz w:val="26"/>
          <w:szCs w:val="26"/>
        </w:rPr>
        <w:t xml:space="preserve"> ZATCA </w:t>
      </w:r>
      <w:r w:rsidRPr="00A92155">
        <w:rPr>
          <w:rFonts w:asciiTheme="majorBidi" w:hAnsiTheme="majorBidi" w:cstheme="majorBidi"/>
          <w:sz w:val="26"/>
          <w:szCs w:val="26"/>
          <w:rtl/>
        </w:rPr>
        <w:t xml:space="preserve">من ضحايا محتملين إلى خط دفاع أول </w:t>
      </w:r>
      <w:r w:rsidRPr="00A92155">
        <w:rPr>
          <w:rFonts w:asciiTheme="majorBidi" w:hAnsiTheme="majorBidi" w:cstheme="majorBidi"/>
          <w:sz w:val="26"/>
          <w:szCs w:val="26"/>
        </w:rPr>
        <w:t>(Smith, 2020).</w:t>
      </w:r>
    </w:p>
    <w:p w14:paraId="4DBB02AD" w14:textId="77777777" w:rsidR="00202E2A" w:rsidRPr="00A92155" w:rsidRDefault="00202E2A">
      <w:pPr>
        <w:numPr>
          <w:ilvl w:val="0"/>
          <w:numId w:val="97"/>
        </w:numPr>
        <w:bidi/>
        <w:spacing w:line="240" w:lineRule="auto"/>
        <w:jc w:val="lowKashida"/>
        <w:rPr>
          <w:rFonts w:asciiTheme="majorBidi" w:hAnsiTheme="majorBidi" w:cstheme="majorBidi"/>
          <w:sz w:val="26"/>
          <w:szCs w:val="26"/>
        </w:rPr>
      </w:pPr>
      <w:r w:rsidRPr="00A92155">
        <w:rPr>
          <w:rFonts w:asciiTheme="majorBidi" w:hAnsiTheme="majorBidi" w:cstheme="majorBidi"/>
          <w:b/>
          <w:bCs/>
          <w:sz w:val="26"/>
          <w:szCs w:val="26"/>
          <w:rtl/>
        </w:rPr>
        <w:t>التدريب المستمر</w:t>
      </w:r>
      <w:r w:rsidRPr="00A92155">
        <w:rPr>
          <w:rFonts w:asciiTheme="majorBidi" w:hAnsiTheme="majorBidi" w:cstheme="majorBidi"/>
          <w:b/>
          <w:bCs/>
          <w:sz w:val="26"/>
          <w:szCs w:val="26"/>
        </w:rPr>
        <w:t>:</w:t>
      </w:r>
      <w:r w:rsidRPr="00A92155">
        <w:rPr>
          <w:rFonts w:asciiTheme="majorBidi" w:hAnsiTheme="majorBidi" w:cstheme="majorBidi"/>
          <w:sz w:val="26"/>
          <w:szCs w:val="26"/>
        </w:rPr>
        <w:t xml:space="preserve"> </w:t>
      </w:r>
      <w:r w:rsidRPr="00A92155">
        <w:rPr>
          <w:rFonts w:asciiTheme="majorBidi" w:hAnsiTheme="majorBidi" w:cstheme="majorBidi"/>
          <w:sz w:val="26"/>
          <w:szCs w:val="26"/>
          <w:rtl/>
        </w:rPr>
        <w:t>يتطلب الأمن السيبراني في هيئة</w:t>
      </w:r>
      <w:r w:rsidRPr="00A92155">
        <w:rPr>
          <w:rFonts w:asciiTheme="majorBidi" w:hAnsiTheme="majorBidi" w:cstheme="majorBidi"/>
          <w:sz w:val="26"/>
          <w:szCs w:val="26"/>
        </w:rPr>
        <w:t xml:space="preserve"> ZATCA </w:t>
      </w:r>
      <w:r w:rsidRPr="00A92155">
        <w:rPr>
          <w:rFonts w:asciiTheme="majorBidi" w:hAnsiTheme="majorBidi" w:cstheme="majorBidi"/>
          <w:sz w:val="26"/>
          <w:szCs w:val="26"/>
          <w:rtl/>
        </w:rPr>
        <w:t>تدريب الموظفين بشكل مستمر وتوعيتهم حول استراتيجيات الأمن، وفهمهم أنهم الواجهة الأولى لتلقي الهجمات. هذا يشمل تدريبهم على كيفية التعامل مع الرسائل الإلكترونية المشبوهة (التصيد الاحتيالي</w:t>
      </w:r>
      <w:r w:rsidRPr="00A92155">
        <w:rPr>
          <w:rFonts w:asciiTheme="majorBidi" w:hAnsiTheme="majorBidi" w:cstheme="majorBidi"/>
          <w:sz w:val="26"/>
          <w:szCs w:val="26"/>
        </w:rPr>
        <w:t xml:space="preserve"> - Phishing)</w:t>
      </w:r>
      <w:r w:rsidRPr="00A92155">
        <w:rPr>
          <w:rFonts w:asciiTheme="majorBidi" w:hAnsiTheme="majorBidi" w:cstheme="majorBidi"/>
          <w:sz w:val="26"/>
          <w:szCs w:val="26"/>
          <w:rtl/>
        </w:rPr>
        <w:t>، والالتزام بسياسات الهيئة في التعامل مع البيانات الحساسة</w:t>
      </w:r>
      <w:r w:rsidRPr="00A92155">
        <w:rPr>
          <w:rFonts w:asciiTheme="majorBidi" w:hAnsiTheme="majorBidi" w:cstheme="majorBidi"/>
          <w:sz w:val="26"/>
          <w:szCs w:val="26"/>
        </w:rPr>
        <w:t xml:space="preserve"> (Hanelt et al., 2021). </w:t>
      </w:r>
      <w:r w:rsidRPr="00A92155">
        <w:rPr>
          <w:rFonts w:asciiTheme="majorBidi" w:hAnsiTheme="majorBidi" w:cstheme="majorBidi"/>
          <w:sz w:val="26"/>
          <w:szCs w:val="26"/>
          <w:rtl/>
        </w:rPr>
        <w:t>هذا التدريب يجب أن يُدمج في نظام إدارة الأداء للموظفين</w:t>
      </w:r>
      <w:r w:rsidRPr="00A92155">
        <w:rPr>
          <w:rFonts w:asciiTheme="majorBidi" w:hAnsiTheme="majorBidi" w:cstheme="majorBidi"/>
          <w:sz w:val="26"/>
          <w:szCs w:val="26"/>
        </w:rPr>
        <w:t>.</w:t>
      </w:r>
    </w:p>
    <w:p w14:paraId="1A629273" w14:textId="77777777" w:rsidR="00202E2A" w:rsidRPr="00A92155" w:rsidRDefault="00202E2A" w:rsidP="00202E2A">
      <w:pPr>
        <w:bidi/>
        <w:spacing w:line="240" w:lineRule="auto"/>
        <w:jc w:val="lowKashida"/>
        <w:rPr>
          <w:rFonts w:asciiTheme="majorBidi" w:hAnsiTheme="majorBidi" w:cstheme="majorBidi"/>
          <w:sz w:val="26"/>
          <w:szCs w:val="26"/>
        </w:rPr>
      </w:pPr>
      <w:r w:rsidRPr="00A92155">
        <w:rPr>
          <w:rFonts w:asciiTheme="majorBidi" w:hAnsiTheme="majorBidi" w:cstheme="majorBidi"/>
          <w:b/>
          <w:bCs/>
          <w:sz w:val="26"/>
          <w:szCs w:val="26"/>
          <w:rtl/>
        </w:rPr>
        <w:t>ب. ثقافة الشفافية والثقة</w:t>
      </w:r>
      <w:r w:rsidRPr="00A92155">
        <w:rPr>
          <w:rFonts w:asciiTheme="majorBidi" w:hAnsiTheme="majorBidi" w:cstheme="majorBidi"/>
          <w:b/>
          <w:bCs/>
          <w:sz w:val="26"/>
          <w:szCs w:val="26"/>
        </w:rPr>
        <w:t xml:space="preserve"> (Transparency and Trust Culture):</w:t>
      </w:r>
    </w:p>
    <w:p w14:paraId="5298F2F5" w14:textId="77777777" w:rsidR="00202E2A" w:rsidRPr="00A92155" w:rsidRDefault="00202E2A">
      <w:pPr>
        <w:numPr>
          <w:ilvl w:val="0"/>
          <w:numId w:val="98"/>
        </w:numPr>
        <w:bidi/>
        <w:spacing w:line="240" w:lineRule="auto"/>
        <w:jc w:val="lowKashida"/>
        <w:rPr>
          <w:rFonts w:asciiTheme="majorBidi" w:hAnsiTheme="majorBidi" w:cstheme="majorBidi"/>
          <w:sz w:val="26"/>
          <w:szCs w:val="26"/>
        </w:rPr>
      </w:pPr>
      <w:r w:rsidRPr="00A92155">
        <w:rPr>
          <w:rFonts w:asciiTheme="majorBidi" w:hAnsiTheme="majorBidi" w:cstheme="majorBidi"/>
          <w:b/>
          <w:bCs/>
          <w:sz w:val="26"/>
          <w:szCs w:val="26"/>
          <w:rtl/>
        </w:rPr>
        <w:t>الثقة المتبادلة</w:t>
      </w:r>
      <w:r w:rsidRPr="00A92155">
        <w:rPr>
          <w:rFonts w:asciiTheme="majorBidi" w:hAnsiTheme="majorBidi" w:cstheme="majorBidi"/>
          <w:b/>
          <w:bCs/>
          <w:sz w:val="26"/>
          <w:szCs w:val="26"/>
        </w:rPr>
        <w:t>:</w:t>
      </w:r>
      <w:r w:rsidRPr="00A92155">
        <w:rPr>
          <w:rFonts w:asciiTheme="majorBidi" w:hAnsiTheme="majorBidi" w:cstheme="majorBidi"/>
          <w:sz w:val="26"/>
          <w:szCs w:val="26"/>
        </w:rPr>
        <w:t xml:space="preserve"> </w:t>
      </w:r>
      <w:r w:rsidRPr="00A92155">
        <w:rPr>
          <w:rFonts w:asciiTheme="majorBidi" w:hAnsiTheme="majorBidi" w:cstheme="majorBidi"/>
          <w:sz w:val="26"/>
          <w:szCs w:val="26"/>
          <w:rtl/>
        </w:rPr>
        <w:t>يتطلب تعزيز الأمن في بيئة التحول الرقمي بناء ثقة بين</w:t>
      </w:r>
      <w:r w:rsidRPr="00A92155">
        <w:rPr>
          <w:rFonts w:asciiTheme="majorBidi" w:hAnsiTheme="majorBidi" w:cstheme="majorBidi"/>
          <w:sz w:val="26"/>
          <w:szCs w:val="26"/>
        </w:rPr>
        <w:t xml:space="preserve"> ZATCA </w:t>
      </w:r>
      <w:r w:rsidRPr="00A92155">
        <w:rPr>
          <w:rFonts w:asciiTheme="majorBidi" w:hAnsiTheme="majorBidi" w:cstheme="majorBidi"/>
          <w:sz w:val="26"/>
          <w:szCs w:val="26"/>
          <w:rtl/>
        </w:rPr>
        <w:t>والمكلفين/المستوردين. يجب على الهيئة أن تتبنى ثقافة الشفافية في الإجراءات الأمنية وتبادل البيانات، وتوضيح كيفية حماية بيانات المستفيدين</w:t>
      </w:r>
      <w:r w:rsidRPr="00A92155">
        <w:rPr>
          <w:rFonts w:asciiTheme="majorBidi" w:hAnsiTheme="majorBidi" w:cstheme="majorBidi"/>
          <w:sz w:val="26"/>
          <w:szCs w:val="26"/>
        </w:rPr>
        <w:t xml:space="preserve"> (World Bank, 2020).</w:t>
      </w:r>
    </w:p>
    <w:p w14:paraId="50AD8F26" w14:textId="77777777" w:rsidR="00202E2A" w:rsidRPr="00A92155" w:rsidRDefault="00202E2A">
      <w:pPr>
        <w:numPr>
          <w:ilvl w:val="0"/>
          <w:numId w:val="98"/>
        </w:numPr>
        <w:bidi/>
        <w:spacing w:line="240" w:lineRule="auto"/>
        <w:jc w:val="lowKashida"/>
        <w:rPr>
          <w:rFonts w:asciiTheme="majorBidi" w:hAnsiTheme="majorBidi" w:cstheme="majorBidi"/>
          <w:sz w:val="26"/>
          <w:szCs w:val="26"/>
        </w:rPr>
      </w:pPr>
      <w:r w:rsidRPr="00A92155">
        <w:rPr>
          <w:rFonts w:asciiTheme="majorBidi" w:hAnsiTheme="majorBidi" w:cstheme="majorBidi"/>
          <w:b/>
          <w:bCs/>
          <w:sz w:val="26"/>
          <w:szCs w:val="26"/>
          <w:rtl/>
        </w:rPr>
        <w:t>المشاركة في الأمن</w:t>
      </w:r>
      <w:r w:rsidRPr="00A92155">
        <w:rPr>
          <w:rFonts w:asciiTheme="majorBidi" w:hAnsiTheme="majorBidi" w:cstheme="majorBidi"/>
          <w:b/>
          <w:bCs/>
          <w:sz w:val="26"/>
          <w:szCs w:val="26"/>
        </w:rPr>
        <w:t>:</w:t>
      </w:r>
      <w:r w:rsidRPr="00A92155">
        <w:rPr>
          <w:rFonts w:asciiTheme="majorBidi" w:hAnsiTheme="majorBidi" w:cstheme="majorBidi"/>
          <w:sz w:val="26"/>
          <w:szCs w:val="26"/>
        </w:rPr>
        <w:t xml:space="preserve"> </w:t>
      </w:r>
      <w:r w:rsidRPr="00A92155">
        <w:rPr>
          <w:rFonts w:asciiTheme="majorBidi" w:hAnsiTheme="majorBidi" w:cstheme="majorBidi"/>
          <w:sz w:val="26"/>
          <w:szCs w:val="26"/>
          <w:rtl/>
        </w:rPr>
        <w:t>تشجيع المستفيدين على المشاركة في تعزيز الأمن من خلال الإبلاغ عن أي محاولات احتيال أو تصيد إلكتروني تستغل اسم الهيئة، وتوعيتهم بضرورة حماية بياناتهم الشخصية وسجلاتهم التجارية</w:t>
      </w:r>
      <w:r w:rsidRPr="00A92155">
        <w:rPr>
          <w:rFonts w:asciiTheme="majorBidi" w:hAnsiTheme="majorBidi" w:cstheme="majorBidi"/>
          <w:sz w:val="26"/>
          <w:szCs w:val="26"/>
        </w:rPr>
        <w:t xml:space="preserve"> (Rogers, 2003).</w:t>
      </w:r>
    </w:p>
    <w:p w14:paraId="2D597F18"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Pr>
      </w:pPr>
      <w:r w:rsidRPr="00A92155">
        <w:rPr>
          <w:rFonts w:asciiTheme="majorBidi" w:hAnsiTheme="majorBidi" w:cs="PT Bold Heading" w:hint="cs"/>
          <w:b/>
          <w:bCs/>
          <w:color w:val="000000" w:themeColor="text1"/>
          <w:sz w:val="26"/>
          <w:szCs w:val="26"/>
          <w:rtl/>
        </w:rPr>
        <w:t>2.3.7</w:t>
      </w:r>
      <w:r w:rsidRPr="00A92155">
        <w:rPr>
          <w:rFonts w:asciiTheme="majorBidi" w:hAnsiTheme="majorBidi" w:cs="PT Bold Heading"/>
          <w:b/>
          <w:bCs/>
          <w:color w:val="000000" w:themeColor="text1"/>
          <w:sz w:val="26"/>
          <w:szCs w:val="26"/>
        </w:rPr>
        <w:t xml:space="preserve"> </w:t>
      </w:r>
      <w:r w:rsidRPr="00A92155">
        <w:rPr>
          <w:rFonts w:asciiTheme="majorBidi" w:hAnsiTheme="majorBidi" w:cs="PT Bold Heading"/>
          <w:b/>
          <w:bCs/>
          <w:color w:val="000000" w:themeColor="text1"/>
          <w:sz w:val="26"/>
          <w:szCs w:val="26"/>
          <w:rtl/>
        </w:rPr>
        <w:t>البنية الدفاعية المتعددة الطبقات: من التشفير إلى الذكاء الاصطناعي الوقائي</w:t>
      </w:r>
    </w:p>
    <w:p w14:paraId="5D6D90D6" w14:textId="77777777" w:rsidR="00202E2A" w:rsidRPr="00A92155" w:rsidRDefault="00202E2A" w:rsidP="00202E2A">
      <w:pPr>
        <w:bidi/>
        <w:spacing w:line="240" w:lineRule="auto"/>
        <w:jc w:val="lowKashida"/>
        <w:rPr>
          <w:rFonts w:asciiTheme="majorBidi" w:hAnsiTheme="majorBidi" w:cstheme="majorBidi"/>
          <w:sz w:val="26"/>
          <w:szCs w:val="26"/>
        </w:rPr>
      </w:pPr>
      <w:r w:rsidRPr="00A92155">
        <w:rPr>
          <w:rFonts w:asciiTheme="majorBidi" w:hAnsiTheme="majorBidi" w:cstheme="majorBidi"/>
          <w:sz w:val="26"/>
          <w:szCs w:val="26"/>
          <w:rtl/>
        </w:rPr>
        <w:lastRenderedPageBreak/>
        <w:t>يتجسد "تعزيز الأمن" (المتغير التابع) في قدرة المؤسسة على تطبيق بنية دفاعية متقدمة تتجاوز الإجراءات التقليدية، مع التركيز على التقنيات الناشئة</w:t>
      </w:r>
      <w:r w:rsidRPr="00A92155">
        <w:rPr>
          <w:rFonts w:asciiTheme="majorBidi" w:hAnsiTheme="majorBidi" w:cstheme="majorBidi"/>
          <w:sz w:val="26"/>
          <w:szCs w:val="26"/>
        </w:rPr>
        <w:t xml:space="preserve"> (Muehlburger et al., 2019).</w:t>
      </w:r>
    </w:p>
    <w:p w14:paraId="4F5A48C5"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Pr>
      </w:pPr>
      <w:r w:rsidRPr="00A92155">
        <w:rPr>
          <w:rFonts w:asciiTheme="majorBidi" w:hAnsiTheme="majorBidi" w:cs="PT Bold Heading" w:hint="cs"/>
          <w:b/>
          <w:bCs/>
          <w:color w:val="000000" w:themeColor="text1"/>
          <w:sz w:val="26"/>
          <w:szCs w:val="26"/>
          <w:rtl/>
        </w:rPr>
        <w:t>2.3.7.1</w:t>
      </w:r>
      <w:r w:rsidRPr="00A92155">
        <w:rPr>
          <w:rFonts w:asciiTheme="majorBidi" w:hAnsiTheme="majorBidi" w:cs="PT Bold Heading"/>
          <w:b/>
          <w:bCs/>
          <w:color w:val="000000" w:themeColor="text1"/>
          <w:sz w:val="26"/>
          <w:szCs w:val="26"/>
        </w:rPr>
        <w:t xml:space="preserve"> </w:t>
      </w:r>
      <w:r w:rsidRPr="00A92155">
        <w:rPr>
          <w:rFonts w:asciiTheme="majorBidi" w:hAnsiTheme="majorBidi" w:cs="PT Bold Heading"/>
          <w:b/>
          <w:bCs/>
          <w:color w:val="000000" w:themeColor="text1"/>
          <w:sz w:val="26"/>
          <w:szCs w:val="26"/>
          <w:rtl/>
        </w:rPr>
        <w:t>البنية التحتية الدفاعية والأمن السحابي</w:t>
      </w:r>
      <w:r w:rsidRPr="00A92155">
        <w:rPr>
          <w:rFonts w:asciiTheme="majorBidi" w:hAnsiTheme="majorBidi" w:cs="PT Bold Heading"/>
          <w:b/>
          <w:bCs/>
          <w:color w:val="000000" w:themeColor="text1"/>
          <w:sz w:val="26"/>
          <w:szCs w:val="26"/>
        </w:rPr>
        <w:t xml:space="preserve"> (Cloud Security)</w:t>
      </w:r>
    </w:p>
    <w:p w14:paraId="55A67E0A" w14:textId="77777777" w:rsidR="00202E2A" w:rsidRPr="00A92155" w:rsidRDefault="00202E2A">
      <w:pPr>
        <w:numPr>
          <w:ilvl w:val="0"/>
          <w:numId w:val="99"/>
        </w:numPr>
        <w:bidi/>
        <w:spacing w:line="240" w:lineRule="auto"/>
        <w:jc w:val="lowKashida"/>
        <w:rPr>
          <w:rFonts w:asciiTheme="majorBidi" w:hAnsiTheme="majorBidi" w:cstheme="majorBidi"/>
          <w:sz w:val="26"/>
          <w:szCs w:val="26"/>
        </w:rPr>
      </w:pPr>
      <w:r w:rsidRPr="00A92155">
        <w:rPr>
          <w:rFonts w:asciiTheme="majorBidi" w:hAnsiTheme="majorBidi" w:cstheme="majorBidi"/>
          <w:b/>
          <w:bCs/>
          <w:sz w:val="26"/>
          <w:szCs w:val="26"/>
          <w:rtl/>
        </w:rPr>
        <w:t>التشفير الشامل</w:t>
      </w:r>
      <w:r w:rsidRPr="00A92155">
        <w:rPr>
          <w:rFonts w:asciiTheme="majorBidi" w:hAnsiTheme="majorBidi" w:cstheme="majorBidi"/>
          <w:b/>
          <w:bCs/>
          <w:sz w:val="26"/>
          <w:szCs w:val="26"/>
        </w:rPr>
        <w:t xml:space="preserve"> (E2EE):</w:t>
      </w:r>
      <w:r w:rsidRPr="00A92155">
        <w:rPr>
          <w:rFonts w:asciiTheme="majorBidi" w:hAnsiTheme="majorBidi" w:cstheme="majorBidi"/>
          <w:sz w:val="26"/>
          <w:szCs w:val="26"/>
        </w:rPr>
        <w:t xml:space="preserve"> </w:t>
      </w:r>
      <w:r w:rsidRPr="00A92155">
        <w:rPr>
          <w:rFonts w:asciiTheme="majorBidi" w:hAnsiTheme="majorBidi" w:cstheme="majorBidi"/>
          <w:sz w:val="26"/>
          <w:szCs w:val="26"/>
          <w:rtl/>
        </w:rPr>
        <w:t>يُعد التشفير، سواء للبيانات المخزنة</w:t>
      </w:r>
      <w:r w:rsidRPr="00A92155">
        <w:rPr>
          <w:rFonts w:asciiTheme="majorBidi" w:hAnsiTheme="majorBidi" w:cstheme="majorBidi"/>
          <w:sz w:val="26"/>
          <w:szCs w:val="26"/>
        </w:rPr>
        <w:t xml:space="preserve"> (</w:t>
      </w:r>
      <w:r w:rsidRPr="00A92155">
        <w:rPr>
          <w:rFonts w:asciiTheme="majorBidi" w:hAnsiTheme="majorBidi" w:cstheme="majorBidi"/>
          <w:b/>
          <w:bCs/>
          <w:sz w:val="26"/>
          <w:szCs w:val="26"/>
        </w:rPr>
        <w:t>Data at Rest</w:t>
      </w:r>
      <w:r w:rsidRPr="00A92155">
        <w:rPr>
          <w:rFonts w:asciiTheme="majorBidi" w:hAnsiTheme="majorBidi" w:cstheme="majorBidi"/>
          <w:sz w:val="26"/>
          <w:szCs w:val="26"/>
        </w:rPr>
        <w:t xml:space="preserve">) </w:t>
      </w:r>
      <w:r w:rsidRPr="00A92155">
        <w:rPr>
          <w:rFonts w:asciiTheme="majorBidi" w:hAnsiTheme="majorBidi" w:cstheme="majorBidi"/>
          <w:sz w:val="26"/>
          <w:szCs w:val="26"/>
          <w:rtl/>
        </w:rPr>
        <w:t>أو المنقولة</w:t>
      </w:r>
      <w:r w:rsidRPr="00A92155">
        <w:rPr>
          <w:rFonts w:asciiTheme="majorBidi" w:hAnsiTheme="majorBidi" w:cstheme="majorBidi"/>
          <w:sz w:val="26"/>
          <w:szCs w:val="26"/>
        </w:rPr>
        <w:t xml:space="preserve"> (</w:t>
      </w:r>
      <w:r w:rsidRPr="00A92155">
        <w:rPr>
          <w:rFonts w:asciiTheme="majorBidi" w:hAnsiTheme="majorBidi" w:cstheme="majorBidi"/>
          <w:b/>
          <w:bCs/>
          <w:sz w:val="26"/>
          <w:szCs w:val="26"/>
        </w:rPr>
        <w:t>Data in Transit</w:t>
      </w:r>
      <w:r w:rsidRPr="00A92155">
        <w:rPr>
          <w:rFonts w:asciiTheme="majorBidi" w:hAnsiTheme="majorBidi" w:cstheme="majorBidi"/>
          <w:sz w:val="26"/>
          <w:szCs w:val="26"/>
        </w:rPr>
        <w:t>)</w:t>
      </w:r>
      <w:r w:rsidRPr="00A92155">
        <w:rPr>
          <w:rFonts w:asciiTheme="majorBidi" w:hAnsiTheme="majorBidi" w:cstheme="majorBidi"/>
          <w:sz w:val="26"/>
          <w:szCs w:val="26"/>
          <w:rtl/>
        </w:rPr>
        <w:t xml:space="preserve">، هو الضمان الأساسي لـ </w:t>
      </w:r>
      <w:r w:rsidRPr="00A92155">
        <w:rPr>
          <w:rFonts w:asciiTheme="majorBidi" w:hAnsiTheme="majorBidi" w:cstheme="majorBidi"/>
          <w:b/>
          <w:bCs/>
          <w:sz w:val="26"/>
          <w:szCs w:val="26"/>
          <w:rtl/>
        </w:rPr>
        <w:t>سرية البيانات الجمركية والضريبية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(Smith, 2020).</w:t>
      </w:r>
    </w:p>
    <w:p w14:paraId="6F3E229E" w14:textId="77777777" w:rsidR="00202E2A" w:rsidRPr="00A92155" w:rsidRDefault="00202E2A">
      <w:pPr>
        <w:numPr>
          <w:ilvl w:val="0"/>
          <w:numId w:val="99"/>
        </w:numPr>
        <w:bidi/>
        <w:spacing w:line="240" w:lineRule="auto"/>
        <w:jc w:val="lowKashida"/>
        <w:rPr>
          <w:rFonts w:asciiTheme="majorBidi" w:hAnsiTheme="majorBidi" w:cstheme="majorBidi"/>
          <w:sz w:val="26"/>
          <w:szCs w:val="26"/>
        </w:rPr>
      </w:pPr>
      <w:r w:rsidRPr="00A92155">
        <w:rPr>
          <w:rFonts w:asciiTheme="majorBidi" w:hAnsiTheme="majorBidi" w:cstheme="majorBidi"/>
          <w:b/>
          <w:bCs/>
          <w:sz w:val="26"/>
          <w:szCs w:val="26"/>
          <w:rtl/>
        </w:rPr>
        <w:t>أمن السحابة الحكومية</w:t>
      </w:r>
      <w:r w:rsidRPr="00A92155">
        <w:rPr>
          <w:rFonts w:asciiTheme="majorBidi" w:hAnsiTheme="majorBidi" w:cstheme="majorBidi"/>
          <w:b/>
          <w:bCs/>
          <w:sz w:val="26"/>
          <w:szCs w:val="26"/>
        </w:rPr>
        <w:t>:</w:t>
      </w:r>
      <w:r w:rsidRPr="00A92155">
        <w:rPr>
          <w:rFonts w:asciiTheme="majorBidi" w:hAnsiTheme="majorBidi" w:cstheme="majorBidi"/>
          <w:sz w:val="26"/>
          <w:szCs w:val="26"/>
        </w:rPr>
        <w:t xml:space="preserve"> </w:t>
      </w:r>
      <w:r w:rsidRPr="00A92155">
        <w:rPr>
          <w:rFonts w:asciiTheme="majorBidi" w:hAnsiTheme="majorBidi" w:cstheme="majorBidi"/>
          <w:sz w:val="26"/>
          <w:szCs w:val="26"/>
          <w:rtl/>
        </w:rPr>
        <w:t>مع توجه</w:t>
      </w:r>
      <w:r w:rsidRPr="00A92155">
        <w:rPr>
          <w:rFonts w:asciiTheme="majorBidi" w:hAnsiTheme="majorBidi" w:cstheme="majorBidi"/>
          <w:sz w:val="26"/>
          <w:szCs w:val="26"/>
        </w:rPr>
        <w:t xml:space="preserve"> ZATCA </w:t>
      </w:r>
      <w:r w:rsidRPr="00A92155">
        <w:rPr>
          <w:rFonts w:asciiTheme="majorBidi" w:hAnsiTheme="majorBidi" w:cstheme="majorBidi"/>
          <w:sz w:val="26"/>
          <w:szCs w:val="26"/>
          <w:rtl/>
        </w:rPr>
        <w:t>نحو استخدام البنية التحتية السحابية</w:t>
      </w:r>
      <w:r w:rsidRPr="00A92155">
        <w:rPr>
          <w:rFonts w:asciiTheme="majorBidi" w:hAnsiTheme="majorBidi" w:cstheme="majorBidi"/>
          <w:sz w:val="26"/>
          <w:szCs w:val="26"/>
        </w:rPr>
        <w:t xml:space="preserve"> (</w:t>
      </w:r>
      <w:r w:rsidRPr="00A92155">
        <w:rPr>
          <w:rFonts w:asciiTheme="majorBidi" w:hAnsiTheme="majorBidi" w:cstheme="majorBidi"/>
          <w:b/>
          <w:bCs/>
          <w:sz w:val="26"/>
          <w:szCs w:val="26"/>
        </w:rPr>
        <w:t>Cloud Infrastructure</w:t>
      </w:r>
      <w:r w:rsidRPr="00A92155">
        <w:rPr>
          <w:rFonts w:asciiTheme="majorBidi" w:hAnsiTheme="majorBidi" w:cstheme="majorBidi"/>
          <w:sz w:val="26"/>
          <w:szCs w:val="26"/>
        </w:rPr>
        <w:t xml:space="preserve">) </w:t>
      </w:r>
      <w:r w:rsidRPr="00A92155">
        <w:rPr>
          <w:rFonts w:asciiTheme="majorBidi" w:hAnsiTheme="majorBidi" w:cstheme="majorBidi"/>
          <w:sz w:val="26"/>
          <w:szCs w:val="26"/>
          <w:rtl/>
        </w:rPr>
        <w:t>لدعم منصاتها الرقمية، يصبح تأمين هذه البيئة (وفقاً لإطار الأمن السحابي) أمراً حتمياً، ويشمل ذلك حماية واجهات برمجيات التطبيقات</w:t>
      </w:r>
      <w:r w:rsidRPr="00A92155">
        <w:rPr>
          <w:rFonts w:asciiTheme="majorBidi" w:hAnsiTheme="majorBidi" w:cstheme="majorBidi"/>
          <w:sz w:val="26"/>
          <w:szCs w:val="26"/>
        </w:rPr>
        <w:t xml:space="preserve"> (</w:t>
      </w:r>
      <w:r w:rsidRPr="00A92155">
        <w:rPr>
          <w:rFonts w:asciiTheme="majorBidi" w:hAnsiTheme="majorBidi" w:cstheme="majorBidi"/>
          <w:b/>
          <w:bCs/>
          <w:sz w:val="26"/>
          <w:szCs w:val="26"/>
        </w:rPr>
        <w:t>APIs</w:t>
      </w:r>
      <w:r w:rsidRPr="00A92155">
        <w:rPr>
          <w:rFonts w:asciiTheme="majorBidi" w:hAnsiTheme="majorBidi" w:cstheme="majorBidi"/>
          <w:sz w:val="26"/>
          <w:szCs w:val="26"/>
        </w:rPr>
        <w:t xml:space="preserve">) </w:t>
      </w:r>
      <w:r w:rsidRPr="00A92155">
        <w:rPr>
          <w:rFonts w:asciiTheme="majorBidi" w:hAnsiTheme="majorBidi" w:cstheme="majorBidi"/>
          <w:sz w:val="26"/>
          <w:szCs w:val="26"/>
          <w:rtl/>
        </w:rPr>
        <w:t>التي تربط بين الأنظمة المختلفة</w:t>
      </w:r>
      <w:r w:rsidRPr="00A92155">
        <w:rPr>
          <w:rFonts w:asciiTheme="majorBidi" w:hAnsiTheme="majorBidi" w:cstheme="majorBidi"/>
          <w:sz w:val="26"/>
          <w:szCs w:val="26"/>
        </w:rPr>
        <w:t xml:space="preserve"> (Hanelt et al., 2021).</w:t>
      </w:r>
    </w:p>
    <w:p w14:paraId="3DC2F133" w14:textId="77777777" w:rsidR="00202E2A" w:rsidRPr="00A92155" w:rsidRDefault="00202E2A" w:rsidP="00202E2A">
      <w:pPr>
        <w:bidi/>
        <w:spacing w:line="240" w:lineRule="auto"/>
        <w:jc w:val="lowKashida"/>
        <w:rPr>
          <w:rFonts w:asciiTheme="majorBidi" w:hAnsiTheme="majorBidi" w:cstheme="majorBidi"/>
          <w:sz w:val="26"/>
          <w:szCs w:val="26"/>
        </w:rPr>
      </w:pPr>
      <w:r w:rsidRPr="00A92155">
        <w:rPr>
          <w:rFonts w:asciiTheme="majorBidi" w:hAnsiTheme="majorBidi" w:cs="PT Bold Heading" w:hint="cs"/>
          <w:b/>
          <w:bCs/>
          <w:color w:val="000000" w:themeColor="text1"/>
          <w:sz w:val="26"/>
          <w:szCs w:val="26"/>
          <w:rtl/>
        </w:rPr>
        <w:t>2.3.7.2</w:t>
      </w:r>
      <w:r w:rsidRPr="00A92155">
        <w:rPr>
          <w:rFonts w:asciiTheme="majorBidi" w:hAnsiTheme="majorBidi" w:cs="PT Bold Heading"/>
          <w:b/>
          <w:bCs/>
          <w:color w:val="000000" w:themeColor="text1"/>
          <w:sz w:val="26"/>
          <w:szCs w:val="26"/>
        </w:rPr>
        <w:t xml:space="preserve"> </w:t>
      </w:r>
      <w:r w:rsidRPr="00A92155">
        <w:rPr>
          <w:rFonts w:asciiTheme="majorBidi" w:hAnsiTheme="majorBidi" w:cs="PT Bold Heading"/>
          <w:b/>
          <w:bCs/>
          <w:color w:val="000000" w:themeColor="text1"/>
          <w:sz w:val="26"/>
          <w:szCs w:val="26"/>
          <w:rtl/>
        </w:rPr>
        <w:t>الذكاء الاصطناعي الوقائي في الدفاع السيبراني</w:t>
      </w:r>
      <w:r w:rsidRPr="00A92155">
        <w:rPr>
          <w:rFonts w:asciiTheme="majorBidi" w:hAnsiTheme="majorBidi" w:cs="PT Bold Heading"/>
          <w:b/>
          <w:bCs/>
          <w:color w:val="000000" w:themeColor="text1"/>
          <w:sz w:val="26"/>
          <w:szCs w:val="26"/>
        </w:rPr>
        <w:t xml:space="preserve"> (Preventive AI)</w:t>
      </w:r>
    </w:p>
    <w:p w14:paraId="7AABF748" w14:textId="77777777" w:rsidR="00202E2A" w:rsidRPr="00A92155" w:rsidRDefault="00202E2A">
      <w:pPr>
        <w:numPr>
          <w:ilvl w:val="0"/>
          <w:numId w:val="100"/>
        </w:numPr>
        <w:bidi/>
        <w:spacing w:line="240" w:lineRule="auto"/>
        <w:jc w:val="lowKashida"/>
        <w:rPr>
          <w:rFonts w:asciiTheme="majorBidi" w:hAnsiTheme="majorBidi" w:cstheme="majorBidi"/>
          <w:sz w:val="26"/>
          <w:szCs w:val="26"/>
        </w:rPr>
      </w:pPr>
      <w:r w:rsidRPr="00A92155">
        <w:rPr>
          <w:rFonts w:asciiTheme="majorBidi" w:hAnsiTheme="majorBidi" w:cstheme="majorBidi"/>
          <w:b/>
          <w:bCs/>
          <w:sz w:val="26"/>
          <w:szCs w:val="26"/>
          <w:rtl/>
        </w:rPr>
        <w:t>الذكاء الاصطناعي للكشف عن التهديدات</w:t>
      </w:r>
      <w:r w:rsidRPr="00A92155">
        <w:rPr>
          <w:rFonts w:asciiTheme="majorBidi" w:hAnsiTheme="majorBidi" w:cstheme="majorBidi"/>
          <w:b/>
          <w:bCs/>
          <w:sz w:val="26"/>
          <w:szCs w:val="26"/>
        </w:rPr>
        <w:t xml:space="preserve"> (AI-Driven Threat Detection):</w:t>
      </w:r>
      <w:r w:rsidRPr="00A92155">
        <w:rPr>
          <w:rFonts w:asciiTheme="majorBidi" w:hAnsiTheme="majorBidi" w:cstheme="majorBidi"/>
          <w:sz w:val="26"/>
          <w:szCs w:val="26"/>
        </w:rPr>
        <w:t xml:space="preserve"> </w:t>
      </w:r>
      <w:r w:rsidRPr="00A92155">
        <w:rPr>
          <w:rFonts w:asciiTheme="majorBidi" w:hAnsiTheme="majorBidi" w:cstheme="majorBidi"/>
          <w:sz w:val="26"/>
          <w:szCs w:val="26"/>
          <w:rtl/>
        </w:rPr>
        <w:t>يُستخدم الذكاء الاصطناعي في تحليل أنماط حركة المرور الشبكية والسلوكيات الشاذة</w:t>
      </w:r>
      <w:r w:rsidRPr="00A92155">
        <w:rPr>
          <w:rFonts w:asciiTheme="majorBidi" w:hAnsiTheme="majorBidi" w:cstheme="majorBidi"/>
          <w:sz w:val="26"/>
          <w:szCs w:val="26"/>
        </w:rPr>
        <w:t xml:space="preserve"> (</w:t>
      </w:r>
      <w:r w:rsidRPr="00A92155">
        <w:rPr>
          <w:rFonts w:asciiTheme="majorBidi" w:hAnsiTheme="majorBidi" w:cstheme="majorBidi"/>
          <w:b/>
          <w:bCs/>
          <w:sz w:val="26"/>
          <w:szCs w:val="26"/>
        </w:rPr>
        <w:t>Anomaly Detection</w:t>
      </w:r>
      <w:r w:rsidRPr="00A92155">
        <w:rPr>
          <w:rFonts w:asciiTheme="majorBidi" w:hAnsiTheme="majorBidi" w:cstheme="majorBidi"/>
          <w:sz w:val="26"/>
          <w:szCs w:val="26"/>
        </w:rPr>
        <w:t xml:space="preserve">) </w:t>
      </w:r>
      <w:r w:rsidRPr="00A92155">
        <w:rPr>
          <w:rFonts w:asciiTheme="majorBidi" w:hAnsiTheme="majorBidi" w:cstheme="majorBidi"/>
          <w:sz w:val="26"/>
          <w:szCs w:val="26"/>
          <w:rtl/>
        </w:rPr>
        <w:t>للموظفين والمستفيدين في الوقت الفعلي. هذا يسمح بالتصدي لهجمات الفدية الرقمية</w:t>
      </w:r>
      <w:r w:rsidRPr="00A92155">
        <w:rPr>
          <w:rFonts w:asciiTheme="majorBidi" w:hAnsiTheme="majorBidi" w:cstheme="majorBidi"/>
          <w:sz w:val="26"/>
          <w:szCs w:val="26"/>
        </w:rPr>
        <w:t xml:space="preserve"> (</w:t>
      </w:r>
      <w:r w:rsidRPr="00A92155">
        <w:rPr>
          <w:rFonts w:asciiTheme="majorBidi" w:hAnsiTheme="majorBidi" w:cstheme="majorBidi"/>
          <w:b/>
          <w:bCs/>
          <w:sz w:val="26"/>
          <w:szCs w:val="26"/>
        </w:rPr>
        <w:t>Ransomware</w:t>
      </w:r>
      <w:r w:rsidRPr="00A92155">
        <w:rPr>
          <w:rFonts w:asciiTheme="majorBidi" w:hAnsiTheme="majorBidi" w:cstheme="majorBidi"/>
          <w:sz w:val="26"/>
          <w:szCs w:val="26"/>
        </w:rPr>
        <w:t xml:space="preserve">) </w:t>
      </w:r>
      <w:r w:rsidRPr="00A92155">
        <w:rPr>
          <w:rFonts w:asciiTheme="majorBidi" w:hAnsiTheme="majorBidi" w:cstheme="majorBidi"/>
          <w:sz w:val="26"/>
          <w:szCs w:val="26"/>
          <w:rtl/>
        </w:rPr>
        <w:t>والهجمات الموجهة قبل أن تتمكن من إلحاق الضرر بالأنظمة الحيوية</w:t>
      </w:r>
      <w:r w:rsidRPr="00A92155">
        <w:rPr>
          <w:rFonts w:asciiTheme="majorBidi" w:hAnsiTheme="majorBidi" w:cstheme="majorBidi"/>
          <w:sz w:val="26"/>
          <w:szCs w:val="26"/>
        </w:rPr>
        <w:t xml:space="preserve"> (PwC, 2023).</w:t>
      </w:r>
    </w:p>
    <w:p w14:paraId="323A897B" w14:textId="77777777" w:rsidR="00202E2A" w:rsidRPr="00A92155" w:rsidRDefault="00202E2A">
      <w:pPr>
        <w:numPr>
          <w:ilvl w:val="0"/>
          <w:numId w:val="100"/>
        </w:numPr>
        <w:bidi/>
        <w:spacing w:line="240" w:lineRule="auto"/>
        <w:jc w:val="lowKashida"/>
        <w:rPr>
          <w:rFonts w:asciiTheme="majorBidi" w:hAnsiTheme="majorBidi" w:cstheme="majorBidi"/>
          <w:sz w:val="26"/>
          <w:szCs w:val="26"/>
        </w:rPr>
      </w:pPr>
      <w:r w:rsidRPr="00A92155">
        <w:rPr>
          <w:rFonts w:asciiTheme="majorBidi" w:hAnsiTheme="majorBidi" w:cstheme="majorBidi"/>
          <w:b/>
          <w:bCs/>
          <w:sz w:val="26"/>
          <w:szCs w:val="26"/>
          <w:rtl/>
        </w:rPr>
        <w:t>الأتمتة الأمنية</w:t>
      </w:r>
      <w:r w:rsidRPr="00A92155">
        <w:rPr>
          <w:rFonts w:asciiTheme="majorBidi" w:hAnsiTheme="majorBidi" w:cstheme="majorBidi"/>
          <w:b/>
          <w:bCs/>
          <w:sz w:val="26"/>
          <w:szCs w:val="26"/>
        </w:rPr>
        <w:t xml:space="preserve"> (SOAR):</w:t>
      </w:r>
      <w:r w:rsidRPr="00A92155">
        <w:rPr>
          <w:rFonts w:asciiTheme="majorBidi" w:hAnsiTheme="majorBidi" w:cstheme="majorBidi"/>
          <w:sz w:val="26"/>
          <w:szCs w:val="26"/>
        </w:rPr>
        <w:t xml:space="preserve"> </w:t>
      </w:r>
      <w:r w:rsidRPr="00A92155">
        <w:rPr>
          <w:rFonts w:asciiTheme="majorBidi" w:hAnsiTheme="majorBidi" w:cstheme="majorBidi"/>
          <w:sz w:val="26"/>
          <w:szCs w:val="26"/>
          <w:rtl/>
        </w:rPr>
        <w:t xml:space="preserve">تستخدم أنظمة </w:t>
      </w:r>
      <w:r w:rsidRPr="00A92155">
        <w:rPr>
          <w:rFonts w:asciiTheme="majorBidi" w:hAnsiTheme="majorBidi" w:cstheme="majorBidi"/>
          <w:b/>
          <w:bCs/>
          <w:sz w:val="26"/>
          <w:szCs w:val="26"/>
          <w:rtl/>
        </w:rPr>
        <w:t>الأتمتة وتنسيق الاستجابة الأمنية</w:t>
      </w:r>
      <w:r w:rsidRPr="00A92155">
        <w:rPr>
          <w:rFonts w:asciiTheme="majorBidi" w:hAnsiTheme="majorBidi" w:cstheme="majorBidi"/>
          <w:b/>
          <w:bCs/>
          <w:sz w:val="26"/>
          <w:szCs w:val="26"/>
        </w:rPr>
        <w:t xml:space="preserve"> (SOAR)</w:t>
      </w:r>
      <w:r w:rsidRPr="00A92155">
        <w:rPr>
          <w:rFonts w:asciiTheme="majorBidi" w:hAnsiTheme="majorBidi" w:cstheme="majorBidi"/>
          <w:sz w:val="26"/>
          <w:szCs w:val="26"/>
        </w:rPr>
        <w:t xml:space="preserve"> </w:t>
      </w:r>
      <w:r w:rsidRPr="00A92155">
        <w:rPr>
          <w:rFonts w:asciiTheme="majorBidi" w:hAnsiTheme="majorBidi" w:cstheme="majorBidi"/>
          <w:sz w:val="26"/>
          <w:szCs w:val="26"/>
          <w:rtl/>
        </w:rPr>
        <w:t>الذكاء الاصطناعي لتنفيذ إجراءات الاستجابة للحوادث بشكل أوتوماتيكي (مثل عزل جهاز مخترق أو حجب مصدر تهديد معروف)، مما يُقلل من زمن الاستجابة ويعزز الكفاءة الأمنية (البُعد التشغيلي)</w:t>
      </w:r>
      <w:r w:rsidRPr="00A92155">
        <w:rPr>
          <w:rFonts w:asciiTheme="majorBidi" w:hAnsiTheme="majorBidi" w:cstheme="majorBidi"/>
          <w:sz w:val="26"/>
          <w:szCs w:val="26"/>
        </w:rPr>
        <w:t xml:space="preserve"> (Smith, 2020).</w:t>
      </w:r>
    </w:p>
    <w:p w14:paraId="0AB90522"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hint="cs"/>
          <w:b/>
          <w:bCs/>
          <w:color w:val="000000" w:themeColor="text1"/>
          <w:sz w:val="26"/>
          <w:szCs w:val="26"/>
          <w:rtl/>
        </w:rPr>
        <w:t>2.3.8</w:t>
      </w:r>
      <w:r w:rsidRPr="00A92155">
        <w:rPr>
          <w:rFonts w:asciiTheme="majorBidi" w:hAnsiTheme="majorBidi" w:cs="PT Bold Heading"/>
          <w:b/>
          <w:bCs/>
          <w:color w:val="000000" w:themeColor="text1"/>
          <w:sz w:val="26"/>
          <w:szCs w:val="26"/>
          <w:rtl/>
        </w:rPr>
        <w:t xml:space="preserve"> نماذج تقييم النضج الأمني وتكامل الأبعاد</w:t>
      </w:r>
    </w:p>
    <w:p w14:paraId="7706ADD5"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يُشكل النجاح في الأبعاد الخمسة المذكورة منظومة متكاملة لـ "تعزيز الأمن" تُقاس بنماذج دولية ووطنية (</w:t>
      </w:r>
      <w:r w:rsidRPr="00A92155">
        <w:rPr>
          <w:rFonts w:asciiTheme="majorBidi" w:hAnsiTheme="majorBidi" w:cstheme="majorBidi"/>
          <w:sz w:val="26"/>
          <w:szCs w:val="26"/>
        </w:rPr>
        <w:t>Vial, 2019</w:t>
      </w:r>
      <w:r w:rsidRPr="00A92155">
        <w:rPr>
          <w:rFonts w:asciiTheme="majorBidi" w:hAnsiTheme="majorBidi" w:cstheme="majorBidi"/>
          <w:sz w:val="26"/>
          <w:szCs w:val="26"/>
          <w:rtl/>
        </w:rPr>
        <w:t>):</w:t>
      </w:r>
    </w:p>
    <w:p w14:paraId="5647C554" w14:textId="77777777" w:rsidR="00202E2A" w:rsidRPr="00A92155" w:rsidRDefault="00202E2A">
      <w:pPr>
        <w:numPr>
          <w:ilvl w:val="0"/>
          <w:numId w:val="94"/>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إطار المعهد الوطني للمعايير والتقنية (</w:t>
      </w:r>
      <w:r w:rsidRPr="00A92155">
        <w:rPr>
          <w:rFonts w:asciiTheme="majorBidi" w:hAnsiTheme="majorBidi" w:cstheme="majorBidi"/>
          <w:b/>
          <w:bCs/>
          <w:sz w:val="26"/>
          <w:szCs w:val="26"/>
        </w:rPr>
        <w:t>NIST Cybersecurity Framework</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يوفر منهجية لـ التحسين المستمر (</w:t>
      </w:r>
      <w:r w:rsidRPr="00A92155">
        <w:rPr>
          <w:rFonts w:asciiTheme="majorBidi" w:hAnsiTheme="majorBidi" w:cstheme="majorBidi"/>
          <w:sz w:val="26"/>
          <w:szCs w:val="26"/>
        </w:rPr>
        <w:t>Continuous Improvement</w:t>
      </w:r>
      <w:r w:rsidRPr="00A92155">
        <w:rPr>
          <w:rFonts w:asciiTheme="majorBidi" w:hAnsiTheme="majorBidi" w:cstheme="majorBidi"/>
          <w:sz w:val="26"/>
          <w:szCs w:val="26"/>
          <w:rtl/>
        </w:rPr>
        <w:t xml:space="preserve">) على خمس وظائف: التعريف، الحماية، الكشف، الاستجابة، والتعافي. يساعد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على تقييم نضج قدرتها على اكتشاف (</w:t>
      </w:r>
      <w:r w:rsidRPr="00A92155">
        <w:rPr>
          <w:rFonts w:asciiTheme="majorBidi" w:hAnsiTheme="majorBidi" w:cstheme="majorBidi"/>
          <w:sz w:val="26"/>
          <w:szCs w:val="26"/>
        </w:rPr>
        <w:t>Detect</w:t>
      </w:r>
      <w:r w:rsidRPr="00A92155">
        <w:rPr>
          <w:rFonts w:asciiTheme="majorBidi" w:hAnsiTheme="majorBidi" w:cstheme="majorBidi"/>
          <w:sz w:val="26"/>
          <w:szCs w:val="26"/>
          <w:rtl/>
        </w:rPr>
        <w:t>) التهديدات وقياس كفاءة الاستجابة (</w:t>
      </w:r>
      <w:r w:rsidRPr="00A92155">
        <w:rPr>
          <w:rFonts w:asciiTheme="majorBidi" w:hAnsiTheme="majorBidi" w:cstheme="majorBidi"/>
          <w:sz w:val="26"/>
          <w:szCs w:val="26"/>
        </w:rPr>
        <w:t>Respond</w:t>
      </w:r>
      <w:r w:rsidRPr="00A92155">
        <w:rPr>
          <w:rFonts w:asciiTheme="majorBidi" w:hAnsiTheme="majorBidi" w:cstheme="majorBidi"/>
          <w:sz w:val="26"/>
          <w:szCs w:val="26"/>
          <w:rtl/>
        </w:rPr>
        <w:t>) (</w:t>
      </w:r>
      <w:r w:rsidRPr="00A92155">
        <w:rPr>
          <w:rFonts w:asciiTheme="majorBidi" w:hAnsiTheme="majorBidi" w:cstheme="majorBidi"/>
          <w:sz w:val="26"/>
          <w:szCs w:val="26"/>
        </w:rPr>
        <w:t>Smith, 2020</w:t>
      </w:r>
      <w:r w:rsidRPr="00A92155">
        <w:rPr>
          <w:rFonts w:asciiTheme="majorBidi" w:hAnsiTheme="majorBidi" w:cstheme="majorBidi"/>
          <w:sz w:val="26"/>
          <w:szCs w:val="26"/>
          <w:rtl/>
        </w:rPr>
        <w:t>).</w:t>
      </w:r>
    </w:p>
    <w:p w14:paraId="1A6A1896" w14:textId="77777777" w:rsidR="00202E2A" w:rsidRPr="00A92155" w:rsidRDefault="00202E2A">
      <w:pPr>
        <w:numPr>
          <w:ilvl w:val="0"/>
          <w:numId w:val="94"/>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معايير الأيزو 27001 (</w:t>
      </w:r>
      <w:r w:rsidRPr="00A92155">
        <w:rPr>
          <w:rFonts w:asciiTheme="majorBidi" w:hAnsiTheme="majorBidi" w:cstheme="majorBidi"/>
          <w:b/>
          <w:bCs/>
          <w:sz w:val="26"/>
          <w:szCs w:val="26"/>
        </w:rPr>
        <w:t>ISO/IEC 27001</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يركز على وضع نظام إدارة أمن المعلومات (</w:t>
      </w:r>
      <w:r w:rsidRPr="00A92155">
        <w:rPr>
          <w:rFonts w:asciiTheme="majorBidi" w:hAnsiTheme="majorBidi" w:cstheme="majorBidi"/>
          <w:sz w:val="26"/>
          <w:szCs w:val="26"/>
        </w:rPr>
        <w:t>ISMS</w:t>
      </w:r>
      <w:r w:rsidRPr="00A92155">
        <w:rPr>
          <w:rFonts w:asciiTheme="majorBidi" w:hAnsiTheme="majorBidi" w:cstheme="majorBidi"/>
          <w:sz w:val="26"/>
          <w:szCs w:val="26"/>
          <w:rtl/>
        </w:rPr>
        <w:t>)، ويضمن اعتماد الهيئة لهذا المعيار أن البيانات محمية وفقاً لأعلى المعايير العالمية، مما يعزز الثقة في البيئة التجارية السعودية (</w:t>
      </w:r>
      <w:r w:rsidRPr="00A92155">
        <w:rPr>
          <w:rFonts w:asciiTheme="majorBidi" w:hAnsiTheme="majorBidi" w:cstheme="majorBidi"/>
          <w:sz w:val="26"/>
          <w:szCs w:val="26"/>
        </w:rPr>
        <w:t>Almarzooqi et al., 2021</w:t>
      </w:r>
      <w:r w:rsidRPr="00A92155">
        <w:rPr>
          <w:rFonts w:asciiTheme="majorBidi" w:hAnsiTheme="majorBidi" w:cstheme="majorBidi"/>
          <w:sz w:val="26"/>
          <w:szCs w:val="26"/>
          <w:rtl/>
        </w:rPr>
        <w:t>).</w:t>
      </w:r>
    </w:p>
    <w:p w14:paraId="733DE9A3" w14:textId="77777777" w:rsidR="00202E2A" w:rsidRPr="00A92155" w:rsidRDefault="00202E2A">
      <w:pPr>
        <w:numPr>
          <w:ilvl w:val="0"/>
          <w:numId w:val="94"/>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نموذج النضج السيبراني الوطني (</w:t>
      </w:r>
      <w:r w:rsidRPr="00A92155">
        <w:rPr>
          <w:rFonts w:asciiTheme="majorBidi" w:hAnsiTheme="majorBidi" w:cstheme="majorBidi"/>
          <w:b/>
          <w:bCs/>
          <w:sz w:val="26"/>
          <w:szCs w:val="26"/>
        </w:rPr>
        <w:t>NCA Cyber Maturity Models</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تُلزم الهيئة الوطنية للأمن السيبراني المؤسسات الحيوية في المملكة بتطبيق ضوابط محددة لرفع النضج السيبراني، لضمان الامتثال التنظيمي ورفع النضج على المستوى الوطني.</w:t>
      </w:r>
    </w:p>
    <w:p w14:paraId="2939066E"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hint="cs"/>
          <w:b/>
          <w:bCs/>
          <w:color w:val="000000" w:themeColor="text1"/>
          <w:sz w:val="26"/>
          <w:szCs w:val="26"/>
          <w:rtl/>
        </w:rPr>
        <w:t>2.3.9</w:t>
      </w:r>
      <w:r w:rsidRPr="00A92155">
        <w:rPr>
          <w:rFonts w:asciiTheme="majorBidi" w:hAnsiTheme="majorBidi" w:cs="PT Bold Heading"/>
          <w:b/>
          <w:bCs/>
          <w:color w:val="000000" w:themeColor="text1"/>
          <w:sz w:val="26"/>
          <w:szCs w:val="26"/>
          <w:rtl/>
        </w:rPr>
        <w:t xml:space="preserve"> التكامل بين الأمن الاقتصادي والأمن الرقمي في تحقيق التنمية المستدامة</w:t>
      </w:r>
    </w:p>
    <w:p w14:paraId="0BB8795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يُختتم المبحث بالتأكيد على الترابط النهائي بين "تعزيز الأمن" ونتائجه الاستراتيجية على المستوى الوطني. لا يُعد الأمن الاقتصادي (حماية الإيرادات) والأمن الرقمي هدفين منفصلين، بل هما وجهان لعملة واحدة (</w:t>
      </w:r>
      <w:r w:rsidRPr="00A92155">
        <w:rPr>
          <w:rFonts w:asciiTheme="majorBidi" w:hAnsiTheme="majorBidi" w:cstheme="majorBidi"/>
          <w:sz w:val="26"/>
          <w:szCs w:val="26"/>
        </w:rPr>
        <w:t>World Bank, 2020</w:t>
      </w:r>
      <w:r w:rsidRPr="00A92155">
        <w:rPr>
          <w:rFonts w:asciiTheme="majorBidi" w:hAnsiTheme="majorBidi" w:cstheme="majorBidi"/>
          <w:sz w:val="26"/>
          <w:szCs w:val="26"/>
          <w:rtl/>
        </w:rPr>
        <w:t>).</w:t>
      </w:r>
    </w:p>
    <w:p w14:paraId="3F12B340" w14:textId="77777777" w:rsidR="00202E2A" w:rsidRPr="00A92155" w:rsidRDefault="00202E2A">
      <w:pPr>
        <w:numPr>
          <w:ilvl w:val="0"/>
          <w:numId w:val="95"/>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lastRenderedPageBreak/>
        <w:t>الأمن الرقمي كضامن للاستدامة الاقتصادية:</w:t>
      </w:r>
      <w:r w:rsidRPr="00A92155">
        <w:rPr>
          <w:rFonts w:asciiTheme="majorBidi" w:hAnsiTheme="majorBidi" w:cstheme="majorBidi"/>
          <w:sz w:val="26"/>
          <w:szCs w:val="26"/>
          <w:rtl/>
        </w:rPr>
        <w:t xml:space="preserve"> إن "تعزيز الأمن" يضمن أن تكون أنظمة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قادرة على الصمود (</w:t>
      </w:r>
      <w:r w:rsidRPr="00A92155">
        <w:rPr>
          <w:rFonts w:asciiTheme="majorBidi" w:hAnsiTheme="majorBidi" w:cstheme="majorBidi"/>
          <w:sz w:val="26"/>
          <w:szCs w:val="26"/>
        </w:rPr>
        <w:t>Resilience</w:t>
      </w:r>
      <w:r w:rsidRPr="00A92155">
        <w:rPr>
          <w:rFonts w:asciiTheme="majorBidi" w:hAnsiTheme="majorBidi" w:cstheme="majorBidi"/>
          <w:sz w:val="26"/>
          <w:szCs w:val="26"/>
          <w:rtl/>
        </w:rPr>
        <w:t xml:space="preserve">) أمام الهجمات التي تستهدف وقف تحصيل الإيرادات، مما يضمن استدامة الإيرادات الحكومية الضرورية لتمويل مشاريع </w:t>
      </w:r>
      <w:r w:rsidRPr="00A92155">
        <w:rPr>
          <w:rFonts w:asciiTheme="majorBidi" w:hAnsiTheme="majorBidi" w:cstheme="majorBidi"/>
          <w:b/>
          <w:bCs/>
          <w:sz w:val="26"/>
          <w:szCs w:val="26"/>
          <w:rtl/>
        </w:rPr>
        <w:t>رؤية 2030</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United Nations, 2023</w:t>
      </w:r>
      <w:r w:rsidRPr="00A92155">
        <w:rPr>
          <w:rFonts w:asciiTheme="majorBidi" w:hAnsiTheme="majorBidi" w:cstheme="majorBidi"/>
          <w:sz w:val="26"/>
          <w:szCs w:val="26"/>
          <w:rtl/>
        </w:rPr>
        <w:t>).</w:t>
      </w:r>
    </w:p>
    <w:p w14:paraId="4B737923" w14:textId="77777777" w:rsidR="00202E2A" w:rsidRPr="00A92155" w:rsidRDefault="00202E2A">
      <w:pPr>
        <w:numPr>
          <w:ilvl w:val="0"/>
          <w:numId w:val="95"/>
        </w:numPr>
        <w:bidi/>
        <w:spacing w:line="240" w:lineRule="auto"/>
        <w:jc w:val="lowKashida"/>
        <w:rPr>
          <w:rFonts w:asciiTheme="majorBidi" w:hAnsiTheme="majorBidi" w:cstheme="majorBidi"/>
          <w:sz w:val="26"/>
          <w:szCs w:val="26"/>
        </w:rPr>
      </w:pPr>
      <w:r w:rsidRPr="00A92155">
        <w:rPr>
          <w:rFonts w:asciiTheme="majorBidi" w:hAnsiTheme="majorBidi" w:cstheme="majorBidi"/>
          <w:b/>
          <w:bCs/>
          <w:sz w:val="26"/>
          <w:szCs w:val="26"/>
          <w:rtl/>
        </w:rPr>
        <w:t>الأمن الرقمي كمحفز للتجارة:</w:t>
      </w:r>
      <w:r w:rsidRPr="00A92155">
        <w:rPr>
          <w:rFonts w:asciiTheme="majorBidi" w:hAnsiTheme="majorBidi" w:cstheme="majorBidi"/>
          <w:sz w:val="26"/>
          <w:szCs w:val="26"/>
          <w:rtl/>
        </w:rPr>
        <w:t xml:space="preserve"> من منظور تيسير التجارة، فإن استخدام التقنيات الآمنة والمتقدمة في الرقابة الجمركية، يقلل من زمن التخليص ويحسن من كفاءة العمليات، مما يُعزز من جاذبية المملكة كمركز لوجستي آمن وموثوق (</w:t>
      </w:r>
      <w:r w:rsidRPr="00A92155">
        <w:rPr>
          <w:rFonts w:asciiTheme="majorBidi" w:hAnsiTheme="majorBidi" w:cstheme="majorBidi"/>
          <w:sz w:val="26"/>
          <w:szCs w:val="26"/>
        </w:rPr>
        <w:t>OECD, 2018</w:t>
      </w:r>
      <w:r w:rsidRPr="00A92155">
        <w:rPr>
          <w:rFonts w:asciiTheme="majorBidi" w:hAnsiTheme="majorBidi" w:cstheme="majorBidi"/>
          <w:sz w:val="26"/>
          <w:szCs w:val="26"/>
          <w:rtl/>
        </w:rPr>
        <w:t>).</w:t>
      </w:r>
    </w:p>
    <w:p w14:paraId="27FB1A38"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Pr>
      </w:pPr>
      <w:r w:rsidRPr="00A92155">
        <w:rPr>
          <w:rFonts w:asciiTheme="majorBidi" w:hAnsiTheme="majorBidi" w:cs="PT Bold Heading" w:hint="cs"/>
          <w:b/>
          <w:bCs/>
          <w:color w:val="000000" w:themeColor="text1"/>
          <w:sz w:val="26"/>
          <w:szCs w:val="26"/>
          <w:rtl/>
        </w:rPr>
        <w:t>2.3.10</w:t>
      </w:r>
      <w:r w:rsidRPr="00A92155">
        <w:rPr>
          <w:rFonts w:asciiTheme="majorBidi" w:hAnsiTheme="majorBidi" w:cs="PT Bold Heading"/>
          <w:b/>
          <w:bCs/>
          <w:color w:val="000000" w:themeColor="text1"/>
          <w:sz w:val="26"/>
          <w:szCs w:val="26"/>
        </w:rPr>
        <w:t xml:space="preserve"> </w:t>
      </w:r>
      <w:r w:rsidRPr="00A92155">
        <w:rPr>
          <w:rFonts w:asciiTheme="majorBidi" w:hAnsiTheme="majorBidi" w:cs="PT Bold Heading"/>
          <w:b/>
          <w:bCs/>
          <w:color w:val="000000" w:themeColor="text1"/>
          <w:sz w:val="26"/>
          <w:szCs w:val="26"/>
          <w:rtl/>
        </w:rPr>
        <w:t>التحديات السيبرانية في المملكة والأثر على</w:t>
      </w:r>
      <w:r w:rsidRPr="00A92155">
        <w:rPr>
          <w:rFonts w:asciiTheme="majorBidi" w:hAnsiTheme="majorBidi" w:cs="PT Bold Heading"/>
          <w:b/>
          <w:bCs/>
          <w:color w:val="000000" w:themeColor="text1"/>
          <w:sz w:val="26"/>
          <w:szCs w:val="26"/>
        </w:rPr>
        <w:t xml:space="preserve"> ZATCA</w:t>
      </w:r>
    </w:p>
    <w:p w14:paraId="67299C66" w14:textId="77777777" w:rsidR="00202E2A" w:rsidRPr="00A92155" w:rsidRDefault="00202E2A" w:rsidP="00202E2A">
      <w:pPr>
        <w:bidi/>
        <w:spacing w:line="240" w:lineRule="auto"/>
        <w:jc w:val="lowKashida"/>
        <w:rPr>
          <w:rFonts w:asciiTheme="majorBidi" w:hAnsiTheme="majorBidi" w:cstheme="majorBidi"/>
          <w:sz w:val="26"/>
          <w:szCs w:val="26"/>
        </w:rPr>
      </w:pPr>
      <w:r w:rsidRPr="00A92155">
        <w:rPr>
          <w:rFonts w:asciiTheme="majorBidi" w:hAnsiTheme="majorBidi" w:cstheme="majorBidi"/>
          <w:sz w:val="26"/>
          <w:szCs w:val="26"/>
          <w:rtl/>
        </w:rPr>
        <w:t>تُعد المملكة من بين أكثر دول المنطقة استهدافاً بالهجمات السيبرانية، وهذا يفرض تحديات كبيرة تؤثر على قدرة</w:t>
      </w:r>
      <w:r w:rsidRPr="00A92155">
        <w:rPr>
          <w:rFonts w:asciiTheme="majorBidi" w:hAnsiTheme="majorBidi" w:cstheme="majorBidi"/>
          <w:sz w:val="26"/>
          <w:szCs w:val="26"/>
        </w:rPr>
        <w:t xml:space="preserve"> ZATCA </w:t>
      </w:r>
      <w:r w:rsidRPr="00A92155">
        <w:rPr>
          <w:rFonts w:asciiTheme="majorBidi" w:hAnsiTheme="majorBidi" w:cstheme="majorBidi"/>
          <w:sz w:val="26"/>
          <w:szCs w:val="26"/>
          <w:rtl/>
        </w:rPr>
        <w:t>على تحقيق "تعزيز الأمن" بكفاءة</w:t>
      </w:r>
      <w:r w:rsidRPr="00A92155">
        <w:rPr>
          <w:rFonts w:asciiTheme="majorBidi" w:hAnsiTheme="majorBidi" w:cstheme="majorBidi"/>
          <w:sz w:val="26"/>
          <w:szCs w:val="26"/>
        </w:rPr>
        <w:t xml:space="preserve"> (Almarzooqi et al., 2021).</w:t>
      </w:r>
    </w:p>
    <w:p w14:paraId="4261EEE3" w14:textId="77777777" w:rsidR="00202E2A" w:rsidRPr="00A92155" w:rsidRDefault="00202E2A">
      <w:pPr>
        <w:numPr>
          <w:ilvl w:val="0"/>
          <w:numId w:val="96"/>
        </w:numPr>
        <w:bidi/>
        <w:spacing w:line="240" w:lineRule="auto"/>
        <w:jc w:val="lowKashida"/>
        <w:rPr>
          <w:rFonts w:asciiTheme="majorBidi" w:hAnsiTheme="majorBidi" w:cstheme="majorBidi"/>
          <w:sz w:val="26"/>
          <w:szCs w:val="26"/>
        </w:rPr>
      </w:pPr>
      <w:r w:rsidRPr="00A92155">
        <w:rPr>
          <w:rFonts w:asciiTheme="majorBidi" w:hAnsiTheme="majorBidi" w:cstheme="majorBidi"/>
          <w:b/>
          <w:bCs/>
          <w:sz w:val="26"/>
          <w:szCs w:val="26"/>
          <w:rtl/>
        </w:rPr>
        <w:t>برامج الفدية والتجسس الصناعي</w:t>
      </w:r>
      <w:r w:rsidRPr="00A92155">
        <w:rPr>
          <w:rFonts w:asciiTheme="majorBidi" w:hAnsiTheme="majorBidi" w:cstheme="majorBidi"/>
          <w:b/>
          <w:bCs/>
          <w:sz w:val="26"/>
          <w:szCs w:val="26"/>
        </w:rPr>
        <w:t xml:space="preserve"> (Ransomware and Industrial Espionage):</w:t>
      </w:r>
      <w:r w:rsidRPr="00A92155">
        <w:rPr>
          <w:rFonts w:asciiTheme="majorBidi" w:hAnsiTheme="majorBidi" w:cstheme="majorBidi"/>
          <w:sz w:val="26"/>
          <w:szCs w:val="26"/>
        </w:rPr>
        <w:t xml:space="preserve"> </w:t>
      </w:r>
      <w:r w:rsidRPr="00A92155">
        <w:rPr>
          <w:rFonts w:asciiTheme="majorBidi" w:hAnsiTheme="majorBidi" w:cstheme="majorBidi"/>
          <w:sz w:val="26"/>
          <w:szCs w:val="26"/>
          <w:rtl/>
        </w:rPr>
        <w:t>تُشكل هجمات برامج الفدية تهديداً مزدوجاً لـ</w:t>
      </w:r>
      <w:r w:rsidRPr="00A92155">
        <w:rPr>
          <w:rFonts w:asciiTheme="majorBidi" w:hAnsiTheme="majorBidi" w:cstheme="majorBidi"/>
          <w:sz w:val="26"/>
          <w:szCs w:val="26"/>
        </w:rPr>
        <w:t xml:space="preserve"> ZATCA</w:t>
      </w:r>
      <w:r w:rsidRPr="00A92155">
        <w:rPr>
          <w:rFonts w:asciiTheme="majorBidi" w:hAnsiTheme="majorBidi" w:cstheme="majorBidi"/>
          <w:sz w:val="26"/>
          <w:szCs w:val="26"/>
          <w:rtl/>
        </w:rPr>
        <w:t xml:space="preserve">، حيث يمكن أن تعطل العمليات وتمنع تحصيل الإيرادات. بينما يمثل </w:t>
      </w:r>
      <w:r w:rsidRPr="00A92155">
        <w:rPr>
          <w:rFonts w:asciiTheme="majorBidi" w:hAnsiTheme="majorBidi" w:cstheme="majorBidi"/>
          <w:b/>
          <w:bCs/>
          <w:sz w:val="26"/>
          <w:szCs w:val="26"/>
          <w:rtl/>
        </w:rPr>
        <w:t>التجسس الصناعي</w:t>
      </w:r>
      <w:r w:rsidRPr="00A92155">
        <w:rPr>
          <w:rFonts w:asciiTheme="majorBidi" w:hAnsiTheme="majorBidi" w:cstheme="majorBidi"/>
          <w:sz w:val="26"/>
          <w:szCs w:val="26"/>
          <w:rtl/>
        </w:rPr>
        <w:t xml:space="preserve"> خطراً على الأسرار التجارية والبيانات الضريبية الحساسة للشركات الكبرى، مما يقوض الثقة في البيئة التجارية السعودية</w:t>
      </w:r>
      <w:r w:rsidRPr="00A92155">
        <w:rPr>
          <w:rFonts w:asciiTheme="majorBidi" w:hAnsiTheme="majorBidi" w:cstheme="majorBidi"/>
          <w:sz w:val="26"/>
          <w:szCs w:val="26"/>
        </w:rPr>
        <w:t xml:space="preserve"> (United Nations, 2023).</w:t>
      </w:r>
    </w:p>
    <w:p w14:paraId="421661A4" w14:textId="77777777" w:rsidR="00202E2A" w:rsidRPr="00A92155" w:rsidRDefault="00202E2A">
      <w:pPr>
        <w:numPr>
          <w:ilvl w:val="0"/>
          <w:numId w:val="96"/>
        </w:numPr>
        <w:bidi/>
        <w:spacing w:line="240" w:lineRule="auto"/>
        <w:jc w:val="lowKashida"/>
        <w:rPr>
          <w:rFonts w:asciiTheme="majorBidi" w:hAnsiTheme="majorBidi" w:cstheme="majorBidi"/>
          <w:sz w:val="26"/>
          <w:szCs w:val="26"/>
        </w:rPr>
      </w:pPr>
      <w:r w:rsidRPr="00A92155">
        <w:rPr>
          <w:rFonts w:asciiTheme="majorBidi" w:hAnsiTheme="majorBidi" w:cstheme="majorBidi"/>
          <w:b/>
          <w:bCs/>
          <w:sz w:val="26"/>
          <w:szCs w:val="26"/>
          <w:rtl/>
        </w:rPr>
        <w:t>تحديات توفير الكفاءات</w:t>
      </w:r>
      <w:r w:rsidRPr="00A92155">
        <w:rPr>
          <w:rFonts w:asciiTheme="majorBidi" w:hAnsiTheme="majorBidi" w:cstheme="majorBidi"/>
          <w:b/>
          <w:bCs/>
          <w:sz w:val="26"/>
          <w:szCs w:val="26"/>
        </w:rPr>
        <w:t xml:space="preserve"> (Talent Shortage):</w:t>
      </w:r>
      <w:r w:rsidRPr="00A92155">
        <w:rPr>
          <w:rFonts w:asciiTheme="majorBidi" w:hAnsiTheme="majorBidi" w:cstheme="majorBidi"/>
          <w:sz w:val="26"/>
          <w:szCs w:val="26"/>
        </w:rPr>
        <w:t xml:space="preserve"> </w:t>
      </w:r>
      <w:r w:rsidRPr="00A92155">
        <w:rPr>
          <w:rFonts w:asciiTheme="majorBidi" w:hAnsiTheme="majorBidi" w:cstheme="majorBidi"/>
          <w:sz w:val="26"/>
          <w:szCs w:val="26"/>
          <w:rtl/>
        </w:rPr>
        <w:t>يمثل نقص الكوادر المتخصصة في الأمن السيبراني تحدياً كبيراً، يتطلب من</w:t>
      </w:r>
      <w:r w:rsidRPr="00A92155">
        <w:rPr>
          <w:rFonts w:asciiTheme="majorBidi" w:hAnsiTheme="majorBidi" w:cstheme="majorBidi"/>
          <w:sz w:val="26"/>
          <w:szCs w:val="26"/>
        </w:rPr>
        <w:t xml:space="preserve"> ZATCA (</w:t>
      </w:r>
      <w:r w:rsidRPr="00A92155">
        <w:rPr>
          <w:rFonts w:asciiTheme="majorBidi" w:hAnsiTheme="majorBidi" w:cstheme="majorBidi"/>
          <w:sz w:val="26"/>
          <w:szCs w:val="26"/>
          <w:rtl/>
        </w:rPr>
        <w:t>بالتعاون مع</w:t>
      </w:r>
      <w:r w:rsidRPr="00A92155">
        <w:rPr>
          <w:rFonts w:asciiTheme="majorBidi" w:hAnsiTheme="majorBidi" w:cstheme="majorBidi"/>
          <w:sz w:val="26"/>
          <w:szCs w:val="26"/>
        </w:rPr>
        <w:t xml:space="preserve"> NCA) </w:t>
      </w:r>
      <w:r w:rsidRPr="00A92155">
        <w:rPr>
          <w:rFonts w:asciiTheme="majorBidi" w:hAnsiTheme="majorBidi" w:cstheme="majorBidi"/>
          <w:sz w:val="26"/>
          <w:szCs w:val="26"/>
          <w:rtl/>
        </w:rPr>
        <w:t>الاستثمار في تنمية الكفاءات الرقمية (البُعد الاجتماعي) لتشغيل وصيانة البنية الدفاعية المتقدمة</w:t>
      </w:r>
      <w:r w:rsidRPr="00A92155">
        <w:rPr>
          <w:rFonts w:asciiTheme="majorBidi" w:hAnsiTheme="majorBidi" w:cstheme="majorBidi"/>
          <w:sz w:val="26"/>
          <w:szCs w:val="26"/>
        </w:rPr>
        <w:t xml:space="preserve"> (Hanelt et al., 2021).</w:t>
      </w:r>
    </w:p>
    <w:p w14:paraId="6FACAEFC" w14:textId="77777777" w:rsidR="00202E2A" w:rsidRPr="00A92155" w:rsidRDefault="00202E2A" w:rsidP="00202E2A">
      <w:pPr>
        <w:bidi/>
        <w:spacing w:line="240" w:lineRule="auto"/>
        <w:jc w:val="lowKashida"/>
        <w:rPr>
          <w:rFonts w:asciiTheme="majorBidi" w:hAnsiTheme="majorBidi" w:cstheme="majorBidi"/>
          <w:sz w:val="26"/>
          <w:szCs w:val="26"/>
          <w:rtl/>
        </w:rPr>
      </w:pPr>
      <w:r w:rsidRPr="00FF0F6B">
        <w:rPr>
          <w:rFonts w:asciiTheme="majorBidi" w:hAnsiTheme="majorBidi" w:cstheme="majorBidi" w:hint="cs"/>
          <w:b/>
          <w:bCs/>
          <w:sz w:val="26"/>
          <w:szCs w:val="26"/>
          <w:rtl/>
        </w:rPr>
        <w:t>تعليق الباحث</w:t>
      </w:r>
      <w:r w:rsidRPr="00A92155">
        <w:rPr>
          <w:rFonts w:asciiTheme="majorBidi" w:hAnsiTheme="majorBidi" w:cstheme="majorBidi" w:hint="cs"/>
          <w:sz w:val="26"/>
          <w:szCs w:val="26"/>
          <w:rtl/>
        </w:rPr>
        <w:t xml:space="preserve"> </w:t>
      </w:r>
      <w:r w:rsidRPr="00A92155">
        <w:rPr>
          <w:rFonts w:asciiTheme="majorBidi" w:hAnsiTheme="majorBidi" w:cstheme="majorBidi"/>
          <w:sz w:val="26"/>
          <w:szCs w:val="26"/>
          <w:rtl/>
        </w:rPr>
        <w:t xml:space="preserve">إن المتغير التابع "تعزيز الأمن" هو نتيجة تفاعلية لـ الأمن السيبراني وحماية البيانات (الجوانب التقنية)، وتحسين كفاءة الرقابة والحد من التهريب (الجوانب التشغيلية)، مدعومة بإطار قانوني وسياسي يضمن الشرعية والمساءلة، ومنفذة من خلال التكامل والشراكات، ومبنية على ثقافة اجتماعية وثقافية واعية. هذا التكامل هو ما يُعزز قوة هيئة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ويُحقق الأهداف الوطنية للأمن الاقتصادي والتنمية.</w:t>
      </w:r>
    </w:p>
    <w:p w14:paraId="2D1323EE" w14:textId="70ADE5C2" w:rsidR="00202E2A" w:rsidRPr="00A92155" w:rsidRDefault="00FF0F6B" w:rsidP="00202E2A">
      <w:pPr>
        <w:bidi/>
        <w:spacing w:line="240" w:lineRule="auto"/>
        <w:jc w:val="lowKashida"/>
        <w:rPr>
          <w:rFonts w:asciiTheme="majorBidi" w:hAnsiTheme="majorBidi" w:cs="PT Bold Heading"/>
          <w:b/>
          <w:bCs/>
          <w:color w:val="000000" w:themeColor="text1"/>
          <w:sz w:val="26"/>
          <w:szCs w:val="26"/>
          <w:rtl/>
        </w:rPr>
      </w:pPr>
      <w:r w:rsidRPr="00FF0F6B">
        <w:rPr>
          <w:rFonts w:asciiTheme="majorBidi" w:hAnsiTheme="majorBidi" w:cs="PT Bold Heading"/>
          <w:b/>
          <w:bCs/>
          <w:color w:val="000000" w:themeColor="text1"/>
          <w:sz w:val="26"/>
          <w:szCs w:val="26"/>
          <w:rtl/>
        </w:rPr>
        <w:t xml:space="preserve">الباب </w:t>
      </w:r>
      <w:r w:rsidR="00202E2A" w:rsidRPr="00A92155">
        <w:rPr>
          <w:rFonts w:asciiTheme="majorBidi" w:hAnsiTheme="majorBidi" w:cs="PT Bold Heading"/>
          <w:b/>
          <w:bCs/>
          <w:color w:val="000000" w:themeColor="text1"/>
          <w:sz w:val="26"/>
          <w:szCs w:val="26"/>
          <w:rtl/>
        </w:rPr>
        <w:t>الرابع: تيسير التجارة والتحول الرقمي في الاقتصاد العالمي</w:t>
      </w:r>
    </w:p>
    <w:p w14:paraId="52563874"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 xml:space="preserve">مقدمة </w:t>
      </w:r>
    </w:p>
    <w:p w14:paraId="50C0A69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يُمثل تيسير التجارة (</w:t>
      </w:r>
      <w:r w:rsidRPr="00A92155">
        <w:rPr>
          <w:rFonts w:asciiTheme="majorBidi" w:hAnsiTheme="majorBidi" w:cstheme="majorBidi"/>
          <w:sz w:val="26"/>
          <w:szCs w:val="26"/>
        </w:rPr>
        <w:t>Trade Facilitation</w:t>
      </w:r>
      <w:r w:rsidRPr="00A92155">
        <w:rPr>
          <w:rFonts w:asciiTheme="majorBidi" w:hAnsiTheme="majorBidi" w:cstheme="majorBidi"/>
          <w:sz w:val="26"/>
          <w:szCs w:val="26"/>
          <w:rtl/>
        </w:rPr>
        <w:t>) الهدف الاستراتيجي الأقصى للمؤسسات الحكومية الحديثة في عصر التحول الرقمي، لا سيما تلك التي تشكل بوابات اقتصادية للدولة، كهيئة الزكاة والضريبة والجمارك (</w:t>
      </w:r>
      <w:r w:rsidRPr="00A92155">
        <w:rPr>
          <w:rFonts w:asciiTheme="majorBidi" w:hAnsiTheme="majorBidi" w:cstheme="majorBidi"/>
          <w:sz w:val="26"/>
          <w:szCs w:val="26"/>
        </w:rPr>
        <w:t>ZATCA</w:t>
      </w:r>
      <w:r w:rsidRPr="00A92155">
        <w:rPr>
          <w:rFonts w:asciiTheme="majorBidi" w:hAnsiTheme="majorBidi" w:cstheme="majorBidi"/>
          <w:sz w:val="26"/>
          <w:szCs w:val="26"/>
          <w:rtl/>
        </w:rPr>
        <w:t>) في المملكة العربية السعودية (</w:t>
      </w:r>
      <w:r w:rsidRPr="00A92155">
        <w:rPr>
          <w:rFonts w:asciiTheme="majorBidi" w:hAnsiTheme="majorBidi" w:cstheme="majorBidi"/>
          <w:sz w:val="26"/>
          <w:szCs w:val="26"/>
        </w:rPr>
        <w:t>WCO, 2023</w:t>
      </w:r>
      <w:r w:rsidRPr="00A92155">
        <w:rPr>
          <w:rFonts w:asciiTheme="majorBidi" w:hAnsiTheme="majorBidi" w:cstheme="majorBidi"/>
          <w:sz w:val="26"/>
          <w:szCs w:val="26"/>
          <w:rtl/>
        </w:rPr>
        <w:t>). يعتبر تيسير التجارة هو المخرج التشغيلي لنجاح مبادرات التحول الرقمي، حيث يُترجم الاستثمار في التقنية إلى خفض في زمن التخليص، وتقليل في التكاليف، وتعزيز في التدفقات اللوجستية (</w:t>
      </w:r>
      <w:r w:rsidRPr="00A92155">
        <w:rPr>
          <w:rFonts w:asciiTheme="majorBidi" w:hAnsiTheme="majorBidi" w:cstheme="majorBidi"/>
          <w:sz w:val="26"/>
          <w:szCs w:val="26"/>
        </w:rPr>
        <w:t>World Bank, 2020</w:t>
      </w:r>
      <w:r w:rsidRPr="00A92155">
        <w:rPr>
          <w:rFonts w:asciiTheme="majorBidi" w:hAnsiTheme="majorBidi" w:cstheme="majorBidi"/>
          <w:sz w:val="26"/>
          <w:szCs w:val="26"/>
          <w:rtl/>
        </w:rPr>
        <w:t>). في سياق رؤية 2030، يهدف تيسير التجارة إلى تحويل المملكة إلى مركز لوجستي عالمي وربط القارات الثلاث، وهو ما يتطلب أنظمة جمركية وضريبية تتسم بالكفاءة والسرعة والقدرة على التنبؤ.</w:t>
      </w:r>
    </w:p>
    <w:p w14:paraId="09C2B5C9"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ولأجل القياس والتحليل الأكاديمي الدقيق لأثر التحول الرقمي على هذا المتغير التابع، تم تفكيك "تيسير التجارة" إلى أبعاد رئيسية شاملة تغطي الجوانب المادية، التشغيلية، الرقابية، والبيئية (</w:t>
      </w:r>
      <w:r w:rsidRPr="00A92155">
        <w:rPr>
          <w:rFonts w:asciiTheme="majorBidi" w:hAnsiTheme="majorBidi" w:cstheme="majorBidi"/>
          <w:sz w:val="26"/>
          <w:szCs w:val="26"/>
        </w:rPr>
        <w:t>United Nations, 2023</w:t>
      </w:r>
      <w:r w:rsidRPr="00A92155">
        <w:rPr>
          <w:rFonts w:asciiTheme="majorBidi" w:hAnsiTheme="majorBidi" w:cstheme="majorBidi"/>
          <w:sz w:val="26"/>
          <w:szCs w:val="26"/>
          <w:rtl/>
        </w:rPr>
        <w:t xml:space="preserve">). هذه الأبعاد هي التي سيتم قياس مدى إنجاز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لها:</w:t>
      </w:r>
    </w:p>
    <w:p w14:paraId="0DC4A0D6"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الأبعاد الفرعية للمتغير التابع: تيسير التجارة</w:t>
      </w:r>
    </w:p>
    <w:p w14:paraId="4B5AE9CA" w14:textId="77777777" w:rsidR="00202E2A" w:rsidRPr="00A92155" w:rsidRDefault="00202E2A">
      <w:pPr>
        <w:numPr>
          <w:ilvl w:val="0"/>
          <w:numId w:val="101"/>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البُعد الاقتصادي (</w:t>
      </w:r>
      <w:r w:rsidRPr="00A92155">
        <w:rPr>
          <w:rFonts w:asciiTheme="majorBidi" w:hAnsiTheme="majorBidi" w:cstheme="majorBidi"/>
          <w:b/>
          <w:bCs/>
          <w:sz w:val="26"/>
          <w:szCs w:val="26"/>
        </w:rPr>
        <w:t>Economic Dimension</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يقيس القيمة المضافة الاقتصادية المباشرة وغير المباشرة الناتجة عن الرقمنة.</w:t>
      </w:r>
    </w:p>
    <w:p w14:paraId="79C7BF20" w14:textId="77777777" w:rsidR="00202E2A" w:rsidRPr="00A92155" w:rsidRDefault="00202E2A">
      <w:pPr>
        <w:numPr>
          <w:ilvl w:val="0"/>
          <w:numId w:val="101"/>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lastRenderedPageBreak/>
        <w:t>البُعد التكنولوجي (</w:t>
      </w:r>
      <w:r w:rsidRPr="00A92155">
        <w:rPr>
          <w:rFonts w:asciiTheme="majorBidi" w:hAnsiTheme="majorBidi" w:cstheme="majorBidi"/>
          <w:b/>
          <w:bCs/>
          <w:sz w:val="26"/>
          <w:szCs w:val="26"/>
        </w:rPr>
        <w:t>Technological Dimension</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يركز على التطبيقات التقنية التي تمكن السرعة والكفاءة (الجمارك الذكية وسلاسل الإمداد الرقمية).</w:t>
      </w:r>
    </w:p>
    <w:p w14:paraId="7EFC192B" w14:textId="77777777" w:rsidR="00202E2A" w:rsidRPr="00A92155" w:rsidRDefault="00202E2A">
      <w:pPr>
        <w:numPr>
          <w:ilvl w:val="0"/>
          <w:numId w:val="101"/>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تقليل التهرب الضريبي وتعزيز الامتثال (</w:t>
      </w:r>
      <w:r w:rsidRPr="00A92155">
        <w:rPr>
          <w:rFonts w:asciiTheme="majorBidi" w:hAnsiTheme="majorBidi" w:cstheme="majorBidi"/>
          <w:b/>
          <w:bCs/>
          <w:sz w:val="26"/>
          <w:szCs w:val="26"/>
        </w:rPr>
        <w:t>Reducing Evasion and Enhancing Compliance</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يقيس قدرة الرقمنة على تحقيق التيسير مع الحفاظ على سلامة الإيرادات.</w:t>
      </w:r>
    </w:p>
    <w:p w14:paraId="285E9237" w14:textId="77777777" w:rsidR="00202E2A" w:rsidRPr="00A92155" w:rsidRDefault="00202E2A">
      <w:pPr>
        <w:numPr>
          <w:ilvl w:val="0"/>
          <w:numId w:val="101"/>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البُعد البيئي (</w:t>
      </w:r>
      <w:r w:rsidRPr="00A92155">
        <w:rPr>
          <w:rFonts w:asciiTheme="majorBidi" w:hAnsiTheme="majorBidi" w:cstheme="majorBidi"/>
          <w:b/>
          <w:bCs/>
          <w:sz w:val="26"/>
          <w:szCs w:val="26"/>
        </w:rPr>
        <w:t>Environmental Dimension</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يركز على مساهمة تيسير التجارة في دعم الاستدامة والنمو الأخضر (التجارة الخضراء).</w:t>
      </w:r>
    </w:p>
    <w:p w14:paraId="4F1C0ABE"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 xml:space="preserve">2.4.1 الإطار المفاهيمي لتيسير التجارة وأبعاده </w:t>
      </w:r>
    </w:p>
    <w:p w14:paraId="01D4EEC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تيسير التجارة هو أكثر من مجرد اختصار للزمن؛ إنه إصلاح منهجي وعملياتي يهدف إلى تبسيط، وتحديث، وتنسيق الإجراءات الحدودية الدولية (</w:t>
      </w:r>
      <w:r w:rsidRPr="00A92155">
        <w:rPr>
          <w:rFonts w:asciiTheme="majorBidi" w:hAnsiTheme="majorBidi" w:cstheme="majorBidi"/>
          <w:sz w:val="26"/>
          <w:szCs w:val="26"/>
        </w:rPr>
        <w:t>OECD, 2018</w:t>
      </w:r>
      <w:r w:rsidRPr="00A92155">
        <w:rPr>
          <w:rFonts w:asciiTheme="majorBidi" w:hAnsiTheme="majorBidi" w:cstheme="majorBidi"/>
          <w:sz w:val="26"/>
          <w:szCs w:val="26"/>
          <w:rtl/>
        </w:rPr>
        <w:t>). في ظل التحول الرقمي، اكتسب المفهوم عمقاً جديداً يرتكز على السيادة المعلوماتية والشفافية.</w:t>
      </w:r>
    </w:p>
    <w:p w14:paraId="60D9BE6E"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2.4.1.1 المفهوم الموسع لتيسير التجارة الرقمي</w:t>
      </w:r>
    </w:p>
    <w:p w14:paraId="1C6B7641"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يمكن تعريف تيسير التجارة الرقمي بأنه "إعادة هندسة الإجراءات (</w:t>
      </w:r>
      <w:r w:rsidRPr="00A92155">
        <w:rPr>
          <w:rFonts w:asciiTheme="majorBidi" w:hAnsiTheme="majorBidi" w:cstheme="majorBidi"/>
          <w:sz w:val="26"/>
          <w:szCs w:val="26"/>
        </w:rPr>
        <w:t>Business Process Re-engineering</w:t>
      </w:r>
      <w:r w:rsidRPr="00A92155">
        <w:rPr>
          <w:rFonts w:asciiTheme="majorBidi" w:hAnsiTheme="majorBidi" w:cstheme="majorBidi"/>
          <w:sz w:val="26"/>
          <w:szCs w:val="26"/>
          <w:rtl/>
        </w:rPr>
        <w:t>) باستخدام الأدوات الرقمية لتحقيق الكفاءة التشغيلية والقدرة على التنبؤ في المنفذ الجمركي" (</w:t>
      </w:r>
      <w:r w:rsidRPr="00A92155">
        <w:rPr>
          <w:rFonts w:asciiTheme="majorBidi" w:hAnsiTheme="majorBidi" w:cstheme="majorBidi"/>
          <w:sz w:val="26"/>
          <w:szCs w:val="26"/>
        </w:rPr>
        <w:t>WCO, 2023</w:t>
      </w:r>
      <w:r w:rsidRPr="00A92155">
        <w:rPr>
          <w:rFonts w:asciiTheme="majorBidi" w:hAnsiTheme="majorBidi" w:cstheme="majorBidi"/>
          <w:sz w:val="26"/>
          <w:szCs w:val="26"/>
          <w:rtl/>
        </w:rPr>
        <w:t>). هذا التعريف يشمل ثلاث ركائز مفاهيمية أساسية:</w:t>
      </w:r>
    </w:p>
    <w:p w14:paraId="61A4627E"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أ. الشفافية وقابلية التنبؤ (</w:t>
      </w:r>
      <w:r w:rsidRPr="00A92155">
        <w:rPr>
          <w:rFonts w:asciiTheme="majorBidi" w:hAnsiTheme="majorBidi" w:cstheme="majorBidi"/>
          <w:sz w:val="26"/>
          <w:szCs w:val="26"/>
        </w:rPr>
        <w:t>Transparency and Predictability</w:t>
      </w:r>
      <w:r w:rsidRPr="00A92155">
        <w:rPr>
          <w:rFonts w:asciiTheme="majorBidi" w:hAnsiTheme="majorBidi" w:cstheme="majorBidi"/>
          <w:sz w:val="26"/>
          <w:szCs w:val="26"/>
          <w:rtl/>
        </w:rPr>
        <w:t>):</w:t>
      </w:r>
    </w:p>
    <w:p w14:paraId="7A63758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يجب أن تتيح الأنظمة الرقمية لـ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للتجار والمستوردين معرفة واضحة ومسبقة بجميع المتطلبات الجمركية والضريبية والرسوم.</w:t>
      </w:r>
    </w:p>
    <w:p w14:paraId="54A0C29D"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وأكدت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World Bank, 2020</w:t>
      </w:r>
      <w:r w:rsidRPr="00A92155">
        <w:rPr>
          <w:rFonts w:asciiTheme="majorBidi" w:hAnsiTheme="majorBidi" w:cstheme="majorBidi"/>
          <w:sz w:val="26"/>
          <w:szCs w:val="26"/>
          <w:rtl/>
        </w:rPr>
        <w:t>) على أن الشفافية هي العامل الأول لبناء الثقة في البيئة التجارية، وأن نشر اللوائح والتعريفات بشكل إلكتروني ومحدث هو التزام قانوني واقتصادي.</w:t>
      </w:r>
    </w:p>
    <w:p w14:paraId="3656E391"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 xml:space="preserve">التطبيق على </w:t>
      </w:r>
      <w:r w:rsidRPr="00A92155">
        <w:rPr>
          <w:rFonts w:asciiTheme="majorBidi" w:hAnsiTheme="majorBidi" w:cstheme="majorBidi"/>
          <w:b/>
          <w:bCs/>
          <w:sz w:val="26"/>
          <w:szCs w:val="26"/>
        </w:rPr>
        <w:t>ZATCA</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يتجسد ذلك في توفير جميع الخدمات والمعلومات المتعلقة بالتعريفات الجمركية، والقيود على الاستيراد والتصدير، وقوانين الزكاة والضريبة، عبر منصة إلكترونية واحدة قبل وصول الشحنات.</w:t>
      </w:r>
    </w:p>
    <w:p w14:paraId="3E65060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ب. الأتمتة الكاملة (</w:t>
      </w:r>
      <w:r w:rsidRPr="00A92155">
        <w:rPr>
          <w:rFonts w:asciiTheme="majorBidi" w:hAnsiTheme="majorBidi" w:cstheme="majorBidi"/>
          <w:sz w:val="26"/>
          <w:szCs w:val="26"/>
        </w:rPr>
        <w:t>End-to-End Automation</w:t>
      </w:r>
      <w:r w:rsidRPr="00A92155">
        <w:rPr>
          <w:rFonts w:asciiTheme="majorBidi" w:hAnsiTheme="majorBidi" w:cstheme="majorBidi"/>
          <w:sz w:val="26"/>
          <w:szCs w:val="26"/>
          <w:rtl/>
        </w:rPr>
        <w:t>):</w:t>
      </w:r>
    </w:p>
    <w:p w14:paraId="44A5C211"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تعني أتمتة جميع الخطوات من تقديم البيان الجمركي حتى الإفراج النهائي عن البضاعة دون الحاجة للتدخل البشري اليدوي إلا في حالات التدقيق عالية المخاطر.</w:t>
      </w:r>
    </w:p>
    <w:p w14:paraId="2612D97F"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وشددت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Almarzooqi et al., 2021</w:t>
      </w:r>
      <w:r w:rsidRPr="00A92155">
        <w:rPr>
          <w:rFonts w:asciiTheme="majorBidi" w:hAnsiTheme="majorBidi" w:cstheme="majorBidi"/>
          <w:sz w:val="26"/>
          <w:szCs w:val="26"/>
          <w:rtl/>
        </w:rPr>
        <w:t>) على أن الأتمتة في القطاع الحكومي ليست خياراً تقنياً بل متطلباً لزيادة الإنتاجية وتقليل احتمالية الخطأ البشري.</w:t>
      </w:r>
    </w:p>
    <w:p w14:paraId="3C2EB66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 xml:space="preserve">التطبيق على </w:t>
      </w:r>
      <w:r w:rsidRPr="00A92155">
        <w:rPr>
          <w:rFonts w:asciiTheme="majorBidi" w:hAnsiTheme="majorBidi" w:cstheme="majorBidi"/>
          <w:b/>
          <w:bCs/>
          <w:sz w:val="26"/>
          <w:szCs w:val="26"/>
        </w:rPr>
        <w:t>ZATCA</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نظام "فسح" (</w:t>
      </w:r>
      <w:r w:rsidRPr="00A92155">
        <w:rPr>
          <w:rFonts w:asciiTheme="majorBidi" w:hAnsiTheme="majorBidi" w:cstheme="majorBidi"/>
          <w:sz w:val="26"/>
          <w:szCs w:val="26"/>
        </w:rPr>
        <w:t>Fasah</w:t>
      </w:r>
      <w:r w:rsidRPr="00A92155">
        <w:rPr>
          <w:rFonts w:asciiTheme="majorBidi" w:hAnsiTheme="majorBidi" w:cstheme="majorBidi"/>
          <w:sz w:val="26"/>
          <w:szCs w:val="26"/>
          <w:rtl/>
        </w:rPr>
        <w:t xml:space="preserve">) ومنصات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الضريبية يجب أن تحقق الأتمتة الشاملة لضمان التخليص في دقائق، خاصة للشحنات المصنفة ضمن المسار الأخضر.</w:t>
      </w:r>
    </w:p>
    <w:p w14:paraId="67176786"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ج. التناغم والتوحيد (</w:t>
      </w:r>
      <w:r w:rsidRPr="00A92155">
        <w:rPr>
          <w:rFonts w:asciiTheme="majorBidi" w:hAnsiTheme="majorBidi" w:cstheme="majorBidi"/>
          <w:sz w:val="26"/>
          <w:szCs w:val="26"/>
        </w:rPr>
        <w:t>Harmonization and Standardization</w:t>
      </w:r>
      <w:r w:rsidRPr="00A92155">
        <w:rPr>
          <w:rFonts w:asciiTheme="majorBidi" w:hAnsiTheme="majorBidi" w:cstheme="majorBidi"/>
          <w:sz w:val="26"/>
          <w:szCs w:val="26"/>
          <w:rtl/>
        </w:rPr>
        <w:t>):</w:t>
      </w:r>
    </w:p>
    <w:p w14:paraId="07EB7A0B"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يتطلب تيسير التجارة توحيد متطلبات البيانات والوثائق بين جميع الوكالات الحدودية والتجارية، محلياً ودولياً.</w:t>
      </w:r>
    </w:p>
    <w:p w14:paraId="6FB59CD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وتوضح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United Nations, 2023</w:t>
      </w:r>
      <w:r w:rsidRPr="00A92155">
        <w:rPr>
          <w:rFonts w:asciiTheme="majorBidi" w:hAnsiTheme="majorBidi" w:cstheme="majorBidi"/>
          <w:sz w:val="26"/>
          <w:szCs w:val="26"/>
          <w:rtl/>
        </w:rPr>
        <w:t xml:space="preserve">) </w:t>
      </w:r>
      <w:r w:rsidRPr="00A92155">
        <w:rPr>
          <w:rFonts w:asciiTheme="majorBidi" w:hAnsiTheme="majorBidi" w:cstheme="majorBidi" w:hint="cs"/>
          <w:sz w:val="26"/>
          <w:szCs w:val="26"/>
          <w:rtl/>
        </w:rPr>
        <w:t xml:space="preserve">أنها </w:t>
      </w:r>
      <w:r w:rsidRPr="00A92155">
        <w:rPr>
          <w:rFonts w:asciiTheme="majorBidi" w:hAnsiTheme="majorBidi" w:cstheme="majorBidi"/>
          <w:sz w:val="26"/>
          <w:szCs w:val="26"/>
          <w:rtl/>
        </w:rPr>
        <w:t>دعت إلى تبني معايير موحدة للبيانات عبر الحدود لتقليل تكلفة إعادة التقديم والمعالجة، مشيرة إلى أن التناغم يحسن الكفاءة اللوجستية للمنطقة بأسرها.</w:t>
      </w:r>
    </w:p>
    <w:p w14:paraId="254F8BD9"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lastRenderedPageBreak/>
        <w:t xml:space="preserve">التطبيق على </w:t>
      </w:r>
      <w:r w:rsidRPr="00A92155">
        <w:rPr>
          <w:rFonts w:asciiTheme="majorBidi" w:hAnsiTheme="majorBidi" w:cstheme="majorBidi"/>
          <w:b/>
          <w:bCs/>
          <w:sz w:val="26"/>
          <w:szCs w:val="26"/>
        </w:rPr>
        <w:t>ZATCA</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التعاون بين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ووزارة النقل والخدمات اللوجستية وهيئة الغذاء والدواء لضمان أن البيان الجمركي يحتوي على مجموعة بيانات موحدة يتم الاعتراف بها من قبل جميع الأطراف.</w:t>
      </w:r>
    </w:p>
    <w:p w14:paraId="77B4DB45"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2.4.2 اتفاقية منظمة التجارة العالمية (</w:t>
      </w:r>
      <w:r w:rsidRPr="00A92155">
        <w:rPr>
          <w:rFonts w:asciiTheme="majorBidi" w:hAnsiTheme="majorBidi" w:cs="PT Bold Heading"/>
          <w:b/>
          <w:bCs/>
          <w:color w:val="000000" w:themeColor="text1"/>
          <w:sz w:val="26"/>
          <w:szCs w:val="26"/>
        </w:rPr>
        <w:t>TFA</w:t>
      </w:r>
      <w:r w:rsidRPr="00A92155">
        <w:rPr>
          <w:rFonts w:asciiTheme="majorBidi" w:hAnsiTheme="majorBidi" w:cs="PT Bold Heading"/>
          <w:b/>
          <w:bCs/>
          <w:color w:val="000000" w:themeColor="text1"/>
          <w:sz w:val="26"/>
          <w:szCs w:val="26"/>
          <w:rtl/>
        </w:rPr>
        <w:t>) كأساس قانوني عالمي لتيسير التجارة</w:t>
      </w:r>
    </w:p>
    <w:p w14:paraId="704CE54B"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تُعد اتفاقية تيسير التجارة (</w:t>
      </w:r>
      <w:r w:rsidRPr="00A92155">
        <w:rPr>
          <w:rFonts w:asciiTheme="majorBidi" w:hAnsiTheme="majorBidi" w:cstheme="majorBidi"/>
          <w:sz w:val="26"/>
          <w:szCs w:val="26"/>
        </w:rPr>
        <w:t>TFA</w:t>
      </w:r>
      <w:r w:rsidRPr="00A92155">
        <w:rPr>
          <w:rFonts w:asciiTheme="majorBidi" w:hAnsiTheme="majorBidi" w:cstheme="majorBidi"/>
          <w:sz w:val="26"/>
          <w:szCs w:val="26"/>
          <w:rtl/>
        </w:rPr>
        <w:t>) الصادرة عن منظمة التجارة العالمية (</w:t>
      </w:r>
      <w:r w:rsidRPr="00A92155">
        <w:rPr>
          <w:rFonts w:asciiTheme="majorBidi" w:hAnsiTheme="majorBidi" w:cstheme="majorBidi"/>
          <w:sz w:val="26"/>
          <w:szCs w:val="26"/>
        </w:rPr>
        <w:t>WTO</w:t>
      </w:r>
      <w:r w:rsidRPr="00A92155">
        <w:rPr>
          <w:rFonts w:asciiTheme="majorBidi" w:hAnsiTheme="majorBidi" w:cstheme="majorBidi"/>
          <w:sz w:val="26"/>
          <w:szCs w:val="26"/>
          <w:rtl/>
        </w:rPr>
        <w:t xml:space="preserve">) الإطار التنظيمي العالمي لتيسير التجارة، وهي تمثل الأساس القانوني الذي يستند إليه التحول الرقمي في </w:t>
      </w:r>
      <w:r w:rsidRPr="00A92155">
        <w:rPr>
          <w:rFonts w:asciiTheme="majorBidi" w:hAnsiTheme="majorBidi" w:cstheme="majorBidi"/>
          <w:sz w:val="26"/>
          <w:szCs w:val="26"/>
        </w:rPr>
        <w:t>ZATCA</w:t>
      </w:r>
      <w:r w:rsidRPr="00A92155">
        <w:rPr>
          <w:rFonts w:asciiTheme="majorBidi" w:hAnsiTheme="majorBidi" w:cstheme="majorBidi"/>
          <w:sz w:val="26"/>
          <w:szCs w:val="26"/>
          <w:rtl/>
        </w:rPr>
        <w:t>.</w:t>
      </w:r>
    </w:p>
    <w:p w14:paraId="51055892"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hint="cs"/>
          <w:b/>
          <w:bCs/>
          <w:color w:val="000000" w:themeColor="text1"/>
          <w:sz w:val="26"/>
          <w:szCs w:val="26"/>
          <w:rtl/>
          <w:lang w:bidi="ar-EG"/>
        </w:rPr>
        <w:t>1</w:t>
      </w:r>
      <w:r w:rsidRPr="00A92155">
        <w:rPr>
          <w:rFonts w:asciiTheme="majorBidi" w:hAnsiTheme="majorBidi" w:cs="PT Bold Heading"/>
          <w:b/>
          <w:bCs/>
          <w:color w:val="000000" w:themeColor="text1"/>
          <w:sz w:val="26"/>
          <w:szCs w:val="26"/>
        </w:rPr>
        <w:t>,</w:t>
      </w:r>
      <w:r w:rsidRPr="00A92155">
        <w:rPr>
          <w:rFonts w:asciiTheme="majorBidi" w:hAnsiTheme="majorBidi" w:cs="PT Bold Heading" w:hint="cs"/>
          <w:b/>
          <w:bCs/>
          <w:color w:val="000000" w:themeColor="text1"/>
          <w:sz w:val="26"/>
          <w:szCs w:val="26"/>
          <w:rtl/>
        </w:rPr>
        <w:t>2</w:t>
      </w:r>
      <w:r w:rsidRPr="00A92155">
        <w:rPr>
          <w:rFonts w:asciiTheme="majorBidi" w:hAnsiTheme="majorBidi" w:cs="PT Bold Heading"/>
          <w:b/>
          <w:bCs/>
          <w:color w:val="000000" w:themeColor="text1"/>
          <w:sz w:val="26"/>
          <w:szCs w:val="26"/>
        </w:rPr>
        <w:t>,</w:t>
      </w:r>
      <w:r w:rsidRPr="00A92155">
        <w:rPr>
          <w:rFonts w:asciiTheme="majorBidi" w:hAnsiTheme="majorBidi" w:cs="PT Bold Heading" w:hint="cs"/>
          <w:b/>
          <w:bCs/>
          <w:color w:val="000000" w:themeColor="text1"/>
          <w:sz w:val="26"/>
          <w:szCs w:val="26"/>
          <w:rtl/>
          <w:lang w:bidi="ar-EG"/>
        </w:rPr>
        <w:t>4</w:t>
      </w:r>
      <w:r w:rsidRPr="00A92155">
        <w:rPr>
          <w:rFonts w:asciiTheme="majorBidi" w:hAnsiTheme="majorBidi" w:cs="PT Bold Heading"/>
          <w:b/>
          <w:bCs/>
          <w:color w:val="000000" w:themeColor="text1"/>
          <w:sz w:val="26"/>
          <w:szCs w:val="26"/>
          <w:lang w:bidi="ar-EG"/>
        </w:rPr>
        <w:t>,</w:t>
      </w:r>
      <w:r w:rsidRPr="00A92155">
        <w:rPr>
          <w:rFonts w:asciiTheme="majorBidi" w:hAnsiTheme="majorBidi" w:cs="PT Bold Heading" w:hint="cs"/>
          <w:b/>
          <w:bCs/>
          <w:color w:val="000000" w:themeColor="text1"/>
          <w:sz w:val="26"/>
          <w:szCs w:val="26"/>
          <w:rtl/>
          <w:lang w:bidi="ar-EG"/>
        </w:rPr>
        <w:t xml:space="preserve">2 </w:t>
      </w:r>
      <w:r w:rsidRPr="00A92155">
        <w:rPr>
          <w:rFonts w:asciiTheme="majorBidi" w:hAnsiTheme="majorBidi" w:cs="PT Bold Heading" w:hint="cs"/>
          <w:b/>
          <w:bCs/>
          <w:color w:val="000000" w:themeColor="text1"/>
          <w:sz w:val="26"/>
          <w:szCs w:val="26"/>
          <w:rtl/>
        </w:rPr>
        <w:t>ا</w:t>
      </w:r>
      <w:r w:rsidRPr="00A92155">
        <w:rPr>
          <w:rFonts w:asciiTheme="majorBidi" w:hAnsiTheme="majorBidi" w:cs="PT Bold Heading"/>
          <w:b/>
          <w:bCs/>
          <w:color w:val="000000" w:themeColor="text1"/>
          <w:sz w:val="26"/>
          <w:szCs w:val="26"/>
          <w:rtl/>
        </w:rPr>
        <w:t xml:space="preserve">لأهمية القانونية والاستراتيجية لاتفاقية </w:t>
      </w:r>
      <w:r w:rsidRPr="00A92155">
        <w:rPr>
          <w:rFonts w:asciiTheme="majorBidi" w:hAnsiTheme="majorBidi" w:cs="PT Bold Heading"/>
          <w:b/>
          <w:bCs/>
          <w:color w:val="000000" w:themeColor="text1"/>
          <w:sz w:val="26"/>
          <w:szCs w:val="26"/>
        </w:rPr>
        <w:t>TFA</w:t>
      </w:r>
    </w:p>
    <w:p w14:paraId="5523A949"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وأكدت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OECD, 2018</w:t>
      </w:r>
      <w:r w:rsidRPr="00A92155">
        <w:rPr>
          <w:rFonts w:asciiTheme="majorBidi" w:hAnsiTheme="majorBidi" w:cstheme="majorBidi"/>
          <w:sz w:val="26"/>
          <w:szCs w:val="26"/>
          <w:rtl/>
        </w:rPr>
        <w:t xml:space="preserve">) أن اتفاقية </w:t>
      </w:r>
      <w:r w:rsidRPr="00A92155">
        <w:rPr>
          <w:rFonts w:asciiTheme="majorBidi" w:hAnsiTheme="majorBidi" w:cstheme="majorBidi"/>
          <w:sz w:val="26"/>
          <w:szCs w:val="26"/>
        </w:rPr>
        <w:t>TFA</w:t>
      </w:r>
      <w:r w:rsidRPr="00A92155">
        <w:rPr>
          <w:rFonts w:asciiTheme="majorBidi" w:hAnsiTheme="majorBidi" w:cstheme="majorBidi"/>
          <w:sz w:val="26"/>
          <w:szCs w:val="26"/>
          <w:rtl/>
        </w:rPr>
        <w:t xml:space="preserve"> هي المحفز الأكبر للإصلاحات الجمركية عالمياً، وأن الدول التي تلتزم بها وتحقق معدلات تنفيذ عالية هي الأكثر استفادة من التدفقات التجارية العالمية.</w:t>
      </w:r>
    </w:p>
    <w:p w14:paraId="542243F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الالتزام الوطني:</w:t>
      </w:r>
      <w:r w:rsidRPr="00A92155">
        <w:rPr>
          <w:rFonts w:asciiTheme="majorBidi" w:hAnsiTheme="majorBidi" w:cstheme="majorBidi"/>
          <w:sz w:val="26"/>
          <w:szCs w:val="26"/>
          <w:rtl/>
        </w:rPr>
        <w:t xml:space="preserve"> تلتزم المملكة العربية السعودية بتنفيذ بنود الاتفاقية، حيث يتطلب هذا التنفيذ بالضرورة الاعتماد الكامل على الأنظمة الرقمية لضمان السرعة والشفافية.</w:t>
      </w:r>
    </w:p>
    <w:p w14:paraId="41962A88"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 xml:space="preserve">2.4.2.2 مواد الاتفاقية وعلاقتها بالتحول الرقمي لـ </w:t>
      </w:r>
      <w:r w:rsidRPr="00A92155">
        <w:rPr>
          <w:rFonts w:asciiTheme="majorBidi" w:hAnsiTheme="majorBidi" w:cs="PT Bold Heading"/>
          <w:b/>
          <w:bCs/>
          <w:color w:val="000000" w:themeColor="text1"/>
          <w:sz w:val="26"/>
          <w:szCs w:val="26"/>
        </w:rPr>
        <w:t>ZATCA</w:t>
      </w:r>
    </w:p>
    <w:p w14:paraId="38EA680B"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 المادة 10 (الإفراج عن البضائع ومراقبتها):</w:t>
      </w:r>
    </w:p>
    <w:p w14:paraId="13A63029" w14:textId="77777777" w:rsidR="00202E2A" w:rsidRPr="00A92155" w:rsidRDefault="00202E2A">
      <w:pPr>
        <w:numPr>
          <w:ilvl w:val="0"/>
          <w:numId w:val="102"/>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الالتزام:</w:t>
      </w:r>
      <w:r w:rsidRPr="00A92155">
        <w:rPr>
          <w:rFonts w:asciiTheme="majorBidi" w:hAnsiTheme="majorBidi" w:cstheme="majorBidi"/>
          <w:sz w:val="26"/>
          <w:szCs w:val="26"/>
          <w:rtl/>
        </w:rPr>
        <w:t xml:space="preserve"> تفرض هذه المادة على الدول إتاحة الإفراج المسبق عن البضائع قبل وصولها (</w:t>
      </w:r>
      <w:r w:rsidRPr="00A92155">
        <w:rPr>
          <w:rFonts w:asciiTheme="majorBidi" w:hAnsiTheme="majorBidi" w:cstheme="majorBidi"/>
          <w:sz w:val="26"/>
          <w:szCs w:val="26"/>
        </w:rPr>
        <w:t>Advance Rulings</w:t>
      </w:r>
      <w:r w:rsidRPr="00A92155">
        <w:rPr>
          <w:rFonts w:asciiTheme="majorBidi" w:hAnsiTheme="majorBidi" w:cstheme="majorBidi"/>
          <w:sz w:val="26"/>
          <w:szCs w:val="26"/>
          <w:rtl/>
        </w:rPr>
        <w:t>) وتبني إدارة المخاطر.</w:t>
      </w:r>
    </w:p>
    <w:p w14:paraId="69925747" w14:textId="77777777" w:rsidR="00202E2A" w:rsidRPr="00A92155" w:rsidRDefault="00202E2A">
      <w:pPr>
        <w:numPr>
          <w:ilvl w:val="0"/>
          <w:numId w:val="102"/>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 xml:space="preserve">التطبيق الرقمي في </w:t>
      </w:r>
      <w:r w:rsidRPr="00A92155">
        <w:rPr>
          <w:rFonts w:asciiTheme="majorBidi" w:hAnsiTheme="majorBidi" w:cstheme="majorBidi"/>
          <w:b/>
          <w:bCs/>
          <w:sz w:val="26"/>
          <w:szCs w:val="26"/>
        </w:rPr>
        <w:t>ZATCA</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يتطلب هذا الإفراج المسبق أنظمة رقمية متقدمة لتحليل المخاطر (</w:t>
      </w:r>
      <w:r w:rsidRPr="00A92155">
        <w:rPr>
          <w:rFonts w:asciiTheme="majorBidi" w:hAnsiTheme="majorBidi" w:cstheme="majorBidi"/>
          <w:sz w:val="26"/>
          <w:szCs w:val="26"/>
        </w:rPr>
        <w:t>AI-driven Risk Management</w:t>
      </w:r>
      <w:r w:rsidRPr="00A92155">
        <w:rPr>
          <w:rFonts w:asciiTheme="majorBidi" w:hAnsiTheme="majorBidi" w:cstheme="majorBidi"/>
          <w:sz w:val="26"/>
          <w:szCs w:val="26"/>
          <w:rtl/>
        </w:rPr>
        <w:t>) باستخدام البيانات المسبقة للشحن، مما يتيح التخليص التلقائي للشحنات منخفضة المخاطر (المسار الأخضر) عند وصولها (</w:t>
      </w:r>
      <w:r w:rsidRPr="00A92155">
        <w:rPr>
          <w:rFonts w:asciiTheme="majorBidi" w:hAnsiTheme="majorBidi" w:cstheme="majorBidi"/>
          <w:sz w:val="26"/>
          <w:szCs w:val="26"/>
        </w:rPr>
        <w:t>PwC, 2023</w:t>
      </w:r>
      <w:r w:rsidRPr="00A92155">
        <w:rPr>
          <w:rFonts w:asciiTheme="majorBidi" w:hAnsiTheme="majorBidi" w:cstheme="majorBidi"/>
          <w:sz w:val="26"/>
          <w:szCs w:val="26"/>
          <w:rtl/>
        </w:rPr>
        <w:t>).</w:t>
      </w:r>
    </w:p>
    <w:p w14:paraId="2E2B3C73"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ب. المادة 10.4 (النافذة الواحدة):</w:t>
      </w:r>
    </w:p>
    <w:p w14:paraId="4BBAD2B5" w14:textId="77777777" w:rsidR="00202E2A" w:rsidRPr="00A92155" w:rsidRDefault="00202E2A">
      <w:pPr>
        <w:numPr>
          <w:ilvl w:val="0"/>
          <w:numId w:val="103"/>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الالتزام:</w:t>
      </w:r>
      <w:r w:rsidRPr="00A92155">
        <w:rPr>
          <w:rFonts w:asciiTheme="majorBidi" w:hAnsiTheme="majorBidi" w:cstheme="majorBidi"/>
          <w:sz w:val="26"/>
          <w:szCs w:val="26"/>
          <w:rtl/>
        </w:rPr>
        <w:t xml:space="preserve"> تأسيس أو الحفاظ على ترتيبات النافذة الواحدة.</w:t>
      </w:r>
    </w:p>
    <w:p w14:paraId="593235CE" w14:textId="77777777" w:rsidR="00202E2A" w:rsidRPr="00A92155" w:rsidRDefault="00202E2A">
      <w:pPr>
        <w:numPr>
          <w:ilvl w:val="0"/>
          <w:numId w:val="103"/>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 xml:space="preserve">التطبيق الرقمي في </w:t>
      </w:r>
      <w:r w:rsidRPr="00A92155">
        <w:rPr>
          <w:rFonts w:asciiTheme="majorBidi" w:hAnsiTheme="majorBidi" w:cstheme="majorBidi"/>
          <w:b/>
          <w:bCs/>
          <w:sz w:val="26"/>
          <w:szCs w:val="26"/>
        </w:rPr>
        <w:t>ZATCA</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يعد تطوير منصة "فسح" والربط الإلكتروني المستمر مع الجهات الحكومية والخاصة الأخرى هو التطبيق المباشر لهذا البند، مما يقلل من زمن التعاملات الورقية والمراجعات المتعددة.</w:t>
      </w:r>
    </w:p>
    <w:p w14:paraId="764707AF"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ج. المادة 7.3 (إدارة المخاطر):</w:t>
      </w:r>
    </w:p>
    <w:p w14:paraId="1DFEBB57" w14:textId="77777777" w:rsidR="00202E2A" w:rsidRPr="00A92155" w:rsidRDefault="00202E2A">
      <w:pPr>
        <w:numPr>
          <w:ilvl w:val="0"/>
          <w:numId w:val="104"/>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الالتزام:</w:t>
      </w:r>
      <w:r w:rsidRPr="00A92155">
        <w:rPr>
          <w:rFonts w:asciiTheme="majorBidi" w:hAnsiTheme="majorBidi" w:cstheme="majorBidi"/>
          <w:sz w:val="26"/>
          <w:szCs w:val="26"/>
          <w:rtl/>
        </w:rPr>
        <w:t xml:space="preserve"> تطبيق نهج إدارة المخاطر للحد من متطلبات التفتيش على الشحنات منخفضة المخاطر.</w:t>
      </w:r>
    </w:p>
    <w:p w14:paraId="5065A856" w14:textId="77777777" w:rsidR="00202E2A" w:rsidRPr="00A92155" w:rsidRDefault="00202E2A">
      <w:pPr>
        <w:numPr>
          <w:ilvl w:val="0"/>
          <w:numId w:val="104"/>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 xml:space="preserve">التطبيق الرقمي في </w:t>
      </w:r>
      <w:r w:rsidRPr="00A92155">
        <w:rPr>
          <w:rFonts w:asciiTheme="majorBidi" w:hAnsiTheme="majorBidi" w:cstheme="majorBidi"/>
          <w:b/>
          <w:bCs/>
          <w:sz w:val="26"/>
          <w:szCs w:val="26"/>
        </w:rPr>
        <w:t>ZATCA</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تستخدم الهيئة أنظمة الذكاء الاصطناعي لـ </w:t>
      </w:r>
      <w:r w:rsidRPr="00A92155">
        <w:rPr>
          <w:rFonts w:asciiTheme="majorBidi" w:hAnsiTheme="majorBidi" w:cstheme="majorBidi"/>
          <w:b/>
          <w:bCs/>
          <w:sz w:val="26"/>
          <w:szCs w:val="26"/>
          <w:rtl/>
        </w:rPr>
        <w:t>التصنيف التنبؤي (</w:t>
      </w:r>
      <w:r w:rsidRPr="00A92155">
        <w:rPr>
          <w:rFonts w:asciiTheme="majorBidi" w:hAnsiTheme="majorBidi" w:cstheme="majorBidi"/>
          <w:b/>
          <w:bCs/>
          <w:sz w:val="26"/>
          <w:szCs w:val="26"/>
        </w:rPr>
        <w:t>Predictive Classification</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للشحنات، مما يضمن أن 90% أو أكثر من الشحنات تمر دون تدقيق يدوي، وهو جوهر تيسير التجارة.</w:t>
      </w:r>
    </w:p>
    <w:p w14:paraId="66F7B9C4"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2.4.3 البُعد التكنولوجي: التحول من الجمرك الورقي إلى الجمرك الذكي</w:t>
      </w:r>
    </w:p>
    <w:p w14:paraId="489E7BD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يُعد </w:t>
      </w:r>
      <w:r w:rsidRPr="00A92155">
        <w:rPr>
          <w:rFonts w:asciiTheme="majorBidi" w:hAnsiTheme="majorBidi" w:cstheme="majorBidi"/>
          <w:b/>
          <w:bCs/>
          <w:sz w:val="26"/>
          <w:szCs w:val="26"/>
          <w:rtl/>
        </w:rPr>
        <w:t>البُعد التكنولوجي</w:t>
      </w:r>
      <w:r w:rsidRPr="00A92155">
        <w:rPr>
          <w:rFonts w:asciiTheme="majorBidi" w:hAnsiTheme="majorBidi" w:cstheme="majorBidi"/>
          <w:sz w:val="26"/>
          <w:szCs w:val="26"/>
          <w:rtl/>
        </w:rPr>
        <w:t xml:space="preserve"> هو المُمكّن الأساسي لتيسير التجارة، حيث يمثل استخدام التقنيات المتقدمة في الجمارك والضرائب (</w:t>
      </w:r>
      <w:r w:rsidRPr="00A92155">
        <w:rPr>
          <w:rFonts w:asciiTheme="majorBidi" w:hAnsiTheme="majorBidi" w:cstheme="majorBidi"/>
          <w:sz w:val="26"/>
          <w:szCs w:val="26"/>
        </w:rPr>
        <w:t>Smart Customs</w:t>
      </w:r>
      <w:r w:rsidRPr="00A92155">
        <w:rPr>
          <w:rFonts w:asciiTheme="majorBidi" w:hAnsiTheme="majorBidi" w:cstheme="majorBidi"/>
          <w:sz w:val="26"/>
          <w:szCs w:val="26"/>
          <w:rtl/>
        </w:rPr>
        <w:t>) هو الفاصل بين الاقتصاد التقليدي والاقتصاد الرقمي. هذا البُعد يركز على الكيفية التي يمكن للتقنية بها أن تخدم السرعة والكفاءة.</w:t>
      </w:r>
    </w:p>
    <w:p w14:paraId="030155E0"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PT Bold Heading"/>
          <w:b/>
          <w:bCs/>
          <w:color w:val="000000" w:themeColor="text1"/>
          <w:sz w:val="26"/>
          <w:szCs w:val="26"/>
          <w:rtl/>
        </w:rPr>
        <w:lastRenderedPageBreak/>
        <w:t>2.4.3.1 مفهوم الجمارك 4.0 وتطبيقاتها في</w:t>
      </w:r>
      <w:r w:rsidRPr="00A92155">
        <w:rPr>
          <w:rFonts w:asciiTheme="majorBidi" w:hAnsiTheme="majorBidi" w:cstheme="majorBidi"/>
          <w:b/>
          <w:bCs/>
          <w:sz w:val="26"/>
          <w:szCs w:val="26"/>
          <w:rtl/>
        </w:rPr>
        <w:t xml:space="preserve"> </w:t>
      </w:r>
      <w:r w:rsidRPr="00A92155">
        <w:rPr>
          <w:rFonts w:asciiTheme="majorBidi" w:hAnsiTheme="majorBidi" w:cs="PT Bold Heading"/>
          <w:b/>
          <w:bCs/>
          <w:color w:val="000000" w:themeColor="text1"/>
          <w:sz w:val="26"/>
          <w:szCs w:val="26"/>
        </w:rPr>
        <w:t>ZATCA</w:t>
      </w:r>
    </w:p>
    <w:p w14:paraId="65482E6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التعريف:</w:t>
      </w:r>
      <w:r w:rsidRPr="00A92155">
        <w:rPr>
          <w:rFonts w:asciiTheme="majorBidi" w:hAnsiTheme="majorBidi" w:cstheme="majorBidi"/>
          <w:sz w:val="26"/>
          <w:szCs w:val="26"/>
          <w:rtl/>
        </w:rPr>
        <w:t xml:space="preserve"> يشير مفهوم الجمارك 4.0 إلى استخدام التقنيات الناشئة للثورة الصناعية الرابعة (4</w:t>
      </w:r>
      <w:r w:rsidRPr="00A92155">
        <w:rPr>
          <w:rFonts w:asciiTheme="majorBidi" w:hAnsiTheme="majorBidi" w:cstheme="majorBidi"/>
          <w:sz w:val="26"/>
          <w:szCs w:val="26"/>
        </w:rPr>
        <w:t>IR</w:t>
      </w:r>
      <w:r w:rsidRPr="00A92155">
        <w:rPr>
          <w:rFonts w:asciiTheme="majorBidi" w:hAnsiTheme="majorBidi" w:cstheme="majorBidi"/>
          <w:sz w:val="26"/>
          <w:szCs w:val="26"/>
          <w:rtl/>
        </w:rPr>
        <w:t>)، مثل الذكاء الاصطناعي، والبيانات الضخمة، والتحليلات المتقدمة (</w:t>
      </w:r>
      <w:r w:rsidRPr="00A92155">
        <w:rPr>
          <w:rFonts w:asciiTheme="majorBidi" w:hAnsiTheme="majorBidi" w:cstheme="majorBidi"/>
          <w:sz w:val="26"/>
          <w:szCs w:val="26"/>
        </w:rPr>
        <w:t>WCO, 2023</w:t>
      </w:r>
      <w:r w:rsidRPr="00A92155">
        <w:rPr>
          <w:rFonts w:asciiTheme="majorBidi" w:hAnsiTheme="majorBidi" w:cstheme="majorBidi"/>
          <w:sz w:val="26"/>
          <w:szCs w:val="26"/>
          <w:rtl/>
        </w:rPr>
        <w:t>).</w:t>
      </w:r>
    </w:p>
    <w:p w14:paraId="1D289F21"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وتشير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WCO, 2023</w:t>
      </w:r>
      <w:r w:rsidRPr="00A92155">
        <w:rPr>
          <w:rFonts w:asciiTheme="majorBidi" w:hAnsiTheme="majorBidi" w:cstheme="majorBidi"/>
          <w:sz w:val="26"/>
          <w:szCs w:val="26"/>
          <w:rtl/>
        </w:rPr>
        <w:t>) إلى أن الجمارك 4.0 تهدف إلى تحقيق "جمارك غير مرئية" (</w:t>
      </w:r>
      <w:r w:rsidRPr="00A92155">
        <w:rPr>
          <w:rFonts w:asciiTheme="majorBidi" w:hAnsiTheme="majorBidi" w:cstheme="majorBidi"/>
          <w:sz w:val="26"/>
          <w:szCs w:val="26"/>
        </w:rPr>
        <w:t>Invisible Customs</w:t>
      </w:r>
      <w:r w:rsidRPr="00A92155">
        <w:rPr>
          <w:rFonts w:asciiTheme="majorBidi" w:hAnsiTheme="majorBidi" w:cstheme="majorBidi"/>
          <w:sz w:val="26"/>
          <w:szCs w:val="26"/>
          <w:rtl/>
        </w:rPr>
        <w:t>)، حيث يتم التخليص التلقائي دون شعور التاجر بالتدخل الجمركي.</w:t>
      </w:r>
    </w:p>
    <w:p w14:paraId="3A6D759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 xml:space="preserve">التطبيق العملي في </w:t>
      </w:r>
      <w:r w:rsidRPr="00A92155">
        <w:rPr>
          <w:rFonts w:asciiTheme="majorBidi" w:hAnsiTheme="majorBidi" w:cstheme="majorBidi"/>
          <w:b/>
          <w:bCs/>
          <w:sz w:val="26"/>
          <w:szCs w:val="26"/>
        </w:rPr>
        <w:t>ZATCA</w:t>
      </w:r>
      <w:r w:rsidRPr="00A92155">
        <w:rPr>
          <w:rFonts w:asciiTheme="majorBidi" w:hAnsiTheme="majorBidi" w:cstheme="majorBidi"/>
          <w:b/>
          <w:bCs/>
          <w:sz w:val="26"/>
          <w:szCs w:val="26"/>
          <w:rtl/>
        </w:rPr>
        <w:t>:</w:t>
      </w:r>
    </w:p>
    <w:p w14:paraId="14447846"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الأتمتة بالروبوتات (</w:t>
      </w:r>
      <w:r w:rsidRPr="00A92155">
        <w:rPr>
          <w:rFonts w:asciiTheme="majorBidi" w:hAnsiTheme="majorBidi" w:cstheme="majorBidi"/>
          <w:b/>
          <w:bCs/>
          <w:sz w:val="26"/>
          <w:szCs w:val="26"/>
        </w:rPr>
        <w:t>RPA</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استخدام برمجيات الروبوتات لأتمتة المهام المتكررة في التدقيق على الوثائق والتصاريح، مما يوفر وقتاً كبيراً للموظفين للتركيز على قضايا المخاطر العالية.</w:t>
      </w:r>
    </w:p>
    <w:p w14:paraId="21C6D02D"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الحوسبة السحابية (</w:t>
      </w:r>
      <w:r w:rsidRPr="00A92155">
        <w:rPr>
          <w:rFonts w:asciiTheme="majorBidi" w:hAnsiTheme="majorBidi" w:cstheme="majorBidi"/>
          <w:b/>
          <w:bCs/>
          <w:sz w:val="26"/>
          <w:szCs w:val="26"/>
        </w:rPr>
        <w:t>Cloud Computing</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استخدام البنى التحتية السحابية لتمكين الوصول السريع والآمن للبيانات، وهو أمر حيوي لربط المنافذ الجمركية المختلفة (البرية، البحرية، الجوية) بكفاءة ومرونة عالية.</w:t>
      </w:r>
    </w:p>
    <w:p w14:paraId="632D1168"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2.4.3.2 الذكاء الاصطناعي والتعلم الآلي في عمليات التخليص</w:t>
      </w:r>
    </w:p>
    <w:p w14:paraId="5301B26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يُمثل الذكاء الاصطناعي قلب التحول الرقمي الذي يحقق تيسير التجارة في </w:t>
      </w:r>
      <w:r w:rsidRPr="00A92155">
        <w:rPr>
          <w:rFonts w:asciiTheme="majorBidi" w:hAnsiTheme="majorBidi" w:cstheme="majorBidi"/>
          <w:sz w:val="26"/>
          <w:szCs w:val="26"/>
        </w:rPr>
        <w:t>ZATCA</w:t>
      </w:r>
      <w:r w:rsidRPr="00A92155">
        <w:rPr>
          <w:rFonts w:asciiTheme="majorBidi" w:hAnsiTheme="majorBidi" w:cstheme="majorBidi"/>
          <w:sz w:val="26"/>
          <w:szCs w:val="26"/>
          <w:rtl/>
        </w:rPr>
        <w:t>.</w:t>
      </w:r>
    </w:p>
    <w:p w14:paraId="0326CBCE" w14:textId="77777777" w:rsidR="00202E2A" w:rsidRPr="00A92155" w:rsidRDefault="00202E2A">
      <w:pPr>
        <w:numPr>
          <w:ilvl w:val="0"/>
          <w:numId w:val="105"/>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الفرز التلقائي للشحنات (</w:t>
      </w:r>
      <w:r w:rsidRPr="00A92155">
        <w:rPr>
          <w:rFonts w:asciiTheme="majorBidi" w:hAnsiTheme="majorBidi" w:cstheme="majorBidi"/>
          <w:b/>
          <w:bCs/>
          <w:sz w:val="26"/>
          <w:szCs w:val="26"/>
        </w:rPr>
        <w:t>Automated Sorting</w:t>
      </w:r>
      <w:r w:rsidRPr="00A92155">
        <w:rPr>
          <w:rFonts w:asciiTheme="majorBidi" w:hAnsiTheme="majorBidi" w:cstheme="majorBidi"/>
          <w:b/>
          <w:bCs/>
          <w:sz w:val="26"/>
          <w:szCs w:val="26"/>
          <w:rtl/>
        </w:rPr>
        <w:t>):</w:t>
      </w:r>
    </w:p>
    <w:p w14:paraId="026546E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وأكدت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Smith, J., 2018</w:t>
      </w:r>
      <w:r w:rsidRPr="00A92155">
        <w:rPr>
          <w:rFonts w:asciiTheme="majorBidi" w:hAnsiTheme="majorBidi" w:cstheme="majorBidi"/>
          <w:sz w:val="26"/>
          <w:szCs w:val="26"/>
          <w:rtl/>
        </w:rPr>
        <w:t>) أكد أن خوارزميات التعلم الآلي تتفوق على الطرق التقليدية في تحديد الأنماط المعقدة للمخاطر، مما يقلل من نسبة التفتيش اليدوي إلى أقل من 5%.</w:t>
      </w:r>
    </w:p>
    <w:p w14:paraId="025DADB8"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 xml:space="preserve">التطبيق في </w:t>
      </w:r>
      <w:r w:rsidRPr="00A92155">
        <w:rPr>
          <w:rFonts w:asciiTheme="majorBidi" w:hAnsiTheme="majorBidi" w:cstheme="majorBidi"/>
          <w:b/>
          <w:bCs/>
          <w:sz w:val="26"/>
          <w:szCs w:val="26"/>
        </w:rPr>
        <w:t>ZATCA</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تستخدم الهيئة نماذج تعلم آلي قائمة على شبكات عصبية عميقة (</w:t>
      </w:r>
      <w:r w:rsidRPr="00A92155">
        <w:rPr>
          <w:rFonts w:asciiTheme="majorBidi" w:hAnsiTheme="majorBidi" w:cstheme="majorBidi"/>
          <w:sz w:val="26"/>
          <w:szCs w:val="26"/>
        </w:rPr>
        <w:t>Deep Neural Networks</w:t>
      </w:r>
      <w:r w:rsidRPr="00A92155">
        <w:rPr>
          <w:rFonts w:asciiTheme="majorBidi" w:hAnsiTheme="majorBidi" w:cstheme="majorBidi"/>
          <w:sz w:val="26"/>
          <w:szCs w:val="26"/>
          <w:rtl/>
        </w:rPr>
        <w:t xml:space="preserve">) لتحليل 300 متغير أو أكثر (بلد المنشأ، سجل المستورد، نوع السلعة، المسار اللوجستي) لتصنيف الشحنة في أقل من ثانية واحدة إلى </w:t>
      </w:r>
      <w:r w:rsidRPr="00A92155">
        <w:rPr>
          <w:rFonts w:asciiTheme="majorBidi" w:hAnsiTheme="majorBidi" w:cstheme="majorBidi"/>
          <w:b/>
          <w:bCs/>
          <w:sz w:val="26"/>
          <w:szCs w:val="26"/>
          <w:rtl/>
        </w:rPr>
        <w:t>مسار أخضر (تخليص فوري)</w:t>
      </w:r>
      <w:r w:rsidRPr="00A92155">
        <w:rPr>
          <w:rFonts w:asciiTheme="majorBidi" w:hAnsiTheme="majorBidi" w:cstheme="majorBidi"/>
          <w:sz w:val="26"/>
          <w:szCs w:val="26"/>
          <w:rtl/>
        </w:rPr>
        <w:t>، أو أصفر (تدقيق وثائقي)، أو أحمر (تفتيش مادي). هذا التمييز السريع هو جوهر التيسير.</w:t>
      </w:r>
    </w:p>
    <w:p w14:paraId="5EDE0CE2" w14:textId="77777777" w:rsidR="00202E2A" w:rsidRPr="00A92155" w:rsidRDefault="00202E2A">
      <w:pPr>
        <w:numPr>
          <w:ilvl w:val="0"/>
          <w:numId w:val="105"/>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معالجة اللغة الطبيعية (</w:t>
      </w:r>
      <w:r w:rsidRPr="00A92155">
        <w:rPr>
          <w:rFonts w:asciiTheme="majorBidi" w:hAnsiTheme="majorBidi" w:cstheme="majorBidi"/>
          <w:b/>
          <w:bCs/>
          <w:sz w:val="26"/>
          <w:szCs w:val="26"/>
        </w:rPr>
        <w:t>NLP</w:t>
      </w:r>
      <w:r w:rsidRPr="00A92155">
        <w:rPr>
          <w:rFonts w:asciiTheme="majorBidi" w:hAnsiTheme="majorBidi" w:cstheme="majorBidi"/>
          <w:b/>
          <w:bCs/>
          <w:sz w:val="26"/>
          <w:szCs w:val="26"/>
          <w:rtl/>
        </w:rPr>
        <w:t>) في الوثائق:</w:t>
      </w:r>
    </w:p>
    <w:p w14:paraId="07A1104A"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وأشارت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PwC, 2023</w:t>
      </w:r>
      <w:r w:rsidRPr="00A92155">
        <w:rPr>
          <w:rFonts w:asciiTheme="majorBidi" w:hAnsiTheme="majorBidi" w:cstheme="majorBidi"/>
          <w:sz w:val="26"/>
          <w:szCs w:val="26"/>
          <w:rtl/>
        </w:rPr>
        <w:t xml:space="preserve">) أشار إلى أن </w:t>
      </w:r>
      <w:r w:rsidRPr="00A92155">
        <w:rPr>
          <w:rFonts w:asciiTheme="majorBidi" w:hAnsiTheme="majorBidi" w:cstheme="majorBidi"/>
          <w:sz w:val="26"/>
          <w:szCs w:val="26"/>
        </w:rPr>
        <w:t>NLP</w:t>
      </w:r>
      <w:r w:rsidRPr="00A92155">
        <w:rPr>
          <w:rFonts w:asciiTheme="majorBidi" w:hAnsiTheme="majorBidi" w:cstheme="majorBidi"/>
          <w:sz w:val="26"/>
          <w:szCs w:val="26"/>
          <w:rtl/>
        </w:rPr>
        <w:t xml:space="preserve"> تُستخدم لمعالجة كميات هائلة من النصوص غير المهيكلة في الفواتير والعقود، مما يسرع عملية مطابقة البيانات وفحص مدى الامتثال قبل وصول الشحنة.</w:t>
      </w:r>
    </w:p>
    <w:p w14:paraId="48FA9D81"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 xml:space="preserve">التطبيق في </w:t>
      </w:r>
      <w:r w:rsidRPr="00A92155">
        <w:rPr>
          <w:rFonts w:asciiTheme="majorBidi" w:hAnsiTheme="majorBidi" w:cstheme="majorBidi"/>
          <w:b/>
          <w:bCs/>
          <w:sz w:val="26"/>
          <w:szCs w:val="26"/>
        </w:rPr>
        <w:t>ZATCA</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تستخدم الهيئة هذه التقنية لضمان أن الوصف في البيان الجمركي يطابق الوصف الفعلي في الفواتير والسجلات الأخرى، مما يقلل من الحاجة لمراجعات يدوية مطولة.</w:t>
      </w:r>
    </w:p>
    <w:p w14:paraId="517947A9"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PT Bold Heading"/>
          <w:b/>
          <w:bCs/>
          <w:color w:val="000000" w:themeColor="text1"/>
          <w:sz w:val="26"/>
          <w:szCs w:val="26"/>
          <w:rtl/>
        </w:rPr>
        <w:t>2.4.4 التحول الرقمي في سلاسل التوريد العالمية (البُعد التكنولوجي)</w:t>
      </w:r>
    </w:p>
    <w:p w14:paraId="34BF0A8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يمتد البُعد التكنولوجي ليشمل التكامل مع اللوجستيات الذكية، وهو ما يتطلب تقنيات متقدمة تكسر الحواجز التقليدية في سلاسل الإمداد.</w:t>
      </w:r>
    </w:p>
    <w:p w14:paraId="200347EA"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2.4.4.1 دور إنترنت الأشياء (</w:t>
      </w:r>
      <w:r w:rsidRPr="00A92155">
        <w:rPr>
          <w:rFonts w:asciiTheme="majorBidi" w:hAnsiTheme="majorBidi" w:cs="PT Bold Heading"/>
          <w:b/>
          <w:bCs/>
          <w:color w:val="000000" w:themeColor="text1"/>
          <w:sz w:val="26"/>
          <w:szCs w:val="26"/>
        </w:rPr>
        <w:t>IoT</w:t>
      </w:r>
      <w:r w:rsidRPr="00A92155">
        <w:rPr>
          <w:rFonts w:asciiTheme="majorBidi" w:hAnsiTheme="majorBidi" w:cs="PT Bold Heading"/>
          <w:b/>
          <w:bCs/>
          <w:color w:val="000000" w:themeColor="text1"/>
          <w:sz w:val="26"/>
          <w:szCs w:val="26"/>
          <w:rtl/>
        </w:rPr>
        <w:t>) والرقابة اللوجستية الذكية</w:t>
      </w:r>
    </w:p>
    <w:p w14:paraId="38EAAD4E"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التعريف:</w:t>
      </w:r>
      <w:r w:rsidRPr="00A92155">
        <w:rPr>
          <w:rFonts w:asciiTheme="majorBidi" w:hAnsiTheme="majorBidi" w:cstheme="majorBidi"/>
          <w:sz w:val="26"/>
          <w:szCs w:val="26"/>
          <w:rtl/>
        </w:rPr>
        <w:t xml:space="preserve"> استخدام المستشعرات والأجهزة المتصلة بالإنترنت لجمع وتبادل البيانات اللوجستية في الوقت الفعلي.</w:t>
      </w:r>
    </w:p>
    <w:p w14:paraId="1E07664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وأوضحت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Almarzooqi et al., 2021</w:t>
      </w:r>
      <w:r w:rsidRPr="00A92155">
        <w:rPr>
          <w:rFonts w:asciiTheme="majorBidi" w:hAnsiTheme="majorBidi" w:cstheme="majorBidi"/>
          <w:sz w:val="26"/>
          <w:szCs w:val="26"/>
          <w:rtl/>
        </w:rPr>
        <w:t xml:space="preserve">) نوه إلى أن دمج </w:t>
      </w:r>
      <w:r w:rsidRPr="00A92155">
        <w:rPr>
          <w:rFonts w:asciiTheme="majorBidi" w:hAnsiTheme="majorBidi" w:cstheme="majorBidi"/>
          <w:sz w:val="26"/>
          <w:szCs w:val="26"/>
        </w:rPr>
        <w:t>IoT</w:t>
      </w:r>
      <w:r w:rsidRPr="00A92155">
        <w:rPr>
          <w:rFonts w:asciiTheme="majorBidi" w:hAnsiTheme="majorBidi" w:cstheme="majorBidi"/>
          <w:sz w:val="26"/>
          <w:szCs w:val="26"/>
          <w:rtl/>
        </w:rPr>
        <w:t xml:space="preserve"> في سلاسل الإمداد الحكومية يعزز الشفافية اللوجستية ويحسن من القدرة على التخطيط الاستراتيجي.</w:t>
      </w:r>
    </w:p>
    <w:p w14:paraId="1CEA61B8"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lastRenderedPageBreak/>
        <w:t xml:space="preserve">تطبيق </w:t>
      </w:r>
      <w:r w:rsidRPr="00A92155">
        <w:rPr>
          <w:rFonts w:asciiTheme="majorBidi" w:hAnsiTheme="majorBidi" w:cstheme="majorBidi"/>
          <w:b/>
          <w:bCs/>
          <w:sz w:val="26"/>
          <w:szCs w:val="26"/>
        </w:rPr>
        <w:t>ZATCA</w:t>
      </w:r>
      <w:r w:rsidRPr="00A92155">
        <w:rPr>
          <w:rFonts w:asciiTheme="majorBidi" w:hAnsiTheme="majorBidi" w:cstheme="majorBidi"/>
          <w:b/>
          <w:bCs/>
          <w:sz w:val="26"/>
          <w:szCs w:val="26"/>
          <w:rtl/>
        </w:rPr>
        <w:t xml:space="preserve"> (الأختام الإلكترونية):</w:t>
      </w:r>
    </w:p>
    <w:p w14:paraId="66B399B9"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تستخدم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الأختام الإلكترونية المزودة بـ </w:t>
      </w:r>
      <w:r w:rsidRPr="00A92155">
        <w:rPr>
          <w:rFonts w:asciiTheme="majorBidi" w:hAnsiTheme="majorBidi" w:cstheme="majorBidi"/>
          <w:sz w:val="26"/>
          <w:szCs w:val="26"/>
        </w:rPr>
        <w:t>GPS</w:t>
      </w:r>
      <w:r w:rsidRPr="00A92155">
        <w:rPr>
          <w:rFonts w:asciiTheme="majorBidi" w:hAnsiTheme="majorBidi" w:cstheme="majorBidi"/>
          <w:sz w:val="26"/>
          <w:szCs w:val="26"/>
          <w:rtl/>
        </w:rPr>
        <w:t xml:space="preserve"> ومستشعرات حرارة/رطوبة لمراقبة الحاويات والشاحنات التي يتم تخليصها بشكل مسبق أو التي تمر عبر المملكة. هذا يوفر سلسلة حضانة (</w:t>
      </w:r>
      <w:r w:rsidRPr="00A92155">
        <w:rPr>
          <w:rFonts w:asciiTheme="majorBidi" w:hAnsiTheme="majorBidi" w:cstheme="majorBidi"/>
          <w:sz w:val="26"/>
          <w:szCs w:val="26"/>
        </w:rPr>
        <w:t>Chain of Custody</w:t>
      </w:r>
      <w:r w:rsidRPr="00A92155">
        <w:rPr>
          <w:rFonts w:asciiTheme="majorBidi" w:hAnsiTheme="majorBidi" w:cstheme="majorBidi"/>
          <w:sz w:val="26"/>
          <w:szCs w:val="26"/>
          <w:rtl/>
        </w:rPr>
        <w:t>) آمنة ورقمية.</w:t>
      </w:r>
    </w:p>
    <w:p w14:paraId="131D2BC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الأثر على </w:t>
      </w:r>
      <w:r w:rsidRPr="00A92155">
        <w:rPr>
          <w:rFonts w:asciiTheme="majorBidi" w:hAnsiTheme="majorBidi" w:cstheme="majorBidi" w:hint="cs"/>
          <w:sz w:val="26"/>
          <w:szCs w:val="26"/>
          <w:rtl/>
        </w:rPr>
        <w:t xml:space="preserve">المتغير المتابع </w:t>
      </w:r>
      <w:r w:rsidRPr="00A92155">
        <w:rPr>
          <w:rFonts w:asciiTheme="majorBidi" w:hAnsiTheme="majorBidi" w:cstheme="majorBidi"/>
          <w:sz w:val="26"/>
          <w:szCs w:val="26"/>
          <w:rtl/>
        </w:rPr>
        <w:t>تيسير</w:t>
      </w:r>
      <w:r w:rsidRPr="00A92155">
        <w:rPr>
          <w:rFonts w:asciiTheme="majorBidi" w:hAnsiTheme="majorBidi" w:cstheme="majorBidi" w:hint="cs"/>
          <w:sz w:val="26"/>
          <w:szCs w:val="26"/>
          <w:rtl/>
        </w:rPr>
        <w:t xml:space="preserve"> التجارة</w:t>
      </w:r>
      <w:r w:rsidRPr="00A92155">
        <w:rPr>
          <w:rFonts w:asciiTheme="majorBidi" w:hAnsiTheme="majorBidi" w:cstheme="majorBidi"/>
          <w:sz w:val="26"/>
          <w:szCs w:val="26"/>
          <w:rtl/>
        </w:rPr>
        <w:t>: يسمح هذا التتبع للهيئة بتسهيل عملية العبور (</w:t>
      </w:r>
      <w:r w:rsidRPr="00A92155">
        <w:rPr>
          <w:rFonts w:asciiTheme="majorBidi" w:hAnsiTheme="majorBidi" w:cstheme="majorBidi"/>
          <w:sz w:val="26"/>
          <w:szCs w:val="26"/>
        </w:rPr>
        <w:t>Transit</w:t>
      </w:r>
      <w:r w:rsidRPr="00A92155">
        <w:rPr>
          <w:rFonts w:asciiTheme="majorBidi" w:hAnsiTheme="majorBidi" w:cstheme="majorBidi"/>
          <w:sz w:val="26"/>
          <w:szCs w:val="26"/>
          <w:rtl/>
        </w:rPr>
        <w:t>) بين دول مجلس التعاون الخليجي، وتسهيل التجارة بين موانئ المملكة (</w:t>
      </w:r>
      <w:r w:rsidRPr="00A92155">
        <w:rPr>
          <w:rFonts w:asciiTheme="majorBidi" w:hAnsiTheme="majorBidi" w:cstheme="majorBidi"/>
          <w:sz w:val="26"/>
          <w:szCs w:val="26"/>
        </w:rPr>
        <w:t>Coastal Shipping</w:t>
      </w:r>
      <w:r w:rsidRPr="00A92155">
        <w:rPr>
          <w:rFonts w:asciiTheme="majorBidi" w:hAnsiTheme="majorBidi" w:cstheme="majorBidi"/>
          <w:sz w:val="26"/>
          <w:szCs w:val="26"/>
          <w:rtl/>
        </w:rPr>
        <w:t>) دون الحاجة لتفتيش مادي متكرر.</w:t>
      </w:r>
    </w:p>
    <w:p w14:paraId="6125DF90"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2.4.4.2 تقنية البلوكتشين (</w:t>
      </w:r>
      <w:r w:rsidRPr="00A92155">
        <w:rPr>
          <w:rFonts w:asciiTheme="majorBidi" w:hAnsiTheme="majorBidi" w:cs="PT Bold Heading"/>
          <w:b/>
          <w:bCs/>
          <w:color w:val="000000" w:themeColor="text1"/>
          <w:sz w:val="26"/>
          <w:szCs w:val="26"/>
        </w:rPr>
        <w:t>Blockchain</w:t>
      </w:r>
      <w:r w:rsidRPr="00A92155">
        <w:rPr>
          <w:rFonts w:asciiTheme="majorBidi" w:hAnsiTheme="majorBidi" w:cs="PT Bold Heading"/>
          <w:b/>
          <w:bCs/>
          <w:color w:val="000000" w:themeColor="text1"/>
          <w:sz w:val="26"/>
          <w:szCs w:val="26"/>
          <w:rtl/>
        </w:rPr>
        <w:t>) في توثيق التجارة</w:t>
      </w:r>
    </w:p>
    <w:p w14:paraId="04FE88D5"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تُعد البلوكتشين تقنية محورية لتحقيق تيسير التجارة الرقمية من خلال بناء الثقة المتبادلة بين الأطراف.</w:t>
      </w:r>
    </w:p>
    <w:p w14:paraId="33D40DF9" w14:textId="77777777" w:rsidR="00202E2A" w:rsidRPr="00A92155" w:rsidRDefault="00202E2A" w:rsidP="00202E2A">
      <w:pPr>
        <w:bidi/>
        <w:spacing w:line="240" w:lineRule="auto"/>
        <w:jc w:val="lowKashida"/>
        <w:rPr>
          <w:rFonts w:asciiTheme="majorBidi" w:hAnsiTheme="majorBidi" w:cstheme="majorBidi"/>
          <w:sz w:val="26"/>
          <w:szCs w:val="26"/>
        </w:rPr>
      </w:pPr>
      <w:r w:rsidRPr="00A92155">
        <w:rPr>
          <w:rFonts w:asciiTheme="majorBidi" w:hAnsiTheme="majorBidi" w:cstheme="majorBidi"/>
          <w:b/>
          <w:bCs/>
          <w:sz w:val="26"/>
          <w:szCs w:val="26"/>
          <w:rtl/>
        </w:rPr>
        <w:t>التعريف:</w:t>
      </w:r>
      <w:r w:rsidRPr="00A92155">
        <w:rPr>
          <w:rFonts w:asciiTheme="majorBidi" w:hAnsiTheme="majorBidi" w:cstheme="majorBidi"/>
          <w:sz w:val="26"/>
          <w:szCs w:val="26"/>
          <w:rtl/>
        </w:rPr>
        <w:t xml:space="preserve"> نظام سجل موزع (</w:t>
      </w:r>
      <w:r w:rsidRPr="00A92155">
        <w:rPr>
          <w:rFonts w:asciiTheme="majorBidi" w:hAnsiTheme="majorBidi" w:cstheme="majorBidi"/>
          <w:sz w:val="26"/>
          <w:szCs w:val="26"/>
        </w:rPr>
        <w:t>Distributed Ledger</w:t>
      </w:r>
      <w:r w:rsidRPr="00A92155">
        <w:rPr>
          <w:rFonts w:asciiTheme="majorBidi" w:hAnsiTheme="majorBidi" w:cstheme="majorBidi"/>
          <w:sz w:val="26"/>
          <w:szCs w:val="26"/>
          <w:rtl/>
        </w:rPr>
        <w:t>) غير قابل للتغيير، يسجل المعاملات بين الأطراف بطريقة آمنة وموثوقة، دون الحاجة لوسيط مركزي.</w:t>
      </w:r>
    </w:p>
    <w:p w14:paraId="6928E4F1"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 xml:space="preserve">وحدد دراسة </w:t>
      </w:r>
      <w:r w:rsidRPr="00A92155">
        <w:rPr>
          <w:rFonts w:asciiTheme="majorBidi" w:hAnsiTheme="majorBidi" w:cstheme="majorBidi"/>
          <w:sz w:val="26"/>
          <w:szCs w:val="26"/>
          <w:rtl/>
        </w:rPr>
        <w:t>(</w:t>
      </w:r>
      <w:r w:rsidRPr="00A92155">
        <w:rPr>
          <w:rFonts w:asciiTheme="majorBidi" w:hAnsiTheme="majorBidi" w:cstheme="majorBidi"/>
          <w:sz w:val="26"/>
          <w:szCs w:val="26"/>
        </w:rPr>
        <w:t>OECD, 2018</w:t>
      </w:r>
      <w:r w:rsidRPr="00A92155">
        <w:rPr>
          <w:rFonts w:asciiTheme="majorBidi" w:hAnsiTheme="majorBidi" w:cstheme="majorBidi"/>
          <w:sz w:val="26"/>
          <w:szCs w:val="26"/>
          <w:rtl/>
        </w:rPr>
        <w:t>) حدد البلوكتشين كأداة رئيسية لـ "التجارة الرقمية الآمنة" لقدرتها على توفير مصدر بيانات موحد وموثوق للجمارك والجهات التنظيمية.</w:t>
      </w:r>
    </w:p>
    <w:p w14:paraId="60E3E96F"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 xml:space="preserve">تطبيق </w:t>
      </w:r>
      <w:r w:rsidRPr="00A92155">
        <w:rPr>
          <w:rFonts w:asciiTheme="majorBidi" w:hAnsiTheme="majorBidi" w:cstheme="majorBidi"/>
          <w:b/>
          <w:bCs/>
          <w:sz w:val="26"/>
          <w:szCs w:val="26"/>
        </w:rPr>
        <w:t>ZATCA</w:t>
      </w:r>
      <w:r w:rsidRPr="00A92155">
        <w:rPr>
          <w:rFonts w:asciiTheme="majorBidi" w:hAnsiTheme="majorBidi" w:cstheme="majorBidi"/>
          <w:b/>
          <w:bCs/>
          <w:sz w:val="26"/>
          <w:szCs w:val="26"/>
          <w:rtl/>
        </w:rPr>
        <w:t xml:space="preserve"> (توثيق البيانات):</w:t>
      </w:r>
    </w:p>
    <w:p w14:paraId="227F392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شهادات المنشأ الرقمية:</w:t>
      </w:r>
      <w:r w:rsidRPr="00A92155">
        <w:rPr>
          <w:rFonts w:asciiTheme="majorBidi" w:hAnsiTheme="majorBidi" w:cstheme="majorBidi"/>
          <w:sz w:val="26"/>
          <w:szCs w:val="26"/>
          <w:rtl/>
        </w:rPr>
        <w:t xml:space="preserve"> يمكن لـ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تطبيق البلوكتشين لتوثيق شهادات المنشأ والسجلات التجارية، مما يحل بشكل جذري مشكلة تزوير الوثائق ويقلل من الحاجة للتحقق اليدوي البطيء.</w:t>
      </w:r>
    </w:p>
    <w:p w14:paraId="05BFF08D"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العقود الذكية (</w:t>
      </w:r>
      <w:r w:rsidRPr="00A92155">
        <w:rPr>
          <w:rFonts w:asciiTheme="majorBidi" w:hAnsiTheme="majorBidi" w:cstheme="majorBidi"/>
          <w:b/>
          <w:bCs/>
          <w:sz w:val="26"/>
          <w:szCs w:val="26"/>
        </w:rPr>
        <w:t>Smart Contracts</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يمكن برمجة العقود الجمركية والضريبية لتنفيذ إجراءات الدفع والإفراج تلقائياً عند استيفاء جميع الشروط المحددة (مثل وصول الشحنة، والتحقق من صحة الوثائق)، مما يسرع من الإجراءات المالية.</w:t>
      </w:r>
    </w:p>
    <w:p w14:paraId="2F7BF5DD"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2.4.5 الأبعاد الاقتصادية لتيسير التجارة (البُعد الاقتصادي)</w:t>
      </w:r>
    </w:p>
    <w:p w14:paraId="4193F24E"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يُعد البُعد الاقتصادي هو القيمة المضافة المحسوسة لتيسير التجارة، حيث يتم قياس أثر التحول الرقمي في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مباشرة على تنافسية الاقتصاد السعودي.</w:t>
      </w:r>
    </w:p>
    <w:p w14:paraId="63C37E10"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2.4.5.1 خفض تكاليف التجارة والامتثال على القطاع الخاص</w:t>
      </w:r>
    </w:p>
    <w:p w14:paraId="5DC822F2"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تكاليف الامتثال المباشرة:</w:t>
      </w:r>
    </w:p>
    <w:p w14:paraId="61F196C6"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وقدرت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World Bank, 2020</w:t>
      </w:r>
      <w:r w:rsidRPr="00A92155">
        <w:rPr>
          <w:rFonts w:asciiTheme="majorBidi" w:hAnsiTheme="majorBidi" w:cstheme="majorBidi"/>
          <w:sz w:val="26"/>
          <w:szCs w:val="26"/>
          <w:rtl/>
        </w:rPr>
        <w:t>) قدرت أن كل يوم تأخير في التخليص الجمركي يمكن أن يزيد من تكاليف التجارة بنسبة 0.4% من قيمة البضاعة.</w:t>
      </w:r>
    </w:p>
    <w:p w14:paraId="0C32033F"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التطبيق في </w:t>
      </w:r>
      <w:r w:rsidRPr="00A92155">
        <w:rPr>
          <w:rFonts w:asciiTheme="majorBidi" w:hAnsiTheme="majorBidi" w:cstheme="majorBidi"/>
          <w:sz w:val="26"/>
          <w:szCs w:val="26"/>
        </w:rPr>
        <w:t>ZATCA</w:t>
      </w:r>
      <w:r w:rsidRPr="00A92155">
        <w:rPr>
          <w:rFonts w:asciiTheme="majorBidi" w:hAnsiTheme="majorBidi" w:cstheme="majorBidi"/>
          <w:sz w:val="26"/>
          <w:szCs w:val="26"/>
          <w:rtl/>
        </w:rPr>
        <w:t>: إن خفض زمن التخليص من 14 يوماً (الماضي) إلى ساعات (الوضع الحالي في المسار الأخضر) يترجم إلى توفير ضخم في التكاليف التشغيلية (مثل تكاليف الموظفين المخصصين للإجراءات، وتكاليف النقل الإضافية).</w:t>
      </w:r>
    </w:p>
    <w:p w14:paraId="75B34F2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تكاليف التأخير (</w:t>
      </w:r>
      <w:r w:rsidRPr="00A92155">
        <w:rPr>
          <w:rFonts w:asciiTheme="majorBidi" w:hAnsiTheme="majorBidi" w:cstheme="majorBidi"/>
          <w:b/>
          <w:bCs/>
          <w:sz w:val="26"/>
          <w:szCs w:val="26"/>
        </w:rPr>
        <w:t>Demurrage and Detention</w:t>
      </w:r>
      <w:r w:rsidRPr="00A92155">
        <w:rPr>
          <w:rFonts w:asciiTheme="majorBidi" w:hAnsiTheme="majorBidi" w:cstheme="majorBidi"/>
          <w:b/>
          <w:bCs/>
          <w:sz w:val="26"/>
          <w:szCs w:val="26"/>
          <w:rtl/>
        </w:rPr>
        <w:t>):</w:t>
      </w:r>
    </w:p>
    <w:p w14:paraId="7AF00E5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تؤدي السرعة الرقمية إلى تقليل تكاليف الغرامات المفروضة على الحاويات التي تتأخر في الموانئ (</w:t>
      </w:r>
      <w:r w:rsidRPr="00A92155">
        <w:rPr>
          <w:rFonts w:asciiTheme="majorBidi" w:hAnsiTheme="majorBidi" w:cstheme="majorBidi"/>
          <w:sz w:val="26"/>
          <w:szCs w:val="26"/>
        </w:rPr>
        <w:t>Demurrage</w:t>
      </w:r>
      <w:r w:rsidRPr="00A92155">
        <w:rPr>
          <w:rFonts w:asciiTheme="majorBidi" w:hAnsiTheme="majorBidi" w:cstheme="majorBidi"/>
          <w:sz w:val="26"/>
          <w:szCs w:val="26"/>
          <w:rtl/>
        </w:rPr>
        <w:t>)، مما يقلل من الأعباء المالية على المستوردين ويزيد من كفاءة الموانئ.</w:t>
      </w:r>
    </w:p>
    <w:p w14:paraId="6662052D"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lastRenderedPageBreak/>
        <w:t>2.4.5.2 تسريع دورة رأس المال العامل (</w:t>
      </w:r>
      <w:r w:rsidRPr="00A92155">
        <w:rPr>
          <w:rFonts w:asciiTheme="majorBidi" w:hAnsiTheme="majorBidi" w:cs="PT Bold Heading"/>
          <w:b/>
          <w:bCs/>
          <w:color w:val="000000" w:themeColor="text1"/>
          <w:sz w:val="26"/>
          <w:szCs w:val="26"/>
        </w:rPr>
        <w:t>Working Capital Cycle</w:t>
      </w:r>
      <w:r w:rsidRPr="00A92155">
        <w:rPr>
          <w:rFonts w:asciiTheme="majorBidi" w:hAnsiTheme="majorBidi" w:cs="PT Bold Heading"/>
          <w:b/>
          <w:bCs/>
          <w:color w:val="000000" w:themeColor="text1"/>
          <w:sz w:val="26"/>
          <w:szCs w:val="26"/>
          <w:rtl/>
        </w:rPr>
        <w:t>)</w:t>
      </w:r>
    </w:p>
    <w:p w14:paraId="596D81C3"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التعجيل بدوران المخزون (</w:t>
      </w:r>
      <w:r w:rsidRPr="00A92155">
        <w:rPr>
          <w:rFonts w:asciiTheme="majorBidi" w:hAnsiTheme="majorBidi" w:cstheme="majorBidi"/>
          <w:sz w:val="26"/>
          <w:szCs w:val="26"/>
        </w:rPr>
        <w:t>Inventory Turnover</w:t>
      </w:r>
      <w:r w:rsidRPr="00A92155">
        <w:rPr>
          <w:rFonts w:asciiTheme="majorBidi" w:hAnsiTheme="majorBidi" w:cstheme="majorBidi"/>
          <w:sz w:val="26"/>
          <w:szCs w:val="26"/>
          <w:rtl/>
        </w:rPr>
        <w:t>): يتيح تيسير التجارة للمستوردين والتجار تقليل كمية المخزون الاحتياطي الذي يحتفظون به (</w:t>
      </w:r>
      <w:r w:rsidRPr="00A92155">
        <w:rPr>
          <w:rFonts w:asciiTheme="majorBidi" w:hAnsiTheme="majorBidi" w:cstheme="majorBidi"/>
          <w:sz w:val="26"/>
          <w:szCs w:val="26"/>
        </w:rPr>
        <w:t>Safety Stock</w:t>
      </w:r>
      <w:r w:rsidRPr="00A92155">
        <w:rPr>
          <w:rFonts w:asciiTheme="majorBidi" w:hAnsiTheme="majorBidi" w:cstheme="majorBidi"/>
          <w:sz w:val="26"/>
          <w:szCs w:val="26"/>
          <w:rtl/>
        </w:rPr>
        <w:t>)، حيث أنهم يثقون في وصول البضائع في الوقت المحدد. هذا يحرر رأس مال كبير كان مجمداً في المخزون، ليعاد استثماره (</w:t>
      </w:r>
      <w:r w:rsidRPr="00A92155">
        <w:rPr>
          <w:rFonts w:asciiTheme="majorBidi" w:hAnsiTheme="majorBidi" w:cstheme="majorBidi"/>
          <w:sz w:val="26"/>
          <w:szCs w:val="26"/>
        </w:rPr>
        <w:t>OECD, 2018</w:t>
      </w:r>
      <w:r w:rsidRPr="00A92155">
        <w:rPr>
          <w:rFonts w:asciiTheme="majorBidi" w:hAnsiTheme="majorBidi" w:cstheme="majorBidi"/>
          <w:sz w:val="26"/>
          <w:szCs w:val="26"/>
          <w:rtl/>
        </w:rPr>
        <w:t>).</w:t>
      </w:r>
    </w:p>
    <w:p w14:paraId="5917FDB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وأكدت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OECD, 2018</w:t>
      </w:r>
      <w:r w:rsidRPr="00A92155">
        <w:rPr>
          <w:rFonts w:asciiTheme="majorBidi" w:hAnsiTheme="majorBidi" w:cstheme="majorBidi"/>
          <w:sz w:val="26"/>
          <w:szCs w:val="26"/>
          <w:rtl/>
        </w:rPr>
        <w:t>) أكد أن تيسير التجارة يزيد من السيولة المالية للشركات من خلال تسريع دورة رأس المال، مما يعزز النمو الاقتصادي للشركات الصغيرة والمتوسطة (</w:t>
      </w:r>
      <w:r w:rsidRPr="00A92155">
        <w:rPr>
          <w:rFonts w:asciiTheme="majorBidi" w:hAnsiTheme="majorBidi" w:cstheme="majorBidi"/>
          <w:sz w:val="26"/>
          <w:szCs w:val="26"/>
        </w:rPr>
        <w:t>SMEs</w:t>
      </w:r>
      <w:r w:rsidRPr="00A92155">
        <w:rPr>
          <w:rFonts w:asciiTheme="majorBidi" w:hAnsiTheme="majorBidi" w:cstheme="majorBidi"/>
          <w:sz w:val="26"/>
          <w:szCs w:val="26"/>
          <w:rtl/>
        </w:rPr>
        <w:t>) بشكل خاص.</w:t>
      </w:r>
    </w:p>
    <w:p w14:paraId="086C3FB4"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2.4.5.3 تعزيز تنافسية المملكة وجذب الاستثمار الأجنبي</w:t>
      </w:r>
    </w:p>
    <w:p w14:paraId="3BD48C0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تحسين مؤشر الأداء اللوجستي (</w:t>
      </w:r>
      <w:r w:rsidRPr="00A92155">
        <w:rPr>
          <w:rFonts w:asciiTheme="majorBidi" w:hAnsiTheme="majorBidi" w:cstheme="majorBidi"/>
          <w:b/>
          <w:bCs/>
          <w:sz w:val="26"/>
          <w:szCs w:val="26"/>
        </w:rPr>
        <w:t>LPI</w:t>
      </w:r>
      <w:r w:rsidRPr="00A92155">
        <w:rPr>
          <w:rFonts w:asciiTheme="majorBidi" w:hAnsiTheme="majorBidi" w:cstheme="majorBidi"/>
          <w:b/>
          <w:bCs/>
          <w:sz w:val="26"/>
          <w:szCs w:val="26"/>
          <w:rtl/>
        </w:rPr>
        <w:t>):</w:t>
      </w:r>
    </w:p>
    <w:p w14:paraId="640D6FEA"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وتشير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World Bank, 2020</w:t>
      </w:r>
      <w:r w:rsidRPr="00A92155">
        <w:rPr>
          <w:rFonts w:asciiTheme="majorBidi" w:hAnsiTheme="majorBidi" w:cstheme="majorBidi"/>
          <w:sz w:val="26"/>
          <w:szCs w:val="26"/>
          <w:rtl/>
        </w:rPr>
        <w:t xml:space="preserve">) يعد مؤشر </w:t>
      </w:r>
      <w:r w:rsidRPr="00A92155">
        <w:rPr>
          <w:rFonts w:asciiTheme="majorBidi" w:hAnsiTheme="majorBidi" w:cstheme="majorBidi"/>
          <w:sz w:val="26"/>
          <w:szCs w:val="26"/>
        </w:rPr>
        <w:t>LPI</w:t>
      </w:r>
      <w:r w:rsidRPr="00A92155">
        <w:rPr>
          <w:rFonts w:asciiTheme="majorBidi" w:hAnsiTheme="majorBidi" w:cstheme="majorBidi"/>
          <w:sz w:val="26"/>
          <w:szCs w:val="26"/>
          <w:rtl/>
        </w:rPr>
        <w:t xml:space="preserve"> مقياساً عالمياً لجودة البنية التحتية اللوجستية، وكفاءة الجمارك هي العنصر الأبرز فيه.</w:t>
      </w:r>
    </w:p>
    <w:p w14:paraId="728B4FC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 xml:space="preserve">التطبيق على </w:t>
      </w:r>
      <w:r w:rsidRPr="00A92155">
        <w:rPr>
          <w:rFonts w:asciiTheme="majorBidi" w:hAnsiTheme="majorBidi" w:cstheme="majorBidi"/>
          <w:b/>
          <w:bCs/>
          <w:sz w:val="26"/>
          <w:szCs w:val="26"/>
        </w:rPr>
        <w:t>ZATCA</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إن التحسينات المستمرة في الأتمتة والشفافية ترفع من ترتيب المملكة في المؤشر، مما يؤكد التزامها برؤية 2030 لتعزيز قطاع الخدمات اللوجستية.</w:t>
      </w:r>
    </w:p>
    <w:p w14:paraId="657F8098"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جذب سلاسل القيمة العالمية (</w:t>
      </w:r>
      <w:r w:rsidRPr="00A92155">
        <w:rPr>
          <w:rFonts w:asciiTheme="majorBidi" w:hAnsiTheme="majorBidi" w:cstheme="majorBidi"/>
          <w:b/>
          <w:bCs/>
          <w:sz w:val="26"/>
          <w:szCs w:val="26"/>
        </w:rPr>
        <w:t>GVCs</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الشركات التي تدير سلاسل قيمة عالمية معقدة تبحث عن البيئات التي تضمن القدرة على التنبؤ في الإجراءات الجمركية. يوفر التحول الرقمي في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هذه الميزة، مما يزيد من جاذبية المملكة كمركز لوجستي لتلك الشركات.</w:t>
      </w:r>
    </w:p>
    <w:p w14:paraId="67752D32"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2.4.6 تقليل التهرب الضريبي وتعزيز الامتثال (البُعد: تقليل التهرب الضريبي وتعزيز الامتثال)</w:t>
      </w:r>
    </w:p>
    <w:p w14:paraId="1553B92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يعالج هذا البُعد الفكرة الشائعة بأن التيسير قد يأتي على حساب الرقابة. بالعكس، فإن التحول الرقمي يثبت أن التيسير الرقمي هو الأداة الأكثر فعالية لتعزيز الامتثال ومكافحة التهرب (</w:t>
      </w:r>
      <w:r w:rsidRPr="00A92155">
        <w:rPr>
          <w:rFonts w:asciiTheme="majorBidi" w:hAnsiTheme="majorBidi" w:cstheme="majorBidi"/>
          <w:sz w:val="26"/>
          <w:szCs w:val="26"/>
        </w:rPr>
        <w:t>PwC, 2023</w:t>
      </w:r>
      <w:r w:rsidRPr="00A92155">
        <w:rPr>
          <w:rFonts w:asciiTheme="majorBidi" w:hAnsiTheme="majorBidi" w:cstheme="majorBidi"/>
          <w:sz w:val="26"/>
          <w:szCs w:val="26"/>
          <w:rtl/>
        </w:rPr>
        <w:t>).</w:t>
      </w:r>
    </w:p>
    <w:p w14:paraId="47F396F0"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2.4.6.1 الرقمنة في مكافحة التهرب الضريبي والاحتيال المالي</w:t>
      </w:r>
    </w:p>
    <w:p w14:paraId="66F259BD"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نظام الفاتورة الإلكترونية (</w:t>
      </w:r>
      <w:r w:rsidRPr="00A92155">
        <w:rPr>
          <w:rFonts w:asciiTheme="majorBidi" w:hAnsiTheme="majorBidi" w:cstheme="majorBidi"/>
          <w:b/>
          <w:bCs/>
          <w:sz w:val="26"/>
          <w:szCs w:val="26"/>
        </w:rPr>
        <w:t>ZATCA’s FATOORAH</w:t>
      </w:r>
      <w:r w:rsidRPr="00A92155">
        <w:rPr>
          <w:rFonts w:asciiTheme="majorBidi" w:hAnsiTheme="majorBidi" w:cstheme="majorBidi"/>
          <w:b/>
          <w:bCs/>
          <w:sz w:val="26"/>
          <w:szCs w:val="26"/>
          <w:rtl/>
        </w:rPr>
        <w:t>):</w:t>
      </w:r>
    </w:p>
    <w:p w14:paraId="7A699EB8"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وأشارت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PwC, 2023</w:t>
      </w:r>
      <w:r w:rsidRPr="00A92155">
        <w:rPr>
          <w:rFonts w:asciiTheme="majorBidi" w:hAnsiTheme="majorBidi" w:cstheme="majorBidi"/>
          <w:sz w:val="26"/>
          <w:szCs w:val="26"/>
          <w:rtl/>
        </w:rPr>
        <w:t>) أشارت إلى أن الفواتير الإلكترونية المطبقة في الوقت الفعلي (</w:t>
      </w:r>
      <w:r w:rsidRPr="00A92155">
        <w:rPr>
          <w:rFonts w:asciiTheme="majorBidi" w:hAnsiTheme="majorBidi" w:cstheme="majorBidi"/>
          <w:sz w:val="26"/>
          <w:szCs w:val="26"/>
        </w:rPr>
        <w:t>Real-time E-invoicing</w:t>
      </w:r>
      <w:r w:rsidRPr="00A92155">
        <w:rPr>
          <w:rFonts w:asciiTheme="majorBidi" w:hAnsiTheme="majorBidi" w:cstheme="majorBidi"/>
          <w:sz w:val="26"/>
          <w:szCs w:val="26"/>
          <w:rtl/>
        </w:rPr>
        <w:t>) تمنع التلاعب في الإقرارات الضريبية قبل حدوثه، مما يزيد من كفاءة التحصيل الضريبي.</w:t>
      </w:r>
    </w:p>
    <w:p w14:paraId="40FAEAB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 xml:space="preserve">التطبيق في </w:t>
      </w:r>
      <w:r w:rsidRPr="00A92155">
        <w:rPr>
          <w:rFonts w:asciiTheme="majorBidi" w:hAnsiTheme="majorBidi" w:cstheme="majorBidi"/>
          <w:b/>
          <w:bCs/>
          <w:sz w:val="26"/>
          <w:szCs w:val="26"/>
        </w:rPr>
        <w:t>ZATCA</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يلزم نظام "فاتورة" الشركات بإصدار فواتير إلكترونية عبر منصة </w:t>
      </w:r>
      <w:r w:rsidRPr="00A92155">
        <w:rPr>
          <w:rFonts w:asciiTheme="majorBidi" w:hAnsiTheme="majorBidi" w:cstheme="majorBidi"/>
          <w:sz w:val="26"/>
          <w:szCs w:val="26"/>
        </w:rPr>
        <w:t>ZATCA</w:t>
      </w:r>
      <w:r w:rsidRPr="00A92155">
        <w:rPr>
          <w:rFonts w:asciiTheme="majorBidi" w:hAnsiTheme="majorBidi" w:cstheme="majorBidi"/>
          <w:sz w:val="26"/>
          <w:szCs w:val="26"/>
          <w:rtl/>
        </w:rPr>
        <w:t>، مما يمنح الهيئة رؤية فورية وكاملة لجميع المعاملات. هذا يكشف بشكل تلقائي عن أي تباين بين بيانات الجمارك (قيمة الاستيراد) وبيانات الضريبة (قيمة المبيعات المحلية).</w:t>
      </w:r>
    </w:p>
    <w:p w14:paraId="750C0BBB"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تحليل البيانات الضخمة (</w:t>
      </w:r>
      <w:r w:rsidRPr="00A92155">
        <w:rPr>
          <w:rFonts w:asciiTheme="majorBidi" w:hAnsiTheme="majorBidi" w:cstheme="majorBidi"/>
          <w:b/>
          <w:bCs/>
          <w:sz w:val="26"/>
          <w:szCs w:val="26"/>
        </w:rPr>
        <w:t>Big Data Analytics</w:t>
      </w:r>
      <w:r w:rsidRPr="00A92155">
        <w:rPr>
          <w:rFonts w:asciiTheme="majorBidi" w:hAnsiTheme="majorBidi" w:cstheme="majorBidi"/>
          <w:b/>
          <w:bCs/>
          <w:sz w:val="26"/>
          <w:szCs w:val="26"/>
          <w:rtl/>
        </w:rPr>
        <w:t>) في التدقيق:</w:t>
      </w:r>
    </w:p>
    <w:p w14:paraId="6A2AF22D"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تستخدم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أدوات التحليلات المتقدمة لمقارنة البيانات من مصادر متعددة (البنوك، الجمارك، العقود، السجلات التجارية) للكشف عن الأنماط الشاذة التي تشير إلى غسل الأموال أو التهرب الضريبي والجمركي.</w:t>
      </w:r>
    </w:p>
    <w:p w14:paraId="0C99A242"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2.4.6.2 أتمتة الإجراءات وتعزيز الامتثال الطوعي</w:t>
      </w:r>
    </w:p>
    <w:p w14:paraId="7CF285C1"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تقليل الفساد وتقليل الاحتكاك:</w:t>
      </w:r>
    </w:p>
    <w:p w14:paraId="7F023DC3"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lastRenderedPageBreak/>
        <w:t>وأكدت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Almarzooqi et al., 2021</w:t>
      </w:r>
      <w:r w:rsidRPr="00A92155">
        <w:rPr>
          <w:rFonts w:asciiTheme="majorBidi" w:hAnsiTheme="majorBidi" w:cstheme="majorBidi"/>
          <w:sz w:val="26"/>
          <w:szCs w:val="26"/>
          <w:rtl/>
        </w:rPr>
        <w:t>) أكد أن تقليل التدخل البشري من خلال الأتمتة يقلل من فرص الفساد الإداري (</w:t>
      </w:r>
      <w:r w:rsidRPr="00A92155">
        <w:rPr>
          <w:rFonts w:asciiTheme="majorBidi" w:hAnsiTheme="majorBidi" w:cstheme="majorBidi"/>
          <w:sz w:val="26"/>
          <w:szCs w:val="26"/>
        </w:rPr>
        <w:t>Discretionary Corruption</w:t>
      </w:r>
      <w:r w:rsidRPr="00A92155">
        <w:rPr>
          <w:rFonts w:asciiTheme="majorBidi" w:hAnsiTheme="majorBidi" w:cstheme="majorBidi"/>
          <w:sz w:val="26"/>
          <w:szCs w:val="26"/>
          <w:rtl/>
        </w:rPr>
        <w:t>)، مما يزيد من النزاهة والعدالة في تطبيق القانون.</w:t>
      </w:r>
    </w:p>
    <w:p w14:paraId="14085D66"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الامتثال الطوعي (</w:t>
      </w:r>
      <w:r w:rsidRPr="00A92155">
        <w:rPr>
          <w:rFonts w:asciiTheme="majorBidi" w:hAnsiTheme="majorBidi" w:cstheme="majorBidi"/>
          <w:b/>
          <w:bCs/>
          <w:sz w:val="26"/>
          <w:szCs w:val="26"/>
        </w:rPr>
        <w:t>Voluntary Compliance</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عندما تضمن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أن تطبيق القوانين الضريبية والجمركية يتم بسرعة وشفافية ودون تمييز (من خلال الأتمتة)، يزداد ميل الشركات للامتثال الطوعي، مما يوفر على الهيئة تكاليف التدقيق والملاحقة القضائية.</w:t>
      </w:r>
    </w:p>
    <w:p w14:paraId="1FF3D9C3"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المساءلة الرقمية:</w:t>
      </w:r>
      <w:r w:rsidRPr="00A92155">
        <w:rPr>
          <w:rFonts w:asciiTheme="majorBidi" w:hAnsiTheme="majorBidi" w:cstheme="majorBidi"/>
          <w:sz w:val="26"/>
          <w:szCs w:val="26"/>
          <w:rtl/>
        </w:rPr>
        <w:t xml:space="preserve"> يمكن للنظام الرقمي تسجيل كل خطوة في عملية التخليص، مما يضمن </w:t>
      </w:r>
      <w:r w:rsidRPr="00A92155">
        <w:rPr>
          <w:rFonts w:asciiTheme="majorBidi" w:hAnsiTheme="majorBidi" w:cstheme="majorBidi"/>
          <w:b/>
          <w:bCs/>
          <w:sz w:val="26"/>
          <w:szCs w:val="26"/>
          <w:rtl/>
        </w:rPr>
        <w:t>قابليّة التتبّع (</w:t>
      </w:r>
      <w:r w:rsidRPr="00A92155">
        <w:rPr>
          <w:rFonts w:asciiTheme="majorBidi" w:hAnsiTheme="majorBidi" w:cstheme="majorBidi"/>
          <w:b/>
          <w:bCs/>
          <w:sz w:val="26"/>
          <w:szCs w:val="26"/>
        </w:rPr>
        <w:t>Audit Trail</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والمساءلة الكاملة عن القرارات المتخذة، سواء كانت من النظام الآلي أو الموظف المشرف.</w:t>
      </w:r>
    </w:p>
    <w:p w14:paraId="68F5E128"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2.4.7 الأبعاد البيئية والاجتماعية لتيسير التجارة (البُعد البيئي)</w:t>
      </w:r>
    </w:p>
    <w:p w14:paraId="3BCBBB22"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يمتد أثر تيسير التجارة ليشمل الاستدامة البيئية والاجتماعية، وهو ما يتماشى مع التزامات المملكة في إطار مبادرة السعودية الخضراء.</w:t>
      </w:r>
    </w:p>
    <w:p w14:paraId="11D6EE02"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2.4.7.1 التجارة الخضراء وتقليل البصمة الكربونية (</w:t>
      </w:r>
      <w:r w:rsidRPr="00A92155">
        <w:rPr>
          <w:rFonts w:asciiTheme="majorBidi" w:hAnsiTheme="majorBidi" w:cs="PT Bold Heading"/>
          <w:b/>
          <w:bCs/>
          <w:color w:val="000000" w:themeColor="text1"/>
          <w:sz w:val="26"/>
          <w:szCs w:val="26"/>
        </w:rPr>
        <w:t>Environmental Dimension</w:t>
      </w:r>
      <w:r w:rsidRPr="00A92155">
        <w:rPr>
          <w:rFonts w:asciiTheme="majorBidi" w:hAnsiTheme="majorBidi" w:cs="PT Bold Heading"/>
          <w:b/>
          <w:bCs/>
          <w:color w:val="000000" w:themeColor="text1"/>
          <w:sz w:val="26"/>
          <w:szCs w:val="26"/>
          <w:rtl/>
        </w:rPr>
        <w:t>)</w:t>
      </w:r>
    </w:p>
    <w:p w14:paraId="7D75705B"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خفض الانبعاثات الكربونية في الحدود:</w:t>
      </w:r>
    </w:p>
    <w:p w14:paraId="1D6444A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وأشارت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United Nations, 2023</w:t>
      </w:r>
      <w:r w:rsidRPr="00A92155">
        <w:rPr>
          <w:rFonts w:asciiTheme="majorBidi" w:hAnsiTheme="majorBidi" w:cstheme="majorBidi"/>
          <w:sz w:val="26"/>
          <w:szCs w:val="26"/>
          <w:rtl/>
        </w:rPr>
        <w:t>) أشارت إلى أن التأخير في الحدود هو مساهم كبير في انبعاثات الكربون في التجارة العالمية.</w:t>
      </w:r>
    </w:p>
    <w:p w14:paraId="2AAA7C3B"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التطبيق على </w:t>
      </w:r>
      <w:r w:rsidRPr="00A92155">
        <w:rPr>
          <w:rFonts w:asciiTheme="majorBidi" w:hAnsiTheme="majorBidi" w:cstheme="majorBidi"/>
          <w:sz w:val="26"/>
          <w:szCs w:val="26"/>
        </w:rPr>
        <w:t>ZATCA</w:t>
      </w:r>
      <w:r w:rsidRPr="00A92155">
        <w:rPr>
          <w:rFonts w:asciiTheme="majorBidi" w:hAnsiTheme="majorBidi" w:cstheme="majorBidi"/>
          <w:sz w:val="26"/>
          <w:szCs w:val="26"/>
          <w:rtl/>
        </w:rPr>
        <w:t>: يؤدي التخليص السريع للشاحنات والحاويات (من خلال المسار الأخضر والنافذة الواحدة) إلى تقليل زمن تشغيل محركات الشاحنات أثناء الانتظار في المنافذ البرية والبحرية، مما يخفض بشكل مباشر من انبعاثات غازات الاحتباس الحراري. هذا يمثل مساهمة مباشرة من التحول الرقمي في تحقيق الأهداف البيئية الوطنية.</w:t>
      </w:r>
    </w:p>
    <w:p w14:paraId="696CBAC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الحكومة اللاورقية (</w:t>
      </w:r>
      <w:r w:rsidRPr="00A92155">
        <w:rPr>
          <w:rFonts w:asciiTheme="majorBidi" w:hAnsiTheme="majorBidi" w:cstheme="majorBidi"/>
          <w:b/>
          <w:bCs/>
          <w:sz w:val="26"/>
          <w:szCs w:val="26"/>
        </w:rPr>
        <w:t>Paperless Environment</w:t>
      </w:r>
      <w:r w:rsidRPr="00A92155">
        <w:rPr>
          <w:rFonts w:asciiTheme="majorBidi" w:hAnsiTheme="majorBidi" w:cstheme="majorBidi"/>
          <w:b/>
          <w:bCs/>
          <w:sz w:val="26"/>
          <w:szCs w:val="26"/>
          <w:rtl/>
        </w:rPr>
        <w:t>):</w:t>
      </w:r>
    </w:p>
    <w:p w14:paraId="0B471C5F"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التحول الكامل إلى النظام الرقمي في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يلغي الحاجة إلى طباعة وتخزين آلاف الوثائق الجمركية والضريبية يومياً، مما يقلل من استهلاك الورق والموارد الطبيعية المرتبطة به.</w:t>
      </w:r>
    </w:p>
    <w:p w14:paraId="42183071"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2.4.7.2 الأبعاد الاجتماعية والرفاهية الاقتصادية</w:t>
      </w:r>
    </w:p>
    <w:p w14:paraId="3507474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أمن المنتجات وسلامتها:</w:t>
      </w:r>
      <w:r w:rsidRPr="00A92155">
        <w:rPr>
          <w:rFonts w:asciiTheme="majorBidi" w:hAnsiTheme="majorBidi" w:cstheme="majorBidi"/>
          <w:sz w:val="26"/>
          <w:szCs w:val="26"/>
          <w:rtl/>
        </w:rPr>
        <w:t xml:space="preserve"> تساهم السرعة في التخليص الجمركي في ضمان وصول الشحنات الحساسة للوقت (مثل الأغذية الطازجة، واللقاحات، والأدوية) في حالة جيدة، مما يحمي صحة المستهلكين ويزيد من الرفاهية الاجتماعية.</w:t>
      </w:r>
    </w:p>
    <w:p w14:paraId="73463BAB"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خلق وظائف المعرفة:</w:t>
      </w:r>
      <w:r w:rsidRPr="00A92155">
        <w:rPr>
          <w:rFonts w:asciiTheme="majorBidi" w:hAnsiTheme="majorBidi" w:cstheme="majorBidi"/>
          <w:sz w:val="26"/>
          <w:szCs w:val="26"/>
          <w:rtl/>
        </w:rPr>
        <w:t xml:space="preserve"> التحول الرقمي في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لا يعني إلغاء الوظائف، بل تحويلها من وظائف ورقية روتينية إلى وظائف ذات قيمة مضافة في مجالات تحليل البيانات، وإدارة المخاطر، والأمن السيبراني، مما يرفع من مستوى الكفاءات الرقمية الوطنية.</w:t>
      </w:r>
    </w:p>
    <w:p w14:paraId="686BF6E5"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2.4.8 أثر التحول الرقمي في تعزيز التنافسية التجارية للمملكة</w:t>
      </w:r>
    </w:p>
    <w:p w14:paraId="10EB9F1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يُعد تيسير التجارة هو الآلية التنفيذية التي تربط التحول الرقمي بأهداف رؤية 2030 المتعلقة بتنويع الاقتصاد.</w:t>
      </w:r>
    </w:p>
    <w:p w14:paraId="3A41E38F"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2.4.8.1 ربط الكفاءة الرقمية بمؤشرات الأداء العالمية</w:t>
      </w:r>
    </w:p>
    <w:p w14:paraId="0CC3A803"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وأكدت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Vial, 2019</w:t>
      </w:r>
      <w:r w:rsidRPr="00A92155">
        <w:rPr>
          <w:rFonts w:asciiTheme="majorBidi" w:hAnsiTheme="majorBidi" w:cstheme="majorBidi"/>
          <w:sz w:val="26"/>
          <w:szCs w:val="26"/>
          <w:rtl/>
        </w:rPr>
        <w:t>) أكد أن نجاح التحول الرقمي الحكومي يُقاس بمدى تحسن الدولة في المؤشرات الدولية التي تعكس الكفاءة والشفافية.</w:t>
      </w:r>
    </w:p>
    <w:p w14:paraId="4911445F" w14:textId="77777777" w:rsidR="00202E2A" w:rsidRPr="00A92155" w:rsidRDefault="00202E2A">
      <w:pPr>
        <w:numPr>
          <w:ilvl w:val="0"/>
          <w:numId w:val="106"/>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lastRenderedPageBreak/>
        <w:t>التنافسية اللوجستية:</w:t>
      </w:r>
      <w:r w:rsidRPr="00A92155">
        <w:rPr>
          <w:rFonts w:asciiTheme="majorBidi" w:hAnsiTheme="majorBidi" w:cstheme="majorBidi"/>
          <w:sz w:val="26"/>
          <w:szCs w:val="26"/>
          <w:rtl/>
        </w:rPr>
        <w:t xml:space="preserve"> يتم قياس أداء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بشكل مباشر من خلال:</w:t>
      </w:r>
    </w:p>
    <w:p w14:paraId="3678BCB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مؤشر أداء الخدمات اللوجستية (</w:t>
      </w:r>
      <w:r w:rsidRPr="00A92155">
        <w:rPr>
          <w:rFonts w:asciiTheme="majorBidi" w:hAnsiTheme="majorBidi" w:cstheme="majorBidi"/>
          <w:b/>
          <w:bCs/>
          <w:sz w:val="26"/>
          <w:szCs w:val="26"/>
        </w:rPr>
        <w:t>LPI</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حيث تشكل كفاءة الإجراءات الجمركية (السرعة، البساطة، التكنولوجيا) ثلث وزن المؤشر تقريباً.</w:t>
      </w:r>
    </w:p>
    <w:p w14:paraId="50EC87E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منتدى الاقتصاد العالمي (</w:t>
      </w:r>
      <w:r w:rsidRPr="00A92155">
        <w:rPr>
          <w:rFonts w:asciiTheme="majorBidi" w:hAnsiTheme="majorBidi" w:cstheme="majorBidi"/>
          <w:b/>
          <w:bCs/>
          <w:sz w:val="26"/>
          <w:szCs w:val="26"/>
        </w:rPr>
        <w:t>WEF</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حيث يتم تقييم مستوى الشفافية في الإجراءات الحكومية كعامل حاسم في التنافسية.</w:t>
      </w:r>
    </w:p>
    <w:p w14:paraId="1D269771"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2.4.8.2 دعم حركة الصادرات والاستثمار اللوجستي</w:t>
      </w:r>
    </w:p>
    <w:p w14:paraId="6C8C7A7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تنمية الصادرات غير النفطية:</w:t>
      </w:r>
      <w:r w:rsidRPr="00A92155">
        <w:rPr>
          <w:rFonts w:asciiTheme="majorBidi" w:hAnsiTheme="majorBidi" w:cstheme="majorBidi"/>
          <w:sz w:val="26"/>
          <w:szCs w:val="26"/>
          <w:rtl/>
        </w:rPr>
        <w:t xml:space="preserve"> يساهم تيسير إجراءات التصدير عبر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في تقليل التكاليف على المصدرين المحليين، مما يعزز قدرتهم على المنافسة في الأسواق الإقليمية والدولية.</w:t>
      </w:r>
    </w:p>
    <w:p w14:paraId="64429B0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مركز عالمي لسلاسل الإمداد:</w:t>
      </w:r>
      <w:r w:rsidRPr="00A92155">
        <w:rPr>
          <w:rFonts w:asciiTheme="majorBidi" w:hAnsiTheme="majorBidi" w:cstheme="majorBidi"/>
          <w:sz w:val="26"/>
          <w:szCs w:val="26"/>
          <w:rtl/>
        </w:rPr>
        <w:t xml:space="preserve"> إن القدرة على تقديم إجراءات جمركية سريعة وموثوقة (ما توفره الرقمنة) هي الشرط الأساسي لإقناع الشركات العالمية باستخدام المملكة كمركز إقليمي للتوزيع والخدمات اللوجستية، وهو الهدف الاستراتيجي الأبرز لرؤية 2030.</w:t>
      </w:r>
    </w:p>
    <w:p w14:paraId="6A41D16D"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2.4.9 نماذج دولية لتيسير التجارة الرقمية (سنغافورة، الإمارات، الاتحاد الأوروبي)</w:t>
      </w:r>
    </w:p>
    <w:p w14:paraId="7A0C2ECA"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تعتمد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في تطوير استراتيجياتها لتيسير التجارة على استخلاص الدروس من التجارب العالمية الرائدة في تطبيق الأبعاد الأربعة للمتغير التابع.</w:t>
      </w:r>
    </w:p>
    <w:p w14:paraId="406C06AD"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2.4.9.1 نموذج سنغافورة (</w:t>
      </w:r>
      <w:r w:rsidRPr="00A92155">
        <w:rPr>
          <w:rFonts w:asciiTheme="majorBidi" w:hAnsiTheme="majorBidi" w:cstheme="majorBidi"/>
          <w:b/>
          <w:bCs/>
          <w:sz w:val="26"/>
          <w:szCs w:val="26"/>
        </w:rPr>
        <w:t>TradeNet</w:t>
      </w:r>
      <w:r w:rsidRPr="00A92155">
        <w:rPr>
          <w:rFonts w:asciiTheme="majorBidi" w:hAnsiTheme="majorBidi" w:cstheme="majorBidi"/>
          <w:b/>
          <w:bCs/>
          <w:sz w:val="26"/>
          <w:szCs w:val="26"/>
          <w:rtl/>
        </w:rPr>
        <w:t>)</w:t>
      </w:r>
    </w:p>
    <w:p w14:paraId="0B48E81A"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الخبرة:</w:t>
      </w:r>
      <w:r w:rsidRPr="00A92155">
        <w:rPr>
          <w:rFonts w:asciiTheme="majorBidi" w:hAnsiTheme="majorBidi" w:cstheme="majorBidi"/>
          <w:sz w:val="26"/>
          <w:szCs w:val="26"/>
          <w:rtl/>
        </w:rPr>
        <w:t xml:space="preserve"> رائدة في تطبيق نظام النافذة الواحدة منذ عام 1989. حققت أتمتة كاملة لإجراءات أكثر من 35 وكالة حكومية.</w:t>
      </w:r>
    </w:p>
    <w:p w14:paraId="06FCEB5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 xml:space="preserve">الاستفادة لـ </w:t>
      </w:r>
      <w:r w:rsidRPr="00A92155">
        <w:rPr>
          <w:rFonts w:asciiTheme="majorBidi" w:hAnsiTheme="majorBidi" w:cstheme="majorBidi"/>
          <w:b/>
          <w:bCs/>
          <w:sz w:val="26"/>
          <w:szCs w:val="26"/>
        </w:rPr>
        <w:t>ZATCA</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التعلم من نموذج التكامل العميق بين الجمارك، والهيئات التنظيمية، والمؤسسات المالية، لضمان تبادل بيانات </w:t>
      </w:r>
      <w:r w:rsidRPr="00A92155">
        <w:rPr>
          <w:rFonts w:asciiTheme="majorBidi" w:hAnsiTheme="majorBidi" w:cstheme="majorBidi"/>
          <w:b/>
          <w:bCs/>
          <w:sz w:val="26"/>
          <w:szCs w:val="26"/>
          <w:rtl/>
        </w:rPr>
        <w:t>النافذة الواحدة</w:t>
      </w:r>
      <w:r w:rsidRPr="00A92155">
        <w:rPr>
          <w:rFonts w:asciiTheme="majorBidi" w:hAnsiTheme="majorBidi" w:cstheme="majorBidi"/>
          <w:sz w:val="26"/>
          <w:szCs w:val="26"/>
          <w:rtl/>
        </w:rPr>
        <w:t xml:space="preserve"> دون أي تدخل بشري.</w:t>
      </w:r>
    </w:p>
    <w:p w14:paraId="2FDD1D6E"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2.4.9.2 نموذج الإمارات العربية المتحدة (دبي للجمارك)</w:t>
      </w:r>
    </w:p>
    <w:p w14:paraId="50BEE0F9"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الخبرة:</w:t>
      </w:r>
      <w:r w:rsidRPr="00A92155">
        <w:rPr>
          <w:rFonts w:asciiTheme="majorBidi" w:hAnsiTheme="majorBidi" w:cstheme="majorBidi"/>
          <w:sz w:val="26"/>
          <w:szCs w:val="26"/>
          <w:rtl/>
        </w:rPr>
        <w:t xml:space="preserve"> نموذج إقليمي يتميز بالمرونة وتبني التقنيات المتقدمة (</w:t>
      </w:r>
      <w:r w:rsidRPr="00A92155">
        <w:rPr>
          <w:rFonts w:asciiTheme="majorBidi" w:hAnsiTheme="majorBidi" w:cstheme="majorBidi"/>
          <w:sz w:val="26"/>
          <w:szCs w:val="26"/>
        </w:rPr>
        <w:t>AI</w:t>
      </w:r>
      <w:r w:rsidRPr="00A92155">
        <w:rPr>
          <w:rFonts w:asciiTheme="majorBidi" w:hAnsiTheme="majorBidi" w:cstheme="majorBidi"/>
          <w:sz w:val="26"/>
          <w:szCs w:val="26"/>
          <w:rtl/>
        </w:rPr>
        <w:t xml:space="preserve"> و </w:t>
      </w:r>
      <w:r w:rsidRPr="00A92155">
        <w:rPr>
          <w:rFonts w:asciiTheme="majorBidi" w:hAnsiTheme="majorBidi" w:cstheme="majorBidi"/>
          <w:sz w:val="26"/>
          <w:szCs w:val="26"/>
        </w:rPr>
        <w:t>Blockchain</w:t>
      </w:r>
      <w:r w:rsidRPr="00A92155">
        <w:rPr>
          <w:rFonts w:asciiTheme="majorBidi" w:hAnsiTheme="majorBidi" w:cstheme="majorBidi"/>
          <w:sz w:val="26"/>
          <w:szCs w:val="26"/>
          <w:rtl/>
        </w:rPr>
        <w:t>) في إدارة المخاطر.</w:t>
      </w:r>
    </w:p>
    <w:p w14:paraId="45C98C65"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 xml:space="preserve">الاستفادة لـ </w:t>
      </w:r>
      <w:r w:rsidRPr="00A92155">
        <w:rPr>
          <w:rFonts w:asciiTheme="majorBidi" w:hAnsiTheme="majorBidi" w:cstheme="majorBidi"/>
          <w:b/>
          <w:bCs/>
          <w:sz w:val="26"/>
          <w:szCs w:val="26"/>
        </w:rPr>
        <w:t>ZATCA</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تحليل كيفية استخدام الإمارات لـ </w:t>
      </w:r>
      <w:r w:rsidRPr="00A92155">
        <w:rPr>
          <w:rFonts w:asciiTheme="majorBidi" w:hAnsiTheme="majorBidi" w:cstheme="majorBidi"/>
          <w:b/>
          <w:bCs/>
          <w:sz w:val="26"/>
          <w:szCs w:val="26"/>
          <w:rtl/>
        </w:rPr>
        <w:t>الذكاء الاصطناعي التنبؤي</w:t>
      </w:r>
      <w:r w:rsidRPr="00A92155">
        <w:rPr>
          <w:rFonts w:asciiTheme="majorBidi" w:hAnsiTheme="majorBidi" w:cstheme="majorBidi"/>
          <w:sz w:val="26"/>
          <w:szCs w:val="26"/>
          <w:rtl/>
        </w:rPr>
        <w:t xml:space="preserve"> لتقليل معدلات التفتيش المادي إلى أدنى حد ممكن، مع الحفاظ على الأمن، وهو ما يعزز البُعد التكنولوجي والاقتصادي لتيسير التجارة.</w:t>
      </w:r>
    </w:p>
    <w:p w14:paraId="601BD3A9"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2.4.9.3 نموذج الاتحاد الأوروبي (</w:t>
      </w:r>
      <w:r w:rsidRPr="00A92155">
        <w:rPr>
          <w:rFonts w:asciiTheme="majorBidi" w:hAnsiTheme="majorBidi" w:cs="PT Bold Heading"/>
          <w:b/>
          <w:bCs/>
          <w:color w:val="000000" w:themeColor="text1"/>
          <w:sz w:val="26"/>
          <w:szCs w:val="26"/>
        </w:rPr>
        <w:t>European Single Window</w:t>
      </w:r>
      <w:r w:rsidRPr="00A92155">
        <w:rPr>
          <w:rFonts w:asciiTheme="majorBidi" w:hAnsiTheme="majorBidi" w:cs="PT Bold Heading"/>
          <w:b/>
          <w:bCs/>
          <w:color w:val="000000" w:themeColor="text1"/>
          <w:sz w:val="26"/>
          <w:szCs w:val="26"/>
          <w:rtl/>
        </w:rPr>
        <w:t>)</w:t>
      </w:r>
    </w:p>
    <w:p w14:paraId="2693D37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الخبرة:</w:t>
      </w:r>
      <w:r w:rsidRPr="00A92155">
        <w:rPr>
          <w:rFonts w:asciiTheme="majorBidi" w:hAnsiTheme="majorBidi" w:cstheme="majorBidi"/>
          <w:sz w:val="26"/>
          <w:szCs w:val="26"/>
          <w:rtl/>
        </w:rPr>
        <w:t xml:space="preserve"> نموذج للتناغم والتوحيد القانوني والتقني بين دول ذات سياسات مختلفة. يوفر نظاماً جمركياً إلكترونياً مركزياً لتبادل بيانات الاستيراد والتصدير.</w:t>
      </w:r>
    </w:p>
    <w:p w14:paraId="102514C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 xml:space="preserve">الاستفادة لـ </w:t>
      </w:r>
      <w:r w:rsidRPr="00A92155">
        <w:rPr>
          <w:rFonts w:asciiTheme="majorBidi" w:hAnsiTheme="majorBidi" w:cstheme="majorBidi"/>
          <w:b/>
          <w:bCs/>
          <w:sz w:val="26"/>
          <w:szCs w:val="26"/>
        </w:rPr>
        <w:t>ZATCA</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تطبيق نموذج موحد لإدارة البيانات عبر جميع منافذ المملكة المختلفة (برية، بحرية، جوية)، لضمان أن التاجر يحصل على نفس مستوى الكفاءة والشفافية في أي منفذ يتعامل معه.</w:t>
      </w:r>
    </w:p>
    <w:p w14:paraId="799A5913" w14:textId="77777777" w:rsidR="00202E2A" w:rsidRPr="00A92155" w:rsidRDefault="00202E2A" w:rsidP="00202E2A">
      <w:pPr>
        <w:bidi/>
        <w:spacing w:line="240" w:lineRule="auto"/>
        <w:jc w:val="lowKashida"/>
        <w:rPr>
          <w:rFonts w:asciiTheme="majorBidi" w:hAnsiTheme="majorBidi" w:cstheme="majorBidi"/>
          <w:sz w:val="26"/>
          <w:szCs w:val="26"/>
          <w:rtl/>
        </w:rPr>
      </w:pPr>
      <w:r w:rsidRPr="00FF0F6B">
        <w:rPr>
          <w:rFonts w:asciiTheme="majorBidi" w:hAnsiTheme="majorBidi" w:cstheme="majorBidi" w:hint="cs"/>
          <w:b/>
          <w:bCs/>
          <w:sz w:val="26"/>
          <w:szCs w:val="26"/>
          <w:rtl/>
          <w:lang w:bidi="ar-EG"/>
        </w:rPr>
        <w:t>تعليق الباحث:</w:t>
      </w:r>
      <w:r w:rsidRPr="00A92155">
        <w:rPr>
          <w:rFonts w:asciiTheme="majorBidi" w:hAnsiTheme="majorBidi" w:cstheme="majorBidi" w:hint="cs"/>
          <w:sz w:val="26"/>
          <w:szCs w:val="26"/>
          <w:rtl/>
          <w:lang w:bidi="ar-EG"/>
        </w:rPr>
        <w:t xml:space="preserve"> </w:t>
      </w:r>
      <w:r w:rsidRPr="00A92155">
        <w:rPr>
          <w:rFonts w:asciiTheme="majorBidi" w:hAnsiTheme="majorBidi" w:cstheme="majorBidi"/>
          <w:sz w:val="26"/>
          <w:szCs w:val="26"/>
          <w:rtl/>
        </w:rPr>
        <w:t xml:space="preserve">إن المتغير التابع "تيسير التجارة" هو المؤشر الحقيقي لنجاح التحول الرقمي في </w:t>
      </w:r>
      <w:r w:rsidRPr="00A92155">
        <w:rPr>
          <w:rFonts w:asciiTheme="majorBidi" w:hAnsiTheme="majorBidi" w:cstheme="majorBidi"/>
          <w:sz w:val="26"/>
          <w:szCs w:val="26"/>
        </w:rPr>
        <w:t>ZATCA</w:t>
      </w:r>
      <w:r w:rsidRPr="00A92155">
        <w:rPr>
          <w:rFonts w:asciiTheme="majorBidi" w:hAnsiTheme="majorBidi" w:cstheme="majorBidi"/>
          <w:sz w:val="26"/>
          <w:szCs w:val="26"/>
          <w:rtl/>
        </w:rPr>
        <w:t>، حيث يجسد التوازن الاستراتيجي بين المتغيرين التابعين (الأمن والتيسير). لقد أوضح هذا المبحث كيف أن الرقمنة تخلق قيمة اقتصادية من خلال:</w:t>
      </w:r>
    </w:p>
    <w:p w14:paraId="31581EBF" w14:textId="77777777" w:rsidR="00202E2A" w:rsidRPr="00A92155" w:rsidRDefault="00202E2A">
      <w:pPr>
        <w:numPr>
          <w:ilvl w:val="0"/>
          <w:numId w:val="107"/>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lastRenderedPageBreak/>
        <w:t>البُعد الاقتصادي:</w:t>
      </w:r>
      <w:r w:rsidRPr="00A92155">
        <w:rPr>
          <w:rFonts w:asciiTheme="majorBidi" w:hAnsiTheme="majorBidi" w:cstheme="majorBidi"/>
          <w:sz w:val="26"/>
          <w:szCs w:val="26"/>
          <w:rtl/>
        </w:rPr>
        <w:t xml:space="preserve"> خفض تكاليف التجارة وتسريع رأس المال العامل.</w:t>
      </w:r>
    </w:p>
    <w:p w14:paraId="1CA04E25" w14:textId="77777777" w:rsidR="00202E2A" w:rsidRPr="00A92155" w:rsidRDefault="00202E2A">
      <w:pPr>
        <w:numPr>
          <w:ilvl w:val="0"/>
          <w:numId w:val="107"/>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البُعد التكنولوجي:</w:t>
      </w:r>
      <w:r w:rsidRPr="00A92155">
        <w:rPr>
          <w:rFonts w:asciiTheme="majorBidi" w:hAnsiTheme="majorBidi" w:cstheme="majorBidi"/>
          <w:sz w:val="26"/>
          <w:szCs w:val="26"/>
          <w:rtl/>
        </w:rPr>
        <w:t xml:space="preserve"> استخدام الجمارك الذكية والبلوكتشين لتبسيط الإجراءات.</w:t>
      </w:r>
    </w:p>
    <w:p w14:paraId="4CE2A33A" w14:textId="77777777" w:rsidR="00202E2A" w:rsidRPr="00A92155" w:rsidRDefault="00202E2A">
      <w:pPr>
        <w:numPr>
          <w:ilvl w:val="0"/>
          <w:numId w:val="107"/>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الامتثال:</w:t>
      </w:r>
      <w:r w:rsidRPr="00A92155">
        <w:rPr>
          <w:rFonts w:asciiTheme="majorBidi" w:hAnsiTheme="majorBidi" w:cstheme="majorBidi"/>
          <w:sz w:val="26"/>
          <w:szCs w:val="26"/>
          <w:rtl/>
        </w:rPr>
        <w:t xml:space="preserve"> تعزيز الإيرادات والحد من التهرب الضريبي عبر الفوترة الإلكترونية والذكاء الاصطناعي.</w:t>
      </w:r>
    </w:p>
    <w:p w14:paraId="2D9CD458" w14:textId="77777777" w:rsidR="00202E2A" w:rsidRPr="00A92155" w:rsidRDefault="00202E2A">
      <w:pPr>
        <w:numPr>
          <w:ilvl w:val="0"/>
          <w:numId w:val="107"/>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البُعد البيئي:</w:t>
      </w:r>
      <w:r w:rsidRPr="00A92155">
        <w:rPr>
          <w:rFonts w:asciiTheme="majorBidi" w:hAnsiTheme="majorBidi" w:cstheme="majorBidi"/>
          <w:sz w:val="26"/>
          <w:szCs w:val="26"/>
          <w:rtl/>
        </w:rPr>
        <w:t xml:space="preserve"> دعم التجارة المستدامة من خلال خفض الانبعاثات المرتبطة بالتأخير.</w:t>
      </w:r>
    </w:p>
    <w:p w14:paraId="748AF98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هذا التكامل هو ما يضمن أن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لا تقوم فقط بحماية الاقتصاد السعودي، بل وتعمل كـ محفز للنمو والابتكار اللوجستي العالمي.</w:t>
      </w:r>
    </w:p>
    <w:p w14:paraId="129292EC" w14:textId="6E8152D9" w:rsidR="00202E2A" w:rsidRPr="00A92155" w:rsidRDefault="00FF0F6B" w:rsidP="00202E2A">
      <w:pPr>
        <w:bidi/>
        <w:spacing w:line="240" w:lineRule="auto"/>
        <w:jc w:val="lowKashida"/>
        <w:rPr>
          <w:rFonts w:asciiTheme="majorBidi" w:hAnsiTheme="majorBidi" w:cs="PT Bold Heading"/>
          <w:b/>
          <w:bCs/>
          <w:color w:val="000000" w:themeColor="text1"/>
          <w:sz w:val="26"/>
          <w:szCs w:val="26"/>
          <w:rtl/>
        </w:rPr>
      </w:pPr>
      <w:r w:rsidRPr="00FF0F6B">
        <w:rPr>
          <w:rFonts w:asciiTheme="majorBidi" w:hAnsiTheme="majorBidi" w:cs="PT Bold Heading"/>
          <w:b/>
          <w:bCs/>
          <w:color w:val="000000" w:themeColor="text1"/>
          <w:sz w:val="26"/>
          <w:szCs w:val="26"/>
          <w:rtl/>
        </w:rPr>
        <w:t xml:space="preserve">الباب </w:t>
      </w:r>
      <w:r w:rsidR="00202E2A" w:rsidRPr="00A92155">
        <w:rPr>
          <w:rFonts w:asciiTheme="majorBidi" w:hAnsiTheme="majorBidi" w:cs="PT Bold Heading"/>
          <w:b/>
          <w:bCs/>
          <w:color w:val="000000" w:themeColor="text1"/>
          <w:sz w:val="26"/>
          <w:szCs w:val="26"/>
          <w:rtl/>
        </w:rPr>
        <w:t>الخامس: التكامل بين التحول الرقمي وتعزيز الأمن وتيسير التجارة</w:t>
      </w:r>
    </w:p>
    <w:p w14:paraId="1C1B1F1C"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 xml:space="preserve">مقدمة </w:t>
      </w:r>
    </w:p>
    <w:p w14:paraId="57853190" w14:textId="56C51D88"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يُشكل هذا </w:t>
      </w:r>
      <w:r w:rsidR="003621C4">
        <w:rPr>
          <w:rFonts w:asciiTheme="majorBidi" w:hAnsiTheme="majorBidi" w:cstheme="majorBidi" w:hint="cs"/>
          <w:sz w:val="26"/>
          <w:szCs w:val="26"/>
          <w:rtl/>
        </w:rPr>
        <w:t>الباب</w:t>
      </w:r>
      <w:r w:rsidRPr="00A92155">
        <w:rPr>
          <w:rFonts w:asciiTheme="majorBidi" w:hAnsiTheme="majorBidi" w:cstheme="majorBidi"/>
          <w:sz w:val="26"/>
          <w:szCs w:val="26"/>
          <w:rtl/>
        </w:rPr>
        <w:t xml:space="preserve"> حجر الزاوية في النموذج النظري للدراسة، حيث ينتقل بالتحليل من العلاقة الثنائية بين المتغير المستقل (التحول الرقمي) والمتغيرات التابعة (تعزيز الأمن وتيسير التجارة) إلى تحليل العلاقة الثلاثية التكاملية (</w:t>
      </w:r>
      <w:r w:rsidRPr="00A92155">
        <w:rPr>
          <w:rFonts w:asciiTheme="majorBidi" w:hAnsiTheme="majorBidi" w:cstheme="majorBidi"/>
          <w:sz w:val="26"/>
          <w:szCs w:val="26"/>
        </w:rPr>
        <w:t>Triple Integration</w:t>
      </w:r>
      <w:r w:rsidRPr="00A92155">
        <w:rPr>
          <w:rFonts w:asciiTheme="majorBidi" w:hAnsiTheme="majorBidi" w:cstheme="majorBidi"/>
          <w:sz w:val="26"/>
          <w:szCs w:val="26"/>
          <w:rtl/>
        </w:rPr>
        <w:t>) بين هذه المكونات (</w:t>
      </w:r>
      <w:r w:rsidRPr="00A92155">
        <w:rPr>
          <w:rFonts w:asciiTheme="majorBidi" w:hAnsiTheme="majorBidi" w:cstheme="majorBidi"/>
          <w:sz w:val="26"/>
          <w:szCs w:val="26"/>
        </w:rPr>
        <w:t>WCO, 2023</w:t>
      </w:r>
      <w:r w:rsidRPr="00A92155">
        <w:rPr>
          <w:rFonts w:asciiTheme="majorBidi" w:hAnsiTheme="majorBidi" w:cstheme="majorBidi"/>
          <w:sz w:val="26"/>
          <w:szCs w:val="26"/>
          <w:rtl/>
        </w:rPr>
        <w:t>). نظرياً، لم يعد الأمن وتيسير التجارة أهدافاً متناقضة (</w:t>
      </w:r>
      <w:r w:rsidRPr="00A92155">
        <w:rPr>
          <w:rFonts w:asciiTheme="majorBidi" w:hAnsiTheme="majorBidi" w:cstheme="majorBidi"/>
          <w:sz w:val="26"/>
          <w:szCs w:val="26"/>
        </w:rPr>
        <w:t>Trade-off</w:t>
      </w:r>
      <w:r w:rsidRPr="00A92155">
        <w:rPr>
          <w:rFonts w:asciiTheme="majorBidi" w:hAnsiTheme="majorBidi" w:cstheme="majorBidi"/>
          <w:sz w:val="26"/>
          <w:szCs w:val="26"/>
          <w:rtl/>
        </w:rPr>
        <w:t>)، بل أصبحا هدفين متكاملين (</w:t>
      </w:r>
      <w:r w:rsidRPr="00A92155">
        <w:rPr>
          <w:rFonts w:asciiTheme="majorBidi" w:hAnsiTheme="majorBidi" w:cstheme="majorBidi"/>
          <w:sz w:val="26"/>
          <w:szCs w:val="26"/>
        </w:rPr>
        <w:t>Duality</w:t>
      </w:r>
      <w:r w:rsidRPr="00A92155">
        <w:rPr>
          <w:rFonts w:asciiTheme="majorBidi" w:hAnsiTheme="majorBidi" w:cstheme="majorBidi"/>
          <w:sz w:val="26"/>
          <w:szCs w:val="26"/>
          <w:rtl/>
        </w:rPr>
        <w:t xml:space="preserve">) يُمكن تحقيقهما في آن واحد من خلال التحول الرقمي بوصفه القوة المُمكِّنة. في سياق </w:t>
      </w:r>
      <w:r w:rsidRPr="00A92155">
        <w:rPr>
          <w:rFonts w:asciiTheme="majorBidi" w:hAnsiTheme="majorBidi" w:cstheme="majorBidi"/>
          <w:sz w:val="26"/>
          <w:szCs w:val="26"/>
        </w:rPr>
        <w:t>ZATCA</w:t>
      </w:r>
      <w:r w:rsidRPr="00A92155">
        <w:rPr>
          <w:rFonts w:asciiTheme="majorBidi" w:hAnsiTheme="majorBidi" w:cstheme="majorBidi"/>
          <w:sz w:val="26"/>
          <w:szCs w:val="26"/>
          <w:rtl/>
        </w:rPr>
        <w:t>، يُترجم هذا التكامل إلى عملية جمركية وضريبية قادرة على فرز المخاطر بذكاء بالغ (الأمن) وتمرير التجارة المشروعة بسرعة (التيسير).</w:t>
      </w:r>
    </w:p>
    <w:p w14:paraId="2BCB4A97"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 xml:space="preserve">2.5.1 الإطار النظري للتكامل الثلاثي بين الأمن </w:t>
      </w:r>
      <w:r w:rsidRPr="00A92155">
        <w:rPr>
          <w:rFonts w:ascii="Arial" w:hAnsi="Arial" w:cs="Arial" w:hint="cs"/>
          <w:b/>
          <w:bCs/>
          <w:color w:val="000000" w:themeColor="text1"/>
          <w:sz w:val="26"/>
          <w:szCs w:val="26"/>
          <w:rtl/>
        </w:rPr>
        <w:t>–</w:t>
      </w:r>
      <w:r w:rsidRPr="00A92155">
        <w:rPr>
          <w:rFonts w:asciiTheme="majorBidi" w:hAnsiTheme="majorBidi" w:cs="PT Bold Heading"/>
          <w:b/>
          <w:bCs/>
          <w:color w:val="000000" w:themeColor="text1"/>
          <w:sz w:val="26"/>
          <w:szCs w:val="26"/>
          <w:rtl/>
        </w:rPr>
        <w:t xml:space="preserve"> </w:t>
      </w:r>
      <w:r w:rsidRPr="00A92155">
        <w:rPr>
          <w:rFonts w:asciiTheme="majorBidi" w:hAnsiTheme="majorBidi" w:cs="PT Bold Heading" w:hint="cs"/>
          <w:b/>
          <w:bCs/>
          <w:color w:val="000000" w:themeColor="text1"/>
          <w:sz w:val="26"/>
          <w:szCs w:val="26"/>
          <w:rtl/>
        </w:rPr>
        <w:t>الرقمنة</w:t>
      </w:r>
      <w:r w:rsidRPr="00A92155">
        <w:rPr>
          <w:rFonts w:asciiTheme="majorBidi" w:hAnsiTheme="majorBidi" w:cs="PT Bold Heading"/>
          <w:b/>
          <w:bCs/>
          <w:color w:val="000000" w:themeColor="text1"/>
          <w:sz w:val="26"/>
          <w:szCs w:val="26"/>
          <w:rtl/>
        </w:rPr>
        <w:t xml:space="preserve"> </w:t>
      </w:r>
      <w:r w:rsidRPr="00A92155">
        <w:rPr>
          <w:rFonts w:ascii="Arial" w:hAnsi="Arial" w:cs="Arial" w:hint="cs"/>
          <w:b/>
          <w:bCs/>
          <w:color w:val="000000" w:themeColor="text1"/>
          <w:sz w:val="26"/>
          <w:szCs w:val="26"/>
          <w:rtl/>
        </w:rPr>
        <w:t>–</w:t>
      </w:r>
      <w:r w:rsidRPr="00A92155">
        <w:rPr>
          <w:rFonts w:asciiTheme="majorBidi" w:hAnsiTheme="majorBidi" w:cs="PT Bold Heading"/>
          <w:b/>
          <w:bCs/>
          <w:color w:val="000000" w:themeColor="text1"/>
          <w:sz w:val="26"/>
          <w:szCs w:val="26"/>
          <w:rtl/>
        </w:rPr>
        <w:t xml:space="preserve"> </w:t>
      </w:r>
      <w:r w:rsidRPr="00A92155">
        <w:rPr>
          <w:rFonts w:asciiTheme="majorBidi" w:hAnsiTheme="majorBidi" w:cs="PT Bold Heading" w:hint="cs"/>
          <w:b/>
          <w:bCs/>
          <w:color w:val="000000" w:themeColor="text1"/>
          <w:sz w:val="26"/>
          <w:szCs w:val="26"/>
          <w:rtl/>
        </w:rPr>
        <w:t>التجارة</w:t>
      </w:r>
    </w:p>
    <w:p w14:paraId="30F93E33"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 التكامل كنظام ديناميكي (</w:t>
      </w:r>
      <w:r w:rsidRPr="00A92155">
        <w:rPr>
          <w:rFonts w:asciiTheme="majorBidi" w:hAnsiTheme="majorBidi" w:cstheme="majorBidi"/>
          <w:b/>
          <w:bCs/>
          <w:sz w:val="26"/>
          <w:szCs w:val="26"/>
        </w:rPr>
        <w:t>Dynamic System</w:t>
      </w:r>
      <w:r w:rsidRPr="00A92155">
        <w:rPr>
          <w:rFonts w:asciiTheme="majorBidi" w:hAnsiTheme="majorBidi" w:cstheme="majorBidi"/>
          <w:b/>
          <w:bCs/>
          <w:sz w:val="26"/>
          <w:szCs w:val="26"/>
          <w:rtl/>
        </w:rPr>
        <w:t>):</w:t>
      </w:r>
    </w:p>
    <w:p w14:paraId="64D3FEF8"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وأكدت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Vial, 2019</w:t>
      </w:r>
      <w:r w:rsidRPr="00A92155">
        <w:rPr>
          <w:rFonts w:asciiTheme="majorBidi" w:hAnsiTheme="majorBidi" w:cstheme="majorBidi"/>
          <w:sz w:val="26"/>
          <w:szCs w:val="26"/>
          <w:rtl/>
        </w:rPr>
        <w:t xml:space="preserve">) أكد أن التحول الرقمي يجب أن يُنظر إليه على أنه نظام ديناميكي متطور، وليس مجرد تطبيق تقنيات. هذا النظام الديناميكي في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يعمل على التكيف المستمر مع التهديدات الأمنية (تغيير الخوارزميات الأمنية) واحتياجات السوق التجاري (تسريع مسارات التخليص).</w:t>
      </w:r>
    </w:p>
    <w:p w14:paraId="33E96522"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التحليل: </w:t>
      </w:r>
      <w:r w:rsidRPr="00A92155">
        <w:rPr>
          <w:rFonts w:asciiTheme="majorBidi" w:hAnsiTheme="majorBidi" w:cstheme="majorBidi" w:hint="cs"/>
          <w:sz w:val="26"/>
          <w:szCs w:val="26"/>
          <w:rtl/>
        </w:rPr>
        <w:t xml:space="preserve">حيث </w:t>
      </w:r>
      <w:r w:rsidRPr="00A92155">
        <w:rPr>
          <w:rFonts w:asciiTheme="majorBidi" w:hAnsiTheme="majorBidi" w:cstheme="majorBidi"/>
          <w:sz w:val="26"/>
          <w:szCs w:val="26"/>
          <w:rtl/>
        </w:rPr>
        <w:t xml:space="preserve">يوفر التحول الرقمي منصة لـ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تمكنها من دمج متطلبات الهيئة الوطنية للأمن السيبراني (</w:t>
      </w:r>
      <w:r w:rsidRPr="00A92155">
        <w:rPr>
          <w:rFonts w:asciiTheme="majorBidi" w:hAnsiTheme="majorBidi" w:cstheme="majorBidi"/>
          <w:sz w:val="26"/>
          <w:szCs w:val="26"/>
        </w:rPr>
        <w:t>NCA</w:t>
      </w:r>
      <w:r w:rsidRPr="00A92155">
        <w:rPr>
          <w:rFonts w:asciiTheme="majorBidi" w:hAnsiTheme="majorBidi" w:cstheme="majorBidi"/>
          <w:sz w:val="26"/>
          <w:szCs w:val="26"/>
          <w:rtl/>
        </w:rPr>
        <w:t>) بمتطلبات منظمة التجارة العالمية (</w:t>
      </w:r>
      <w:r w:rsidRPr="00A92155">
        <w:rPr>
          <w:rFonts w:asciiTheme="majorBidi" w:hAnsiTheme="majorBidi" w:cstheme="majorBidi"/>
          <w:sz w:val="26"/>
          <w:szCs w:val="26"/>
        </w:rPr>
        <w:t>WTO</w:t>
      </w:r>
      <w:r w:rsidRPr="00A92155">
        <w:rPr>
          <w:rFonts w:asciiTheme="majorBidi" w:hAnsiTheme="majorBidi" w:cstheme="majorBidi"/>
          <w:sz w:val="26"/>
          <w:szCs w:val="26"/>
          <w:rtl/>
        </w:rPr>
        <w:t>).</w:t>
      </w:r>
    </w:p>
    <w:p w14:paraId="1BD9988E"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ب. مفهوم "التيسير الآمن" (</w:t>
      </w:r>
      <w:r w:rsidRPr="00A92155">
        <w:rPr>
          <w:rFonts w:asciiTheme="majorBidi" w:hAnsiTheme="majorBidi" w:cstheme="majorBidi"/>
          <w:b/>
          <w:bCs/>
          <w:sz w:val="26"/>
          <w:szCs w:val="26"/>
        </w:rPr>
        <w:t>Secure Facilitation</w:t>
      </w:r>
      <w:r w:rsidRPr="00A92155">
        <w:rPr>
          <w:rFonts w:asciiTheme="majorBidi" w:hAnsiTheme="majorBidi" w:cstheme="majorBidi"/>
          <w:b/>
          <w:bCs/>
          <w:sz w:val="26"/>
          <w:szCs w:val="26"/>
          <w:rtl/>
        </w:rPr>
        <w:t>):</w:t>
      </w:r>
    </w:p>
    <w:p w14:paraId="05BE32D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وأوضحت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World Customs Organization - WCO, 2023</w:t>
      </w:r>
      <w:r w:rsidRPr="00A92155">
        <w:rPr>
          <w:rFonts w:asciiTheme="majorBidi" w:hAnsiTheme="majorBidi" w:cstheme="majorBidi"/>
          <w:sz w:val="26"/>
          <w:szCs w:val="26"/>
          <w:rtl/>
        </w:rPr>
        <w:t>) تتبنى المنظمة العالمية للجمارك مفهوم "الجمارك 4.0"، الذي يُشدد على أن التيسير يجب أن يكون متأصلاً فيه الأمن. لا يمكن أن يكون التيسير فعالاً إذا كان على حساب الأمن القومي أو الاقتصادي.</w:t>
      </w:r>
    </w:p>
    <w:p w14:paraId="6CB11EDF"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التطبيق على </w:t>
      </w:r>
      <w:r w:rsidRPr="00A92155">
        <w:rPr>
          <w:rFonts w:asciiTheme="majorBidi" w:hAnsiTheme="majorBidi" w:cstheme="majorBidi"/>
          <w:sz w:val="26"/>
          <w:szCs w:val="26"/>
        </w:rPr>
        <w:t>ZATCA</w:t>
      </w:r>
      <w:r w:rsidRPr="00A92155">
        <w:rPr>
          <w:rFonts w:asciiTheme="majorBidi" w:hAnsiTheme="majorBidi" w:cstheme="majorBidi"/>
          <w:sz w:val="26"/>
          <w:szCs w:val="26"/>
          <w:rtl/>
        </w:rPr>
        <w:t>: نظام إدارة المخاطر المعتمد على الذكاء الاصطناعي هو التجسيد الأفضل لهذا المفهوم، حيث يتم تحليل المخاطر الأمنية (التهريب، التهديدات السيبرانية) والتجارية (الغش التجاري، التهرب الضريبي) في عملية واحدة قبل إصدار قرار التخليص.</w:t>
      </w:r>
    </w:p>
    <w:p w14:paraId="61FA36C3" w14:textId="77777777" w:rsidR="00202E2A" w:rsidRPr="00A92155" w:rsidRDefault="00202E2A" w:rsidP="00202E2A">
      <w:pPr>
        <w:bidi/>
        <w:spacing w:line="240" w:lineRule="auto"/>
        <w:jc w:val="lowKashida"/>
        <w:rPr>
          <w:rFonts w:asciiTheme="majorBidi" w:hAnsiTheme="majorBidi" w:cs="PT Bold Heading"/>
          <w:b/>
          <w:bCs/>
          <w:sz w:val="26"/>
          <w:szCs w:val="26"/>
          <w:rtl/>
        </w:rPr>
      </w:pPr>
      <w:r w:rsidRPr="00A92155">
        <w:rPr>
          <w:rFonts w:asciiTheme="majorBidi" w:hAnsiTheme="majorBidi" w:cs="PT Bold Heading"/>
          <w:b/>
          <w:bCs/>
          <w:sz w:val="26"/>
          <w:szCs w:val="26"/>
          <w:rtl/>
        </w:rPr>
        <w:t>2.5.2 الترابط الديناميكي بين الأبعاد التكنولوجية والأمنية والاقتصادية</w:t>
      </w:r>
    </w:p>
    <w:p w14:paraId="5713CA7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يُعد الترابط بين هذه الأبعاد الثلاثة هو ما يميز التحول الرقمي الناجح في </w:t>
      </w:r>
      <w:r w:rsidRPr="00A92155">
        <w:rPr>
          <w:rFonts w:asciiTheme="majorBidi" w:hAnsiTheme="majorBidi" w:cstheme="majorBidi"/>
          <w:sz w:val="26"/>
          <w:szCs w:val="26"/>
        </w:rPr>
        <w:t>ZATCA</w:t>
      </w:r>
      <w:r w:rsidRPr="00A92155">
        <w:rPr>
          <w:rFonts w:asciiTheme="majorBidi" w:hAnsiTheme="majorBidi" w:cstheme="majorBidi"/>
          <w:sz w:val="26"/>
          <w:szCs w:val="26"/>
          <w:rtl/>
        </w:rPr>
        <w:t>.</w:t>
      </w:r>
    </w:p>
    <w:p w14:paraId="2D4AA865"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 البُعد التكنولوجي كقاعدة بيانات موحدة (</w:t>
      </w:r>
      <w:r w:rsidRPr="00A92155">
        <w:rPr>
          <w:rFonts w:asciiTheme="majorBidi" w:hAnsiTheme="majorBidi" w:cstheme="majorBidi"/>
          <w:b/>
          <w:bCs/>
          <w:sz w:val="26"/>
          <w:szCs w:val="26"/>
        </w:rPr>
        <w:t>Single Source of Truth</w:t>
      </w:r>
      <w:r w:rsidRPr="00A92155">
        <w:rPr>
          <w:rFonts w:asciiTheme="majorBidi" w:hAnsiTheme="majorBidi" w:cstheme="majorBidi"/>
          <w:b/>
          <w:bCs/>
          <w:sz w:val="26"/>
          <w:szCs w:val="26"/>
          <w:rtl/>
        </w:rPr>
        <w:t>):</w:t>
      </w:r>
    </w:p>
    <w:p w14:paraId="242B05E2"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lastRenderedPageBreak/>
        <w:t>وأوضحت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Almarzooqi et al., 2021</w:t>
      </w:r>
      <w:r w:rsidRPr="00A92155">
        <w:rPr>
          <w:rFonts w:asciiTheme="majorBidi" w:hAnsiTheme="majorBidi" w:cstheme="majorBidi"/>
          <w:sz w:val="26"/>
          <w:szCs w:val="26"/>
          <w:rtl/>
        </w:rPr>
        <w:t>) نوه إلى أن التكامل يتطلب منصة تكنولوجية موحدة للبيانات لجميع الوكالات الحكومية، مما يقلل من تضارب المعلومات.</w:t>
      </w:r>
    </w:p>
    <w:p w14:paraId="218D64C1"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التحليل: توفر منصة النافذة الواحدة (فسح) في المملكة، التي تشرف عليها </w:t>
      </w:r>
      <w:r w:rsidRPr="00A92155">
        <w:rPr>
          <w:rFonts w:asciiTheme="majorBidi" w:hAnsiTheme="majorBidi" w:cstheme="majorBidi"/>
          <w:sz w:val="26"/>
          <w:szCs w:val="26"/>
        </w:rPr>
        <w:t>ZATCA</w:t>
      </w:r>
      <w:r w:rsidRPr="00A92155">
        <w:rPr>
          <w:rFonts w:asciiTheme="majorBidi" w:hAnsiTheme="majorBidi" w:cstheme="majorBidi"/>
          <w:sz w:val="26"/>
          <w:szCs w:val="26"/>
          <w:rtl/>
        </w:rPr>
        <w:t>، بيئة تكنولوجية لجمع بيانات الشحنات، مما يضمن أن الجهات الأمنية والاقتصادية تستند إلى نفس المعلومات الموثوقة والمدققة رقمياً.</w:t>
      </w:r>
    </w:p>
    <w:p w14:paraId="485EF5B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ب. البُعد الأمني كضمان لاستمرارية التجارة:</w:t>
      </w:r>
    </w:p>
    <w:p w14:paraId="7E0435E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وأكدت دارسة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Smith, A., 2020</w:t>
      </w:r>
      <w:r w:rsidRPr="00A92155">
        <w:rPr>
          <w:rFonts w:asciiTheme="majorBidi" w:hAnsiTheme="majorBidi" w:cstheme="majorBidi"/>
          <w:sz w:val="26"/>
          <w:szCs w:val="26"/>
          <w:rtl/>
        </w:rPr>
        <w:t>) أن الأمن السيبراني لم يعد وظيفة دعم، بل هو شرط بقاء (</w:t>
      </w:r>
      <w:r w:rsidRPr="00A92155">
        <w:rPr>
          <w:rFonts w:asciiTheme="majorBidi" w:hAnsiTheme="majorBidi" w:cstheme="majorBidi"/>
          <w:sz w:val="26"/>
          <w:szCs w:val="26"/>
        </w:rPr>
        <w:t>Condition of Survival</w:t>
      </w:r>
      <w:r w:rsidRPr="00A92155">
        <w:rPr>
          <w:rFonts w:asciiTheme="majorBidi" w:hAnsiTheme="majorBidi" w:cstheme="majorBidi"/>
          <w:sz w:val="26"/>
          <w:szCs w:val="26"/>
          <w:rtl/>
        </w:rPr>
        <w:t>) للأنظمة الحكومية الرقمية.</w:t>
      </w:r>
    </w:p>
    <w:p w14:paraId="0294DE6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التحليل: أي اختراق سيبراني لأنظمة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الضريبية أو الجمركية لا يهدد سرية البيانات فحسب، بل يوقف حركة التجارة بالكامل، مما يسبب أزمة اقتصادية. لذا، فإن تعزيز الأمن هو ضمان لاستمرارية (</w:t>
      </w:r>
      <w:r w:rsidRPr="00A92155">
        <w:rPr>
          <w:rFonts w:asciiTheme="majorBidi" w:hAnsiTheme="majorBidi" w:cstheme="majorBidi"/>
          <w:sz w:val="26"/>
          <w:szCs w:val="26"/>
        </w:rPr>
        <w:t>Business Continuity</w:t>
      </w:r>
      <w:r w:rsidRPr="00A92155">
        <w:rPr>
          <w:rFonts w:asciiTheme="majorBidi" w:hAnsiTheme="majorBidi" w:cstheme="majorBidi"/>
          <w:sz w:val="26"/>
          <w:szCs w:val="26"/>
          <w:rtl/>
        </w:rPr>
        <w:t>) التيسير التجاري.</w:t>
      </w:r>
    </w:p>
    <w:p w14:paraId="2423BB4E"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ج. البُعد الاقتصادي كمحفز للتحول:</w:t>
      </w:r>
    </w:p>
    <w:p w14:paraId="09D55C2F"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وأوضحت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World Bank, 2020</w:t>
      </w:r>
      <w:r w:rsidRPr="00A92155">
        <w:rPr>
          <w:rFonts w:asciiTheme="majorBidi" w:hAnsiTheme="majorBidi" w:cstheme="majorBidi"/>
          <w:sz w:val="26"/>
          <w:szCs w:val="26"/>
          <w:rtl/>
        </w:rPr>
        <w:t>) أن الهدف الاقتصادي (زيادة الإيرادات وتخفيض التكلفة) هو الدافع الأقوى لتبني الأنظمة الرقمية المتقدمة التي تخدم الأمن والتيسير معاً.</w:t>
      </w:r>
    </w:p>
    <w:p w14:paraId="593E2E12" w14:textId="77777777" w:rsidR="00202E2A" w:rsidRPr="00A92155" w:rsidRDefault="00202E2A" w:rsidP="00202E2A">
      <w:pPr>
        <w:bidi/>
        <w:spacing w:line="240" w:lineRule="auto"/>
        <w:jc w:val="lowKashida"/>
        <w:rPr>
          <w:rFonts w:asciiTheme="majorBidi" w:hAnsiTheme="majorBidi" w:cs="PT Bold Heading"/>
          <w:b/>
          <w:bCs/>
          <w:sz w:val="26"/>
          <w:szCs w:val="26"/>
          <w:rtl/>
        </w:rPr>
      </w:pPr>
      <w:r w:rsidRPr="00A92155">
        <w:rPr>
          <w:rFonts w:asciiTheme="majorBidi" w:hAnsiTheme="majorBidi" w:cs="PT Bold Heading"/>
          <w:b/>
          <w:bCs/>
          <w:sz w:val="26"/>
          <w:szCs w:val="26"/>
          <w:rtl/>
        </w:rPr>
        <w:t>2.5.3 دور التحول الرقمي في إدارة المخاطر التجارية والأمنية</w:t>
      </w:r>
    </w:p>
    <w:p w14:paraId="417A4ED1"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إن إدارة المخاطر الموحدة (</w:t>
      </w:r>
      <w:r w:rsidRPr="00A92155">
        <w:rPr>
          <w:rFonts w:asciiTheme="majorBidi" w:hAnsiTheme="majorBidi" w:cstheme="majorBidi"/>
          <w:sz w:val="26"/>
          <w:szCs w:val="26"/>
        </w:rPr>
        <w:t>Integrated Risk Management</w:t>
      </w:r>
      <w:r w:rsidRPr="00A92155">
        <w:rPr>
          <w:rFonts w:asciiTheme="majorBidi" w:hAnsiTheme="majorBidi" w:cstheme="majorBidi"/>
          <w:sz w:val="26"/>
          <w:szCs w:val="26"/>
          <w:rtl/>
        </w:rPr>
        <w:t>) هي النتيجة التشغيلية لهذا التكامل.</w:t>
      </w:r>
    </w:p>
    <w:p w14:paraId="0C2E7F72"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 الانتقال من إدارة المخاطر التقليدية إلى التنبؤية (</w:t>
      </w:r>
      <w:r w:rsidRPr="00A92155">
        <w:rPr>
          <w:rFonts w:asciiTheme="majorBidi" w:hAnsiTheme="majorBidi" w:cstheme="majorBidi"/>
          <w:b/>
          <w:bCs/>
          <w:sz w:val="26"/>
          <w:szCs w:val="26"/>
        </w:rPr>
        <w:t>Predictive Risk Management</w:t>
      </w:r>
      <w:r w:rsidRPr="00A92155">
        <w:rPr>
          <w:rFonts w:asciiTheme="majorBidi" w:hAnsiTheme="majorBidi" w:cstheme="majorBidi"/>
          <w:b/>
          <w:bCs/>
          <w:sz w:val="26"/>
          <w:szCs w:val="26"/>
          <w:rtl/>
        </w:rPr>
        <w:t>):</w:t>
      </w:r>
    </w:p>
    <w:p w14:paraId="6EDBF1E2"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وأوضحت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PwC, 2023</w:t>
      </w:r>
      <w:r w:rsidRPr="00A92155">
        <w:rPr>
          <w:rFonts w:asciiTheme="majorBidi" w:hAnsiTheme="majorBidi" w:cstheme="majorBidi"/>
          <w:sz w:val="26"/>
          <w:szCs w:val="26"/>
          <w:rtl/>
        </w:rPr>
        <w:t>) على أهمية استخدام الذكاء الاصطناعي في الأنظمة الضريبية والجمركية للكشف عن المخاطر المحتملة قبل حدوثها (</w:t>
      </w:r>
      <w:r w:rsidRPr="00A92155">
        <w:rPr>
          <w:rFonts w:asciiTheme="majorBidi" w:hAnsiTheme="majorBidi" w:cstheme="majorBidi"/>
          <w:sz w:val="26"/>
          <w:szCs w:val="26"/>
        </w:rPr>
        <w:t>Fraud Prediction</w:t>
      </w:r>
      <w:r w:rsidRPr="00A92155">
        <w:rPr>
          <w:rFonts w:asciiTheme="majorBidi" w:hAnsiTheme="majorBidi" w:cstheme="majorBidi"/>
          <w:sz w:val="26"/>
          <w:szCs w:val="26"/>
          <w:rtl/>
        </w:rPr>
        <w:t>)، بدلاً من الكشف بعد وقوعها.</w:t>
      </w:r>
    </w:p>
    <w:p w14:paraId="06DB5128"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التطبيق على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نظام إدارة المخاطر في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يستخدم التحليل التنبؤي لربط البيانات الأمنية (مثلاً، تحذيرات </w:t>
      </w:r>
      <w:r w:rsidRPr="00A92155">
        <w:rPr>
          <w:rFonts w:asciiTheme="majorBidi" w:hAnsiTheme="majorBidi" w:cstheme="majorBidi"/>
          <w:sz w:val="26"/>
          <w:szCs w:val="26"/>
        </w:rPr>
        <w:t>NCA</w:t>
      </w:r>
      <w:r w:rsidRPr="00A92155">
        <w:rPr>
          <w:rFonts w:asciiTheme="majorBidi" w:hAnsiTheme="majorBidi" w:cstheme="majorBidi"/>
          <w:sz w:val="26"/>
          <w:szCs w:val="26"/>
          <w:rtl/>
        </w:rPr>
        <w:t xml:space="preserve"> بشأن هجمات محددة) بالبيانات التجارية (مثلاً، حركة تجارية غير مبررة في سلع محددة)، مما يمكن الهيئة من تغيير مسار التخليص تلقائياً من الأخضر إلى الأحمر.</w:t>
      </w:r>
    </w:p>
    <w:p w14:paraId="26C52E4B"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ب. المعالجة الآلية للمخاطر (</w:t>
      </w:r>
      <w:r w:rsidRPr="00A92155">
        <w:rPr>
          <w:rFonts w:asciiTheme="majorBidi" w:hAnsiTheme="majorBidi" w:cstheme="majorBidi"/>
          <w:b/>
          <w:bCs/>
          <w:sz w:val="26"/>
          <w:szCs w:val="26"/>
        </w:rPr>
        <w:t>Automated Risk Mitigation</w:t>
      </w:r>
      <w:r w:rsidRPr="00A92155">
        <w:rPr>
          <w:rFonts w:asciiTheme="majorBidi" w:hAnsiTheme="majorBidi" w:cstheme="majorBidi"/>
          <w:b/>
          <w:bCs/>
          <w:sz w:val="26"/>
          <w:szCs w:val="26"/>
          <w:rtl/>
        </w:rPr>
        <w:t>):</w:t>
      </w:r>
    </w:p>
    <w:p w14:paraId="758DC703"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b/>
          <w:bCs/>
          <w:sz w:val="26"/>
          <w:szCs w:val="26"/>
          <w:rtl/>
        </w:rPr>
        <w:t>ودعت دراسة</w:t>
      </w:r>
      <w:r w:rsidRPr="00A92155">
        <w:rPr>
          <w:rFonts w:asciiTheme="majorBidi" w:hAnsiTheme="majorBidi" w:cstheme="majorBidi"/>
          <w:sz w:val="26"/>
          <w:szCs w:val="26"/>
          <w:rtl/>
        </w:rPr>
        <w:t xml:space="preserve"> </w:t>
      </w:r>
      <w:r w:rsidRPr="00A92155">
        <w:rPr>
          <w:rFonts w:asciiTheme="majorBidi" w:hAnsiTheme="majorBidi" w:cstheme="majorBidi"/>
          <w:b/>
          <w:bCs/>
          <w:sz w:val="26"/>
          <w:szCs w:val="26"/>
          <w:rtl/>
        </w:rPr>
        <w:t>(</w:t>
      </w:r>
      <w:r w:rsidRPr="00A92155">
        <w:rPr>
          <w:rFonts w:asciiTheme="majorBidi" w:hAnsiTheme="majorBidi" w:cstheme="majorBidi"/>
          <w:b/>
          <w:bCs/>
          <w:sz w:val="26"/>
          <w:szCs w:val="26"/>
        </w:rPr>
        <w:t>United Nations, 2023</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إلى أتمتة إجراءات المخاطر لضمان السرعة والحياد.</w:t>
      </w:r>
    </w:p>
    <w:p w14:paraId="5B18C123"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التحليل: في </w:t>
      </w:r>
      <w:r w:rsidRPr="00A92155">
        <w:rPr>
          <w:rFonts w:asciiTheme="majorBidi" w:hAnsiTheme="majorBidi" w:cstheme="majorBidi"/>
          <w:sz w:val="26"/>
          <w:szCs w:val="26"/>
        </w:rPr>
        <w:t>ZATCA</w:t>
      </w:r>
      <w:r w:rsidRPr="00A92155">
        <w:rPr>
          <w:rFonts w:asciiTheme="majorBidi" w:hAnsiTheme="majorBidi" w:cstheme="majorBidi"/>
          <w:sz w:val="26"/>
          <w:szCs w:val="26"/>
          <w:rtl/>
        </w:rPr>
        <w:t>، يمكن للنظام الرقمي أن يتخذ قرارات تلقائية مثل حجز شحنة معينة أو تعليق ملف ضريبي بناءً على مؤشرات مخاطر عالية تم تحليلها آلياً، مما يضمن تدخلاً سريعاً وموضوعياً يحقق الأمن دون تأخير غير مبرر للتجارة المشروعة.</w:t>
      </w:r>
    </w:p>
    <w:p w14:paraId="5FB65014"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2.5.4 التوازن بين أمن المعلومات وسرعة انسياب البضائع والخدمات</w:t>
      </w:r>
    </w:p>
    <w:p w14:paraId="702AEC79"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يُمثل هذا التوازن جوهر التحدي في </w:t>
      </w:r>
      <w:r w:rsidRPr="00A92155">
        <w:rPr>
          <w:rFonts w:asciiTheme="majorBidi" w:hAnsiTheme="majorBidi" w:cstheme="majorBidi"/>
          <w:sz w:val="26"/>
          <w:szCs w:val="26"/>
        </w:rPr>
        <w:t>ZATCA</w:t>
      </w:r>
      <w:r w:rsidRPr="00A92155">
        <w:rPr>
          <w:rFonts w:asciiTheme="majorBidi" w:hAnsiTheme="majorBidi" w:cstheme="majorBidi"/>
          <w:sz w:val="26"/>
          <w:szCs w:val="26"/>
          <w:rtl/>
        </w:rPr>
        <w:t>.</w:t>
      </w:r>
    </w:p>
    <w:p w14:paraId="39BEDCA9"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 مبدأ "الثقة المعدومة" (</w:t>
      </w:r>
      <w:r w:rsidRPr="00A92155">
        <w:rPr>
          <w:rFonts w:asciiTheme="majorBidi" w:hAnsiTheme="majorBidi" w:cstheme="majorBidi"/>
          <w:b/>
          <w:bCs/>
          <w:sz w:val="26"/>
          <w:szCs w:val="26"/>
        </w:rPr>
        <w:t>Zero Trust</w:t>
      </w:r>
      <w:r w:rsidRPr="00A92155">
        <w:rPr>
          <w:rFonts w:asciiTheme="majorBidi" w:hAnsiTheme="majorBidi" w:cstheme="majorBidi"/>
          <w:b/>
          <w:bCs/>
          <w:sz w:val="26"/>
          <w:szCs w:val="26"/>
          <w:rtl/>
        </w:rPr>
        <w:t>) والأثر على السرعة:</w:t>
      </w:r>
    </w:p>
    <w:p w14:paraId="6A241F3A"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وتشير دارسة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Smith, A., 2020</w:t>
      </w:r>
      <w:r w:rsidRPr="00A92155">
        <w:rPr>
          <w:rFonts w:asciiTheme="majorBidi" w:hAnsiTheme="majorBidi" w:cstheme="majorBidi"/>
          <w:sz w:val="26"/>
          <w:szCs w:val="26"/>
          <w:rtl/>
        </w:rPr>
        <w:t>)</w:t>
      </w:r>
      <w:r w:rsidRPr="00A92155">
        <w:rPr>
          <w:rFonts w:asciiTheme="majorBidi" w:hAnsiTheme="majorBidi" w:cstheme="majorBidi" w:hint="cs"/>
          <w:sz w:val="26"/>
          <w:szCs w:val="26"/>
          <w:rtl/>
        </w:rPr>
        <w:t xml:space="preserve"> أنه</w:t>
      </w:r>
      <w:r w:rsidRPr="00A92155">
        <w:rPr>
          <w:rFonts w:asciiTheme="majorBidi" w:hAnsiTheme="majorBidi" w:cstheme="majorBidi"/>
          <w:sz w:val="26"/>
          <w:szCs w:val="26"/>
          <w:rtl/>
        </w:rPr>
        <w:t xml:space="preserve"> يقتضي مبدأ الثقة المعدومة (</w:t>
      </w:r>
      <w:r w:rsidRPr="00A92155">
        <w:rPr>
          <w:rFonts w:asciiTheme="majorBidi" w:hAnsiTheme="majorBidi" w:cstheme="majorBidi"/>
          <w:sz w:val="26"/>
          <w:szCs w:val="26"/>
        </w:rPr>
        <w:t>Never Trust, Always Verify</w:t>
      </w:r>
      <w:r w:rsidRPr="00A92155">
        <w:rPr>
          <w:rFonts w:asciiTheme="majorBidi" w:hAnsiTheme="majorBidi" w:cstheme="majorBidi"/>
          <w:sz w:val="26"/>
          <w:szCs w:val="26"/>
          <w:rtl/>
        </w:rPr>
        <w:t>) التحقق المستمر من هوية كل مستخدم ونظام.</w:t>
      </w:r>
    </w:p>
    <w:p w14:paraId="06CEDA2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lastRenderedPageBreak/>
        <w:t xml:space="preserve">التحليل: في حين أن هذا المبدأ يعزز الأمن السيبراني في </w:t>
      </w:r>
      <w:r w:rsidRPr="00A92155">
        <w:rPr>
          <w:rFonts w:asciiTheme="majorBidi" w:hAnsiTheme="majorBidi" w:cstheme="majorBidi"/>
          <w:sz w:val="26"/>
          <w:szCs w:val="26"/>
        </w:rPr>
        <w:t>ZATCA</w:t>
      </w:r>
      <w:r w:rsidRPr="00A92155">
        <w:rPr>
          <w:rFonts w:asciiTheme="majorBidi" w:hAnsiTheme="majorBidi" w:cstheme="majorBidi"/>
          <w:sz w:val="26"/>
          <w:szCs w:val="26"/>
          <w:rtl/>
        </w:rPr>
        <w:t>، إلا أنه قد يبطئ من المعاملات. الحل الرقمي يكمن في استخدام تقنيات التحقق البيومتري متعدد العوامل والأمن السحابي (</w:t>
      </w:r>
      <w:r w:rsidRPr="00A92155">
        <w:rPr>
          <w:rFonts w:asciiTheme="majorBidi" w:hAnsiTheme="majorBidi" w:cstheme="majorBidi"/>
          <w:sz w:val="26"/>
          <w:szCs w:val="26"/>
        </w:rPr>
        <w:t>Cloud Security</w:t>
      </w:r>
      <w:r w:rsidRPr="00A92155">
        <w:rPr>
          <w:rFonts w:asciiTheme="majorBidi" w:hAnsiTheme="majorBidi" w:cstheme="majorBidi"/>
          <w:sz w:val="26"/>
          <w:szCs w:val="26"/>
          <w:rtl/>
        </w:rPr>
        <w:t>) لضمان أن عملية التحقق تتم في أقل من ثانية، مما يحافظ على سرعة التيسير.</w:t>
      </w:r>
    </w:p>
    <w:p w14:paraId="4892C03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ب. التشفير والحماية مقابل أداء النظام:</w:t>
      </w:r>
    </w:p>
    <w:p w14:paraId="40E5A9FE"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وتوضح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Vial, 2019</w:t>
      </w:r>
      <w:r w:rsidRPr="00A92155">
        <w:rPr>
          <w:rFonts w:asciiTheme="majorBidi" w:hAnsiTheme="majorBidi" w:cstheme="majorBidi"/>
          <w:sz w:val="26"/>
          <w:szCs w:val="26"/>
          <w:rtl/>
        </w:rPr>
        <w:t>) إلى ضرورة تحقيق التوازن بين متطلبات التشفير العالية لحماية البيانات الضريبية والجمركية، وأداء النظام (</w:t>
      </w:r>
      <w:r w:rsidRPr="00A92155">
        <w:rPr>
          <w:rFonts w:asciiTheme="majorBidi" w:hAnsiTheme="majorBidi" w:cstheme="majorBidi"/>
          <w:sz w:val="26"/>
          <w:szCs w:val="26"/>
        </w:rPr>
        <w:t>Latency</w:t>
      </w:r>
      <w:r w:rsidRPr="00A92155">
        <w:rPr>
          <w:rFonts w:asciiTheme="majorBidi" w:hAnsiTheme="majorBidi" w:cstheme="majorBidi"/>
          <w:sz w:val="26"/>
          <w:szCs w:val="26"/>
          <w:rtl/>
        </w:rPr>
        <w:t>) وسرعته في معالجة طلبات التخليص.</w:t>
      </w:r>
    </w:p>
    <w:p w14:paraId="45B75A3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التطبيق على </w:t>
      </w:r>
      <w:r w:rsidRPr="00A92155">
        <w:rPr>
          <w:rFonts w:asciiTheme="majorBidi" w:hAnsiTheme="majorBidi" w:cstheme="majorBidi"/>
          <w:sz w:val="26"/>
          <w:szCs w:val="26"/>
        </w:rPr>
        <w:t>ZATCA</w:t>
      </w:r>
      <w:r w:rsidRPr="00A92155">
        <w:rPr>
          <w:rFonts w:asciiTheme="majorBidi" w:hAnsiTheme="majorBidi" w:cstheme="majorBidi"/>
          <w:sz w:val="26"/>
          <w:szCs w:val="26"/>
          <w:rtl/>
        </w:rPr>
        <w:t>: يتطلب ذلك استخدام خوارزميات تشفير متقدمة ذات كفاءة عالية في المعالجة (</w:t>
      </w:r>
      <w:r w:rsidRPr="00A92155">
        <w:rPr>
          <w:rFonts w:asciiTheme="majorBidi" w:hAnsiTheme="majorBidi" w:cstheme="majorBidi"/>
          <w:sz w:val="26"/>
          <w:szCs w:val="26"/>
        </w:rPr>
        <w:t>Low-Latency Cryptography</w:t>
      </w:r>
      <w:r w:rsidRPr="00A92155">
        <w:rPr>
          <w:rFonts w:asciiTheme="majorBidi" w:hAnsiTheme="majorBidi" w:cstheme="majorBidi"/>
          <w:sz w:val="26"/>
          <w:szCs w:val="26"/>
          <w:rtl/>
        </w:rPr>
        <w:t>) لضمان أن حماية بيانات المكلفين لا تؤدي إلى تباطؤ في خدماتهم.</w:t>
      </w:r>
    </w:p>
    <w:p w14:paraId="260C4A12"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2.5.5 نماذج الربط المؤسسي بين الجهات الأمنية والجمركية والاقتصادية</w:t>
      </w:r>
    </w:p>
    <w:p w14:paraId="40824B76"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يعتمد التكامل الثلاثي على بناء شبكات ربط مؤسسي رقمية قوية.</w:t>
      </w:r>
    </w:p>
    <w:p w14:paraId="6195CD2D"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 التكامل مع الهيئة الوطنية للأمن السيبراني (</w:t>
      </w:r>
      <w:r w:rsidRPr="00A92155">
        <w:rPr>
          <w:rFonts w:asciiTheme="majorBidi" w:hAnsiTheme="majorBidi" w:cstheme="majorBidi"/>
          <w:b/>
          <w:bCs/>
          <w:sz w:val="26"/>
          <w:szCs w:val="26"/>
        </w:rPr>
        <w:t>NCA</w:t>
      </w:r>
      <w:r w:rsidRPr="00A92155">
        <w:rPr>
          <w:rFonts w:asciiTheme="majorBidi" w:hAnsiTheme="majorBidi" w:cstheme="majorBidi"/>
          <w:b/>
          <w:bCs/>
          <w:sz w:val="26"/>
          <w:szCs w:val="26"/>
          <w:rtl/>
        </w:rPr>
        <w:t>):</w:t>
      </w:r>
    </w:p>
    <w:p w14:paraId="4AED12F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وأكدت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Smith, A., 2020</w:t>
      </w:r>
      <w:r w:rsidRPr="00A92155">
        <w:rPr>
          <w:rFonts w:asciiTheme="majorBidi" w:hAnsiTheme="majorBidi" w:cstheme="majorBidi"/>
          <w:sz w:val="26"/>
          <w:szCs w:val="26"/>
          <w:rtl/>
        </w:rPr>
        <w:t>) على ضرورة تبادل معلومات التهديدات السيبرانية (</w:t>
      </w:r>
      <w:r w:rsidRPr="00A92155">
        <w:rPr>
          <w:rFonts w:asciiTheme="majorBidi" w:hAnsiTheme="majorBidi" w:cstheme="majorBidi"/>
          <w:sz w:val="26"/>
          <w:szCs w:val="26"/>
        </w:rPr>
        <w:t>Threat Intelligence</w:t>
      </w:r>
      <w:r w:rsidRPr="00A92155">
        <w:rPr>
          <w:rFonts w:asciiTheme="majorBidi" w:hAnsiTheme="majorBidi" w:cstheme="majorBidi"/>
          <w:sz w:val="26"/>
          <w:szCs w:val="26"/>
          <w:rtl/>
        </w:rPr>
        <w:t>) بين الجهات الحيوية بشكل آلي.</w:t>
      </w:r>
    </w:p>
    <w:p w14:paraId="03FE2D02"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التطبيق على </w:t>
      </w:r>
      <w:r w:rsidRPr="00A92155">
        <w:rPr>
          <w:rFonts w:asciiTheme="majorBidi" w:hAnsiTheme="majorBidi" w:cstheme="majorBidi"/>
          <w:sz w:val="26"/>
          <w:szCs w:val="26"/>
        </w:rPr>
        <w:t>ZATCA</w:t>
      </w:r>
      <w:r w:rsidRPr="00A92155">
        <w:rPr>
          <w:rFonts w:asciiTheme="majorBidi" w:hAnsiTheme="majorBidi" w:cstheme="majorBidi"/>
          <w:sz w:val="26"/>
          <w:szCs w:val="26"/>
          <w:rtl/>
        </w:rPr>
        <w:t>: ينبغي أن يكون هناك ربط آلي مباشر بين مركز العمليات الأمنية (</w:t>
      </w:r>
      <w:r w:rsidRPr="00A92155">
        <w:rPr>
          <w:rFonts w:asciiTheme="majorBidi" w:hAnsiTheme="majorBidi" w:cstheme="majorBidi"/>
          <w:sz w:val="26"/>
          <w:szCs w:val="26"/>
        </w:rPr>
        <w:t>SOC</w:t>
      </w:r>
      <w:r w:rsidRPr="00A92155">
        <w:rPr>
          <w:rFonts w:asciiTheme="majorBidi" w:hAnsiTheme="majorBidi" w:cstheme="majorBidi"/>
          <w:sz w:val="26"/>
          <w:szCs w:val="26"/>
          <w:rtl/>
        </w:rPr>
        <w:t xml:space="preserve">) في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و </w:t>
      </w:r>
      <w:r w:rsidRPr="00A92155">
        <w:rPr>
          <w:rFonts w:asciiTheme="majorBidi" w:hAnsiTheme="majorBidi" w:cstheme="majorBidi"/>
          <w:sz w:val="26"/>
          <w:szCs w:val="26"/>
        </w:rPr>
        <w:t>NCA</w:t>
      </w:r>
      <w:r w:rsidRPr="00A92155">
        <w:rPr>
          <w:rFonts w:asciiTheme="majorBidi" w:hAnsiTheme="majorBidi" w:cstheme="majorBidi"/>
          <w:sz w:val="26"/>
          <w:szCs w:val="26"/>
          <w:rtl/>
        </w:rPr>
        <w:t>، لضمان تطبيق التحديثات الأمنية فور صدورها والرد السريع على الهجمات الموجهة (</w:t>
      </w:r>
      <w:r w:rsidRPr="00A92155">
        <w:rPr>
          <w:rFonts w:asciiTheme="majorBidi" w:hAnsiTheme="majorBidi" w:cstheme="majorBidi"/>
          <w:sz w:val="26"/>
          <w:szCs w:val="26"/>
        </w:rPr>
        <w:t>Targeted Attacks</w:t>
      </w:r>
      <w:r w:rsidRPr="00A92155">
        <w:rPr>
          <w:rFonts w:asciiTheme="majorBidi" w:hAnsiTheme="majorBidi" w:cstheme="majorBidi"/>
          <w:sz w:val="26"/>
          <w:szCs w:val="26"/>
          <w:rtl/>
        </w:rPr>
        <w:t>).</w:t>
      </w:r>
    </w:p>
    <w:p w14:paraId="491168F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ب. التكامل مع الجهات الاقتصادية والمالية (مؤسسة النقد وهيئة السوق المالية):</w:t>
      </w:r>
    </w:p>
    <w:p w14:paraId="3BF39668"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أشارت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PwC, 2023</w:t>
      </w:r>
      <w:r w:rsidRPr="00A92155">
        <w:rPr>
          <w:rFonts w:asciiTheme="majorBidi" w:hAnsiTheme="majorBidi" w:cstheme="majorBidi"/>
          <w:sz w:val="26"/>
          <w:szCs w:val="26"/>
          <w:rtl/>
        </w:rPr>
        <w:t>) إلى أن مكافحة غسل الأموال والتهرب الضريبي تتطلب دمج البيانات المالية والتجارية.</w:t>
      </w:r>
    </w:p>
    <w:p w14:paraId="0ADDD7BF"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التحليل: تستخدم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هذه الروابط لتدقيق المعاملات الكبيرة، حيث يتم مطابقة إقرارات ضريبة القيمة المضافة مع التحويلات البنكية وحجم الشحنات المستوردة، مما يعزز الأمن الاقتصادي.</w:t>
      </w:r>
    </w:p>
    <w:p w14:paraId="7BAA6432"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2.5.6 أثر التكامل على تحقيق أهداف رؤية 2030 ومحاور الاقتصاد المزدهر</w:t>
      </w:r>
    </w:p>
    <w:p w14:paraId="52D2B9A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التكامل الثلاثي هو المحرك الأساسي لتحقيق الأهداف الاستراتيجية الوطنية.</w:t>
      </w:r>
    </w:p>
    <w:p w14:paraId="79289C92"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 الهدف: تحويل المملكة إلى مركز لوجستي عالمي:</w:t>
      </w:r>
    </w:p>
    <w:p w14:paraId="260B7EA2"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واعتمدت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World Bank, 2020</w:t>
      </w:r>
      <w:r w:rsidRPr="00A92155">
        <w:rPr>
          <w:rFonts w:asciiTheme="majorBidi" w:hAnsiTheme="majorBidi" w:cstheme="majorBidi"/>
          <w:sz w:val="26"/>
          <w:szCs w:val="26"/>
          <w:rtl/>
        </w:rPr>
        <w:t>) يعتمد تصنيف الدول في مؤشر الأداء اللوجستي (</w:t>
      </w:r>
      <w:r w:rsidRPr="00A92155">
        <w:rPr>
          <w:rFonts w:asciiTheme="majorBidi" w:hAnsiTheme="majorBidi" w:cstheme="majorBidi"/>
          <w:sz w:val="26"/>
          <w:szCs w:val="26"/>
        </w:rPr>
        <w:t>LPI</w:t>
      </w:r>
      <w:r w:rsidRPr="00A92155">
        <w:rPr>
          <w:rFonts w:asciiTheme="majorBidi" w:hAnsiTheme="majorBidi" w:cstheme="majorBidi"/>
          <w:sz w:val="26"/>
          <w:szCs w:val="26"/>
          <w:rtl/>
        </w:rPr>
        <w:t>) بشكل أساسي على كفاءة الجمارك، والتي تتحقق عبر التوازن بين السرعة والأمن.</w:t>
      </w:r>
    </w:p>
    <w:p w14:paraId="2205CE6A"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التحليل: يوفر التكامل بين الأمن (حماية الحدود) والتيسير (سرعة التخليص) الميزة التنافسية لـ </w:t>
      </w:r>
      <w:r w:rsidRPr="00A92155">
        <w:rPr>
          <w:rFonts w:asciiTheme="majorBidi" w:hAnsiTheme="majorBidi" w:cstheme="majorBidi"/>
          <w:sz w:val="26"/>
          <w:szCs w:val="26"/>
        </w:rPr>
        <w:t>ZATCA</w:t>
      </w:r>
      <w:r w:rsidRPr="00A92155">
        <w:rPr>
          <w:rFonts w:asciiTheme="majorBidi" w:hAnsiTheme="majorBidi" w:cstheme="majorBidi"/>
          <w:sz w:val="26"/>
          <w:szCs w:val="26"/>
          <w:rtl/>
        </w:rPr>
        <w:t>، مما يجذب الاستثمارات العالمية ويعزز مكانة المملكة.</w:t>
      </w:r>
    </w:p>
    <w:p w14:paraId="53CC8FE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ب. الهدف: تنويع مصادر الدخل وزيادة الإيرادات غير النفطية:</w:t>
      </w:r>
    </w:p>
    <w:p w14:paraId="69B85645"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وأكدت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PwC, 2023</w:t>
      </w:r>
      <w:r w:rsidRPr="00A92155">
        <w:rPr>
          <w:rFonts w:asciiTheme="majorBidi" w:hAnsiTheme="majorBidi" w:cstheme="majorBidi"/>
          <w:sz w:val="26"/>
          <w:szCs w:val="26"/>
          <w:rtl/>
        </w:rPr>
        <w:t>) أن الأنظمة الضريبية الرقمية المتكاملة تزيد من كفاءة التحصيل.</w:t>
      </w:r>
    </w:p>
    <w:p w14:paraId="5FD2835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التحليل: يضمن التكامل بين الأمن السيبراني (حماية أنظمة التحصيل) والتيسير (نظام الفواتير الإلكترونية السهل والمراقب) استدامة الإيرادات الحكومية وتنميتها.</w:t>
      </w:r>
    </w:p>
    <w:p w14:paraId="2A0648A6"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lastRenderedPageBreak/>
        <w:t>2.5.7 دور الذكاء الاصطناعي التحليلي في الكشف المبكر عن الأنشطة التجارية غير المشروعة</w:t>
      </w:r>
    </w:p>
    <w:p w14:paraId="4E1DD52E"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الذكاء الاصطناعي هو الأداة التقنية التي تدمج الأمن والتيسير.</w:t>
      </w:r>
    </w:p>
    <w:p w14:paraId="69882D7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 التحليل السلوكي والتنبؤ بالاحتيال:</w:t>
      </w:r>
    </w:p>
    <w:p w14:paraId="2845DDD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 xml:space="preserve">أشارت دراسة </w:t>
      </w:r>
      <w:r w:rsidRPr="00A92155">
        <w:rPr>
          <w:rFonts w:asciiTheme="majorBidi" w:hAnsiTheme="majorBidi" w:cstheme="majorBidi"/>
          <w:sz w:val="26"/>
          <w:szCs w:val="26"/>
          <w:rtl/>
        </w:rPr>
        <w:t>(</w:t>
      </w:r>
      <w:r w:rsidRPr="00A92155">
        <w:rPr>
          <w:rFonts w:asciiTheme="majorBidi" w:hAnsiTheme="majorBidi" w:cstheme="majorBidi"/>
          <w:sz w:val="26"/>
          <w:szCs w:val="26"/>
        </w:rPr>
        <w:t>Smith, J., 2018</w:t>
      </w:r>
      <w:r w:rsidRPr="00A92155">
        <w:rPr>
          <w:rFonts w:asciiTheme="majorBidi" w:hAnsiTheme="majorBidi" w:cstheme="majorBidi"/>
          <w:sz w:val="26"/>
          <w:szCs w:val="26"/>
          <w:rtl/>
        </w:rPr>
        <w:t>) إلى أن الذكاء الاصطناعي يمكنه تحليل سلوكيات التجار (مثل تغيير بلد المنشأ فجأة أو التصنيف الجمركي) والكشف عن مؤشرات الاحتيال قبل إكمال المعاملة.</w:t>
      </w:r>
    </w:p>
    <w:p w14:paraId="1B5C5B3F"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التطبيق على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تستخدم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التعلم الآلي لتدريب النماذج على بيانات السنوات الماضية لتحديد "الشذوذ" (</w:t>
      </w:r>
      <w:r w:rsidRPr="00A92155">
        <w:rPr>
          <w:rFonts w:asciiTheme="majorBidi" w:hAnsiTheme="majorBidi" w:cstheme="majorBidi"/>
          <w:sz w:val="26"/>
          <w:szCs w:val="26"/>
        </w:rPr>
        <w:t>Anomalies</w:t>
      </w:r>
      <w:r w:rsidRPr="00A92155">
        <w:rPr>
          <w:rFonts w:asciiTheme="majorBidi" w:hAnsiTheme="majorBidi" w:cstheme="majorBidi"/>
          <w:sz w:val="26"/>
          <w:szCs w:val="26"/>
          <w:rtl/>
        </w:rPr>
        <w:t>) في الإقرارات الضريبية أو الجمركية، مما يمكنها من التدخل المبكر بفعالية أمنية عالية.</w:t>
      </w:r>
    </w:p>
    <w:p w14:paraId="41254712"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ب. الرؤية الحاسوبية (</w:t>
      </w:r>
      <w:r w:rsidRPr="00A92155">
        <w:rPr>
          <w:rFonts w:asciiTheme="majorBidi" w:hAnsiTheme="majorBidi" w:cstheme="majorBidi"/>
          <w:b/>
          <w:bCs/>
          <w:sz w:val="26"/>
          <w:szCs w:val="26"/>
        </w:rPr>
        <w:t>Computer Vision</w:t>
      </w:r>
      <w:r w:rsidRPr="00A92155">
        <w:rPr>
          <w:rFonts w:asciiTheme="majorBidi" w:hAnsiTheme="majorBidi" w:cstheme="majorBidi"/>
          <w:b/>
          <w:bCs/>
          <w:sz w:val="26"/>
          <w:szCs w:val="26"/>
          <w:rtl/>
        </w:rPr>
        <w:t>) في التفتيش:</w:t>
      </w:r>
    </w:p>
    <w:p w14:paraId="4E244672"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أوضحت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WCO, 2023</w:t>
      </w:r>
      <w:r w:rsidRPr="00A92155">
        <w:rPr>
          <w:rFonts w:asciiTheme="majorBidi" w:hAnsiTheme="majorBidi" w:cstheme="majorBidi"/>
          <w:sz w:val="26"/>
          <w:szCs w:val="26"/>
          <w:rtl/>
        </w:rPr>
        <w:t>) إلى استخدام الرؤية الحاسوبية في تحليل صور الماسحات الضوئية (</w:t>
      </w:r>
      <w:r w:rsidRPr="00A92155">
        <w:rPr>
          <w:rFonts w:asciiTheme="majorBidi" w:hAnsiTheme="majorBidi" w:cstheme="majorBidi"/>
          <w:sz w:val="26"/>
          <w:szCs w:val="26"/>
        </w:rPr>
        <w:t>X-ray Scanners</w:t>
      </w:r>
      <w:r w:rsidRPr="00A92155">
        <w:rPr>
          <w:rFonts w:asciiTheme="majorBidi" w:hAnsiTheme="majorBidi" w:cstheme="majorBidi"/>
          <w:sz w:val="26"/>
          <w:szCs w:val="26"/>
          <w:rtl/>
        </w:rPr>
        <w:t>) للشحنات.</w:t>
      </w:r>
    </w:p>
    <w:p w14:paraId="60AF5323"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التحليل: هذا التطبيق يقلل من زمن التفتيش المادي (التيسير) مع زيادة دقة الكشف عن الممنوعات والمخالفات (الأمن)، مما يمثل تجسيداً عملياً للتكامل الثلاثي.</w:t>
      </w:r>
    </w:p>
    <w:p w14:paraId="411549BF"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2.5.8 تطبيقات هيئة الزكاة والضريبة والجمارك في الدمج بين الأمن والتجارة الرقمية</w:t>
      </w:r>
    </w:p>
    <w:p w14:paraId="68BAEAAB"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تُعد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نموذجاً وطنياً لتطبيق التكامل.</w:t>
      </w:r>
    </w:p>
    <w:p w14:paraId="65C98A7F"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 نظام النافذة الواحدة الموثق أمنياً:</w:t>
      </w:r>
    </w:p>
    <w:p w14:paraId="7FD304F2"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منصة فسح (</w:t>
      </w:r>
      <w:r w:rsidRPr="00A92155">
        <w:rPr>
          <w:rFonts w:asciiTheme="majorBidi" w:hAnsiTheme="majorBidi" w:cstheme="majorBidi"/>
          <w:sz w:val="26"/>
          <w:szCs w:val="26"/>
        </w:rPr>
        <w:t>Fasah</w:t>
      </w:r>
      <w:r w:rsidRPr="00A92155">
        <w:rPr>
          <w:rFonts w:asciiTheme="majorBidi" w:hAnsiTheme="majorBidi" w:cstheme="majorBidi"/>
          <w:sz w:val="26"/>
          <w:szCs w:val="26"/>
          <w:rtl/>
        </w:rPr>
        <w:t>) ليست مجرد منصة للتيسير، بل هي بيئة موثقة أمنياً تخضع لمعايير صارمة لحماية البيانات (</w:t>
      </w:r>
      <w:r w:rsidRPr="00A92155">
        <w:rPr>
          <w:rFonts w:asciiTheme="majorBidi" w:hAnsiTheme="majorBidi" w:cstheme="majorBidi"/>
          <w:sz w:val="26"/>
          <w:szCs w:val="26"/>
        </w:rPr>
        <w:t>PDPL</w:t>
      </w:r>
      <w:r w:rsidRPr="00A92155">
        <w:rPr>
          <w:rFonts w:asciiTheme="majorBidi" w:hAnsiTheme="majorBidi" w:cstheme="majorBidi"/>
          <w:sz w:val="26"/>
          <w:szCs w:val="26"/>
          <w:rtl/>
        </w:rPr>
        <w:t>)، وتستخدم تشفيراً متقدماً لتبادل المعلومات الحساسة مع الوكالات الأخرى، مما يضمن التيسير الآمن.</w:t>
      </w:r>
    </w:p>
    <w:p w14:paraId="5D71BDCF"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ب. نظام الإفراج المسبق والتحليل اللحظي:</w:t>
      </w:r>
    </w:p>
    <w:p w14:paraId="6F8B9ED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يتيح النظام للعملاء الموثوقين تخليص شحناتهم بسرعة بعد التحليل اللحظي للمخاطر الأمنية والاقتصادية، مما يضمن أن الأمن هو جزء من عملية التيسير وليس عائقاً لها.</w:t>
      </w:r>
    </w:p>
    <w:p w14:paraId="5A5891FD" w14:textId="20F08C2D" w:rsidR="00202E2A" w:rsidRPr="00A92155" w:rsidRDefault="003F1912" w:rsidP="00202E2A">
      <w:pPr>
        <w:bidi/>
        <w:spacing w:line="240" w:lineRule="auto"/>
        <w:jc w:val="lowKashida"/>
        <w:rPr>
          <w:rFonts w:asciiTheme="majorBidi" w:hAnsiTheme="majorBidi" w:cs="PT Bold Heading"/>
          <w:b/>
          <w:bCs/>
          <w:sz w:val="26"/>
          <w:szCs w:val="26"/>
          <w:rtl/>
        </w:rPr>
      </w:pPr>
      <w:r w:rsidRPr="00FF0F6B">
        <w:rPr>
          <w:rFonts w:asciiTheme="majorBidi" w:hAnsiTheme="majorBidi" w:cs="PT Bold Heading"/>
          <w:b/>
          <w:bCs/>
          <w:color w:val="000000" w:themeColor="text1"/>
          <w:sz w:val="26"/>
          <w:szCs w:val="26"/>
          <w:rtl/>
        </w:rPr>
        <w:t xml:space="preserve">الباب </w:t>
      </w:r>
      <w:r w:rsidR="00202E2A" w:rsidRPr="00A92155">
        <w:rPr>
          <w:rFonts w:asciiTheme="majorBidi" w:hAnsiTheme="majorBidi" w:cs="PT Bold Heading"/>
          <w:b/>
          <w:bCs/>
          <w:sz w:val="26"/>
          <w:szCs w:val="26"/>
          <w:rtl/>
        </w:rPr>
        <w:t>السادس: التحديات والفرص في تطبيق التحول الرقمي</w:t>
      </w:r>
    </w:p>
    <w:p w14:paraId="12E57DA4" w14:textId="77777777" w:rsidR="00202E2A" w:rsidRPr="00A92155" w:rsidRDefault="00202E2A" w:rsidP="00202E2A">
      <w:pPr>
        <w:bidi/>
        <w:spacing w:line="240" w:lineRule="auto"/>
        <w:jc w:val="lowKashida"/>
        <w:rPr>
          <w:rFonts w:asciiTheme="majorBidi" w:hAnsiTheme="majorBidi" w:cs="PT Bold Heading"/>
          <w:b/>
          <w:bCs/>
          <w:sz w:val="26"/>
          <w:szCs w:val="26"/>
          <w:rtl/>
        </w:rPr>
      </w:pPr>
      <w:r w:rsidRPr="00A92155">
        <w:rPr>
          <w:rFonts w:asciiTheme="majorBidi" w:hAnsiTheme="majorBidi" w:cs="PT Bold Heading"/>
          <w:b/>
          <w:bCs/>
          <w:sz w:val="26"/>
          <w:szCs w:val="26"/>
          <w:rtl/>
        </w:rPr>
        <w:t xml:space="preserve">مقدمة </w:t>
      </w:r>
    </w:p>
    <w:p w14:paraId="0911B12E" w14:textId="43C716F5"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لا يقتصر التحول الرقمي في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على تبني التقنية، بل هو عملية إدارة استراتيجية تتطلب تحليل نقاط القوة والضعف والفرص والتهديدات. يركز هذا </w:t>
      </w:r>
      <w:r w:rsidR="003F1912">
        <w:rPr>
          <w:rFonts w:asciiTheme="majorBidi" w:hAnsiTheme="majorBidi" w:cstheme="majorBidi" w:hint="cs"/>
          <w:sz w:val="26"/>
          <w:szCs w:val="26"/>
          <w:rtl/>
        </w:rPr>
        <w:t>الباب</w:t>
      </w:r>
      <w:r w:rsidRPr="00A92155">
        <w:rPr>
          <w:rFonts w:asciiTheme="majorBidi" w:hAnsiTheme="majorBidi" w:cstheme="majorBidi"/>
          <w:sz w:val="26"/>
          <w:szCs w:val="26"/>
          <w:rtl/>
        </w:rPr>
        <w:t xml:space="preserve"> على تحليل الواقع العملي لتطبيق التحول الرقمي في الهيئة، مع تحديد العقبات التي يجب تجاوزها والإمكانات التي يمكن استغلالها لتعزيز الأمن وتيسير التجارة.</w:t>
      </w:r>
    </w:p>
    <w:p w14:paraId="06C6F8D2" w14:textId="77777777" w:rsidR="00202E2A" w:rsidRPr="00A92155" w:rsidRDefault="00202E2A" w:rsidP="00202E2A">
      <w:pPr>
        <w:bidi/>
        <w:spacing w:line="240" w:lineRule="auto"/>
        <w:jc w:val="lowKashida"/>
        <w:rPr>
          <w:rFonts w:asciiTheme="majorBidi" w:hAnsiTheme="majorBidi" w:cs="PT Bold Heading"/>
          <w:b/>
          <w:bCs/>
          <w:sz w:val="26"/>
          <w:szCs w:val="26"/>
          <w:rtl/>
        </w:rPr>
      </w:pPr>
      <w:r w:rsidRPr="00A92155">
        <w:rPr>
          <w:rFonts w:asciiTheme="majorBidi" w:hAnsiTheme="majorBidi" w:cs="PT Bold Heading"/>
          <w:b/>
          <w:bCs/>
          <w:sz w:val="26"/>
          <w:szCs w:val="26"/>
          <w:rtl/>
        </w:rPr>
        <w:t>2.6.1 التحديات التقنية (التكامل، الصيانة، الفجوة التكنولوجية)</w:t>
      </w:r>
    </w:p>
    <w:p w14:paraId="1A44523B"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 تحدي تكامل الأنظمة القديمة (</w:t>
      </w:r>
      <w:r w:rsidRPr="00A92155">
        <w:rPr>
          <w:rFonts w:asciiTheme="majorBidi" w:hAnsiTheme="majorBidi" w:cstheme="majorBidi"/>
          <w:b/>
          <w:bCs/>
          <w:sz w:val="26"/>
          <w:szCs w:val="26"/>
        </w:rPr>
        <w:t>Legacy Systems</w:t>
      </w:r>
      <w:r w:rsidRPr="00A92155">
        <w:rPr>
          <w:rFonts w:asciiTheme="majorBidi" w:hAnsiTheme="majorBidi" w:cstheme="majorBidi"/>
          <w:b/>
          <w:bCs/>
          <w:sz w:val="26"/>
          <w:szCs w:val="26"/>
          <w:rtl/>
        </w:rPr>
        <w:t>) مع الأنظمة الحديثة:</w:t>
      </w:r>
    </w:p>
    <w:p w14:paraId="4A134EEA" w14:textId="77777777" w:rsidR="00202E2A" w:rsidRPr="00A92155" w:rsidRDefault="00202E2A" w:rsidP="00202E2A">
      <w:pPr>
        <w:bidi/>
        <w:spacing w:line="240" w:lineRule="auto"/>
        <w:jc w:val="lowKashida"/>
        <w:rPr>
          <w:rFonts w:asciiTheme="majorBidi" w:hAnsiTheme="majorBidi" w:cstheme="majorBidi"/>
          <w:sz w:val="26"/>
          <w:szCs w:val="26"/>
          <w:rtl/>
        </w:rPr>
      </w:pPr>
      <w:r w:rsidRPr="00B711E9">
        <w:rPr>
          <w:rFonts w:asciiTheme="majorBidi" w:hAnsiTheme="majorBidi" w:cstheme="majorBidi" w:hint="cs"/>
          <w:sz w:val="26"/>
          <w:szCs w:val="26"/>
          <w:rtl/>
        </w:rPr>
        <w:t>أكدت دراسة</w:t>
      </w:r>
      <w:r w:rsidRPr="00B711E9">
        <w:rPr>
          <w:rFonts w:asciiTheme="majorBidi" w:hAnsiTheme="majorBidi" w:cstheme="majorBidi"/>
          <w:sz w:val="26"/>
          <w:szCs w:val="26"/>
          <w:rtl/>
        </w:rPr>
        <w:t xml:space="preserve"> (</w:t>
      </w:r>
      <w:r w:rsidRPr="00B711E9">
        <w:rPr>
          <w:rFonts w:asciiTheme="majorBidi" w:hAnsiTheme="majorBidi" w:cstheme="majorBidi"/>
          <w:sz w:val="26"/>
          <w:szCs w:val="26"/>
        </w:rPr>
        <w:t>Almarzooqi et al., 2021</w:t>
      </w:r>
      <w:r w:rsidRPr="00B711E9">
        <w:rPr>
          <w:rFonts w:asciiTheme="majorBidi" w:hAnsiTheme="majorBidi" w:cstheme="majorBidi"/>
          <w:sz w:val="26"/>
          <w:szCs w:val="26"/>
          <w:rtl/>
        </w:rPr>
        <w:t>)</w:t>
      </w:r>
      <w:r w:rsidRPr="00A92155">
        <w:rPr>
          <w:rFonts w:asciiTheme="majorBidi" w:hAnsiTheme="majorBidi" w:cstheme="majorBidi"/>
          <w:sz w:val="26"/>
          <w:szCs w:val="26"/>
          <w:rtl/>
        </w:rPr>
        <w:t xml:space="preserve"> أن الأنظمة القديمة (</w:t>
      </w:r>
      <w:r w:rsidRPr="00A92155">
        <w:rPr>
          <w:rFonts w:asciiTheme="majorBidi" w:hAnsiTheme="majorBidi" w:cstheme="majorBidi"/>
          <w:sz w:val="26"/>
          <w:szCs w:val="26"/>
        </w:rPr>
        <w:t>Legacy Systems</w:t>
      </w:r>
      <w:r w:rsidRPr="00A92155">
        <w:rPr>
          <w:rFonts w:asciiTheme="majorBidi" w:hAnsiTheme="majorBidi" w:cstheme="majorBidi"/>
          <w:sz w:val="26"/>
          <w:szCs w:val="26"/>
          <w:rtl/>
        </w:rPr>
        <w:t>) التي تعتمد عليها بعض الجهات الحكومية تشكل عائقاً رئيسياً أمام التكامل الرقمي الفعال.</w:t>
      </w:r>
    </w:p>
    <w:p w14:paraId="61C74AA9" w14:textId="77777777" w:rsidR="00202E2A" w:rsidRPr="00A92155" w:rsidRDefault="00202E2A" w:rsidP="00202E2A">
      <w:pPr>
        <w:bidi/>
        <w:spacing w:line="240" w:lineRule="auto"/>
        <w:jc w:val="lowKashida"/>
        <w:rPr>
          <w:rFonts w:asciiTheme="majorBidi" w:hAnsiTheme="majorBidi" w:cstheme="majorBidi"/>
          <w:sz w:val="26"/>
          <w:szCs w:val="26"/>
          <w:rtl/>
        </w:rPr>
      </w:pPr>
      <w:r w:rsidRPr="00B711E9">
        <w:rPr>
          <w:rFonts w:asciiTheme="majorBidi" w:hAnsiTheme="majorBidi" w:cstheme="majorBidi"/>
          <w:sz w:val="26"/>
          <w:szCs w:val="26"/>
          <w:rtl/>
        </w:rPr>
        <w:lastRenderedPageBreak/>
        <w:t>التحليل:</w:t>
      </w:r>
      <w:r w:rsidRPr="00A92155">
        <w:rPr>
          <w:rFonts w:asciiTheme="majorBidi" w:hAnsiTheme="majorBidi" w:cstheme="majorBidi"/>
          <w:sz w:val="26"/>
          <w:szCs w:val="26"/>
          <w:rtl/>
        </w:rPr>
        <w:t xml:space="preserve"> تواجه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تحدي دمج أنظمة الضرائب والجمارك القديمة (التي قد تعمل بلغات برمجية مختلفة) مع منصات الذكاء الاصطناعي والحوسبة السحابية الحديثة. هذا يتطلب استثمارات ضخمة في واجهات برمجة التطبيقات (</w:t>
      </w:r>
      <w:r w:rsidRPr="00A92155">
        <w:rPr>
          <w:rFonts w:asciiTheme="majorBidi" w:hAnsiTheme="majorBidi" w:cstheme="majorBidi"/>
          <w:sz w:val="26"/>
          <w:szCs w:val="26"/>
        </w:rPr>
        <w:t>APIs</w:t>
      </w:r>
      <w:r w:rsidRPr="00A92155">
        <w:rPr>
          <w:rFonts w:asciiTheme="majorBidi" w:hAnsiTheme="majorBidi" w:cstheme="majorBidi"/>
          <w:sz w:val="26"/>
          <w:szCs w:val="26"/>
          <w:rtl/>
        </w:rPr>
        <w:t>) لضمان تبادل البيانات بسلاسة.</w:t>
      </w:r>
    </w:p>
    <w:p w14:paraId="3588259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ب. الفجوة التكنولوجية ومحدودية النطاق الترددي في المنافذ:</w:t>
      </w:r>
    </w:p>
    <w:p w14:paraId="4315DBEE" w14:textId="77777777" w:rsidR="00202E2A" w:rsidRPr="00A92155" w:rsidRDefault="00202E2A" w:rsidP="00202E2A">
      <w:pPr>
        <w:bidi/>
        <w:spacing w:line="240" w:lineRule="auto"/>
        <w:jc w:val="lowKashida"/>
        <w:rPr>
          <w:rFonts w:asciiTheme="majorBidi" w:hAnsiTheme="majorBidi" w:cstheme="majorBidi"/>
          <w:sz w:val="26"/>
          <w:szCs w:val="26"/>
          <w:rtl/>
        </w:rPr>
      </w:pPr>
      <w:r w:rsidRPr="00B711E9">
        <w:rPr>
          <w:rFonts w:asciiTheme="majorBidi" w:hAnsiTheme="majorBidi" w:cstheme="majorBidi" w:hint="cs"/>
          <w:sz w:val="26"/>
          <w:szCs w:val="26"/>
          <w:rtl/>
        </w:rPr>
        <w:t>نوهت دراسة</w:t>
      </w:r>
      <w:r w:rsidRPr="00B711E9">
        <w:rPr>
          <w:rFonts w:asciiTheme="majorBidi" w:hAnsiTheme="majorBidi" w:cstheme="majorBidi"/>
          <w:sz w:val="26"/>
          <w:szCs w:val="26"/>
          <w:rtl/>
        </w:rPr>
        <w:t xml:space="preserve"> (</w:t>
      </w:r>
      <w:r w:rsidRPr="00B711E9">
        <w:rPr>
          <w:rFonts w:asciiTheme="majorBidi" w:hAnsiTheme="majorBidi" w:cstheme="majorBidi"/>
          <w:sz w:val="26"/>
          <w:szCs w:val="26"/>
        </w:rPr>
        <w:t>United Nations, 2023</w:t>
      </w:r>
      <w:r w:rsidRPr="00B711E9">
        <w:rPr>
          <w:rFonts w:asciiTheme="majorBidi" w:hAnsiTheme="majorBidi" w:cstheme="majorBidi"/>
          <w:sz w:val="26"/>
          <w:szCs w:val="26"/>
          <w:rtl/>
        </w:rPr>
        <w:t>)</w:t>
      </w:r>
      <w:r w:rsidRPr="00A92155">
        <w:rPr>
          <w:rFonts w:asciiTheme="majorBidi" w:hAnsiTheme="majorBidi" w:cstheme="majorBidi"/>
          <w:sz w:val="26"/>
          <w:szCs w:val="26"/>
          <w:rtl/>
        </w:rPr>
        <w:t xml:space="preserve"> إلى أن كفاءة الرقمنة في المنافذ الحدودية تعتمد على بنية تحتية قوية للاتصالات.</w:t>
      </w:r>
    </w:p>
    <w:p w14:paraId="38A31267" w14:textId="77777777" w:rsidR="00202E2A" w:rsidRPr="00A92155" w:rsidRDefault="00202E2A" w:rsidP="00202E2A">
      <w:pPr>
        <w:bidi/>
        <w:spacing w:line="240" w:lineRule="auto"/>
        <w:jc w:val="lowKashida"/>
        <w:rPr>
          <w:rFonts w:asciiTheme="majorBidi" w:hAnsiTheme="majorBidi" w:cstheme="majorBidi"/>
          <w:sz w:val="26"/>
          <w:szCs w:val="26"/>
          <w:rtl/>
        </w:rPr>
      </w:pPr>
      <w:r w:rsidRPr="00B711E9">
        <w:rPr>
          <w:rFonts w:asciiTheme="majorBidi" w:hAnsiTheme="majorBidi" w:cstheme="majorBidi"/>
          <w:sz w:val="26"/>
          <w:szCs w:val="26"/>
          <w:rtl/>
        </w:rPr>
        <w:t>التحليل:</w:t>
      </w:r>
      <w:r w:rsidRPr="00A92155">
        <w:rPr>
          <w:rFonts w:asciiTheme="majorBidi" w:hAnsiTheme="majorBidi" w:cstheme="majorBidi"/>
          <w:sz w:val="26"/>
          <w:szCs w:val="26"/>
          <w:rtl/>
        </w:rPr>
        <w:t xml:space="preserve"> في المنافذ البرية البعيدة، قد يكون توفير نطاق ترددي عالٍ (</w:t>
      </w:r>
      <w:r w:rsidRPr="00A92155">
        <w:rPr>
          <w:rFonts w:asciiTheme="majorBidi" w:hAnsiTheme="majorBidi" w:cstheme="majorBidi"/>
          <w:sz w:val="26"/>
          <w:szCs w:val="26"/>
        </w:rPr>
        <w:t>High Bandwidth</w:t>
      </w:r>
      <w:r w:rsidRPr="00A92155">
        <w:rPr>
          <w:rFonts w:asciiTheme="majorBidi" w:hAnsiTheme="majorBidi" w:cstheme="majorBidi"/>
          <w:sz w:val="26"/>
          <w:szCs w:val="26"/>
          <w:rtl/>
        </w:rPr>
        <w:t>) لتشغيل الماسحات الضوئية المتقدمة ونقل كميات ضخمة من البيانات في الوقت الفعلي تحدياً تقنياً يتطلب حلولاً متقدمة مثل شبكات 5</w:t>
      </w:r>
      <w:r w:rsidRPr="00A92155">
        <w:rPr>
          <w:rFonts w:asciiTheme="majorBidi" w:hAnsiTheme="majorBidi" w:cstheme="majorBidi"/>
          <w:sz w:val="26"/>
          <w:szCs w:val="26"/>
        </w:rPr>
        <w:t>G</w:t>
      </w:r>
      <w:r w:rsidRPr="00A92155">
        <w:rPr>
          <w:rFonts w:asciiTheme="majorBidi" w:hAnsiTheme="majorBidi" w:cstheme="majorBidi"/>
          <w:sz w:val="26"/>
          <w:szCs w:val="26"/>
          <w:rtl/>
        </w:rPr>
        <w:t xml:space="preserve"> الخاصة أو الحوسبة الطرفية (</w:t>
      </w:r>
      <w:r w:rsidRPr="00A92155">
        <w:rPr>
          <w:rFonts w:asciiTheme="majorBidi" w:hAnsiTheme="majorBidi" w:cstheme="majorBidi"/>
          <w:sz w:val="26"/>
          <w:szCs w:val="26"/>
        </w:rPr>
        <w:t>Edge Computing</w:t>
      </w:r>
      <w:r w:rsidRPr="00A92155">
        <w:rPr>
          <w:rFonts w:asciiTheme="majorBidi" w:hAnsiTheme="majorBidi" w:cstheme="majorBidi"/>
          <w:sz w:val="26"/>
          <w:szCs w:val="26"/>
          <w:rtl/>
        </w:rPr>
        <w:t>).</w:t>
      </w:r>
    </w:p>
    <w:p w14:paraId="6305C432"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ج. صيانة واستدامة الأنظمة المتقدمة:</w:t>
      </w:r>
    </w:p>
    <w:p w14:paraId="6F4496A4" w14:textId="77777777" w:rsidR="00202E2A" w:rsidRPr="00A92155" w:rsidRDefault="00202E2A" w:rsidP="00202E2A">
      <w:pPr>
        <w:bidi/>
        <w:spacing w:line="240" w:lineRule="auto"/>
        <w:jc w:val="lowKashida"/>
        <w:rPr>
          <w:rFonts w:asciiTheme="majorBidi" w:hAnsiTheme="majorBidi" w:cstheme="majorBidi"/>
          <w:sz w:val="26"/>
          <w:szCs w:val="26"/>
          <w:rtl/>
        </w:rPr>
      </w:pPr>
      <w:r w:rsidRPr="00B711E9">
        <w:rPr>
          <w:rFonts w:asciiTheme="majorBidi" w:hAnsiTheme="majorBidi" w:cstheme="majorBidi" w:hint="cs"/>
          <w:sz w:val="26"/>
          <w:szCs w:val="26"/>
          <w:rtl/>
        </w:rPr>
        <w:t>أشارت دراسة</w:t>
      </w:r>
      <w:r w:rsidRPr="00B711E9">
        <w:rPr>
          <w:rFonts w:asciiTheme="majorBidi" w:hAnsiTheme="majorBidi" w:cstheme="majorBidi"/>
          <w:sz w:val="26"/>
          <w:szCs w:val="26"/>
          <w:rtl/>
        </w:rPr>
        <w:t xml:space="preserve"> (</w:t>
      </w:r>
      <w:r w:rsidRPr="00B711E9">
        <w:rPr>
          <w:rFonts w:asciiTheme="majorBidi" w:hAnsiTheme="majorBidi" w:cstheme="majorBidi"/>
          <w:sz w:val="26"/>
          <w:szCs w:val="26"/>
        </w:rPr>
        <w:t>Vial, 2019</w:t>
      </w:r>
      <w:r w:rsidRPr="00B711E9">
        <w:rPr>
          <w:rFonts w:asciiTheme="majorBidi" w:hAnsiTheme="majorBidi" w:cstheme="majorBidi"/>
          <w:sz w:val="26"/>
          <w:szCs w:val="26"/>
          <w:rtl/>
        </w:rPr>
        <w:t>)</w:t>
      </w:r>
      <w:r w:rsidRPr="00A92155">
        <w:rPr>
          <w:rFonts w:asciiTheme="majorBidi" w:hAnsiTheme="majorBidi" w:cstheme="majorBidi"/>
          <w:sz w:val="26"/>
          <w:szCs w:val="26"/>
          <w:rtl/>
        </w:rPr>
        <w:t xml:space="preserve"> إلى أن استدامة الأنظمة الرقمية المتقدمة تتطلب ميزانيات تشغيلية ضخمة وفرق صيانة متخصصة.</w:t>
      </w:r>
    </w:p>
    <w:p w14:paraId="355401AC" w14:textId="77777777" w:rsidR="00202E2A" w:rsidRPr="00A92155" w:rsidRDefault="00202E2A" w:rsidP="00202E2A">
      <w:pPr>
        <w:bidi/>
        <w:spacing w:line="240" w:lineRule="auto"/>
        <w:jc w:val="lowKashida"/>
        <w:rPr>
          <w:rFonts w:asciiTheme="majorBidi" w:hAnsiTheme="majorBidi" w:cstheme="majorBidi"/>
          <w:sz w:val="26"/>
          <w:szCs w:val="26"/>
          <w:rtl/>
        </w:rPr>
      </w:pPr>
      <w:r w:rsidRPr="00B711E9">
        <w:rPr>
          <w:rFonts w:asciiTheme="majorBidi" w:hAnsiTheme="majorBidi" w:cstheme="majorBidi"/>
          <w:sz w:val="26"/>
          <w:szCs w:val="26"/>
          <w:rtl/>
        </w:rPr>
        <w:t>التحليل:</w:t>
      </w:r>
      <w:r w:rsidRPr="00A92155">
        <w:rPr>
          <w:rFonts w:asciiTheme="majorBidi" w:hAnsiTheme="majorBidi" w:cstheme="majorBidi"/>
          <w:sz w:val="26"/>
          <w:szCs w:val="26"/>
          <w:rtl/>
        </w:rPr>
        <w:t xml:space="preserve"> إن صيانة خوارزميات الذكاء الاصطناعي في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وتدريبها المستمر على بيانات جديدة لضمان دقتها في التنبؤ بالمخاطر، يمثل تحدياً تشغيلياً مستمراً.</w:t>
      </w:r>
    </w:p>
    <w:p w14:paraId="72D0F321" w14:textId="77777777" w:rsidR="00202E2A" w:rsidRPr="00A92155" w:rsidRDefault="00202E2A" w:rsidP="00202E2A">
      <w:pPr>
        <w:bidi/>
        <w:spacing w:line="240" w:lineRule="auto"/>
        <w:jc w:val="lowKashida"/>
        <w:rPr>
          <w:rFonts w:asciiTheme="majorBidi" w:hAnsiTheme="majorBidi" w:cs="PT Bold Heading"/>
          <w:b/>
          <w:bCs/>
          <w:sz w:val="26"/>
          <w:szCs w:val="26"/>
          <w:rtl/>
        </w:rPr>
      </w:pPr>
      <w:r w:rsidRPr="00A92155">
        <w:rPr>
          <w:rFonts w:asciiTheme="majorBidi" w:hAnsiTheme="majorBidi" w:cs="PT Bold Heading"/>
          <w:b/>
          <w:bCs/>
          <w:sz w:val="26"/>
          <w:szCs w:val="26"/>
          <w:rtl/>
        </w:rPr>
        <w:t>2.6.2 التحديات البشرية (ضعف المهارات الرقمية، مقاومة التغيير)</w:t>
      </w:r>
    </w:p>
    <w:p w14:paraId="550C3C69"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 ضعف المهارات الرقمية المتخصصة (</w:t>
      </w:r>
      <w:r w:rsidRPr="00A92155">
        <w:rPr>
          <w:rFonts w:asciiTheme="majorBidi" w:hAnsiTheme="majorBidi" w:cstheme="majorBidi"/>
          <w:b/>
          <w:bCs/>
          <w:sz w:val="26"/>
          <w:szCs w:val="26"/>
        </w:rPr>
        <w:t>Digital Skills Gap</w:t>
      </w:r>
      <w:r w:rsidRPr="00A92155">
        <w:rPr>
          <w:rFonts w:asciiTheme="majorBidi" w:hAnsiTheme="majorBidi" w:cstheme="majorBidi"/>
          <w:b/>
          <w:bCs/>
          <w:sz w:val="26"/>
          <w:szCs w:val="26"/>
          <w:rtl/>
        </w:rPr>
        <w:t>):</w:t>
      </w:r>
    </w:p>
    <w:p w14:paraId="51767910" w14:textId="77777777" w:rsidR="00202E2A" w:rsidRPr="00A92155" w:rsidRDefault="00202E2A" w:rsidP="00202E2A">
      <w:pPr>
        <w:bidi/>
        <w:spacing w:line="240" w:lineRule="auto"/>
        <w:jc w:val="lowKashida"/>
        <w:rPr>
          <w:rFonts w:asciiTheme="majorBidi" w:hAnsiTheme="majorBidi" w:cstheme="majorBidi"/>
          <w:sz w:val="26"/>
          <w:szCs w:val="26"/>
          <w:rtl/>
        </w:rPr>
      </w:pPr>
      <w:r w:rsidRPr="00B711E9">
        <w:rPr>
          <w:rFonts w:asciiTheme="majorBidi" w:hAnsiTheme="majorBidi" w:cstheme="majorBidi" w:hint="cs"/>
          <w:sz w:val="26"/>
          <w:szCs w:val="26"/>
          <w:rtl/>
        </w:rPr>
        <w:t>شددت دراسة</w:t>
      </w:r>
      <w:r w:rsidRPr="00B711E9">
        <w:rPr>
          <w:rFonts w:asciiTheme="majorBidi" w:hAnsiTheme="majorBidi" w:cstheme="majorBidi"/>
          <w:sz w:val="26"/>
          <w:szCs w:val="26"/>
          <w:rtl/>
        </w:rPr>
        <w:t xml:space="preserve"> (</w:t>
      </w:r>
      <w:r w:rsidRPr="00B711E9">
        <w:rPr>
          <w:rFonts w:asciiTheme="majorBidi" w:hAnsiTheme="majorBidi" w:cstheme="majorBidi"/>
          <w:sz w:val="26"/>
          <w:szCs w:val="26"/>
        </w:rPr>
        <w:t>Hanelt et al., 2021</w:t>
      </w:r>
      <w:r w:rsidRPr="00B711E9">
        <w:rPr>
          <w:rFonts w:asciiTheme="majorBidi" w:hAnsiTheme="majorBidi" w:cstheme="majorBidi"/>
          <w:sz w:val="26"/>
          <w:szCs w:val="26"/>
          <w:rtl/>
        </w:rPr>
        <w:t>)</w:t>
      </w:r>
      <w:r w:rsidRPr="00A92155">
        <w:rPr>
          <w:rFonts w:asciiTheme="majorBidi" w:hAnsiTheme="majorBidi" w:cstheme="majorBidi"/>
          <w:sz w:val="26"/>
          <w:szCs w:val="26"/>
          <w:rtl/>
        </w:rPr>
        <w:t xml:space="preserve"> على أن رأس المال البشري هو المحرك الأول للتحول الرقمي، وأن الفجوة في المهارات الرقمية المتخصصة هي العقبة الأكبر.</w:t>
      </w:r>
    </w:p>
    <w:p w14:paraId="490F2A63" w14:textId="77777777" w:rsidR="00202E2A" w:rsidRPr="00A92155" w:rsidRDefault="00202E2A" w:rsidP="00202E2A">
      <w:pPr>
        <w:bidi/>
        <w:spacing w:line="240" w:lineRule="auto"/>
        <w:jc w:val="lowKashida"/>
        <w:rPr>
          <w:rFonts w:asciiTheme="majorBidi" w:hAnsiTheme="majorBidi" w:cstheme="majorBidi"/>
          <w:sz w:val="26"/>
          <w:szCs w:val="26"/>
          <w:rtl/>
        </w:rPr>
      </w:pPr>
      <w:r w:rsidRPr="00B711E9">
        <w:rPr>
          <w:rFonts w:asciiTheme="majorBidi" w:hAnsiTheme="majorBidi" w:cstheme="majorBidi"/>
          <w:sz w:val="26"/>
          <w:szCs w:val="26"/>
          <w:rtl/>
        </w:rPr>
        <w:t xml:space="preserve">التطبيق على </w:t>
      </w:r>
      <w:r w:rsidRPr="00B711E9">
        <w:rPr>
          <w:rFonts w:asciiTheme="majorBidi" w:hAnsiTheme="majorBidi" w:cstheme="majorBidi"/>
          <w:sz w:val="26"/>
          <w:szCs w:val="26"/>
        </w:rPr>
        <w:t>ZATCA</w:t>
      </w:r>
      <w:r w:rsidRPr="00B711E9">
        <w:rPr>
          <w:rFonts w:asciiTheme="majorBidi" w:hAnsiTheme="majorBidi" w:cstheme="majorBidi"/>
          <w:sz w:val="26"/>
          <w:szCs w:val="26"/>
          <w:rtl/>
        </w:rPr>
        <w:t xml:space="preserve">: </w:t>
      </w:r>
      <w:r w:rsidRPr="00A92155">
        <w:rPr>
          <w:rFonts w:asciiTheme="majorBidi" w:hAnsiTheme="majorBidi" w:cstheme="majorBidi"/>
          <w:sz w:val="26"/>
          <w:szCs w:val="26"/>
          <w:rtl/>
        </w:rPr>
        <w:t xml:space="preserve">تحتاج الهيئة إلى خبراء في مجالات نادرة مثل </w:t>
      </w:r>
      <w:r w:rsidRPr="00B711E9">
        <w:rPr>
          <w:rFonts w:asciiTheme="majorBidi" w:hAnsiTheme="majorBidi" w:cstheme="majorBidi"/>
          <w:sz w:val="26"/>
          <w:szCs w:val="26"/>
          <w:rtl/>
        </w:rPr>
        <w:t>علم البيانات الضريبية والجمركية (</w:t>
      </w:r>
      <w:r w:rsidRPr="00B711E9">
        <w:rPr>
          <w:rFonts w:asciiTheme="majorBidi" w:hAnsiTheme="majorBidi" w:cstheme="majorBidi"/>
          <w:sz w:val="26"/>
          <w:szCs w:val="26"/>
        </w:rPr>
        <w:t>Data Science in Customs</w:t>
      </w:r>
      <w:r w:rsidRPr="00B711E9">
        <w:rPr>
          <w:rFonts w:asciiTheme="majorBidi" w:hAnsiTheme="majorBidi" w:cstheme="majorBidi"/>
          <w:sz w:val="26"/>
          <w:szCs w:val="26"/>
          <w:rtl/>
        </w:rPr>
        <w:t xml:space="preserve"> &amp; </w:t>
      </w:r>
      <w:r w:rsidRPr="00B711E9">
        <w:rPr>
          <w:rFonts w:asciiTheme="majorBidi" w:hAnsiTheme="majorBidi" w:cstheme="majorBidi"/>
          <w:sz w:val="26"/>
          <w:szCs w:val="26"/>
        </w:rPr>
        <w:t>Tax</w:t>
      </w:r>
      <w:r w:rsidRPr="00B711E9">
        <w:rPr>
          <w:rFonts w:asciiTheme="majorBidi" w:hAnsiTheme="majorBidi" w:cstheme="majorBidi"/>
          <w:sz w:val="26"/>
          <w:szCs w:val="26"/>
          <w:rtl/>
        </w:rPr>
        <w:t>)،</w:t>
      </w:r>
      <w:r w:rsidRPr="00A92155">
        <w:rPr>
          <w:rFonts w:asciiTheme="majorBidi" w:hAnsiTheme="majorBidi" w:cstheme="majorBidi"/>
          <w:sz w:val="26"/>
          <w:szCs w:val="26"/>
          <w:rtl/>
        </w:rPr>
        <w:t xml:space="preserve"> وهندسة الذكاء الاصطناعي، والأمن السيبراني، وهو ما يتطلب خطط تدريب واستقطاب متقدمة.</w:t>
      </w:r>
    </w:p>
    <w:p w14:paraId="65D9EE0E"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ب. مقاومة التغيير المؤسسي والثقافة القديمة (</w:t>
      </w:r>
      <w:r w:rsidRPr="00A92155">
        <w:rPr>
          <w:rFonts w:asciiTheme="majorBidi" w:hAnsiTheme="majorBidi" w:cstheme="majorBidi"/>
          <w:b/>
          <w:bCs/>
          <w:sz w:val="26"/>
          <w:szCs w:val="26"/>
        </w:rPr>
        <w:t>Cultural Resistance</w:t>
      </w:r>
      <w:r w:rsidRPr="00A92155">
        <w:rPr>
          <w:rFonts w:asciiTheme="majorBidi" w:hAnsiTheme="majorBidi" w:cstheme="majorBidi"/>
          <w:b/>
          <w:bCs/>
          <w:sz w:val="26"/>
          <w:szCs w:val="26"/>
          <w:rtl/>
        </w:rPr>
        <w:t>):</w:t>
      </w:r>
    </w:p>
    <w:p w14:paraId="748E83F9" w14:textId="77777777" w:rsidR="00202E2A" w:rsidRPr="00A92155" w:rsidRDefault="00202E2A" w:rsidP="00202E2A">
      <w:pPr>
        <w:bidi/>
        <w:spacing w:line="240" w:lineRule="auto"/>
        <w:jc w:val="lowKashida"/>
        <w:rPr>
          <w:rFonts w:asciiTheme="majorBidi" w:hAnsiTheme="majorBidi" w:cstheme="majorBidi"/>
          <w:sz w:val="26"/>
          <w:szCs w:val="26"/>
          <w:rtl/>
        </w:rPr>
      </w:pPr>
      <w:r w:rsidRPr="00B711E9">
        <w:rPr>
          <w:rFonts w:asciiTheme="majorBidi" w:hAnsiTheme="majorBidi" w:cstheme="majorBidi" w:hint="cs"/>
          <w:sz w:val="26"/>
          <w:szCs w:val="26"/>
          <w:rtl/>
        </w:rPr>
        <w:t>تشير دراسة</w:t>
      </w:r>
      <w:r w:rsidRPr="00B711E9">
        <w:rPr>
          <w:rFonts w:asciiTheme="majorBidi" w:hAnsiTheme="majorBidi" w:cstheme="majorBidi"/>
          <w:sz w:val="26"/>
          <w:szCs w:val="26"/>
          <w:rtl/>
        </w:rPr>
        <w:t xml:space="preserve"> (</w:t>
      </w:r>
      <w:r w:rsidRPr="00B711E9">
        <w:rPr>
          <w:rFonts w:asciiTheme="majorBidi" w:hAnsiTheme="majorBidi" w:cstheme="majorBidi"/>
          <w:sz w:val="26"/>
          <w:szCs w:val="26"/>
        </w:rPr>
        <w:t>Rogers, E. M., 2003</w:t>
      </w:r>
      <w:r w:rsidRPr="00B711E9">
        <w:rPr>
          <w:rFonts w:asciiTheme="majorBidi" w:hAnsiTheme="majorBidi" w:cstheme="majorBidi"/>
          <w:sz w:val="26"/>
          <w:szCs w:val="26"/>
          <w:rtl/>
        </w:rPr>
        <w:t>)</w:t>
      </w:r>
      <w:r w:rsidRPr="00A92155">
        <w:rPr>
          <w:rFonts w:asciiTheme="majorBidi" w:hAnsiTheme="majorBidi" w:cstheme="majorBidi"/>
          <w:sz w:val="26"/>
          <w:szCs w:val="26"/>
          <w:rtl/>
        </w:rPr>
        <w:t xml:space="preserve"> نظرية "نشر الابتكار" إلى أن الثقافة والمقاومة الداخلية هي العامل الحاسم في تبني التقنيات.</w:t>
      </w:r>
    </w:p>
    <w:p w14:paraId="1A69CF16" w14:textId="77777777" w:rsidR="00202E2A" w:rsidRPr="00A92155" w:rsidRDefault="00202E2A" w:rsidP="00202E2A">
      <w:pPr>
        <w:bidi/>
        <w:spacing w:line="240" w:lineRule="auto"/>
        <w:jc w:val="lowKashida"/>
        <w:rPr>
          <w:rFonts w:asciiTheme="majorBidi" w:hAnsiTheme="majorBidi" w:cstheme="majorBidi"/>
          <w:sz w:val="26"/>
          <w:szCs w:val="26"/>
          <w:rtl/>
        </w:rPr>
      </w:pPr>
      <w:r w:rsidRPr="00B711E9">
        <w:rPr>
          <w:rFonts w:asciiTheme="majorBidi" w:hAnsiTheme="majorBidi" w:cstheme="majorBidi"/>
          <w:sz w:val="26"/>
          <w:szCs w:val="26"/>
          <w:rtl/>
        </w:rPr>
        <w:t>التحليل:</w:t>
      </w:r>
      <w:r w:rsidRPr="00A92155">
        <w:rPr>
          <w:rFonts w:asciiTheme="majorBidi" w:hAnsiTheme="majorBidi" w:cstheme="majorBidi"/>
          <w:sz w:val="26"/>
          <w:szCs w:val="26"/>
          <w:rtl/>
        </w:rPr>
        <w:t xml:space="preserve"> يواجه موظفو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الذين اعتادوا على الإجراءات اليدوية والورقية تحدي التكيف مع الأتمتة الكاملة والقرارات القائمة على البيانات، مما يتطلب برامج إدارة تغيير قوية لغرس </w:t>
      </w:r>
      <w:r w:rsidRPr="00A92155">
        <w:rPr>
          <w:rFonts w:asciiTheme="majorBidi" w:hAnsiTheme="majorBidi" w:cstheme="majorBidi"/>
          <w:b/>
          <w:bCs/>
          <w:sz w:val="26"/>
          <w:szCs w:val="26"/>
          <w:rtl/>
        </w:rPr>
        <w:t>ثقافة البيانات</w:t>
      </w:r>
      <w:r w:rsidRPr="00A92155">
        <w:rPr>
          <w:rFonts w:asciiTheme="majorBidi" w:hAnsiTheme="majorBidi" w:cstheme="majorBidi"/>
          <w:sz w:val="26"/>
          <w:szCs w:val="26"/>
          <w:rtl/>
        </w:rPr>
        <w:t xml:space="preserve"> بدلاً من ثقافة الاجتهاد الشخصي.</w:t>
      </w:r>
    </w:p>
    <w:p w14:paraId="683A3A8F" w14:textId="77777777" w:rsidR="00202E2A" w:rsidRPr="00A92155" w:rsidRDefault="00202E2A" w:rsidP="00202E2A">
      <w:pPr>
        <w:bidi/>
        <w:spacing w:line="240" w:lineRule="auto"/>
        <w:jc w:val="lowKashida"/>
        <w:rPr>
          <w:rFonts w:asciiTheme="majorBidi" w:hAnsiTheme="majorBidi" w:cs="PT Bold Heading"/>
          <w:b/>
          <w:bCs/>
          <w:sz w:val="26"/>
          <w:szCs w:val="26"/>
          <w:rtl/>
        </w:rPr>
      </w:pPr>
      <w:r w:rsidRPr="00A92155">
        <w:rPr>
          <w:rFonts w:asciiTheme="majorBidi" w:hAnsiTheme="majorBidi" w:cs="PT Bold Heading"/>
          <w:b/>
          <w:bCs/>
          <w:sz w:val="26"/>
          <w:szCs w:val="26"/>
          <w:rtl/>
        </w:rPr>
        <w:t>2.6.3 التحديات التشريعية والتنظيمية (القوانين، حماية البيانات، التوافق الدولي)</w:t>
      </w:r>
    </w:p>
    <w:p w14:paraId="1CE5694D"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 الإطار القانوني للتقنيات الناشئة (</w:t>
      </w:r>
      <w:r w:rsidRPr="00A92155">
        <w:rPr>
          <w:rFonts w:asciiTheme="majorBidi" w:hAnsiTheme="majorBidi" w:cstheme="majorBidi"/>
          <w:b/>
          <w:bCs/>
          <w:sz w:val="26"/>
          <w:szCs w:val="26"/>
        </w:rPr>
        <w:t>AI</w:t>
      </w:r>
      <w:r w:rsidRPr="00A92155">
        <w:rPr>
          <w:rFonts w:asciiTheme="majorBidi" w:hAnsiTheme="majorBidi" w:cstheme="majorBidi"/>
          <w:b/>
          <w:bCs/>
          <w:sz w:val="26"/>
          <w:szCs w:val="26"/>
          <w:rtl/>
        </w:rPr>
        <w:t xml:space="preserve"> &amp; </w:t>
      </w:r>
      <w:r w:rsidRPr="00A92155">
        <w:rPr>
          <w:rFonts w:asciiTheme="majorBidi" w:hAnsiTheme="majorBidi" w:cstheme="majorBidi"/>
          <w:b/>
          <w:bCs/>
          <w:sz w:val="26"/>
          <w:szCs w:val="26"/>
        </w:rPr>
        <w:t>Blockchain</w:t>
      </w:r>
      <w:r w:rsidRPr="00A92155">
        <w:rPr>
          <w:rFonts w:asciiTheme="majorBidi" w:hAnsiTheme="majorBidi" w:cstheme="majorBidi"/>
          <w:b/>
          <w:bCs/>
          <w:sz w:val="26"/>
          <w:szCs w:val="26"/>
          <w:rtl/>
        </w:rPr>
        <w:t>):</w:t>
      </w:r>
    </w:p>
    <w:p w14:paraId="28057149" w14:textId="77777777" w:rsidR="00202E2A" w:rsidRPr="00A92155" w:rsidRDefault="00202E2A" w:rsidP="00202E2A">
      <w:pPr>
        <w:bidi/>
        <w:spacing w:line="240" w:lineRule="auto"/>
        <w:jc w:val="lowKashida"/>
        <w:rPr>
          <w:rFonts w:asciiTheme="majorBidi" w:hAnsiTheme="majorBidi" w:cstheme="majorBidi"/>
          <w:sz w:val="26"/>
          <w:szCs w:val="26"/>
          <w:rtl/>
        </w:rPr>
      </w:pPr>
      <w:r w:rsidRPr="00B711E9">
        <w:rPr>
          <w:rFonts w:asciiTheme="majorBidi" w:hAnsiTheme="majorBidi" w:cstheme="majorBidi" w:hint="cs"/>
          <w:sz w:val="26"/>
          <w:szCs w:val="26"/>
          <w:rtl/>
        </w:rPr>
        <w:t>نوهت دراسة</w:t>
      </w:r>
      <w:r w:rsidRPr="00B711E9">
        <w:rPr>
          <w:rFonts w:asciiTheme="majorBidi" w:hAnsiTheme="majorBidi" w:cstheme="majorBidi"/>
          <w:sz w:val="26"/>
          <w:szCs w:val="26"/>
          <w:rtl/>
        </w:rPr>
        <w:t xml:space="preserve"> (</w:t>
      </w:r>
      <w:r w:rsidRPr="00B711E9">
        <w:rPr>
          <w:rFonts w:asciiTheme="majorBidi" w:hAnsiTheme="majorBidi" w:cstheme="majorBidi"/>
          <w:sz w:val="26"/>
          <w:szCs w:val="26"/>
        </w:rPr>
        <w:t>Vial, 2019</w:t>
      </w:r>
      <w:r w:rsidRPr="00B711E9">
        <w:rPr>
          <w:rFonts w:asciiTheme="majorBidi" w:hAnsiTheme="majorBidi" w:cstheme="majorBidi"/>
          <w:sz w:val="26"/>
          <w:szCs w:val="26"/>
          <w:rtl/>
        </w:rPr>
        <w:t>)</w:t>
      </w:r>
      <w:r w:rsidRPr="00A92155">
        <w:rPr>
          <w:rFonts w:asciiTheme="majorBidi" w:hAnsiTheme="majorBidi" w:cstheme="majorBidi"/>
          <w:sz w:val="26"/>
          <w:szCs w:val="26"/>
          <w:rtl/>
        </w:rPr>
        <w:t xml:space="preserve"> إلى أن التشريعات غالباً ما تتخلف عن التطور التكنولوجي.</w:t>
      </w:r>
    </w:p>
    <w:p w14:paraId="73D7CDD7" w14:textId="77777777" w:rsidR="00202E2A" w:rsidRPr="00A92155" w:rsidRDefault="00202E2A" w:rsidP="00202E2A">
      <w:pPr>
        <w:bidi/>
        <w:spacing w:line="240" w:lineRule="auto"/>
        <w:jc w:val="lowKashida"/>
        <w:rPr>
          <w:rFonts w:asciiTheme="majorBidi" w:hAnsiTheme="majorBidi" w:cstheme="majorBidi"/>
          <w:sz w:val="26"/>
          <w:szCs w:val="26"/>
          <w:rtl/>
        </w:rPr>
      </w:pPr>
      <w:r w:rsidRPr="00B711E9">
        <w:rPr>
          <w:rFonts w:asciiTheme="majorBidi" w:hAnsiTheme="majorBidi" w:cstheme="majorBidi"/>
          <w:sz w:val="26"/>
          <w:szCs w:val="26"/>
          <w:rtl/>
        </w:rPr>
        <w:t xml:space="preserve">التطبيق على </w:t>
      </w:r>
      <w:r w:rsidRPr="00B711E9">
        <w:rPr>
          <w:rFonts w:asciiTheme="majorBidi" w:hAnsiTheme="majorBidi" w:cstheme="majorBidi"/>
          <w:sz w:val="26"/>
          <w:szCs w:val="26"/>
        </w:rPr>
        <w:t>ZATCA</w:t>
      </w:r>
      <w:r w:rsidRPr="00B711E9">
        <w:rPr>
          <w:rFonts w:asciiTheme="majorBidi" w:hAnsiTheme="majorBidi" w:cstheme="majorBidi"/>
          <w:sz w:val="26"/>
          <w:szCs w:val="26"/>
          <w:rtl/>
        </w:rPr>
        <w:t>:</w:t>
      </w:r>
      <w:r w:rsidRPr="00A92155">
        <w:rPr>
          <w:rFonts w:asciiTheme="majorBidi" w:hAnsiTheme="majorBidi" w:cstheme="majorBidi"/>
          <w:sz w:val="26"/>
          <w:szCs w:val="26"/>
          <w:rtl/>
        </w:rPr>
        <w:t xml:space="preserve"> لا يزال هناك تحدٍ في وضع إطار قانوني واضح لـ </w:t>
      </w:r>
      <w:r w:rsidRPr="00B711E9">
        <w:rPr>
          <w:rFonts w:asciiTheme="majorBidi" w:hAnsiTheme="majorBidi" w:cstheme="majorBidi"/>
          <w:sz w:val="26"/>
          <w:szCs w:val="26"/>
          <w:rtl/>
        </w:rPr>
        <w:t>مساءلة الذكاء الاصطناعي (</w:t>
      </w:r>
      <w:r w:rsidRPr="00B711E9">
        <w:rPr>
          <w:rFonts w:asciiTheme="majorBidi" w:hAnsiTheme="majorBidi" w:cstheme="majorBidi"/>
          <w:sz w:val="26"/>
          <w:szCs w:val="26"/>
        </w:rPr>
        <w:t>AI Accountability</w:t>
      </w:r>
      <w:r w:rsidRPr="00B711E9">
        <w:rPr>
          <w:rFonts w:asciiTheme="majorBidi" w:hAnsiTheme="majorBidi" w:cstheme="majorBidi"/>
          <w:sz w:val="26"/>
          <w:szCs w:val="26"/>
          <w:rtl/>
        </w:rPr>
        <w:t xml:space="preserve">)، </w:t>
      </w:r>
      <w:r w:rsidRPr="00A92155">
        <w:rPr>
          <w:rFonts w:asciiTheme="majorBidi" w:hAnsiTheme="majorBidi" w:cstheme="majorBidi"/>
          <w:sz w:val="26"/>
          <w:szCs w:val="26"/>
          <w:rtl/>
        </w:rPr>
        <w:t>وتحديد المسؤولية القانونية عند اتخاذ النظام الآلي لقرار يؤدي إلى نزاع تجاري أو مالي.</w:t>
      </w:r>
    </w:p>
    <w:p w14:paraId="3900A685"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lastRenderedPageBreak/>
        <w:t>ب. حماية البيانات الشخصية والسيادة على البيانات (</w:t>
      </w:r>
      <w:r w:rsidRPr="00A92155">
        <w:rPr>
          <w:rFonts w:asciiTheme="majorBidi" w:hAnsiTheme="majorBidi" w:cstheme="majorBidi"/>
          <w:b/>
          <w:bCs/>
          <w:sz w:val="26"/>
          <w:szCs w:val="26"/>
        </w:rPr>
        <w:t>PDPL</w:t>
      </w:r>
      <w:r w:rsidRPr="00A92155">
        <w:rPr>
          <w:rFonts w:asciiTheme="majorBidi" w:hAnsiTheme="majorBidi" w:cstheme="majorBidi"/>
          <w:b/>
          <w:bCs/>
          <w:sz w:val="26"/>
          <w:szCs w:val="26"/>
          <w:rtl/>
        </w:rPr>
        <w:t>):</w:t>
      </w:r>
    </w:p>
    <w:p w14:paraId="69010811"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في المملكة، يفرض قانون حماية البيانات الشخصية (</w:t>
      </w:r>
      <w:r w:rsidRPr="00A92155">
        <w:rPr>
          <w:rFonts w:asciiTheme="majorBidi" w:hAnsiTheme="majorBidi" w:cstheme="majorBidi"/>
          <w:sz w:val="26"/>
          <w:szCs w:val="26"/>
        </w:rPr>
        <w:t>PDPL</w:t>
      </w:r>
      <w:r w:rsidRPr="00A92155">
        <w:rPr>
          <w:rFonts w:asciiTheme="majorBidi" w:hAnsiTheme="majorBidi" w:cstheme="majorBidi"/>
          <w:sz w:val="26"/>
          <w:szCs w:val="26"/>
          <w:rtl/>
        </w:rPr>
        <w:t xml:space="preserve">) التزامات صارمة على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في حماية بيانات المكلفين والتجار.</w:t>
      </w:r>
    </w:p>
    <w:p w14:paraId="679F6684" w14:textId="77777777" w:rsidR="00202E2A" w:rsidRPr="00A92155" w:rsidRDefault="00202E2A" w:rsidP="00202E2A">
      <w:pPr>
        <w:bidi/>
        <w:spacing w:line="240" w:lineRule="auto"/>
        <w:jc w:val="lowKashida"/>
        <w:rPr>
          <w:rFonts w:asciiTheme="majorBidi" w:hAnsiTheme="majorBidi" w:cstheme="majorBidi"/>
          <w:sz w:val="26"/>
          <w:szCs w:val="26"/>
          <w:rtl/>
        </w:rPr>
      </w:pPr>
      <w:r w:rsidRPr="00D835CB">
        <w:rPr>
          <w:rFonts w:asciiTheme="majorBidi" w:hAnsiTheme="majorBidi" w:cstheme="majorBidi"/>
          <w:sz w:val="26"/>
          <w:szCs w:val="26"/>
          <w:rtl/>
        </w:rPr>
        <w:t>التحدي:</w:t>
      </w:r>
      <w:r w:rsidRPr="00A92155">
        <w:rPr>
          <w:rFonts w:asciiTheme="majorBidi" w:hAnsiTheme="majorBidi" w:cstheme="majorBidi"/>
          <w:sz w:val="26"/>
          <w:szCs w:val="26"/>
          <w:rtl/>
        </w:rPr>
        <w:t xml:space="preserve"> يتطلب التزام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بالـ </w:t>
      </w:r>
      <w:r w:rsidRPr="00A92155">
        <w:rPr>
          <w:rFonts w:asciiTheme="majorBidi" w:hAnsiTheme="majorBidi" w:cstheme="majorBidi"/>
          <w:sz w:val="26"/>
          <w:szCs w:val="26"/>
        </w:rPr>
        <w:t>PDPL</w:t>
      </w:r>
      <w:r w:rsidRPr="00A92155">
        <w:rPr>
          <w:rFonts w:asciiTheme="majorBidi" w:hAnsiTheme="majorBidi" w:cstheme="majorBidi"/>
          <w:sz w:val="26"/>
          <w:szCs w:val="26"/>
          <w:rtl/>
        </w:rPr>
        <w:t xml:space="preserve"> موازنة صعبة بين حاجة الهيئة لاستخدام البيانات الضخمة (</w:t>
      </w:r>
      <w:r w:rsidRPr="00A92155">
        <w:rPr>
          <w:rFonts w:asciiTheme="majorBidi" w:hAnsiTheme="majorBidi" w:cstheme="majorBidi"/>
          <w:sz w:val="26"/>
          <w:szCs w:val="26"/>
        </w:rPr>
        <w:t>Big Data</w:t>
      </w:r>
      <w:r w:rsidRPr="00A92155">
        <w:rPr>
          <w:rFonts w:asciiTheme="majorBidi" w:hAnsiTheme="majorBidi" w:cstheme="majorBidi"/>
          <w:sz w:val="26"/>
          <w:szCs w:val="26"/>
          <w:rtl/>
        </w:rPr>
        <w:t>) للتحليل التنبؤي (الأمن والتيسير) ومتطلبات الحفاظ على خصوصية الأفراد.</w:t>
      </w:r>
    </w:p>
    <w:p w14:paraId="692CB6D5"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ج. التوافق التنظيمي الدولي (</w:t>
      </w:r>
      <w:r w:rsidRPr="00A92155">
        <w:rPr>
          <w:rFonts w:asciiTheme="majorBidi" w:hAnsiTheme="majorBidi" w:cstheme="majorBidi"/>
          <w:b/>
          <w:bCs/>
          <w:sz w:val="26"/>
          <w:szCs w:val="26"/>
        </w:rPr>
        <w:t>Cross-Border Compliance</w:t>
      </w:r>
      <w:r w:rsidRPr="00A92155">
        <w:rPr>
          <w:rFonts w:asciiTheme="majorBidi" w:hAnsiTheme="majorBidi" w:cstheme="majorBidi"/>
          <w:b/>
          <w:bCs/>
          <w:sz w:val="26"/>
          <w:szCs w:val="26"/>
          <w:rtl/>
        </w:rPr>
        <w:t>):</w:t>
      </w:r>
    </w:p>
    <w:p w14:paraId="736F0442" w14:textId="77777777" w:rsidR="00202E2A" w:rsidRPr="00A92155" w:rsidRDefault="00202E2A" w:rsidP="00202E2A">
      <w:pPr>
        <w:bidi/>
        <w:spacing w:line="240" w:lineRule="auto"/>
        <w:jc w:val="lowKashida"/>
        <w:rPr>
          <w:rFonts w:asciiTheme="majorBidi" w:hAnsiTheme="majorBidi" w:cstheme="majorBidi"/>
          <w:sz w:val="26"/>
          <w:szCs w:val="26"/>
          <w:rtl/>
        </w:rPr>
      </w:pPr>
      <w:r w:rsidRPr="00D835CB">
        <w:rPr>
          <w:rFonts w:asciiTheme="majorBidi" w:hAnsiTheme="majorBidi" w:cstheme="majorBidi" w:hint="cs"/>
          <w:sz w:val="26"/>
          <w:szCs w:val="26"/>
          <w:rtl/>
        </w:rPr>
        <w:t>أكدت دراسة</w:t>
      </w:r>
      <w:r w:rsidRPr="00D835CB">
        <w:rPr>
          <w:rFonts w:asciiTheme="majorBidi" w:hAnsiTheme="majorBidi" w:cstheme="majorBidi"/>
          <w:sz w:val="26"/>
          <w:szCs w:val="26"/>
          <w:rtl/>
        </w:rPr>
        <w:t xml:space="preserve"> (</w:t>
      </w:r>
      <w:r w:rsidRPr="00D835CB">
        <w:rPr>
          <w:rFonts w:asciiTheme="majorBidi" w:hAnsiTheme="majorBidi" w:cstheme="majorBidi"/>
          <w:sz w:val="26"/>
          <w:szCs w:val="26"/>
        </w:rPr>
        <w:t>OECD, 2020</w:t>
      </w:r>
      <w:r w:rsidRPr="00D835CB">
        <w:rPr>
          <w:rFonts w:asciiTheme="majorBidi" w:hAnsiTheme="majorBidi" w:cstheme="majorBidi"/>
          <w:sz w:val="26"/>
          <w:szCs w:val="26"/>
          <w:rtl/>
        </w:rPr>
        <w:t>)</w:t>
      </w:r>
      <w:r w:rsidRPr="00A92155">
        <w:rPr>
          <w:rFonts w:asciiTheme="majorBidi" w:hAnsiTheme="majorBidi" w:cstheme="majorBidi"/>
          <w:sz w:val="26"/>
          <w:szCs w:val="26"/>
          <w:rtl/>
        </w:rPr>
        <w:t xml:space="preserve"> على أن عدم توافق المتطلبات الرقمية بين الدول يُعد عائقاً لتيسير التجارة الرقمية.</w:t>
      </w:r>
    </w:p>
    <w:p w14:paraId="050353FD" w14:textId="77777777" w:rsidR="00202E2A" w:rsidRPr="00A92155" w:rsidRDefault="00202E2A" w:rsidP="00202E2A">
      <w:pPr>
        <w:bidi/>
        <w:spacing w:line="240" w:lineRule="auto"/>
        <w:jc w:val="lowKashida"/>
        <w:rPr>
          <w:rFonts w:asciiTheme="majorBidi" w:hAnsiTheme="majorBidi" w:cstheme="majorBidi"/>
          <w:sz w:val="26"/>
          <w:szCs w:val="26"/>
          <w:rtl/>
        </w:rPr>
      </w:pPr>
      <w:r w:rsidRPr="00D835CB">
        <w:rPr>
          <w:rFonts w:asciiTheme="majorBidi" w:hAnsiTheme="majorBidi" w:cstheme="majorBidi"/>
          <w:sz w:val="26"/>
          <w:szCs w:val="26"/>
          <w:rtl/>
        </w:rPr>
        <w:t>التحليل:</w:t>
      </w:r>
      <w:r w:rsidRPr="00A92155">
        <w:rPr>
          <w:rFonts w:asciiTheme="majorBidi" w:hAnsiTheme="majorBidi" w:cstheme="majorBidi"/>
          <w:sz w:val="26"/>
          <w:szCs w:val="26"/>
          <w:rtl/>
        </w:rPr>
        <w:t xml:space="preserve"> تواجه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تحدي ضمان أن متطلباتها الرقمية (مثل الفاتورة الإلكترونية) تتوافق مع متطلبات الأنظمة الجمركية والضريبية للدول الشريكة في التجارة، مما يتطلب تنسيقاً ثنائياً ودولياً.</w:t>
      </w:r>
    </w:p>
    <w:p w14:paraId="6BB9B5B3" w14:textId="77777777" w:rsidR="00202E2A" w:rsidRPr="00A92155" w:rsidRDefault="00202E2A" w:rsidP="00202E2A">
      <w:pPr>
        <w:bidi/>
        <w:spacing w:line="240" w:lineRule="auto"/>
        <w:jc w:val="lowKashida"/>
        <w:rPr>
          <w:rFonts w:asciiTheme="majorBidi" w:hAnsiTheme="majorBidi" w:cs="PT Bold Heading"/>
          <w:b/>
          <w:bCs/>
          <w:sz w:val="26"/>
          <w:szCs w:val="26"/>
          <w:rtl/>
        </w:rPr>
      </w:pPr>
      <w:r w:rsidRPr="00A92155">
        <w:rPr>
          <w:rFonts w:asciiTheme="majorBidi" w:hAnsiTheme="majorBidi" w:cs="PT Bold Heading"/>
          <w:b/>
          <w:bCs/>
          <w:sz w:val="26"/>
          <w:szCs w:val="26"/>
          <w:rtl/>
        </w:rPr>
        <w:t>2.6.4 التحديات الاقتصادية والمالية (تكلفة البنية الرقمية، عائد الاستثمار)</w:t>
      </w:r>
    </w:p>
    <w:p w14:paraId="4E7C74F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 التكلفة الأولية والبنية التحتية:</w:t>
      </w:r>
    </w:p>
    <w:p w14:paraId="17A0C33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يتطلب تطبيق التقنيات المتقدمة (</w:t>
      </w:r>
      <w:r w:rsidRPr="00A92155">
        <w:rPr>
          <w:rFonts w:asciiTheme="majorBidi" w:hAnsiTheme="majorBidi" w:cstheme="majorBidi"/>
          <w:sz w:val="26"/>
          <w:szCs w:val="26"/>
        </w:rPr>
        <w:t>AI, IoT, Cloud</w:t>
      </w:r>
      <w:r w:rsidRPr="00A92155">
        <w:rPr>
          <w:rFonts w:asciiTheme="majorBidi" w:hAnsiTheme="majorBidi" w:cstheme="majorBidi"/>
          <w:sz w:val="26"/>
          <w:szCs w:val="26"/>
          <w:rtl/>
        </w:rPr>
        <w:t xml:space="preserve">) في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استثمارات رأسمالية (</w:t>
      </w:r>
      <w:r w:rsidRPr="00A92155">
        <w:rPr>
          <w:rFonts w:asciiTheme="majorBidi" w:hAnsiTheme="majorBidi" w:cstheme="majorBidi"/>
          <w:sz w:val="26"/>
          <w:szCs w:val="26"/>
        </w:rPr>
        <w:t>CAPEX</w:t>
      </w:r>
      <w:r w:rsidRPr="00A92155">
        <w:rPr>
          <w:rFonts w:asciiTheme="majorBidi" w:hAnsiTheme="majorBidi" w:cstheme="majorBidi"/>
          <w:sz w:val="26"/>
          <w:szCs w:val="26"/>
          <w:rtl/>
        </w:rPr>
        <w:t>) ضخمة لإنشاء مراكز بيانات آمنة وشراء تراخيص البرمجيات المتخصصة.</w:t>
      </w:r>
    </w:p>
    <w:p w14:paraId="0D6CC189"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ب. قياس عائد الاستثمار (</w:t>
      </w:r>
      <w:r w:rsidRPr="00A92155">
        <w:rPr>
          <w:rFonts w:asciiTheme="majorBidi" w:hAnsiTheme="majorBidi" w:cstheme="majorBidi"/>
          <w:b/>
          <w:bCs/>
          <w:sz w:val="26"/>
          <w:szCs w:val="26"/>
        </w:rPr>
        <w:t>ROI</w:t>
      </w:r>
      <w:r w:rsidRPr="00A92155">
        <w:rPr>
          <w:rFonts w:asciiTheme="majorBidi" w:hAnsiTheme="majorBidi" w:cstheme="majorBidi"/>
          <w:b/>
          <w:bCs/>
          <w:sz w:val="26"/>
          <w:szCs w:val="26"/>
          <w:rtl/>
        </w:rPr>
        <w:t>) للتحول الرقمي:</w:t>
      </w:r>
    </w:p>
    <w:p w14:paraId="204967FC" w14:textId="77777777" w:rsidR="00202E2A" w:rsidRPr="00A92155" w:rsidRDefault="00202E2A" w:rsidP="00202E2A">
      <w:pPr>
        <w:bidi/>
        <w:spacing w:line="240" w:lineRule="auto"/>
        <w:jc w:val="lowKashida"/>
        <w:rPr>
          <w:rFonts w:asciiTheme="majorBidi" w:hAnsiTheme="majorBidi" w:cstheme="majorBidi"/>
          <w:sz w:val="26"/>
          <w:szCs w:val="26"/>
          <w:rtl/>
        </w:rPr>
      </w:pPr>
      <w:r w:rsidRPr="00DA7B87">
        <w:rPr>
          <w:rFonts w:asciiTheme="majorBidi" w:hAnsiTheme="majorBidi" w:cstheme="majorBidi" w:hint="cs"/>
          <w:sz w:val="26"/>
          <w:szCs w:val="26"/>
          <w:rtl/>
        </w:rPr>
        <w:t>وأشارت دراسة</w:t>
      </w:r>
      <w:r w:rsidRPr="00DA7B87">
        <w:rPr>
          <w:rFonts w:asciiTheme="majorBidi" w:hAnsiTheme="majorBidi" w:cstheme="majorBidi"/>
          <w:sz w:val="26"/>
          <w:szCs w:val="26"/>
          <w:rtl/>
        </w:rPr>
        <w:t xml:space="preserve"> (</w:t>
      </w:r>
      <w:r w:rsidRPr="00DA7B87">
        <w:rPr>
          <w:rFonts w:asciiTheme="majorBidi" w:hAnsiTheme="majorBidi" w:cstheme="majorBidi"/>
          <w:sz w:val="26"/>
          <w:szCs w:val="26"/>
        </w:rPr>
        <w:t>Muehlburger et al., 2019</w:t>
      </w:r>
      <w:r w:rsidRPr="00DA7B87">
        <w:rPr>
          <w:rFonts w:asciiTheme="majorBidi" w:hAnsiTheme="majorBidi" w:cstheme="majorBidi"/>
          <w:sz w:val="26"/>
          <w:szCs w:val="26"/>
          <w:rtl/>
        </w:rPr>
        <w:t>)</w:t>
      </w:r>
      <w:r w:rsidRPr="00A92155">
        <w:rPr>
          <w:rFonts w:asciiTheme="majorBidi" w:hAnsiTheme="majorBidi" w:cstheme="majorBidi"/>
          <w:sz w:val="26"/>
          <w:szCs w:val="26"/>
          <w:rtl/>
        </w:rPr>
        <w:t xml:space="preserve"> إلى صعوبة قياس العائد المالي المباشر للتحول الرقمي في القطاع العام.</w:t>
      </w:r>
    </w:p>
    <w:p w14:paraId="3B26DF67" w14:textId="77777777" w:rsidR="00202E2A" w:rsidRPr="00A92155" w:rsidRDefault="00202E2A" w:rsidP="00202E2A">
      <w:pPr>
        <w:bidi/>
        <w:spacing w:line="240" w:lineRule="auto"/>
        <w:jc w:val="lowKashida"/>
        <w:rPr>
          <w:rFonts w:asciiTheme="majorBidi" w:hAnsiTheme="majorBidi" w:cstheme="majorBidi"/>
          <w:sz w:val="26"/>
          <w:szCs w:val="26"/>
          <w:rtl/>
        </w:rPr>
      </w:pPr>
      <w:r w:rsidRPr="00DA7B87">
        <w:rPr>
          <w:rFonts w:asciiTheme="majorBidi" w:hAnsiTheme="majorBidi" w:cstheme="majorBidi"/>
          <w:sz w:val="26"/>
          <w:szCs w:val="26"/>
          <w:rtl/>
        </w:rPr>
        <w:t>التحدي:</w:t>
      </w:r>
      <w:r w:rsidRPr="00A92155">
        <w:rPr>
          <w:rFonts w:asciiTheme="majorBidi" w:hAnsiTheme="majorBidi" w:cstheme="majorBidi"/>
          <w:sz w:val="26"/>
          <w:szCs w:val="26"/>
          <w:rtl/>
        </w:rPr>
        <w:t xml:space="preserve"> على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إثبات أن الاستثمار في الرقمنة قد أدى إلى عائد مالي (زيادة الإيرادات، خفض التكلفة التشغيلية) وعائد غير مالي (زيادة رضا العملاء، تحسين ترتيب المملكة في المؤشرات العالمية).</w:t>
      </w:r>
    </w:p>
    <w:p w14:paraId="5D553660" w14:textId="77777777" w:rsidR="00202E2A" w:rsidRPr="00A92155" w:rsidRDefault="00202E2A" w:rsidP="00202E2A">
      <w:pPr>
        <w:bidi/>
        <w:spacing w:line="240" w:lineRule="auto"/>
        <w:jc w:val="lowKashida"/>
        <w:rPr>
          <w:rFonts w:asciiTheme="majorBidi" w:hAnsiTheme="majorBidi" w:cs="PT Bold Heading"/>
          <w:b/>
          <w:bCs/>
          <w:sz w:val="26"/>
          <w:szCs w:val="26"/>
          <w:rtl/>
        </w:rPr>
      </w:pPr>
      <w:r w:rsidRPr="00A92155">
        <w:rPr>
          <w:rFonts w:asciiTheme="majorBidi" w:hAnsiTheme="majorBidi" w:cs="PT Bold Heading"/>
          <w:b/>
          <w:bCs/>
          <w:sz w:val="26"/>
          <w:szCs w:val="26"/>
          <w:rtl/>
        </w:rPr>
        <w:t>2.6.5 الفرص الناشئة (الذكاء الاصطناعي، التحليل التنبئي، السحابة الحكومية)</w:t>
      </w:r>
    </w:p>
    <w:p w14:paraId="2913F76A"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 فرصة الذكاء الاصطناعي والتحليل التنبئي:</w:t>
      </w:r>
    </w:p>
    <w:p w14:paraId="7E075E9E"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يُعد الذكاء الاصطناعي فرصة استراتيجية لـ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لتحقيق قفزة نوعية في </w:t>
      </w:r>
      <w:r w:rsidRPr="00A92155">
        <w:rPr>
          <w:rFonts w:asciiTheme="majorBidi" w:hAnsiTheme="majorBidi" w:cstheme="majorBidi"/>
          <w:b/>
          <w:bCs/>
          <w:sz w:val="26"/>
          <w:szCs w:val="26"/>
          <w:rtl/>
        </w:rPr>
        <w:t>إدارة المخاطر (</w:t>
      </w:r>
      <w:r w:rsidRPr="00A92155">
        <w:rPr>
          <w:rFonts w:asciiTheme="majorBidi" w:hAnsiTheme="majorBidi" w:cstheme="majorBidi"/>
          <w:b/>
          <w:bCs/>
          <w:sz w:val="26"/>
          <w:szCs w:val="26"/>
        </w:rPr>
        <w:t>Risk Management</w:t>
      </w:r>
      <w:r w:rsidRPr="00A92155">
        <w:rPr>
          <w:rFonts w:asciiTheme="majorBidi" w:hAnsiTheme="majorBidi" w:cstheme="majorBidi"/>
          <w:b/>
          <w:bCs/>
          <w:sz w:val="26"/>
          <w:szCs w:val="26"/>
          <w:rtl/>
        </w:rPr>
        <w:t>)</w:t>
      </w:r>
      <w:r w:rsidRPr="00A92155">
        <w:rPr>
          <w:rFonts w:asciiTheme="majorBidi" w:hAnsiTheme="majorBidi" w:cstheme="majorBidi"/>
          <w:sz w:val="26"/>
          <w:szCs w:val="26"/>
          <w:rtl/>
        </w:rPr>
        <w:t>، والانتقال من الكشف إلى التنبؤ بالاحتيال والتهريب.</w:t>
      </w:r>
    </w:p>
    <w:p w14:paraId="7BC5CDAE"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ب. فرصة الحوسبة السحابية الحكومية:</w:t>
      </w:r>
    </w:p>
    <w:p w14:paraId="6E7076D5"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الاعتماد على منصات السحابة الحكومية الموحدة (مثل ما توفره </w:t>
      </w:r>
      <w:r w:rsidRPr="00A92155">
        <w:rPr>
          <w:rFonts w:asciiTheme="majorBidi" w:hAnsiTheme="majorBidi" w:cstheme="majorBidi"/>
          <w:sz w:val="26"/>
          <w:szCs w:val="26"/>
        </w:rPr>
        <w:t>NCA</w:t>
      </w:r>
      <w:r w:rsidRPr="00A92155">
        <w:rPr>
          <w:rFonts w:asciiTheme="majorBidi" w:hAnsiTheme="majorBidi" w:cstheme="majorBidi"/>
          <w:sz w:val="26"/>
          <w:szCs w:val="26"/>
          <w:rtl/>
        </w:rPr>
        <w:t xml:space="preserve"> أو الجهات الوطنية الأخرى) يقلل من التكلفة الرأسمالية (</w:t>
      </w:r>
      <w:r w:rsidRPr="00A92155">
        <w:rPr>
          <w:rFonts w:asciiTheme="majorBidi" w:hAnsiTheme="majorBidi" w:cstheme="majorBidi"/>
          <w:sz w:val="26"/>
          <w:szCs w:val="26"/>
        </w:rPr>
        <w:t>CAPEX</w:t>
      </w:r>
      <w:r w:rsidRPr="00A92155">
        <w:rPr>
          <w:rFonts w:asciiTheme="majorBidi" w:hAnsiTheme="majorBidi" w:cstheme="majorBidi"/>
          <w:sz w:val="26"/>
          <w:szCs w:val="26"/>
          <w:rtl/>
        </w:rPr>
        <w:t>) ويسرع من نشر الخدمات، مع ضمان أمن البيانات وفقاً للمعايير الوطنية.</w:t>
      </w:r>
    </w:p>
    <w:p w14:paraId="6B8BB58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ج. فرصة البلوكتشين في التجارة:</w:t>
      </w:r>
    </w:p>
    <w:p w14:paraId="69BECD88"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تتيح تقنية البلوكتشين الفرصة لـ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لتوثيق الشهادات الجمركية والضريبية بشكل غير قابل للتزوير، مما يعزز الثقة الدولية في التجارة السعودية.</w:t>
      </w:r>
    </w:p>
    <w:p w14:paraId="57DFD91C" w14:textId="77777777" w:rsidR="00202E2A" w:rsidRPr="00A92155" w:rsidRDefault="00202E2A" w:rsidP="00202E2A">
      <w:pPr>
        <w:bidi/>
        <w:spacing w:line="240" w:lineRule="auto"/>
        <w:jc w:val="lowKashida"/>
        <w:rPr>
          <w:rFonts w:asciiTheme="majorBidi" w:hAnsiTheme="majorBidi" w:cs="PT Bold Heading"/>
          <w:b/>
          <w:bCs/>
          <w:sz w:val="26"/>
          <w:szCs w:val="26"/>
          <w:rtl/>
        </w:rPr>
      </w:pPr>
      <w:r w:rsidRPr="00A92155">
        <w:rPr>
          <w:rFonts w:asciiTheme="majorBidi" w:hAnsiTheme="majorBidi" w:cs="PT Bold Heading"/>
          <w:b/>
          <w:bCs/>
          <w:sz w:val="26"/>
          <w:szCs w:val="26"/>
          <w:rtl/>
        </w:rPr>
        <w:t>2.6.6 مبادرات التحول الرقمي في رؤية السعودية 2030 كفرص استراتيجية</w:t>
      </w:r>
    </w:p>
    <w:p w14:paraId="4198E6EE"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 الدعم السياسي والتمويل:</w:t>
      </w:r>
    </w:p>
    <w:p w14:paraId="21E0178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lastRenderedPageBreak/>
        <w:t xml:space="preserve">توفر رؤية 2030 إطاراً استراتيجياً والتزاماً سياسياً عالياً لتمويل ودعم مبادرات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الرقمية، مما يقلل من المقاومة الداخلية ويسهل التنسيق بين الجهات الحكومية.</w:t>
      </w:r>
    </w:p>
    <w:p w14:paraId="2CF41C98"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ب. الهدف اللوجستي (مركز عالمي):</w:t>
      </w:r>
    </w:p>
    <w:p w14:paraId="2BF9B8AE"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يُمثل هدف تحويل المملكة إلى مركز لوجستي عالمي حافزاً لـ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لتبني أسرع وأكفأ حلول تيسير التجارة الرقمية لتحقيق مستهدفات المؤشر العالمي (</w:t>
      </w:r>
      <w:r w:rsidRPr="00A92155">
        <w:rPr>
          <w:rFonts w:asciiTheme="majorBidi" w:hAnsiTheme="majorBidi" w:cstheme="majorBidi"/>
          <w:sz w:val="26"/>
          <w:szCs w:val="26"/>
        </w:rPr>
        <w:t>LPI</w:t>
      </w:r>
      <w:r w:rsidRPr="00A92155">
        <w:rPr>
          <w:rFonts w:asciiTheme="majorBidi" w:hAnsiTheme="majorBidi" w:cstheme="majorBidi"/>
          <w:sz w:val="26"/>
          <w:szCs w:val="26"/>
          <w:rtl/>
        </w:rPr>
        <w:t>).</w:t>
      </w:r>
    </w:p>
    <w:p w14:paraId="262EAD4D" w14:textId="77777777" w:rsidR="00202E2A" w:rsidRPr="00A92155" w:rsidRDefault="00202E2A" w:rsidP="00202E2A">
      <w:pPr>
        <w:bidi/>
        <w:spacing w:line="240" w:lineRule="auto"/>
        <w:jc w:val="lowKashida"/>
        <w:rPr>
          <w:rFonts w:asciiTheme="majorBidi" w:hAnsiTheme="majorBidi" w:cs="PT Bold Heading"/>
          <w:b/>
          <w:bCs/>
          <w:sz w:val="26"/>
          <w:szCs w:val="26"/>
          <w:rtl/>
        </w:rPr>
      </w:pPr>
      <w:r w:rsidRPr="00A92155">
        <w:rPr>
          <w:rFonts w:asciiTheme="majorBidi" w:hAnsiTheme="majorBidi" w:cs="PT Bold Heading"/>
          <w:b/>
          <w:bCs/>
          <w:sz w:val="26"/>
          <w:szCs w:val="26"/>
          <w:rtl/>
        </w:rPr>
        <w:t xml:space="preserve">2.6.7 مقاربة </w:t>
      </w:r>
      <w:r w:rsidRPr="00A92155">
        <w:rPr>
          <w:rFonts w:asciiTheme="majorBidi" w:hAnsiTheme="majorBidi" w:cs="PT Bold Heading"/>
          <w:b/>
          <w:bCs/>
          <w:sz w:val="26"/>
          <w:szCs w:val="26"/>
        </w:rPr>
        <w:t>SWOT</w:t>
      </w:r>
      <w:r w:rsidRPr="00A92155">
        <w:rPr>
          <w:rFonts w:asciiTheme="majorBidi" w:hAnsiTheme="majorBidi" w:cs="PT Bold Heading"/>
          <w:b/>
          <w:bCs/>
          <w:sz w:val="26"/>
          <w:szCs w:val="26"/>
          <w:rtl/>
        </w:rPr>
        <w:t xml:space="preserve"> لتقييم الواقع الرقمي في هيئة الزكاة والضريبة والجمارك</w:t>
      </w:r>
    </w:p>
    <w:p w14:paraId="67BB1E6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تساعد مقاربة </w:t>
      </w:r>
      <w:r w:rsidRPr="00A92155">
        <w:rPr>
          <w:rFonts w:asciiTheme="majorBidi" w:hAnsiTheme="majorBidi" w:cstheme="majorBidi"/>
          <w:sz w:val="26"/>
          <w:szCs w:val="26"/>
        </w:rPr>
        <w:t>SWOT</w:t>
      </w:r>
      <w:r w:rsidRPr="00A92155">
        <w:rPr>
          <w:rFonts w:asciiTheme="majorBidi" w:hAnsiTheme="majorBidi" w:cstheme="majorBidi"/>
          <w:sz w:val="26"/>
          <w:szCs w:val="26"/>
          <w:rtl/>
        </w:rPr>
        <w:t xml:space="preserve"> في تقييم الواقع التشغيلي لـ </w:t>
      </w:r>
      <w:r w:rsidRPr="00A92155">
        <w:rPr>
          <w:rFonts w:asciiTheme="majorBidi" w:hAnsiTheme="majorBidi" w:cstheme="majorBidi"/>
          <w:sz w:val="26"/>
          <w:szCs w:val="26"/>
        </w:rPr>
        <w:t>ZATCA</w:t>
      </w:r>
      <w:r w:rsidRPr="00A92155">
        <w:rPr>
          <w:rFonts w:asciiTheme="majorBidi" w:hAnsiTheme="majorBidi" w:cstheme="majorBidi"/>
          <w:sz w:val="26"/>
          <w:szCs w:val="26"/>
          <w:rtl/>
        </w:rPr>
        <w:t>:</w:t>
      </w:r>
    </w:p>
    <w:tbl>
      <w:tblPr>
        <w:tblStyle w:val="GridTable5Dark"/>
        <w:bidiVisual/>
        <w:tblW w:w="0" w:type="auto"/>
        <w:tblLook w:val="04A0" w:firstRow="1" w:lastRow="0" w:firstColumn="1" w:lastColumn="0" w:noHBand="0" w:noVBand="1"/>
      </w:tblPr>
      <w:tblGrid>
        <w:gridCol w:w="2204"/>
        <w:gridCol w:w="4384"/>
        <w:gridCol w:w="2762"/>
      </w:tblGrid>
      <w:tr w:rsidR="00202E2A" w:rsidRPr="00A92155" w14:paraId="249314B3" w14:textId="77777777" w:rsidTr="00A6249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89BDBE" w14:textId="77777777" w:rsidR="00202E2A" w:rsidRPr="00A92155" w:rsidRDefault="00202E2A" w:rsidP="00A62496">
            <w:pPr>
              <w:bidi/>
              <w:jc w:val="center"/>
              <w:rPr>
                <w:rFonts w:asciiTheme="majorBidi" w:hAnsiTheme="majorBidi" w:cstheme="majorBidi"/>
                <w:sz w:val="26"/>
                <w:szCs w:val="26"/>
                <w:rtl/>
              </w:rPr>
            </w:pPr>
            <w:r w:rsidRPr="00A92155">
              <w:rPr>
                <w:rFonts w:asciiTheme="majorBidi" w:hAnsiTheme="majorBidi" w:cstheme="majorBidi"/>
                <w:sz w:val="26"/>
                <w:szCs w:val="26"/>
                <w:rtl/>
              </w:rPr>
              <w:t>المحور</w:t>
            </w:r>
          </w:p>
        </w:tc>
        <w:tc>
          <w:tcPr>
            <w:tcW w:w="0" w:type="auto"/>
            <w:hideMark/>
          </w:tcPr>
          <w:p w14:paraId="0F40EC95" w14:textId="77777777" w:rsidR="00202E2A" w:rsidRPr="00A92155" w:rsidRDefault="00202E2A" w:rsidP="00A62496">
            <w:pPr>
              <w:bidi/>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 xml:space="preserve">التحليل في </w:t>
            </w:r>
            <w:r w:rsidRPr="00A92155">
              <w:rPr>
                <w:rFonts w:asciiTheme="majorBidi" w:hAnsiTheme="majorBidi" w:cstheme="majorBidi"/>
                <w:sz w:val="26"/>
                <w:szCs w:val="26"/>
              </w:rPr>
              <w:t>ZATCA</w:t>
            </w:r>
          </w:p>
        </w:tc>
        <w:tc>
          <w:tcPr>
            <w:tcW w:w="0" w:type="auto"/>
            <w:hideMark/>
          </w:tcPr>
          <w:p w14:paraId="48C0B957" w14:textId="77777777" w:rsidR="00202E2A" w:rsidRPr="00A92155" w:rsidRDefault="00202E2A" w:rsidP="00A62496">
            <w:pPr>
              <w:bidi/>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الأثر على التحول الرقمي</w:t>
            </w:r>
          </w:p>
        </w:tc>
      </w:tr>
      <w:tr w:rsidR="00202E2A" w:rsidRPr="00A92155" w14:paraId="57171151" w14:textId="77777777" w:rsidTr="00A624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8DE58E" w14:textId="77777777" w:rsidR="00202E2A" w:rsidRPr="00A92155" w:rsidRDefault="00202E2A" w:rsidP="00A62496">
            <w:pPr>
              <w:bidi/>
              <w:jc w:val="center"/>
              <w:rPr>
                <w:rFonts w:asciiTheme="majorBidi" w:hAnsiTheme="majorBidi" w:cstheme="majorBidi"/>
                <w:sz w:val="26"/>
                <w:szCs w:val="26"/>
                <w:rtl/>
              </w:rPr>
            </w:pPr>
            <w:r w:rsidRPr="00A92155">
              <w:rPr>
                <w:rFonts w:asciiTheme="majorBidi" w:hAnsiTheme="majorBidi" w:cstheme="majorBidi"/>
                <w:sz w:val="26"/>
                <w:szCs w:val="26"/>
                <w:rtl/>
              </w:rPr>
              <w:t>نقاط القوة (</w:t>
            </w:r>
            <w:r w:rsidRPr="00A92155">
              <w:rPr>
                <w:rFonts w:asciiTheme="majorBidi" w:hAnsiTheme="majorBidi" w:cstheme="majorBidi"/>
                <w:sz w:val="26"/>
                <w:szCs w:val="26"/>
              </w:rPr>
              <w:t>Strengths</w:t>
            </w:r>
            <w:r w:rsidRPr="00A92155">
              <w:rPr>
                <w:rFonts w:asciiTheme="majorBidi" w:hAnsiTheme="majorBidi" w:cstheme="majorBidi"/>
                <w:sz w:val="26"/>
                <w:szCs w:val="26"/>
                <w:rtl/>
              </w:rPr>
              <w:t>)</w:t>
            </w:r>
          </w:p>
        </w:tc>
        <w:tc>
          <w:tcPr>
            <w:tcW w:w="0" w:type="auto"/>
            <w:hideMark/>
          </w:tcPr>
          <w:p w14:paraId="13AC39DA" w14:textId="77777777" w:rsidR="00202E2A" w:rsidRPr="00A92155" w:rsidRDefault="00202E2A" w:rsidP="00A62496">
            <w:pPr>
              <w:bidi/>
              <w:jc w:val="lowKashida"/>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الدعم الحكومي غير المحدود (رؤية 2030)، الاستثمار في الذكاء الاصطناعي، وجود منصات وطنية موحدة (فسح، فاتورة).</w:t>
            </w:r>
          </w:p>
        </w:tc>
        <w:tc>
          <w:tcPr>
            <w:tcW w:w="0" w:type="auto"/>
            <w:hideMark/>
          </w:tcPr>
          <w:p w14:paraId="51341BB0" w14:textId="77777777" w:rsidR="00202E2A" w:rsidRPr="00A92155" w:rsidRDefault="00202E2A" w:rsidP="00A62496">
            <w:pPr>
              <w:bidi/>
              <w:jc w:val="lowKashida"/>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تمكين التطور السريع وتجاوز عقبة التمويل.</w:t>
            </w:r>
          </w:p>
        </w:tc>
      </w:tr>
      <w:tr w:rsidR="00202E2A" w:rsidRPr="00A92155" w14:paraId="16AA723B" w14:textId="77777777" w:rsidTr="00A62496">
        <w:tc>
          <w:tcPr>
            <w:cnfStyle w:val="001000000000" w:firstRow="0" w:lastRow="0" w:firstColumn="1" w:lastColumn="0" w:oddVBand="0" w:evenVBand="0" w:oddHBand="0" w:evenHBand="0" w:firstRowFirstColumn="0" w:firstRowLastColumn="0" w:lastRowFirstColumn="0" w:lastRowLastColumn="0"/>
            <w:tcW w:w="0" w:type="auto"/>
            <w:hideMark/>
          </w:tcPr>
          <w:p w14:paraId="2B003D39" w14:textId="77777777" w:rsidR="00202E2A" w:rsidRPr="00A92155" w:rsidRDefault="00202E2A" w:rsidP="00A62496">
            <w:pPr>
              <w:bidi/>
              <w:jc w:val="center"/>
              <w:rPr>
                <w:rFonts w:asciiTheme="majorBidi" w:hAnsiTheme="majorBidi" w:cstheme="majorBidi"/>
                <w:sz w:val="26"/>
                <w:szCs w:val="26"/>
                <w:rtl/>
              </w:rPr>
            </w:pPr>
            <w:r w:rsidRPr="00A92155">
              <w:rPr>
                <w:rFonts w:asciiTheme="majorBidi" w:hAnsiTheme="majorBidi" w:cstheme="majorBidi"/>
                <w:sz w:val="26"/>
                <w:szCs w:val="26"/>
                <w:rtl/>
              </w:rPr>
              <w:t>نقاط الضعف (</w:t>
            </w:r>
            <w:r w:rsidRPr="00A92155">
              <w:rPr>
                <w:rFonts w:asciiTheme="majorBidi" w:hAnsiTheme="majorBidi" w:cstheme="majorBidi"/>
                <w:sz w:val="26"/>
                <w:szCs w:val="26"/>
              </w:rPr>
              <w:t>Weaknesses</w:t>
            </w:r>
            <w:r w:rsidRPr="00A92155">
              <w:rPr>
                <w:rFonts w:asciiTheme="majorBidi" w:hAnsiTheme="majorBidi" w:cstheme="majorBidi"/>
                <w:sz w:val="26"/>
                <w:szCs w:val="26"/>
                <w:rtl/>
              </w:rPr>
              <w:t>)</w:t>
            </w:r>
          </w:p>
        </w:tc>
        <w:tc>
          <w:tcPr>
            <w:tcW w:w="0" w:type="auto"/>
            <w:hideMark/>
          </w:tcPr>
          <w:p w14:paraId="433983A8" w14:textId="77777777" w:rsidR="00202E2A" w:rsidRPr="00A92155" w:rsidRDefault="00202E2A" w:rsidP="00A62496">
            <w:pPr>
              <w:bidi/>
              <w:jc w:val="low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تحدي تكامل الأنظمة القديمة، الفجوة في المهارات التخصصية (</w:t>
            </w:r>
            <w:r w:rsidRPr="00A92155">
              <w:rPr>
                <w:rFonts w:asciiTheme="majorBidi" w:hAnsiTheme="majorBidi" w:cstheme="majorBidi"/>
                <w:sz w:val="26"/>
                <w:szCs w:val="26"/>
              </w:rPr>
              <w:t>AI/Cyber</w:t>
            </w:r>
            <w:r w:rsidRPr="00A92155">
              <w:rPr>
                <w:rFonts w:asciiTheme="majorBidi" w:hAnsiTheme="majorBidi" w:cstheme="majorBidi"/>
                <w:sz w:val="26"/>
                <w:szCs w:val="26"/>
                <w:rtl/>
              </w:rPr>
              <w:t>)، الاعتماد على الاستشاريين الخارجيين.</w:t>
            </w:r>
          </w:p>
        </w:tc>
        <w:tc>
          <w:tcPr>
            <w:tcW w:w="0" w:type="auto"/>
            <w:hideMark/>
          </w:tcPr>
          <w:p w14:paraId="107C969B" w14:textId="77777777" w:rsidR="00202E2A" w:rsidRPr="00A92155" w:rsidRDefault="00202E2A" w:rsidP="00A62496">
            <w:pPr>
              <w:bidi/>
              <w:jc w:val="low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قد يؤدي إلى بطء في تبني التقنيات المتقدمة وزيادة المخاطر الأمنية والتشغيلية.</w:t>
            </w:r>
          </w:p>
        </w:tc>
      </w:tr>
      <w:tr w:rsidR="00202E2A" w:rsidRPr="00A92155" w14:paraId="227C8688" w14:textId="77777777" w:rsidTr="00A624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ED0492" w14:textId="77777777" w:rsidR="00202E2A" w:rsidRPr="00A92155" w:rsidRDefault="00202E2A" w:rsidP="00A62496">
            <w:pPr>
              <w:bidi/>
              <w:jc w:val="center"/>
              <w:rPr>
                <w:rFonts w:asciiTheme="majorBidi" w:hAnsiTheme="majorBidi" w:cstheme="majorBidi"/>
                <w:sz w:val="26"/>
                <w:szCs w:val="26"/>
                <w:rtl/>
              </w:rPr>
            </w:pPr>
            <w:r w:rsidRPr="00A92155">
              <w:rPr>
                <w:rFonts w:asciiTheme="majorBidi" w:hAnsiTheme="majorBidi" w:cstheme="majorBidi"/>
                <w:sz w:val="26"/>
                <w:szCs w:val="26"/>
                <w:rtl/>
              </w:rPr>
              <w:t>الفرص (</w:t>
            </w:r>
            <w:r w:rsidRPr="00A92155">
              <w:rPr>
                <w:rFonts w:asciiTheme="majorBidi" w:hAnsiTheme="majorBidi" w:cstheme="majorBidi"/>
                <w:sz w:val="26"/>
                <w:szCs w:val="26"/>
              </w:rPr>
              <w:t>Opportunities</w:t>
            </w:r>
            <w:r w:rsidRPr="00A92155">
              <w:rPr>
                <w:rFonts w:asciiTheme="majorBidi" w:hAnsiTheme="majorBidi" w:cstheme="majorBidi"/>
                <w:sz w:val="26"/>
                <w:szCs w:val="26"/>
                <w:rtl/>
              </w:rPr>
              <w:t>)</w:t>
            </w:r>
          </w:p>
        </w:tc>
        <w:tc>
          <w:tcPr>
            <w:tcW w:w="0" w:type="auto"/>
            <w:hideMark/>
          </w:tcPr>
          <w:p w14:paraId="56D52549" w14:textId="77777777" w:rsidR="00202E2A" w:rsidRPr="00A92155" w:rsidRDefault="00202E2A" w:rsidP="00A62496">
            <w:pPr>
              <w:bidi/>
              <w:jc w:val="lowKashida"/>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 xml:space="preserve">تبني الحوسبة السحابية الحكومية، النمو الهائل للتجارة الإلكترونية، الالتزام بمعايير </w:t>
            </w:r>
            <w:r w:rsidRPr="00A92155">
              <w:rPr>
                <w:rFonts w:asciiTheme="majorBidi" w:hAnsiTheme="majorBidi" w:cstheme="majorBidi"/>
                <w:sz w:val="26"/>
                <w:szCs w:val="26"/>
              </w:rPr>
              <w:t>NCA</w:t>
            </w:r>
            <w:r w:rsidRPr="00A92155">
              <w:rPr>
                <w:rFonts w:asciiTheme="majorBidi" w:hAnsiTheme="majorBidi" w:cstheme="majorBidi"/>
                <w:sz w:val="26"/>
                <w:szCs w:val="26"/>
                <w:rtl/>
              </w:rPr>
              <w:t xml:space="preserve"> (الأمن السيبراني).</w:t>
            </w:r>
          </w:p>
        </w:tc>
        <w:tc>
          <w:tcPr>
            <w:tcW w:w="0" w:type="auto"/>
            <w:hideMark/>
          </w:tcPr>
          <w:p w14:paraId="4A044FF7" w14:textId="77777777" w:rsidR="00202E2A" w:rsidRPr="00A92155" w:rsidRDefault="00202E2A" w:rsidP="00A62496">
            <w:pPr>
              <w:bidi/>
              <w:jc w:val="lowKashida"/>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تمكين الابتكار وتقليل التكاليف وزيادة الإيرادات عبر التجارة الإلكترونية.</w:t>
            </w:r>
          </w:p>
        </w:tc>
      </w:tr>
      <w:tr w:rsidR="00202E2A" w:rsidRPr="00A92155" w14:paraId="79405872" w14:textId="77777777" w:rsidTr="00A62496">
        <w:tc>
          <w:tcPr>
            <w:cnfStyle w:val="001000000000" w:firstRow="0" w:lastRow="0" w:firstColumn="1" w:lastColumn="0" w:oddVBand="0" w:evenVBand="0" w:oddHBand="0" w:evenHBand="0" w:firstRowFirstColumn="0" w:firstRowLastColumn="0" w:lastRowFirstColumn="0" w:lastRowLastColumn="0"/>
            <w:tcW w:w="0" w:type="auto"/>
            <w:hideMark/>
          </w:tcPr>
          <w:p w14:paraId="1E41D40B" w14:textId="77777777" w:rsidR="00202E2A" w:rsidRPr="00A92155" w:rsidRDefault="00202E2A" w:rsidP="00A62496">
            <w:pPr>
              <w:bidi/>
              <w:jc w:val="center"/>
              <w:rPr>
                <w:rFonts w:asciiTheme="majorBidi" w:hAnsiTheme="majorBidi" w:cstheme="majorBidi"/>
                <w:sz w:val="26"/>
                <w:szCs w:val="26"/>
                <w:rtl/>
              </w:rPr>
            </w:pPr>
            <w:r w:rsidRPr="00A92155">
              <w:rPr>
                <w:rFonts w:asciiTheme="majorBidi" w:hAnsiTheme="majorBidi" w:cstheme="majorBidi"/>
                <w:sz w:val="26"/>
                <w:szCs w:val="26"/>
                <w:rtl/>
              </w:rPr>
              <w:t>التهديدات (</w:t>
            </w:r>
            <w:r w:rsidRPr="00A92155">
              <w:rPr>
                <w:rFonts w:asciiTheme="majorBidi" w:hAnsiTheme="majorBidi" w:cstheme="majorBidi"/>
                <w:sz w:val="26"/>
                <w:szCs w:val="26"/>
              </w:rPr>
              <w:t>Threats</w:t>
            </w:r>
            <w:r w:rsidRPr="00A92155">
              <w:rPr>
                <w:rFonts w:asciiTheme="majorBidi" w:hAnsiTheme="majorBidi" w:cstheme="majorBidi"/>
                <w:sz w:val="26"/>
                <w:szCs w:val="26"/>
                <w:rtl/>
              </w:rPr>
              <w:t>)</w:t>
            </w:r>
          </w:p>
        </w:tc>
        <w:tc>
          <w:tcPr>
            <w:tcW w:w="0" w:type="auto"/>
            <w:hideMark/>
          </w:tcPr>
          <w:p w14:paraId="5E706C28" w14:textId="77777777" w:rsidR="00202E2A" w:rsidRPr="00A92155" w:rsidRDefault="00202E2A" w:rsidP="00A62496">
            <w:pPr>
              <w:bidi/>
              <w:jc w:val="low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تصاعد الهجمات السيبرانية المعقدة، التغيير السريع في اللوائح التنظيمية الدولية، مقاومة التغيير من قبل الشركاء التجاريين (عدم الرقمنة).</w:t>
            </w:r>
          </w:p>
        </w:tc>
        <w:tc>
          <w:tcPr>
            <w:tcW w:w="0" w:type="auto"/>
            <w:hideMark/>
          </w:tcPr>
          <w:p w14:paraId="19F22349" w14:textId="77777777" w:rsidR="00202E2A" w:rsidRPr="00A92155" w:rsidRDefault="00202E2A" w:rsidP="00A62496">
            <w:pPr>
              <w:bidi/>
              <w:jc w:val="low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قد يعرض الأنظمة للخطر ويجعل التكامل الدولي صعباً.</w:t>
            </w:r>
          </w:p>
        </w:tc>
      </w:tr>
    </w:tbl>
    <w:p w14:paraId="348DFEB5"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hint="cs"/>
          <w:b/>
          <w:bCs/>
          <w:sz w:val="26"/>
          <w:szCs w:val="26"/>
          <w:rtl/>
        </w:rPr>
        <w:t>المصدر: إعداد الباحث.</w:t>
      </w:r>
    </w:p>
    <w:p w14:paraId="467131CE" w14:textId="2D1C62F8" w:rsidR="00202E2A" w:rsidRPr="00A92155" w:rsidRDefault="0023434F" w:rsidP="00202E2A">
      <w:pPr>
        <w:bidi/>
        <w:spacing w:line="240" w:lineRule="auto"/>
        <w:jc w:val="lowKashida"/>
        <w:rPr>
          <w:rFonts w:asciiTheme="majorBidi" w:hAnsiTheme="majorBidi" w:cs="PT Bold Heading"/>
          <w:b/>
          <w:bCs/>
          <w:sz w:val="26"/>
          <w:szCs w:val="26"/>
          <w:rtl/>
        </w:rPr>
      </w:pPr>
      <w:r w:rsidRPr="00FF0F6B">
        <w:rPr>
          <w:rFonts w:asciiTheme="majorBidi" w:hAnsiTheme="majorBidi" w:cs="PT Bold Heading"/>
          <w:b/>
          <w:bCs/>
          <w:color w:val="000000" w:themeColor="text1"/>
          <w:sz w:val="26"/>
          <w:szCs w:val="26"/>
          <w:rtl/>
        </w:rPr>
        <w:t xml:space="preserve">الباب </w:t>
      </w:r>
      <w:r w:rsidR="00202E2A" w:rsidRPr="00A92155">
        <w:rPr>
          <w:rFonts w:asciiTheme="majorBidi" w:hAnsiTheme="majorBidi" w:cs="PT Bold Heading"/>
          <w:b/>
          <w:bCs/>
          <w:sz w:val="26"/>
          <w:szCs w:val="26"/>
          <w:rtl/>
        </w:rPr>
        <w:t>السابع: المخاطر المستقبلية للتحول الرقمي وإدارة الأزمات</w:t>
      </w:r>
    </w:p>
    <w:p w14:paraId="7F9093AF" w14:textId="77777777" w:rsidR="00202E2A" w:rsidRPr="00A92155" w:rsidRDefault="00202E2A" w:rsidP="00202E2A">
      <w:pPr>
        <w:bidi/>
        <w:spacing w:line="240" w:lineRule="auto"/>
        <w:jc w:val="lowKashida"/>
        <w:rPr>
          <w:rFonts w:asciiTheme="majorBidi" w:hAnsiTheme="majorBidi" w:cs="PT Bold Heading"/>
          <w:b/>
          <w:bCs/>
          <w:sz w:val="26"/>
          <w:szCs w:val="26"/>
          <w:rtl/>
        </w:rPr>
      </w:pPr>
      <w:r w:rsidRPr="00A92155">
        <w:rPr>
          <w:rFonts w:asciiTheme="majorBidi" w:hAnsiTheme="majorBidi" w:cs="PT Bold Heading"/>
          <w:b/>
          <w:bCs/>
          <w:sz w:val="26"/>
          <w:szCs w:val="26"/>
          <w:rtl/>
        </w:rPr>
        <w:t xml:space="preserve">مقدمة: </w:t>
      </w:r>
    </w:p>
    <w:p w14:paraId="687E9755" w14:textId="147755F9"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الأمن السيبراني كجزء من استمرارية الأعمال</w:t>
      </w:r>
      <w:r w:rsidRPr="00A92155">
        <w:rPr>
          <w:rFonts w:asciiTheme="majorBidi" w:hAnsiTheme="majorBidi" w:cstheme="majorBidi" w:hint="cs"/>
          <w:sz w:val="26"/>
          <w:szCs w:val="26"/>
          <w:rtl/>
        </w:rPr>
        <w:t xml:space="preserve"> حيث </w:t>
      </w:r>
      <w:r w:rsidRPr="00A92155">
        <w:rPr>
          <w:rFonts w:asciiTheme="majorBidi" w:hAnsiTheme="majorBidi" w:cstheme="majorBidi"/>
          <w:sz w:val="26"/>
          <w:szCs w:val="26"/>
          <w:rtl/>
        </w:rPr>
        <w:t xml:space="preserve">يتناول هذا </w:t>
      </w:r>
      <w:r w:rsidR="0023434F">
        <w:rPr>
          <w:rFonts w:asciiTheme="majorBidi" w:hAnsiTheme="majorBidi" w:cstheme="majorBidi" w:hint="cs"/>
          <w:sz w:val="26"/>
          <w:szCs w:val="26"/>
          <w:rtl/>
        </w:rPr>
        <w:t>الباب</w:t>
      </w:r>
      <w:r w:rsidRPr="00A92155">
        <w:rPr>
          <w:rFonts w:asciiTheme="majorBidi" w:hAnsiTheme="majorBidi" w:cstheme="majorBidi"/>
          <w:sz w:val="26"/>
          <w:szCs w:val="26"/>
          <w:rtl/>
        </w:rPr>
        <w:t xml:space="preserve"> الجانب السلبي من التحول الرقمي، وهو المخاطر والتهديدات المستقبلية التي يمكن أن تؤثر على أداء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في تعزيز الأمن وتيسير التجارة. يُنظر إلى إدارة المخاطر هنا ليس كعملية دفاعية فقط، بل كجزء أساسي من </w:t>
      </w:r>
      <w:r w:rsidRPr="00A92155">
        <w:rPr>
          <w:rFonts w:asciiTheme="majorBidi" w:hAnsiTheme="majorBidi" w:cstheme="majorBidi"/>
          <w:b/>
          <w:bCs/>
          <w:sz w:val="26"/>
          <w:szCs w:val="26"/>
          <w:rtl/>
        </w:rPr>
        <w:t>استمرارية الأعمال (</w:t>
      </w:r>
      <w:r w:rsidRPr="00A92155">
        <w:rPr>
          <w:rFonts w:asciiTheme="majorBidi" w:hAnsiTheme="majorBidi" w:cstheme="majorBidi"/>
          <w:b/>
          <w:bCs/>
          <w:sz w:val="26"/>
          <w:szCs w:val="26"/>
        </w:rPr>
        <w:t>Business Continuity</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وإدارة الأزمات (</w:t>
      </w:r>
      <w:r w:rsidRPr="00A92155">
        <w:rPr>
          <w:rFonts w:asciiTheme="majorBidi" w:hAnsiTheme="majorBidi" w:cstheme="majorBidi"/>
          <w:sz w:val="26"/>
          <w:szCs w:val="26"/>
        </w:rPr>
        <w:t>Crisis Management</w:t>
      </w:r>
      <w:r w:rsidRPr="00A92155">
        <w:rPr>
          <w:rFonts w:asciiTheme="majorBidi" w:hAnsiTheme="majorBidi" w:cstheme="majorBidi"/>
          <w:sz w:val="26"/>
          <w:szCs w:val="26"/>
          <w:rtl/>
        </w:rPr>
        <w:t>).</w:t>
      </w:r>
    </w:p>
    <w:p w14:paraId="5B809455" w14:textId="77777777" w:rsidR="00202E2A" w:rsidRPr="00A92155" w:rsidRDefault="00202E2A" w:rsidP="00202E2A">
      <w:pPr>
        <w:bidi/>
        <w:spacing w:line="240" w:lineRule="auto"/>
        <w:jc w:val="lowKashida"/>
        <w:rPr>
          <w:rFonts w:asciiTheme="majorBidi" w:hAnsiTheme="majorBidi" w:cs="PT Bold Heading"/>
          <w:b/>
          <w:bCs/>
          <w:sz w:val="26"/>
          <w:szCs w:val="26"/>
          <w:rtl/>
        </w:rPr>
      </w:pPr>
      <w:r w:rsidRPr="00A92155">
        <w:rPr>
          <w:rFonts w:asciiTheme="majorBidi" w:hAnsiTheme="majorBidi" w:cs="PT Bold Heading"/>
          <w:b/>
          <w:bCs/>
          <w:sz w:val="26"/>
          <w:szCs w:val="26"/>
          <w:rtl/>
        </w:rPr>
        <w:t>2.7.1 تصنيف المخاطر الرقمية (تقنية، قانونية، اجتماعية، بيئية)</w:t>
      </w:r>
    </w:p>
    <w:p w14:paraId="6EC775C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 المخاطر التقنية (السيبرانية والتشغيلية):</w:t>
      </w:r>
    </w:p>
    <w:p w14:paraId="74FDC7D3" w14:textId="77777777" w:rsidR="00202E2A" w:rsidRPr="00A92155" w:rsidRDefault="00202E2A" w:rsidP="00202E2A">
      <w:pPr>
        <w:bidi/>
        <w:spacing w:line="240" w:lineRule="auto"/>
        <w:jc w:val="lowKashida"/>
        <w:rPr>
          <w:rFonts w:asciiTheme="majorBidi" w:hAnsiTheme="majorBidi" w:cstheme="majorBidi"/>
          <w:sz w:val="26"/>
          <w:szCs w:val="26"/>
          <w:rtl/>
        </w:rPr>
      </w:pPr>
      <w:r w:rsidRPr="00DA7B87">
        <w:rPr>
          <w:rFonts w:asciiTheme="majorBidi" w:hAnsiTheme="majorBidi" w:cstheme="majorBidi" w:hint="cs"/>
          <w:sz w:val="26"/>
          <w:szCs w:val="26"/>
          <w:rtl/>
        </w:rPr>
        <w:t>وأكدت دراسة</w:t>
      </w:r>
      <w:r w:rsidRPr="00DA7B87">
        <w:rPr>
          <w:rFonts w:asciiTheme="majorBidi" w:hAnsiTheme="majorBidi" w:cstheme="majorBidi"/>
          <w:sz w:val="26"/>
          <w:szCs w:val="26"/>
          <w:rtl/>
        </w:rPr>
        <w:t xml:space="preserve"> (</w:t>
      </w:r>
      <w:r w:rsidRPr="00DA7B87">
        <w:rPr>
          <w:rFonts w:asciiTheme="majorBidi" w:hAnsiTheme="majorBidi" w:cstheme="majorBidi"/>
          <w:sz w:val="26"/>
          <w:szCs w:val="26"/>
        </w:rPr>
        <w:t>Smith, A., 2020</w:t>
      </w:r>
      <w:r w:rsidRPr="00DA7B87">
        <w:rPr>
          <w:rFonts w:asciiTheme="majorBidi" w:hAnsiTheme="majorBidi" w:cstheme="majorBidi"/>
          <w:sz w:val="26"/>
          <w:szCs w:val="26"/>
          <w:rtl/>
        </w:rPr>
        <w:t>)</w:t>
      </w:r>
      <w:r w:rsidRPr="00A92155">
        <w:rPr>
          <w:rFonts w:asciiTheme="majorBidi" w:hAnsiTheme="majorBidi" w:cstheme="majorBidi"/>
          <w:sz w:val="26"/>
          <w:szCs w:val="26"/>
          <w:rtl/>
        </w:rPr>
        <w:t xml:space="preserve"> أن المخاطر السيبرانية تشمل الفشل في حماية البيانات (</w:t>
      </w:r>
      <w:r w:rsidRPr="00A92155">
        <w:rPr>
          <w:rFonts w:asciiTheme="majorBidi" w:hAnsiTheme="majorBidi" w:cstheme="majorBidi"/>
          <w:sz w:val="26"/>
          <w:szCs w:val="26"/>
        </w:rPr>
        <w:t>Integrity</w:t>
      </w:r>
      <w:r w:rsidRPr="00A92155">
        <w:rPr>
          <w:rFonts w:asciiTheme="majorBidi" w:hAnsiTheme="majorBidi" w:cstheme="majorBidi"/>
          <w:sz w:val="26"/>
          <w:szCs w:val="26"/>
          <w:rtl/>
        </w:rPr>
        <w:t xml:space="preserve"> &amp; </w:t>
      </w:r>
      <w:r w:rsidRPr="00A92155">
        <w:rPr>
          <w:rFonts w:asciiTheme="majorBidi" w:hAnsiTheme="majorBidi" w:cstheme="majorBidi"/>
          <w:sz w:val="26"/>
          <w:szCs w:val="26"/>
        </w:rPr>
        <w:t>Confidentiality</w:t>
      </w:r>
      <w:r w:rsidRPr="00A92155">
        <w:rPr>
          <w:rFonts w:asciiTheme="majorBidi" w:hAnsiTheme="majorBidi" w:cstheme="majorBidi"/>
          <w:sz w:val="26"/>
          <w:szCs w:val="26"/>
          <w:rtl/>
        </w:rPr>
        <w:t>) وتعطيل الخدمة (</w:t>
      </w:r>
      <w:r w:rsidRPr="00A92155">
        <w:rPr>
          <w:rFonts w:asciiTheme="majorBidi" w:hAnsiTheme="majorBidi" w:cstheme="majorBidi"/>
          <w:sz w:val="26"/>
          <w:szCs w:val="26"/>
        </w:rPr>
        <w:t>Availability</w:t>
      </w:r>
      <w:r w:rsidRPr="00A92155">
        <w:rPr>
          <w:rFonts w:asciiTheme="majorBidi" w:hAnsiTheme="majorBidi" w:cstheme="majorBidi"/>
          <w:sz w:val="26"/>
          <w:szCs w:val="26"/>
          <w:rtl/>
        </w:rPr>
        <w:t>).</w:t>
      </w:r>
    </w:p>
    <w:p w14:paraId="46E7F1F2" w14:textId="77777777" w:rsidR="00202E2A" w:rsidRPr="00A92155" w:rsidRDefault="00202E2A" w:rsidP="00202E2A">
      <w:pPr>
        <w:bidi/>
        <w:spacing w:line="240" w:lineRule="auto"/>
        <w:jc w:val="lowKashida"/>
        <w:rPr>
          <w:rFonts w:asciiTheme="majorBidi" w:hAnsiTheme="majorBidi" w:cstheme="majorBidi"/>
          <w:sz w:val="26"/>
          <w:szCs w:val="26"/>
          <w:rtl/>
        </w:rPr>
      </w:pPr>
      <w:r w:rsidRPr="00DA7B87">
        <w:rPr>
          <w:rFonts w:asciiTheme="majorBidi" w:hAnsiTheme="majorBidi" w:cstheme="majorBidi"/>
          <w:sz w:val="26"/>
          <w:szCs w:val="26"/>
          <w:rtl/>
        </w:rPr>
        <w:t>التحليل:</w:t>
      </w:r>
      <w:r w:rsidRPr="00A92155">
        <w:rPr>
          <w:rFonts w:asciiTheme="majorBidi" w:hAnsiTheme="majorBidi" w:cstheme="majorBidi"/>
          <w:sz w:val="26"/>
          <w:szCs w:val="26"/>
          <w:rtl/>
        </w:rPr>
        <w:t xml:space="preserve"> في </w:t>
      </w:r>
      <w:r w:rsidRPr="00A92155">
        <w:rPr>
          <w:rFonts w:asciiTheme="majorBidi" w:hAnsiTheme="majorBidi" w:cstheme="majorBidi"/>
          <w:sz w:val="26"/>
          <w:szCs w:val="26"/>
        </w:rPr>
        <w:t>ZATCA</w:t>
      </w:r>
      <w:r w:rsidRPr="00A92155">
        <w:rPr>
          <w:rFonts w:asciiTheme="majorBidi" w:hAnsiTheme="majorBidi" w:cstheme="majorBidi"/>
          <w:sz w:val="26"/>
          <w:szCs w:val="26"/>
          <w:rtl/>
        </w:rPr>
        <w:t>، يشمل ذلك هجمات حجب الخدمة الموزعة (</w:t>
      </w:r>
      <w:r w:rsidRPr="00A92155">
        <w:rPr>
          <w:rFonts w:asciiTheme="majorBidi" w:hAnsiTheme="majorBidi" w:cstheme="majorBidi"/>
          <w:sz w:val="26"/>
          <w:szCs w:val="26"/>
        </w:rPr>
        <w:t>DDoS</w:t>
      </w:r>
      <w:r w:rsidRPr="00A92155">
        <w:rPr>
          <w:rFonts w:asciiTheme="majorBidi" w:hAnsiTheme="majorBidi" w:cstheme="majorBidi"/>
          <w:sz w:val="26"/>
          <w:szCs w:val="26"/>
          <w:rtl/>
        </w:rPr>
        <w:t>) التي تستهدف منصات النافذة الواحدة لتعطيل التجارة (تهديد للتيسير)، أو هجمات الفدية (</w:t>
      </w:r>
      <w:r w:rsidRPr="00A92155">
        <w:rPr>
          <w:rFonts w:asciiTheme="majorBidi" w:hAnsiTheme="majorBidi" w:cstheme="majorBidi"/>
          <w:sz w:val="26"/>
          <w:szCs w:val="26"/>
        </w:rPr>
        <w:t>Ransomware</w:t>
      </w:r>
      <w:r w:rsidRPr="00A92155">
        <w:rPr>
          <w:rFonts w:asciiTheme="majorBidi" w:hAnsiTheme="majorBidi" w:cstheme="majorBidi"/>
          <w:sz w:val="26"/>
          <w:szCs w:val="26"/>
          <w:rtl/>
        </w:rPr>
        <w:t>) التي تستهدف أنظمة التحصيل الضريبي (تهديد للأمن الاقتصادي).</w:t>
      </w:r>
    </w:p>
    <w:p w14:paraId="4B39BA56"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lastRenderedPageBreak/>
        <w:t>ب. المخاطر القانونية (الامتثال والمساءلة):</w:t>
      </w:r>
    </w:p>
    <w:p w14:paraId="00AE64E4" w14:textId="77777777" w:rsidR="00202E2A" w:rsidRPr="00A92155" w:rsidRDefault="00202E2A" w:rsidP="00202E2A">
      <w:pPr>
        <w:bidi/>
        <w:spacing w:line="240" w:lineRule="auto"/>
        <w:jc w:val="lowKashida"/>
        <w:rPr>
          <w:rFonts w:asciiTheme="majorBidi" w:hAnsiTheme="majorBidi" w:cstheme="majorBidi"/>
          <w:sz w:val="26"/>
          <w:szCs w:val="26"/>
          <w:rtl/>
        </w:rPr>
      </w:pPr>
      <w:r w:rsidRPr="00DA7B87">
        <w:rPr>
          <w:rFonts w:asciiTheme="majorBidi" w:hAnsiTheme="majorBidi" w:cstheme="majorBidi" w:hint="cs"/>
          <w:sz w:val="26"/>
          <w:szCs w:val="26"/>
          <w:rtl/>
        </w:rPr>
        <w:t>ونوهت دراسة</w:t>
      </w:r>
      <w:r w:rsidRPr="00DA7B87">
        <w:rPr>
          <w:rFonts w:asciiTheme="majorBidi" w:hAnsiTheme="majorBidi" w:cstheme="majorBidi"/>
          <w:sz w:val="26"/>
          <w:szCs w:val="26"/>
          <w:rtl/>
        </w:rPr>
        <w:t xml:space="preserve"> (</w:t>
      </w:r>
      <w:r w:rsidRPr="00DA7B87">
        <w:rPr>
          <w:rFonts w:asciiTheme="majorBidi" w:hAnsiTheme="majorBidi" w:cstheme="majorBidi"/>
          <w:sz w:val="26"/>
          <w:szCs w:val="26"/>
        </w:rPr>
        <w:t>Vial, 2019</w:t>
      </w:r>
      <w:r w:rsidRPr="00DA7B87">
        <w:rPr>
          <w:rFonts w:asciiTheme="majorBidi" w:hAnsiTheme="majorBidi" w:cstheme="majorBidi"/>
          <w:sz w:val="26"/>
          <w:szCs w:val="26"/>
          <w:rtl/>
        </w:rPr>
        <w:t>)</w:t>
      </w:r>
      <w:r w:rsidRPr="00A92155">
        <w:rPr>
          <w:rFonts w:asciiTheme="majorBidi" w:hAnsiTheme="majorBidi" w:cstheme="majorBidi"/>
          <w:sz w:val="26"/>
          <w:szCs w:val="26"/>
          <w:rtl/>
        </w:rPr>
        <w:t xml:space="preserve"> إلى مخاطر عدم الامتثال لقوانين حماية البيانات واللوائح الدولية.</w:t>
      </w:r>
    </w:p>
    <w:p w14:paraId="3D6124AB" w14:textId="77777777" w:rsidR="00202E2A" w:rsidRPr="00A92155" w:rsidRDefault="00202E2A" w:rsidP="00202E2A">
      <w:pPr>
        <w:bidi/>
        <w:spacing w:line="240" w:lineRule="auto"/>
        <w:jc w:val="lowKashida"/>
        <w:rPr>
          <w:rFonts w:asciiTheme="majorBidi" w:hAnsiTheme="majorBidi" w:cstheme="majorBidi"/>
          <w:sz w:val="26"/>
          <w:szCs w:val="26"/>
          <w:rtl/>
        </w:rPr>
      </w:pPr>
      <w:r w:rsidRPr="00DA7B87">
        <w:rPr>
          <w:rFonts w:asciiTheme="majorBidi" w:hAnsiTheme="majorBidi" w:cstheme="majorBidi"/>
          <w:sz w:val="26"/>
          <w:szCs w:val="26"/>
          <w:rtl/>
        </w:rPr>
        <w:t>التحليل:</w:t>
      </w:r>
      <w:r w:rsidRPr="00A92155">
        <w:rPr>
          <w:rFonts w:asciiTheme="majorBidi" w:hAnsiTheme="majorBidi" w:cstheme="majorBidi"/>
          <w:sz w:val="26"/>
          <w:szCs w:val="26"/>
          <w:rtl/>
        </w:rPr>
        <w:t xml:space="preserve"> قد تتعرض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لدعاوى قضائية أو غرامات دولية نتيجة لخرق قواعد البيانات (</w:t>
      </w:r>
      <w:r w:rsidRPr="00A92155">
        <w:rPr>
          <w:rFonts w:asciiTheme="majorBidi" w:hAnsiTheme="majorBidi" w:cstheme="majorBidi"/>
          <w:sz w:val="26"/>
          <w:szCs w:val="26"/>
        </w:rPr>
        <w:t>PDPL</w:t>
      </w:r>
      <w:r w:rsidRPr="00A92155">
        <w:rPr>
          <w:rFonts w:asciiTheme="majorBidi" w:hAnsiTheme="majorBidi" w:cstheme="majorBidi"/>
          <w:sz w:val="26"/>
          <w:szCs w:val="26"/>
          <w:rtl/>
        </w:rPr>
        <w:t>)، أو فشل النظام الآلي في اتخاذ قرار عادل بشأن تصنيف جمركي معين.</w:t>
      </w:r>
    </w:p>
    <w:p w14:paraId="52C8838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ج. المخاطر الاجتماعية (فقدان الثقة):</w:t>
      </w:r>
    </w:p>
    <w:p w14:paraId="716B657A" w14:textId="77777777" w:rsidR="00202E2A" w:rsidRPr="00A92155" w:rsidRDefault="00202E2A" w:rsidP="00202E2A">
      <w:pPr>
        <w:bidi/>
        <w:spacing w:line="240" w:lineRule="auto"/>
        <w:jc w:val="lowKashida"/>
        <w:rPr>
          <w:rFonts w:asciiTheme="majorBidi" w:hAnsiTheme="majorBidi" w:cstheme="majorBidi"/>
          <w:sz w:val="26"/>
          <w:szCs w:val="26"/>
          <w:rtl/>
        </w:rPr>
      </w:pPr>
      <w:r w:rsidRPr="00DA7B87">
        <w:rPr>
          <w:rFonts w:asciiTheme="majorBidi" w:hAnsiTheme="majorBidi" w:cstheme="majorBidi" w:hint="cs"/>
          <w:sz w:val="26"/>
          <w:szCs w:val="26"/>
          <w:rtl/>
        </w:rPr>
        <w:t xml:space="preserve">وأكدت دراسة </w:t>
      </w:r>
      <w:r w:rsidRPr="00DA7B87">
        <w:rPr>
          <w:rFonts w:asciiTheme="majorBidi" w:hAnsiTheme="majorBidi" w:cstheme="majorBidi"/>
          <w:sz w:val="26"/>
          <w:szCs w:val="26"/>
          <w:rtl/>
        </w:rPr>
        <w:t>(</w:t>
      </w:r>
      <w:r w:rsidRPr="00DA7B87">
        <w:rPr>
          <w:rFonts w:asciiTheme="majorBidi" w:hAnsiTheme="majorBidi" w:cstheme="majorBidi"/>
          <w:sz w:val="26"/>
          <w:szCs w:val="26"/>
        </w:rPr>
        <w:t>Rogers, E. M., 2003</w:t>
      </w:r>
      <w:r w:rsidRPr="00DA7B87">
        <w:rPr>
          <w:rFonts w:asciiTheme="majorBidi" w:hAnsiTheme="majorBidi" w:cstheme="majorBidi"/>
          <w:sz w:val="26"/>
          <w:szCs w:val="26"/>
          <w:rtl/>
        </w:rPr>
        <w:t>)</w:t>
      </w:r>
      <w:r w:rsidRPr="00A92155">
        <w:rPr>
          <w:rFonts w:asciiTheme="majorBidi" w:hAnsiTheme="majorBidi" w:cstheme="majorBidi"/>
          <w:sz w:val="26"/>
          <w:szCs w:val="26"/>
          <w:rtl/>
        </w:rPr>
        <w:t xml:space="preserve"> أن فقدان ثقة الجمهور هو أحد أكبر العوائق أمام تبني الابتكار.</w:t>
      </w:r>
    </w:p>
    <w:p w14:paraId="4020EE6F" w14:textId="77777777" w:rsidR="00202E2A" w:rsidRPr="00A92155" w:rsidRDefault="00202E2A" w:rsidP="00202E2A">
      <w:pPr>
        <w:bidi/>
        <w:spacing w:line="240" w:lineRule="auto"/>
        <w:jc w:val="lowKashida"/>
        <w:rPr>
          <w:rFonts w:asciiTheme="majorBidi" w:hAnsiTheme="majorBidi" w:cstheme="majorBidi"/>
          <w:sz w:val="26"/>
          <w:szCs w:val="26"/>
          <w:rtl/>
        </w:rPr>
      </w:pPr>
      <w:r w:rsidRPr="00DA7B87">
        <w:rPr>
          <w:rFonts w:asciiTheme="majorBidi" w:hAnsiTheme="majorBidi" w:cstheme="majorBidi"/>
          <w:sz w:val="26"/>
          <w:szCs w:val="26"/>
          <w:rtl/>
        </w:rPr>
        <w:t>التحليل:</w:t>
      </w:r>
      <w:r w:rsidRPr="00A92155">
        <w:rPr>
          <w:rFonts w:asciiTheme="majorBidi" w:hAnsiTheme="majorBidi" w:cstheme="majorBidi"/>
          <w:sz w:val="26"/>
          <w:szCs w:val="26"/>
          <w:rtl/>
        </w:rPr>
        <w:t xml:space="preserve"> أي فشل كبير في النظام الأمني أو تسريب للبيانات الضريبية يمكن أن يؤدي إلى فقدان ثقة المكلفين والقطاع الخاص في </w:t>
      </w:r>
      <w:r w:rsidRPr="00A92155">
        <w:rPr>
          <w:rFonts w:asciiTheme="majorBidi" w:hAnsiTheme="majorBidi" w:cstheme="majorBidi"/>
          <w:sz w:val="26"/>
          <w:szCs w:val="26"/>
        </w:rPr>
        <w:t>ZATCA</w:t>
      </w:r>
      <w:r w:rsidRPr="00A92155">
        <w:rPr>
          <w:rFonts w:asciiTheme="majorBidi" w:hAnsiTheme="majorBidi" w:cstheme="majorBidi"/>
          <w:sz w:val="26"/>
          <w:szCs w:val="26"/>
          <w:rtl/>
        </w:rPr>
        <w:t>، مما يؤدي إلى تراجع في الامتثال الطوعي.</w:t>
      </w:r>
    </w:p>
    <w:p w14:paraId="4A67EE91"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د. المخاطر البيئية (النفايات الإلكترونية):</w:t>
      </w:r>
    </w:p>
    <w:p w14:paraId="10380D24" w14:textId="77777777" w:rsidR="00202E2A" w:rsidRPr="00A92155" w:rsidRDefault="00202E2A" w:rsidP="00202E2A">
      <w:pPr>
        <w:bidi/>
        <w:spacing w:line="240" w:lineRule="auto"/>
        <w:jc w:val="lowKashida"/>
        <w:rPr>
          <w:rFonts w:asciiTheme="majorBidi" w:hAnsiTheme="majorBidi" w:cstheme="majorBidi"/>
          <w:sz w:val="26"/>
          <w:szCs w:val="26"/>
          <w:rtl/>
        </w:rPr>
      </w:pPr>
      <w:r w:rsidRPr="00DA7B87">
        <w:rPr>
          <w:rFonts w:asciiTheme="majorBidi" w:hAnsiTheme="majorBidi" w:cstheme="majorBidi"/>
          <w:sz w:val="26"/>
          <w:szCs w:val="26"/>
          <w:rtl/>
        </w:rPr>
        <w:t>التحليل:</w:t>
      </w:r>
      <w:r w:rsidRPr="00A92155">
        <w:rPr>
          <w:rFonts w:asciiTheme="majorBidi" w:hAnsiTheme="majorBidi" w:cstheme="majorBidi"/>
          <w:sz w:val="26"/>
          <w:szCs w:val="26"/>
          <w:rtl/>
        </w:rPr>
        <w:t xml:space="preserve"> الاستهلاك المستمر للتقنيات الجديدة والتخلص غير السليم من المعدات القديمة (</w:t>
      </w:r>
      <w:r w:rsidRPr="00A92155">
        <w:rPr>
          <w:rFonts w:asciiTheme="majorBidi" w:hAnsiTheme="majorBidi" w:cstheme="majorBidi"/>
          <w:sz w:val="26"/>
          <w:szCs w:val="26"/>
        </w:rPr>
        <w:t>E-Waste</w:t>
      </w:r>
      <w:r w:rsidRPr="00A92155">
        <w:rPr>
          <w:rFonts w:asciiTheme="majorBidi" w:hAnsiTheme="majorBidi" w:cstheme="majorBidi"/>
          <w:sz w:val="26"/>
          <w:szCs w:val="26"/>
          <w:rtl/>
        </w:rPr>
        <w:t>) يمثل خطراً بيئياً، مما يتطلب استراتيجية "تحول رقمي أخضر" (</w:t>
      </w:r>
      <w:r w:rsidRPr="00A92155">
        <w:rPr>
          <w:rFonts w:asciiTheme="majorBidi" w:hAnsiTheme="majorBidi" w:cstheme="majorBidi"/>
          <w:sz w:val="26"/>
          <w:szCs w:val="26"/>
        </w:rPr>
        <w:t>Green Digital Transformation</w:t>
      </w:r>
      <w:r w:rsidRPr="00A92155">
        <w:rPr>
          <w:rFonts w:asciiTheme="majorBidi" w:hAnsiTheme="majorBidi" w:cstheme="majorBidi"/>
          <w:sz w:val="26"/>
          <w:szCs w:val="26"/>
          <w:rtl/>
        </w:rPr>
        <w:t>).</w:t>
      </w:r>
    </w:p>
    <w:p w14:paraId="515CD719" w14:textId="77777777" w:rsidR="00202E2A" w:rsidRPr="00A92155" w:rsidRDefault="00202E2A" w:rsidP="00202E2A">
      <w:pPr>
        <w:bidi/>
        <w:spacing w:line="240" w:lineRule="auto"/>
        <w:jc w:val="lowKashida"/>
        <w:rPr>
          <w:rFonts w:asciiTheme="majorBidi" w:hAnsiTheme="majorBidi" w:cs="PT Bold Heading"/>
          <w:b/>
          <w:bCs/>
          <w:sz w:val="26"/>
          <w:szCs w:val="26"/>
          <w:rtl/>
        </w:rPr>
      </w:pPr>
      <w:r w:rsidRPr="00A92155">
        <w:rPr>
          <w:rFonts w:asciiTheme="majorBidi" w:hAnsiTheme="majorBidi" w:cs="PT Bold Heading"/>
          <w:b/>
          <w:bCs/>
          <w:sz w:val="26"/>
          <w:szCs w:val="26"/>
          <w:rtl/>
        </w:rPr>
        <w:t>2.7.2 الأمن السيبراني كعنصر لإدارة الأزمات الاقتصادية والتجارية</w:t>
      </w:r>
    </w:p>
    <w:p w14:paraId="71B4BCAF"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 الأمن السيبراني وضمان استمرارية التجارة:</w:t>
      </w:r>
    </w:p>
    <w:p w14:paraId="3DB78747" w14:textId="77777777" w:rsidR="00202E2A" w:rsidRPr="00A92155" w:rsidRDefault="00202E2A" w:rsidP="00202E2A">
      <w:pPr>
        <w:bidi/>
        <w:spacing w:line="240" w:lineRule="auto"/>
        <w:jc w:val="lowKashida"/>
        <w:rPr>
          <w:rFonts w:asciiTheme="majorBidi" w:hAnsiTheme="majorBidi" w:cstheme="majorBidi"/>
          <w:sz w:val="26"/>
          <w:szCs w:val="26"/>
          <w:rtl/>
        </w:rPr>
      </w:pPr>
      <w:r w:rsidRPr="00DA7B87">
        <w:rPr>
          <w:rFonts w:asciiTheme="majorBidi" w:hAnsiTheme="majorBidi" w:cstheme="majorBidi" w:hint="cs"/>
          <w:sz w:val="26"/>
          <w:szCs w:val="26"/>
          <w:rtl/>
        </w:rPr>
        <w:t>وربطت دراسة</w:t>
      </w:r>
      <w:r w:rsidRPr="00DA7B87">
        <w:rPr>
          <w:rFonts w:asciiTheme="majorBidi" w:hAnsiTheme="majorBidi" w:cstheme="majorBidi"/>
          <w:sz w:val="26"/>
          <w:szCs w:val="26"/>
          <w:rtl/>
        </w:rPr>
        <w:t xml:space="preserve"> (</w:t>
      </w:r>
      <w:r w:rsidRPr="00DA7B87">
        <w:rPr>
          <w:rFonts w:asciiTheme="majorBidi" w:hAnsiTheme="majorBidi" w:cstheme="majorBidi"/>
          <w:sz w:val="26"/>
          <w:szCs w:val="26"/>
        </w:rPr>
        <w:t>World Bank, 2020</w:t>
      </w:r>
      <w:r w:rsidRPr="00DA7B87">
        <w:rPr>
          <w:rFonts w:asciiTheme="majorBidi" w:hAnsiTheme="majorBidi" w:cstheme="majorBidi"/>
          <w:sz w:val="26"/>
          <w:szCs w:val="26"/>
          <w:rtl/>
        </w:rPr>
        <w:t>)</w:t>
      </w:r>
      <w:r w:rsidRPr="00A92155">
        <w:rPr>
          <w:rFonts w:asciiTheme="majorBidi" w:hAnsiTheme="majorBidi" w:cstheme="majorBidi"/>
          <w:sz w:val="26"/>
          <w:szCs w:val="26"/>
          <w:rtl/>
        </w:rPr>
        <w:t xml:space="preserve"> استقرار التجارة العالمية بالبنية التحتية الرقمية المؤمَّنة.</w:t>
      </w:r>
    </w:p>
    <w:p w14:paraId="44CD7274" w14:textId="77777777" w:rsidR="00202E2A" w:rsidRPr="00A92155" w:rsidRDefault="00202E2A" w:rsidP="00202E2A">
      <w:pPr>
        <w:bidi/>
        <w:spacing w:line="240" w:lineRule="auto"/>
        <w:jc w:val="lowKashida"/>
        <w:rPr>
          <w:rFonts w:asciiTheme="majorBidi" w:hAnsiTheme="majorBidi" w:cstheme="majorBidi"/>
          <w:sz w:val="26"/>
          <w:szCs w:val="26"/>
          <w:rtl/>
        </w:rPr>
      </w:pPr>
      <w:r w:rsidRPr="00DA7B87">
        <w:rPr>
          <w:rFonts w:asciiTheme="majorBidi" w:hAnsiTheme="majorBidi" w:cstheme="majorBidi"/>
          <w:sz w:val="26"/>
          <w:szCs w:val="26"/>
          <w:rtl/>
        </w:rPr>
        <w:t>التحليل:</w:t>
      </w:r>
      <w:r w:rsidRPr="00A92155">
        <w:rPr>
          <w:rFonts w:asciiTheme="majorBidi" w:hAnsiTheme="majorBidi" w:cstheme="majorBidi"/>
          <w:sz w:val="26"/>
          <w:szCs w:val="26"/>
          <w:rtl/>
        </w:rPr>
        <w:t xml:space="preserve"> تعمل استراتيجية الأمن السيبراني في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كخطة استجابة للأزمات (</w:t>
      </w:r>
      <w:r w:rsidRPr="00A92155">
        <w:rPr>
          <w:rFonts w:asciiTheme="majorBidi" w:hAnsiTheme="majorBidi" w:cstheme="majorBidi"/>
          <w:sz w:val="26"/>
          <w:szCs w:val="26"/>
        </w:rPr>
        <w:t>Disaster Recovery Plan</w:t>
      </w:r>
      <w:r w:rsidRPr="00A92155">
        <w:rPr>
          <w:rFonts w:asciiTheme="majorBidi" w:hAnsiTheme="majorBidi" w:cstheme="majorBidi"/>
          <w:sz w:val="26"/>
          <w:szCs w:val="26"/>
          <w:rtl/>
        </w:rPr>
        <w:t>)، حيث تضمن استعادة العمليات الجمركية والضريبية بشكل سريع بعد أي هجوم أو تعطل، مما يقلل من الأثر الاقتصادي للأزمة.</w:t>
      </w:r>
    </w:p>
    <w:p w14:paraId="18ACA6CE"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ب. مراكز العمليات الأمنية (</w:t>
      </w:r>
      <w:r w:rsidRPr="00A92155">
        <w:rPr>
          <w:rFonts w:asciiTheme="majorBidi" w:hAnsiTheme="majorBidi" w:cstheme="majorBidi"/>
          <w:b/>
          <w:bCs/>
          <w:sz w:val="26"/>
          <w:szCs w:val="26"/>
        </w:rPr>
        <w:t>SOC</w:t>
      </w:r>
      <w:r w:rsidRPr="00A92155">
        <w:rPr>
          <w:rFonts w:asciiTheme="majorBidi" w:hAnsiTheme="majorBidi" w:cstheme="majorBidi"/>
          <w:b/>
          <w:bCs/>
          <w:sz w:val="26"/>
          <w:szCs w:val="26"/>
          <w:rtl/>
        </w:rPr>
        <w:t>) والتعافي من الكوارث:</w:t>
      </w:r>
    </w:p>
    <w:p w14:paraId="3287FE6F"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تُعد مراكز </w:t>
      </w:r>
      <w:r w:rsidRPr="00A92155">
        <w:rPr>
          <w:rFonts w:asciiTheme="majorBidi" w:hAnsiTheme="majorBidi" w:cstheme="majorBidi"/>
          <w:sz w:val="26"/>
          <w:szCs w:val="26"/>
        </w:rPr>
        <w:t>SOC</w:t>
      </w:r>
      <w:r w:rsidRPr="00A92155">
        <w:rPr>
          <w:rFonts w:asciiTheme="majorBidi" w:hAnsiTheme="majorBidi" w:cstheme="majorBidi"/>
          <w:sz w:val="26"/>
          <w:szCs w:val="26"/>
          <w:rtl/>
        </w:rPr>
        <w:t xml:space="preserve"> في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الخط الأول لإدارة الأزمة السيبرانية، حيث تراقب وتستجيب للتهديدات على مدار الساعة، وتعمل بالتوازي مع خطط التعافي من الكوارث (</w:t>
      </w:r>
      <w:r w:rsidRPr="00A92155">
        <w:rPr>
          <w:rFonts w:asciiTheme="majorBidi" w:hAnsiTheme="majorBidi" w:cstheme="majorBidi"/>
          <w:sz w:val="26"/>
          <w:szCs w:val="26"/>
        </w:rPr>
        <w:t>DRP</w:t>
      </w:r>
      <w:r w:rsidRPr="00A92155">
        <w:rPr>
          <w:rFonts w:asciiTheme="majorBidi" w:hAnsiTheme="majorBidi" w:cstheme="majorBidi"/>
          <w:sz w:val="26"/>
          <w:szCs w:val="26"/>
          <w:rtl/>
        </w:rPr>
        <w:t>) لضمان التوافر العالي للأنظمة الحيوية.</w:t>
      </w:r>
    </w:p>
    <w:p w14:paraId="2638BABF" w14:textId="77777777" w:rsidR="00202E2A" w:rsidRPr="00A92155" w:rsidRDefault="00202E2A" w:rsidP="00202E2A">
      <w:pPr>
        <w:bidi/>
        <w:spacing w:line="240" w:lineRule="auto"/>
        <w:jc w:val="lowKashida"/>
        <w:rPr>
          <w:rFonts w:asciiTheme="majorBidi" w:hAnsiTheme="majorBidi" w:cs="PT Bold Heading"/>
          <w:b/>
          <w:bCs/>
          <w:sz w:val="26"/>
          <w:szCs w:val="26"/>
          <w:rtl/>
        </w:rPr>
      </w:pPr>
      <w:r w:rsidRPr="00A92155">
        <w:rPr>
          <w:rFonts w:asciiTheme="majorBidi" w:hAnsiTheme="majorBidi" w:cs="PT Bold Heading"/>
          <w:b/>
          <w:bCs/>
          <w:sz w:val="26"/>
          <w:szCs w:val="26"/>
          <w:rtl/>
        </w:rPr>
        <w:t>2.7.3 المخاطر المرتبطة بالذكاء الاصطناعي والأنظمة ذاتية القرار</w:t>
      </w:r>
    </w:p>
    <w:p w14:paraId="696103BB"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 مخاطر انحياز الخوارزميات (</w:t>
      </w:r>
      <w:r w:rsidRPr="00A92155">
        <w:rPr>
          <w:rFonts w:asciiTheme="majorBidi" w:hAnsiTheme="majorBidi" w:cstheme="majorBidi"/>
          <w:b/>
          <w:bCs/>
          <w:sz w:val="26"/>
          <w:szCs w:val="26"/>
        </w:rPr>
        <w:t>Algorithmic Bias</w:t>
      </w:r>
      <w:r w:rsidRPr="00A92155">
        <w:rPr>
          <w:rFonts w:asciiTheme="majorBidi" w:hAnsiTheme="majorBidi" w:cstheme="majorBidi"/>
          <w:b/>
          <w:bCs/>
          <w:sz w:val="26"/>
          <w:szCs w:val="26"/>
          <w:rtl/>
        </w:rPr>
        <w:t>):</w:t>
      </w:r>
    </w:p>
    <w:p w14:paraId="49D90EAD" w14:textId="77777777" w:rsidR="00202E2A" w:rsidRPr="00A92155" w:rsidRDefault="00202E2A" w:rsidP="00202E2A">
      <w:pPr>
        <w:bidi/>
        <w:spacing w:line="240" w:lineRule="auto"/>
        <w:jc w:val="lowKashida"/>
        <w:rPr>
          <w:rFonts w:asciiTheme="majorBidi" w:hAnsiTheme="majorBidi" w:cstheme="majorBidi"/>
          <w:sz w:val="26"/>
          <w:szCs w:val="26"/>
          <w:rtl/>
        </w:rPr>
      </w:pPr>
      <w:r w:rsidRPr="00DA7B87">
        <w:rPr>
          <w:rFonts w:asciiTheme="majorBidi" w:hAnsiTheme="majorBidi" w:cstheme="majorBidi" w:hint="cs"/>
          <w:sz w:val="26"/>
          <w:szCs w:val="26"/>
          <w:rtl/>
        </w:rPr>
        <w:t>نوهت دراسة</w:t>
      </w:r>
      <w:r w:rsidRPr="00DA7B87">
        <w:rPr>
          <w:rFonts w:asciiTheme="majorBidi" w:hAnsiTheme="majorBidi" w:cstheme="majorBidi"/>
          <w:sz w:val="26"/>
          <w:szCs w:val="26"/>
          <w:rtl/>
        </w:rPr>
        <w:t xml:space="preserve"> (</w:t>
      </w:r>
      <w:r w:rsidRPr="00DA7B87">
        <w:rPr>
          <w:rFonts w:asciiTheme="majorBidi" w:hAnsiTheme="majorBidi" w:cstheme="majorBidi"/>
          <w:sz w:val="26"/>
          <w:szCs w:val="26"/>
        </w:rPr>
        <w:t>PwC, 2023</w:t>
      </w:r>
      <w:r w:rsidRPr="00DA7B87">
        <w:rPr>
          <w:rFonts w:asciiTheme="majorBidi" w:hAnsiTheme="majorBidi" w:cstheme="majorBidi"/>
          <w:sz w:val="26"/>
          <w:szCs w:val="26"/>
          <w:rtl/>
        </w:rPr>
        <w:t>)</w:t>
      </w:r>
      <w:r w:rsidRPr="00A92155">
        <w:rPr>
          <w:rFonts w:asciiTheme="majorBidi" w:hAnsiTheme="majorBidi" w:cstheme="majorBidi"/>
          <w:sz w:val="26"/>
          <w:szCs w:val="26"/>
          <w:rtl/>
        </w:rPr>
        <w:t xml:space="preserve"> إلى أن تدريب نماذج الذكاء الاصطناعي على بيانات تاريخية منحازة يمكن أن يؤدي إلى قرارات غير عادلة أو تمييزية.</w:t>
      </w:r>
    </w:p>
    <w:p w14:paraId="2714D259" w14:textId="77777777" w:rsidR="00202E2A" w:rsidRPr="00A92155" w:rsidRDefault="00202E2A" w:rsidP="00202E2A">
      <w:pPr>
        <w:bidi/>
        <w:spacing w:line="240" w:lineRule="auto"/>
        <w:jc w:val="lowKashida"/>
        <w:rPr>
          <w:rFonts w:asciiTheme="majorBidi" w:hAnsiTheme="majorBidi" w:cstheme="majorBidi"/>
          <w:sz w:val="26"/>
          <w:szCs w:val="26"/>
          <w:rtl/>
        </w:rPr>
      </w:pPr>
      <w:r w:rsidRPr="00DA7B87">
        <w:rPr>
          <w:rFonts w:asciiTheme="majorBidi" w:hAnsiTheme="majorBidi" w:cstheme="majorBidi"/>
          <w:sz w:val="26"/>
          <w:szCs w:val="26"/>
          <w:rtl/>
        </w:rPr>
        <w:t xml:space="preserve">التطبيق على </w:t>
      </w:r>
      <w:r w:rsidRPr="00DA7B87">
        <w:rPr>
          <w:rFonts w:asciiTheme="majorBidi" w:hAnsiTheme="majorBidi" w:cstheme="majorBidi"/>
          <w:sz w:val="26"/>
          <w:szCs w:val="26"/>
        </w:rPr>
        <w:t>ZATCA</w:t>
      </w:r>
      <w:r w:rsidRPr="00DA7B87">
        <w:rPr>
          <w:rFonts w:asciiTheme="majorBidi" w:hAnsiTheme="majorBidi" w:cstheme="majorBidi"/>
          <w:sz w:val="26"/>
          <w:szCs w:val="26"/>
          <w:rtl/>
        </w:rPr>
        <w:t>:</w:t>
      </w:r>
      <w:r w:rsidRPr="00A92155">
        <w:rPr>
          <w:rFonts w:asciiTheme="majorBidi" w:hAnsiTheme="majorBidi" w:cstheme="majorBidi"/>
          <w:sz w:val="26"/>
          <w:szCs w:val="26"/>
          <w:rtl/>
        </w:rPr>
        <w:t xml:space="preserve"> إذا كانت البيانات التاريخية تُظهر أن شحنات معينة من دولة أو شركة محددة تحمل مخاطر أعلى، فقد يؤدي ذلك إلى "انحياز" النظام الآلي تجاهها، مما يتعارض مع مبدأ تيسير التجارة العادل.</w:t>
      </w:r>
    </w:p>
    <w:p w14:paraId="64D66F7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ب. تحدي "قابلية التفسير" (</w:t>
      </w:r>
      <w:r w:rsidRPr="00A92155">
        <w:rPr>
          <w:rFonts w:asciiTheme="majorBidi" w:hAnsiTheme="majorBidi" w:cstheme="majorBidi"/>
          <w:b/>
          <w:bCs/>
          <w:sz w:val="26"/>
          <w:szCs w:val="26"/>
        </w:rPr>
        <w:t>Explainable AI - XAI</w:t>
      </w:r>
      <w:r w:rsidRPr="00A92155">
        <w:rPr>
          <w:rFonts w:asciiTheme="majorBidi" w:hAnsiTheme="majorBidi" w:cstheme="majorBidi"/>
          <w:b/>
          <w:bCs/>
          <w:sz w:val="26"/>
          <w:szCs w:val="26"/>
          <w:rtl/>
        </w:rPr>
        <w:t>):</w:t>
      </w:r>
    </w:p>
    <w:p w14:paraId="117EAE2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المرجع:</w:t>
      </w:r>
      <w:r w:rsidRPr="00A92155">
        <w:rPr>
          <w:rFonts w:asciiTheme="majorBidi" w:hAnsiTheme="majorBidi" w:cstheme="majorBidi"/>
          <w:sz w:val="26"/>
          <w:szCs w:val="26"/>
          <w:rtl/>
        </w:rPr>
        <w:t xml:space="preserve"> </w:t>
      </w:r>
      <w:r w:rsidRPr="00A92155">
        <w:rPr>
          <w:rFonts w:asciiTheme="majorBidi" w:hAnsiTheme="majorBidi" w:cstheme="majorBidi"/>
          <w:b/>
          <w:bCs/>
          <w:sz w:val="26"/>
          <w:szCs w:val="26"/>
          <w:rtl/>
        </w:rPr>
        <w:t>(</w:t>
      </w:r>
      <w:r w:rsidRPr="00A92155">
        <w:rPr>
          <w:rFonts w:asciiTheme="majorBidi" w:hAnsiTheme="majorBidi" w:cstheme="majorBidi"/>
          <w:b/>
          <w:bCs/>
          <w:sz w:val="26"/>
          <w:szCs w:val="26"/>
        </w:rPr>
        <w:t>Smith, J., 2018</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لكي تكون الأنظمة ذاتية القرار مقبولة قانونياً، يجب أن تكون قابلة للتفسير.</w:t>
      </w:r>
    </w:p>
    <w:p w14:paraId="43EBCF0E"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التحليل:</w:t>
      </w:r>
      <w:r w:rsidRPr="00A92155">
        <w:rPr>
          <w:rFonts w:asciiTheme="majorBidi" w:hAnsiTheme="majorBidi" w:cstheme="majorBidi"/>
          <w:sz w:val="26"/>
          <w:szCs w:val="26"/>
          <w:rtl/>
        </w:rPr>
        <w:t xml:space="preserve"> في حالة رفض نظام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الآلي لشحنة ما (قرار ذو طبيعة أمنية/تجارية)، يجب أن يكون لدى الهيئة القدرة على تقديم تفسير واضح ومفصل ومبني على البيانات للتاجر، وإلا أصبح القرار غير قابل للمساءلة القانونية.</w:t>
      </w:r>
    </w:p>
    <w:p w14:paraId="48733177" w14:textId="77777777" w:rsidR="00202E2A" w:rsidRPr="00A92155" w:rsidRDefault="00202E2A" w:rsidP="00202E2A">
      <w:pPr>
        <w:bidi/>
        <w:spacing w:line="240" w:lineRule="auto"/>
        <w:jc w:val="lowKashida"/>
        <w:rPr>
          <w:rFonts w:asciiTheme="majorBidi" w:hAnsiTheme="majorBidi" w:cs="PT Bold Heading"/>
          <w:b/>
          <w:bCs/>
          <w:sz w:val="26"/>
          <w:szCs w:val="26"/>
          <w:rtl/>
        </w:rPr>
      </w:pPr>
      <w:r w:rsidRPr="00A92155">
        <w:rPr>
          <w:rFonts w:asciiTheme="majorBidi" w:hAnsiTheme="majorBidi" w:cs="PT Bold Heading"/>
          <w:b/>
          <w:bCs/>
          <w:sz w:val="26"/>
          <w:szCs w:val="26"/>
          <w:rtl/>
        </w:rPr>
        <w:lastRenderedPageBreak/>
        <w:t>2.7.4 الفجوة الرقمية العالمية وتأثيرها على التنافسية التجارية</w:t>
      </w:r>
    </w:p>
    <w:p w14:paraId="063D72DB"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 فجوة الرقمنة بين الشركاء التجاريين:</w:t>
      </w:r>
    </w:p>
    <w:p w14:paraId="7E6C001D" w14:textId="77777777" w:rsidR="00202E2A" w:rsidRPr="00A92155" w:rsidRDefault="00202E2A" w:rsidP="00202E2A">
      <w:pPr>
        <w:bidi/>
        <w:spacing w:line="240" w:lineRule="auto"/>
        <w:jc w:val="lowKashida"/>
        <w:rPr>
          <w:rFonts w:asciiTheme="majorBidi" w:hAnsiTheme="majorBidi" w:cstheme="majorBidi"/>
          <w:sz w:val="26"/>
          <w:szCs w:val="26"/>
          <w:rtl/>
        </w:rPr>
      </w:pPr>
      <w:r w:rsidRPr="00B711E9">
        <w:rPr>
          <w:rFonts w:asciiTheme="majorBidi" w:hAnsiTheme="majorBidi" w:cstheme="majorBidi" w:hint="cs"/>
          <w:sz w:val="26"/>
          <w:szCs w:val="26"/>
          <w:rtl/>
        </w:rPr>
        <w:t>أكدت دراسة</w:t>
      </w:r>
      <w:r w:rsidRPr="00B711E9">
        <w:rPr>
          <w:rFonts w:asciiTheme="majorBidi" w:hAnsiTheme="majorBidi" w:cstheme="majorBidi"/>
          <w:sz w:val="26"/>
          <w:szCs w:val="26"/>
          <w:rtl/>
        </w:rPr>
        <w:t xml:space="preserve"> (</w:t>
      </w:r>
      <w:r w:rsidRPr="00B711E9">
        <w:rPr>
          <w:rFonts w:asciiTheme="majorBidi" w:hAnsiTheme="majorBidi" w:cstheme="majorBidi"/>
          <w:sz w:val="26"/>
          <w:szCs w:val="26"/>
        </w:rPr>
        <w:t>United Nations, 2023</w:t>
      </w:r>
      <w:r w:rsidRPr="00B711E9">
        <w:rPr>
          <w:rFonts w:asciiTheme="majorBidi" w:hAnsiTheme="majorBidi" w:cstheme="majorBidi"/>
          <w:sz w:val="26"/>
          <w:szCs w:val="26"/>
          <w:rtl/>
        </w:rPr>
        <w:t>)</w:t>
      </w:r>
      <w:r w:rsidRPr="00A92155">
        <w:rPr>
          <w:rFonts w:asciiTheme="majorBidi" w:hAnsiTheme="majorBidi" w:cstheme="majorBidi"/>
          <w:sz w:val="26"/>
          <w:szCs w:val="26"/>
          <w:rtl/>
        </w:rPr>
        <w:t xml:space="preserve"> على أن كفاءة تيسير التجارة الرقمي تعتمد على استعداد جميع الأطراف في سلسلة التوريد للرقمنة.</w:t>
      </w:r>
    </w:p>
    <w:p w14:paraId="104D6075" w14:textId="77777777" w:rsidR="00202E2A" w:rsidRPr="00A92155" w:rsidRDefault="00202E2A" w:rsidP="00202E2A">
      <w:pPr>
        <w:bidi/>
        <w:spacing w:line="240" w:lineRule="auto"/>
        <w:jc w:val="lowKashida"/>
        <w:rPr>
          <w:rFonts w:asciiTheme="majorBidi" w:hAnsiTheme="majorBidi" w:cstheme="majorBidi"/>
          <w:sz w:val="26"/>
          <w:szCs w:val="26"/>
          <w:rtl/>
        </w:rPr>
      </w:pPr>
      <w:r w:rsidRPr="00B711E9">
        <w:rPr>
          <w:rFonts w:asciiTheme="majorBidi" w:hAnsiTheme="majorBidi" w:cstheme="majorBidi"/>
          <w:sz w:val="26"/>
          <w:szCs w:val="26"/>
          <w:rtl/>
        </w:rPr>
        <w:t>التحليل:</w:t>
      </w:r>
      <w:r w:rsidRPr="00A92155">
        <w:rPr>
          <w:rFonts w:asciiTheme="majorBidi" w:hAnsiTheme="majorBidi" w:cstheme="majorBidi"/>
          <w:sz w:val="26"/>
          <w:szCs w:val="26"/>
          <w:rtl/>
        </w:rPr>
        <w:t xml:space="preserve"> تواجه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تحدي التعامل مع شركاء تجاريين (في دول أقل نمواً) ما زالوا يعتمدون على الوثائق الورقية والإجراءات اليدوية، مما يخلق عنق زجاجة (</w:t>
      </w:r>
      <w:r w:rsidRPr="00A92155">
        <w:rPr>
          <w:rFonts w:asciiTheme="majorBidi" w:hAnsiTheme="majorBidi" w:cstheme="majorBidi"/>
          <w:sz w:val="26"/>
          <w:szCs w:val="26"/>
        </w:rPr>
        <w:t>Bottleneck</w:t>
      </w:r>
      <w:r w:rsidRPr="00A92155">
        <w:rPr>
          <w:rFonts w:asciiTheme="majorBidi" w:hAnsiTheme="majorBidi" w:cstheme="majorBidi"/>
          <w:sz w:val="26"/>
          <w:szCs w:val="26"/>
          <w:rtl/>
        </w:rPr>
        <w:t>) يقلل من كفاءة النظام الرقمي السعودي المتقدم.</w:t>
      </w:r>
    </w:p>
    <w:p w14:paraId="037A2F2A"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ب. مخاطر الاعتماد على التقنية الأجنبية:</w:t>
      </w:r>
    </w:p>
    <w:p w14:paraId="01701CC1" w14:textId="77777777" w:rsidR="00202E2A" w:rsidRPr="00A92155" w:rsidRDefault="00202E2A" w:rsidP="00202E2A">
      <w:pPr>
        <w:bidi/>
        <w:spacing w:line="240" w:lineRule="auto"/>
        <w:jc w:val="lowKashida"/>
        <w:rPr>
          <w:rFonts w:asciiTheme="majorBidi" w:hAnsiTheme="majorBidi" w:cstheme="majorBidi"/>
          <w:sz w:val="26"/>
          <w:szCs w:val="26"/>
          <w:rtl/>
        </w:rPr>
      </w:pPr>
      <w:r w:rsidRPr="00B711E9">
        <w:rPr>
          <w:rFonts w:asciiTheme="majorBidi" w:hAnsiTheme="majorBidi" w:cstheme="majorBidi"/>
          <w:sz w:val="26"/>
          <w:szCs w:val="26"/>
          <w:rtl/>
        </w:rPr>
        <w:t>التحليل:</w:t>
      </w:r>
      <w:r w:rsidRPr="00A92155">
        <w:rPr>
          <w:rFonts w:asciiTheme="majorBidi" w:hAnsiTheme="majorBidi" w:cstheme="majorBidi"/>
          <w:sz w:val="26"/>
          <w:szCs w:val="26"/>
          <w:rtl/>
        </w:rPr>
        <w:t xml:space="preserve"> الاعتماد الكبير على الحلول البرمجية والمعدات الأجنبية في البنية التحتية الحيوية لـ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قد يشكل خطراً أمنياً استراتيجياً (</w:t>
      </w:r>
      <w:r w:rsidRPr="00A92155">
        <w:rPr>
          <w:rFonts w:asciiTheme="majorBidi" w:hAnsiTheme="majorBidi" w:cstheme="majorBidi"/>
          <w:sz w:val="26"/>
          <w:szCs w:val="26"/>
        </w:rPr>
        <w:t>Supply Chain Risk</w:t>
      </w:r>
      <w:r w:rsidRPr="00A92155">
        <w:rPr>
          <w:rFonts w:asciiTheme="majorBidi" w:hAnsiTheme="majorBidi" w:cstheme="majorBidi"/>
          <w:sz w:val="26"/>
          <w:szCs w:val="26"/>
          <w:rtl/>
        </w:rPr>
        <w:t>)، مما يتطلب تعزيز التوطين التقني.</w:t>
      </w:r>
    </w:p>
    <w:p w14:paraId="450BB7F5" w14:textId="77777777" w:rsidR="00202E2A" w:rsidRPr="00A92155" w:rsidRDefault="00202E2A" w:rsidP="00202E2A">
      <w:pPr>
        <w:bidi/>
        <w:spacing w:line="240" w:lineRule="auto"/>
        <w:jc w:val="lowKashida"/>
        <w:rPr>
          <w:rFonts w:asciiTheme="majorBidi" w:hAnsiTheme="majorBidi" w:cs="PT Bold Heading"/>
          <w:b/>
          <w:bCs/>
          <w:sz w:val="26"/>
          <w:szCs w:val="26"/>
          <w:rtl/>
        </w:rPr>
      </w:pPr>
      <w:r w:rsidRPr="00A92155">
        <w:rPr>
          <w:rFonts w:asciiTheme="majorBidi" w:hAnsiTheme="majorBidi" w:cs="PT Bold Heading"/>
          <w:b/>
          <w:bCs/>
          <w:sz w:val="26"/>
          <w:szCs w:val="26"/>
          <w:rtl/>
        </w:rPr>
        <w:t>2.7.5 آليات التكيف المؤسسي مع التحولات التكنولوجية المفاجئة</w:t>
      </w:r>
    </w:p>
    <w:p w14:paraId="6D9D1369"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المرونة المؤسسية (</w:t>
      </w:r>
      <w:r w:rsidRPr="00A92155">
        <w:rPr>
          <w:rFonts w:asciiTheme="majorBidi" w:hAnsiTheme="majorBidi" w:cstheme="majorBidi"/>
          <w:b/>
          <w:bCs/>
          <w:sz w:val="26"/>
          <w:szCs w:val="26"/>
        </w:rPr>
        <w:t>Institutional Agility</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يجب على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تبني ثقافة المرونة والسرعة في التكيف مع التقنيات الجديدة والتهديدات الناشئة.</w:t>
      </w:r>
    </w:p>
    <w:p w14:paraId="3DFE8D8B"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التصميم المرتكز على المرونة (</w:t>
      </w:r>
      <w:r w:rsidRPr="00A92155">
        <w:rPr>
          <w:rFonts w:asciiTheme="majorBidi" w:hAnsiTheme="majorBidi" w:cstheme="majorBidi"/>
          <w:b/>
          <w:bCs/>
          <w:sz w:val="26"/>
          <w:szCs w:val="26"/>
        </w:rPr>
        <w:t>Resilience-by-Design</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يجب أن تُصمم الأنظمة الرقمية الجديدة في الهيئة منذ البداية لتكون قادرة على الصمود والتعافي السريع من الكوارث، بدلاً من مجرد تصميمها للحماية.</w:t>
      </w:r>
    </w:p>
    <w:p w14:paraId="6988E4A3" w14:textId="77777777" w:rsidR="00202E2A" w:rsidRPr="00A92155" w:rsidRDefault="00202E2A" w:rsidP="00202E2A">
      <w:pPr>
        <w:bidi/>
        <w:spacing w:line="240" w:lineRule="auto"/>
        <w:jc w:val="lowKashida"/>
        <w:rPr>
          <w:rFonts w:asciiTheme="majorBidi" w:hAnsiTheme="majorBidi" w:cs="PT Bold Heading"/>
          <w:b/>
          <w:bCs/>
          <w:sz w:val="26"/>
          <w:szCs w:val="26"/>
          <w:rtl/>
        </w:rPr>
      </w:pPr>
      <w:r w:rsidRPr="00A92155">
        <w:rPr>
          <w:rFonts w:asciiTheme="majorBidi" w:hAnsiTheme="majorBidi" w:cs="PT Bold Heading"/>
          <w:b/>
          <w:bCs/>
          <w:sz w:val="26"/>
          <w:szCs w:val="26"/>
          <w:rtl/>
        </w:rPr>
        <w:t>2.7.6 بناء نظام استشراف رقمي للتنبؤ بالمخاطر المستقبلية</w:t>
      </w:r>
    </w:p>
    <w:p w14:paraId="43B82492" w14:textId="77777777" w:rsidR="00202E2A" w:rsidRPr="00A92155" w:rsidRDefault="00202E2A" w:rsidP="00202E2A">
      <w:pPr>
        <w:bidi/>
        <w:spacing w:line="240" w:lineRule="auto"/>
        <w:jc w:val="lowKashida"/>
        <w:rPr>
          <w:rFonts w:asciiTheme="majorBidi" w:hAnsiTheme="majorBidi" w:cstheme="majorBidi"/>
          <w:sz w:val="26"/>
          <w:szCs w:val="26"/>
          <w:rtl/>
        </w:rPr>
      </w:pPr>
      <w:r w:rsidRPr="00B711E9">
        <w:rPr>
          <w:rFonts w:asciiTheme="majorBidi" w:hAnsiTheme="majorBidi" w:cstheme="majorBidi" w:hint="cs"/>
          <w:sz w:val="26"/>
          <w:szCs w:val="26"/>
          <w:rtl/>
        </w:rPr>
        <w:t>دعت دراسة</w:t>
      </w:r>
      <w:r w:rsidRPr="00B711E9">
        <w:rPr>
          <w:rFonts w:asciiTheme="majorBidi" w:hAnsiTheme="majorBidi" w:cstheme="majorBidi"/>
          <w:sz w:val="26"/>
          <w:szCs w:val="26"/>
          <w:rtl/>
        </w:rPr>
        <w:t xml:space="preserve"> (</w:t>
      </w:r>
      <w:r w:rsidRPr="00B711E9">
        <w:rPr>
          <w:rFonts w:asciiTheme="majorBidi" w:hAnsiTheme="majorBidi" w:cstheme="majorBidi"/>
          <w:sz w:val="26"/>
          <w:szCs w:val="26"/>
        </w:rPr>
        <w:t>Hanelt et al., 2021</w:t>
      </w:r>
      <w:r w:rsidRPr="00B711E9">
        <w:rPr>
          <w:rFonts w:asciiTheme="majorBidi" w:hAnsiTheme="majorBidi" w:cstheme="majorBidi"/>
          <w:sz w:val="26"/>
          <w:szCs w:val="26"/>
          <w:rtl/>
        </w:rPr>
        <w:t>)</w:t>
      </w:r>
      <w:r w:rsidRPr="00A92155">
        <w:rPr>
          <w:rFonts w:asciiTheme="majorBidi" w:hAnsiTheme="majorBidi" w:cstheme="majorBidi"/>
          <w:sz w:val="26"/>
          <w:szCs w:val="26"/>
          <w:rtl/>
        </w:rPr>
        <w:t xml:space="preserve"> دعا إلى بناء قدرات استشرافية (</w:t>
      </w:r>
      <w:r w:rsidRPr="00A92155">
        <w:rPr>
          <w:rFonts w:asciiTheme="majorBidi" w:hAnsiTheme="majorBidi" w:cstheme="majorBidi"/>
          <w:sz w:val="26"/>
          <w:szCs w:val="26"/>
        </w:rPr>
        <w:t>Foresight Capabilities</w:t>
      </w:r>
      <w:r w:rsidRPr="00A92155">
        <w:rPr>
          <w:rFonts w:asciiTheme="majorBidi" w:hAnsiTheme="majorBidi" w:cstheme="majorBidi"/>
          <w:sz w:val="26"/>
          <w:szCs w:val="26"/>
          <w:rtl/>
        </w:rPr>
        <w:t>) في المؤسسات الحكومية.</w:t>
      </w:r>
    </w:p>
    <w:p w14:paraId="0A5FC956" w14:textId="77777777" w:rsidR="00202E2A" w:rsidRPr="00A92155" w:rsidRDefault="00202E2A" w:rsidP="00202E2A">
      <w:pPr>
        <w:bidi/>
        <w:spacing w:line="240" w:lineRule="auto"/>
        <w:jc w:val="lowKashida"/>
        <w:rPr>
          <w:rFonts w:asciiTheme="majorBidi" w:hAnsiTheme="majorBidi" w:cstheme="majorBidi"/>
          <w:sz w:val="26"/>
          <w:szCs w:val="26"/>
          <w:rtl/>
        </w:rPr>
      </w:pPr>
      <w:r w:rsidRPr="00B711E9">
        <w:rPr>
          <w:rFonts w:asciiTheme="majorBidi" w:hAnsiTheme="majorBidi" w:cstheme="majorBidi"/>
          <w:sz w:val="26"/>
          <w:szCs w:val="26"/>
          <w:rtl/>
        </w:rPr>
        <w:t>التحليل:</w:t>
      </w:r>
      <w:r w:rsidRPr="00A92155">
        <w:rPr>
          <w:rFonts w:asciiTheme="majorBidi" w:hAnsiTheme="majorBidi" w:cstheme="majorBidi"/>
          <w:sz w:val="26"/>
          <w:szCs w:val="26"/>
          <w:rtl/>
        </w:rPr>
        <w:t xml:space="preserve"> يمكن لـ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بناء وحدة "استشراف رقمي" تستخدم تحليل الاتجاهات العالمية (</w:t>
      </w:r>
      <w:r w:rsidRPr="00A92155">
        <w:rPr>
          <w:rFonts w:asciiTheme="majorBidi" w:hAnsiTheme="majorBidi" w:cstheme="majorBidi"/>
          <w:sz w:val="26"/>
          <w:szCs w:val="26"/>
        </w:rPr>
        <w:t>Scanning</w:t>
      </w:r>
      <w:r w:rsidRPr="00A92155">
        <w:rPr>
          <w:rFonts w:asciiTheme="majorBidi" w:hAnsiTheme="majorBidi" w:cstheme="majorBidi"/>
          <w:sz w:val="26"/>
          <w:szCs w:val="26"/>
          <w:rtl/>
        </w:rPr>
        <w:t>) في التقنية والأمن لمراجعة استراتيجياتها سنوياً، وتوقع الهجمات السيبرانية الناشئة والتحولات في التجارة العالمية (مثل ظهور عملات رقمية جديدة أو أنظمة لوجستية غير تقليدية).</w:t>
      </w:r>
    </w:p>
    <w:p w14:paraId="17BBA8FC" w14:textId="0A1DC551" w:rsidR="00202E2A" w:rsidRPr="00A92155" w:rsidRDefault="00202E2A" w:rsidP="00202E2A">
      <w:pPr>
        <w:bidi/>
        <w:spacing w:line="240" w:lineRule="auto"/>
        <w:jc w:val="lowKashida"/>
        <w:rPr>
          <w:rFonts w:asciiTheme="majorBidi" w:hAnsiTheme="majorBidi" w:cs="PT Bold Heading"/>
          <w:b/>
          <w:bCs/>
          <w:sz w:val="26"/>
          <w:szCs w:val="26"/>
        </w:rPr>
      </w:pPr>
      <w:r>
        <w:rPr>
          <w:rFonts w:asciiTheme="majorBidi" w:hAnsiTheme="majorBidi" w:cs="PT Bold Heading" w:hint="cs"/>
          <w:b/>
          <w:bCs/>
          <w:sz w:val="26"/>
          <w:szCs w:val="26"/>
          <w:rtl/>
        </w:rPr>
        <w:t xml:space="preserve">2.8 </w:t>
      </w:r>
      <w:r w:rsidR="00740B3A" w:rsidRPr="00FF0F6B">
        <w:rPr>
          <w:rFonts w:asciiTheme="majorBidi" w:hAnsiTheme="majorBidi" w:cs="PT Bold Heading"/>
          <w:b/>
          <w:bCs/>
          <w:color w:val="000000" w:themeColor="text1"/>
          <w:sz w:val="26"/>
          <w:szCs w:val="26"/>
          <w:rtl/>
        </w:rPr>
        <w:t xml:space="preserve">الباب </w:t>
      </w:r>
      <w:r w:rsidRPr="00A92155">
        <w:rPr>
          <w:rFonts w:asciiTheme="majorBidi" w:hAnsiTheme="majorBidi" w:cs="PT Bold Heading"/>
          <w:b/>
          <w:bCs/>
          <w:sz w:val="26"/>
          <w:szCs w:val="26"/>
          <w:rtl/>
        </w:rPr>
        <w:t>الثامن: مراجعة الدراسات السابقة واستخلاص الفجوة البحثية</w:t>
      </w:r>
      <w:r w:rsidRPr="00A92155">
        <w:rPr>
          <w:rFonts w:asciiTheme="majorBidi" w:hAnsiTheme="majorBidi" w:cs="PT Bold Heading" w:hint="cs"/>
          <w:b/>
          <w:bCs/>
          <w:sz w:val="26"/>
          <w:szCs w:val="26"/>
          <w:rtl/>
        </w:rPr>
        <w:t xml:space="preserve"> النظرية</w:t>
      </w:r>
    </w:p>
    <w:p w14:paraId="154E7CA1" w14:textId="77777777" w:rsidR="00202E2A" w:rsidRPr="00A92155" w:rsidRDefault="00202E2A" w:rsidP="00202E2A">
      <w:pPr>
        <w:bidi/>
        <w:spacing w:line="240" w:lineRule="auto"/>
        <w:jc w:val="lowKashida"/>
        <w:rPr>
          <w:rFonts w:asciiTheme="majorBidi" w:hAnsiTheme="majorBidi" w:cs="PT Bold Heading"/>
          <w:b/>
          <w:bCs/>
          <w:sz w:val="26"/>
          <w:szCs w:val="26"/>
        </w:rPr>
      </w:pPr>
      <w:r w:rsidRPr="00A92155">
        <w:rPr>
          <w:rFonts w:asciiTheme="majorBidi" w:hAnsiTheme="majorBidi" w:cs="PT Bold Heading"/>
          <w:b/>
          <w:bCs/>
          <w:sz w:val="26"/>
          <w:szCs w:val="26"/>
          <w:rtl/>
        </w:rPr>
        <w:t>مقدمة</w:t>
      </w:r>
    </w:p>
    <w:p w14:paraId="7F0FDEFD" w14:textId="069F4081" w:rsidR="00202E2A" w:rsidRPr="00A92155" w:rsidRDefault="00202E2A" w:rsidP="00202E2A">
      <w:pPr>
        <w:bidi/>
        <w:spacing w:line="240" w:lineRule="auto"/>
        <w:jc w:val="lowKashida"/>
        <w:rPr>
          <w:rFonts w:asciiTheme="majorBidi" w:hAnsiTheme="majorBidi" w:cstheme="majorBidi"/>
          <w:sz w:val="26"/>
          <w:szCs w:val="26"/>
        </w:rPr>
      </w:pPr>
      <w:r w:rsidRPr="00A92155">
        <w:rPr>
          <w:rFonts w:asciiTheme="majorBidi" w:hAnsiTheme="majorBidi" w:cs="Times New Roman"/>
          <w:sz w:val="26"/>
          <w:szCs w:val="26"/>
          <w:rtl/>
        </w:rPr>
        <w:t xml:space="preserve">يشكل هذا </w:t>
      </w:r>
      <w:r w:rsidR="00740B3A">
        <w:rPr>
          <w:rFonts w:asciiTheme="majorBidi" w:hAnsiTheme="majorBidi" w:cs="Times New Roman" w:hint="cs"/>
          <w:sz w:val="26"/>
          <w:szCs w:val="26"/>
          <w:rtl/>
        </w:rPr>
        <w:t>الباب</w:t>
      </w:r>
      <w:r w:rsidRPr="00A92155">
        <w:rPr>
          <w:rFonts w:asciiTheme="majorBidi" w:hAnsiTheme="majorBidi" w:cs="Times New Roman"/>
          <w:sz w:val="26"/>
          <w:szCs w:val="26"/>
          <w:rtl/>
        </w:rPr>
        <w:t xml:space="preserve"> ختاماً للإطار النظري للدراسة، من خلال استعراض الدراسات السابقة المتعلقة بدور التحول الرقمي في تعزيز الأمن وتيسير التجارة، مع التركيز على السياق السعودي وهيئة الزكاة والضريبة والجمارك (</w:t>
      </w:r>
      <w:r w:rsidRPr="00A92155">
        <w:rPr>
          <w:rFonts w:asciiTheme="majorBidi" w:hAnsiTheme="majorBidi" w:cstheme="majorBidi"/>
          <w:sz w:val="26"/>
          <w:szCs w:val="26"/>
        </w:rPr>
        <w:t>ZATCA</w:t>
      </w:r>
      <w:r w:rsidRPr="00A92155">
        <w:rPr>
          <w:rFonts w:asciiTheme="majorBidi" w:hAnsiTheme="majorBidi" w:cs="Times New Roman"/>
          <w:sz w:val="26"/>
          <w:szCs w:val="26"/>
          <w:rtl/>
        </w:rPr>
        <w:t xml:space="preserve">). سيتم تلخيص الدراسات الرئيسية في جدول مفصل، تليه تحليل مقارن لأوجه التشابه والاختلاف، مع إضافة دراسات سعودية حديثة من عام 2025 (مثل تقارير هيئة الحكومة الرقمية، دراسات أكاديمية منشورة في مجلات محكمة، وتقارير </w:t>
      </w:r>
      <w:r w:rsidRPr="00A92155">
        <w:rPr>
          <w:rFonts w:asciiTheme="majorBidi" w:hAnsiTheme="majorBidi" w:cstheme="majorBidi"/>
          <w:sz w:val="26"/>
          <w:szCs w:val="26"/>
        </w:rPr>
        <w:t>EY</w:t>
      </w:r>
      <w:r w:rsidRPr="00A92155">
        <w:rPr>
          <w:rFonts w:asciiTheme="majorBidi" w:hAnsiTheme="majorBidi" w:cs="Times New Roman"/>
          <w:sz w:val="26"/>
          <w:szCs w:val="26"/>
          <w:rtl/>
        </w:rPr>
        <w:t xml:space="preserve"> و</w:t>
      </w:r>
      <w:r w:rsidRPr="00A92155">
        <w:rPr>
          <w:rFonts w:asciiTheme="majorBidi" w:hAnsiTheme="majorBidi" w:cstheme="majorBidi"/>
          <w:sz w:val="26"/>
          <w:szCs w:val="26"/>
        </w:rPr>
        <w:t>WCO</w:t>
      </w:r>
      <w:r w:rsidRPr="00A92155">
        <w:rPr>
          <w:rFonts w:asciiTheme="majorBidi" w:hAnsiTheme="majorBidi" w:cs="Times New Roman"/>
          <w:sz w:val="26"/>
          <w:szCs w:val="26"/>
          <w:rtl/>
        </w:rPr>
        <w:t xml:space="preserve">) ومقارنات مباشرة مع هيئات جمركية دولية رائدة، بما في ذلك مقارنة متخصصة بين </w:t>
      </w:r>
      <w:r w:rsidRPr="00A92155">
        <w:rPr>
          <w:rFonts w:asciiTheme="majorBidi" w:hAnsiTheme="majorBidi" w:cstheme="majorBidi"/>
          <w:sz w:val="26"/>
          <w:szCs w:val="26"/>
        </w:rPr>
        <w:t>ZATCA</w:t>
      </w:r>
      <w:r w:rsidRPr="00A92155">
        <w:rPr>
          <w:rFonts w:asciiTheme="majorBidi" w:hAnsiTheme="majorBidi" w:cs="Times New Roman"/>
          <w:sz w:val="26"/>
          <w:szCs w:val="26"/>
          <w:rtl/>
        </w:rPr>
        <w:t xml:space="preserve"> في السعودية والهيئة الاتحادية للضرائب (</w:t>
      </w:r>
      <w:r w:rsidRPr="00A92155">
        <w:rPr>
          <w:rFonts w:asciiTheme="majorBidi" w:hAnsiTheme="majorBidi" w:cstheme="majorBidi"/>
          <w:sz w:val="26"/>
          <w:szCs w:val="26"/>
        </w:rPr>
        <w:t>FTA</w:t>
      </w:r>
      <w:r w:rsidRPr="00A92155">
        <w:rPr>
          <w:rFonts w:asciiTheme="majorBidi" w:hAnsiTheme="majorBidi" w:cs="Times New Roman"/>
          <w:sz w:val="26"/>
          <w:szCs w:val="26"/>
          <w:rtl/>
        </w:rPr>
        <w:t>) في الإمارات العربية المتحدة في تطبيق التحول الرقمي على تعزيز الأمن وتيسير التجارة. يعتمد هذا المبحث على مصادر موثوقة حديثة (</w:t>
      </w:r>
      <w:r w:rsidRPr="00A92155">
        <w:rPr>
          <w:rFonts w:asciiTheme="majorBidi" w:hAnsiTheme="majorBidi" w:cstheme="majorBidi"/>
          <w:sz w:val="26"/>
          <w:szCs w:val="26"/>
        </w:rPr>
        <w:t>ZATCA Reports 2025</w:t>
      </w:r>
      <w:r w:rsidRPr="00A92155">
        <w:rPr>
          <w:rFonts w:asciiTheme="majorBidi" w:hAnsiTheme="majorBidi" w:cs="Times New Roman"/>
          <w:sz w:val="26"/>
          <w:szCs w:val="26"/>
          <w:rtl/>
        </w:rPr>
        <w:t xml:space="preserve">، </w:t>
      </w:r>
      <w:r w:rsidRPr="00A92155">
        <w:rPr>
          <w:rFonts w:asciiTheme="majorBidi" w:hAnsiTheme="majorBidi" w:cstheme="majorBidi"/>
          <w:sz w:val="26"/>
          <w:szCs w:val="26"/>
        </w:rPr>
        <w:t>DGA</w:t>
      </w:r>
      <w:r w:rsidRPr="00A92155">
        <w:rPr>
          <w:rFonts w:asciiTheme="majorBidi" w:hAnsiTheme="majorBidi" w:cs="Times New Roman"/>
          <w:sz w:val="26"/>
          <w:szCs w:val="26"/>
          <w:rtl/>
        </w:rPr>
        <w:t xml:space="preserve">، </w:t>
      </w:r>
      <w:r w:rsidRPr="00A92155">
        <w:rPr>
          <w:rFonts w:asciiTheme="majorBidi" w:hAnsiTheme="majorBidi" w:cstheme="majorBidi"/>
          <w:sz w:val="26"/>
          <w:szCs w:val="26"/>
        </w:rPr>
        <w:t>WCO</w:t>
      </w:r>
      <w:r w:rsidRPr="00A92155">
        <w:rPr>
          <w:rFonts w:asciiTheme="majorBidi" w:hAnsiTheme="majorBidi" w:cs="Times New Roman"/>
          <w:sz w:val="26"/>
          <w:szCs w:val="26"/>
          <w:rtl/>
        </w:rPr>
        <w:t xml:space="preserve">، </w:t>
      </w:r>
      <w:r w:rsidRPr="00A92155">
        <w:rPr>
          <w:rFonts w:asciiTheme="majorBidi" w:hAnsiTheme="majorBidi" w:cstheme="majorBidi"/>
          <w:sz w:val="26"/>
          <w:szCs w:val="26"/>
        </w:rPr>
        <w:t>EY</w:t>
      </w:r>
      <w:r w:rsidRPr="00A92155">
        <w:rPr>
          <w:rFonts w:asciiTheme="majorBidi" w:hAnsiTheme="majorBidi" w:cs="Times New Roman"/>
          <w:sz w:val="26"/>
          <w:szCs w:val="26"/>
          <w:rtl/>
        </w:rPr>
        <w:t xml:space="preserve">، </w:t>
      </w:r>
      <w:r w:rsidRPr="00A92155">
        <w:rPr>
          <w:rFonts w:asciiTheme="majorBidi" w:hAnsiTheme="majorBidi" w:cstheme="majorBidi"/>
          <w:sz w:val="26"/>
          <w:szCs w:val="26"/>
        </w:rPr>
        <w:t>PwC</w:t>
      </w:r>
      <w:r w:rsidRPr="00A92155">
        <w:rPr>
          <w:rFonts w:asciiTheme="majorBidi" w:hAnsiTheme="majorBidi" w:cs="Times New Roman"/>
          <w:sz w:val="26"/>
          <w:szCs w:val="26"/>
          <w:rtl/>
        </w:rPr>
        <w:t xml:space="preserve">، </w:t>
      </w:r>
      <w:r w:rsidRPr="00A92155">
        <w:rPr>
          <w:rFonts w:asciiTheme="majorBidi" w:hAnsiTheme="majorBidi" w:cstheme="majorBidi"/>
          <w:sz w:val="26"/>
          <w:szCs w:val="26"/>
        </w:rPr>
        <w:t>TDRA</w:t>
      </w:r>
      <w:r w:rsidRPr="00A92155">
        <w:rPr>
          <w:rFonts w:asciiTheme="majorBidi" w:hAnsiTheme="majorBidi" w:cs="Times New Roman"/>
          <w:sz w:val="26"/>
          <w:szCs w:val="26"/>
          <w:rtl/>
        </w:rPr>
        <w:t xml:space="preserve">، </w:t>
      </w:r>
      <w:r w:rsidRPr="00A92155">
        <w:rPr>
          <w:rFonts w:asciiTheme="majorBidi" w:hAnsiTheme="majorBidi" w:cstheme="majorBidi"/>
          <w:sz w:val="26"/>
          <w:szCs w:val="26"/>
        </w:rPr>
        <w:t>FTA Reports</w:t>
      </w:r>
      <w:r w:rsidRPr="00A92155">
        <w:rPr>
          <w:rFonts w:asciiTheme="majorBidi" w:hAnsiTheme="majorBidi" w:cs="Times New Roman"/>
          <w:sz w:val="26"/>
          <w:szCs w:val="26"/>
          <w:rtl/>
        </w:rPr>
        <w:t>، ومنشورات أكاديمية سعودية وإماراتية منشورة في 2025).</w:t>
      </w:r>
    </w:p>
    <w:p w14:paraId="1EEA7A16" w14:textId="77777777" w:rsidR="00202E2A" w:rsidRDefault="00202E2A" w:rsidP="00202E2A">
      <w:pPr>
        <w:bidi/>
        <w:spacing w:line="240" w:lineRule="auto"/>
        <w:jc w:val="lowKashida"/>
        <w:rPr>
          <w:rFonts w:asciiTheme="majorBidi" w:hAnsiTheme="majorBidi" w:cs="PT Bold Heading"/>
          <w:b/>
          <w:bCs/>
          <w:sz w:val="26"/>
          <w:szCs w:val="26"/>
          <w:rtl/>
        </w:rPr>
      </w:pPr>
      <w:r>
        <w:rPr>
          <w:rFonts w:asciiTheme="majorBidi" w:hAnsiTheme="majorBidi" w:cs="PT Bold Heading" w:hint="cs"/>
          <w:b/>
          <w:bCs/>
          <w:sz w:val="26"/>
          <w:szCs w:val="26"/>
          <w:rtl/>
        </w:rPr>
        <w:t xml:space="preserve">2.8.1 </w:t>
      </w:r>
      <w:r w:rsidRPr="00A92155">
        <w:rPr>
          <w:rFonts w:asciiTheme="majorBidi" w:hAnsiTheme="majorBidi" w:cs="PT Bold Heading"/>
          <w:b/>
          <w:bCs/>
          <w:sz w:val="26"/>
          <w:szCs w:val="26"/>
          <w:rtl/>
        </w:rPr>
        <w:t>الدراسات السابقة المتعلقة بـ</w:t>
      </w:r>
      <w:r w:rsidRPr="00A92155">
        <w:rPr>
          <w:rFonts w:asciiTheme="majorBidi" w:hAnsiTheme="majorBidi" w:cs="PT Bold Heading"/>
          <w:b/>
          <w:bCs/>
          <w:sz w:val="26"/>
          <w:szCs w:val="26"/>
        </w:rPr>
        <w:t xml:space="preserve"> ZATCA </w:t>
      </w:r>
      <w:r w:rsidRPr="00A92155">
        <w:rPr>
          <w:rFonts w:asciiTheme="majorBidi" w:hAnsiTheme="majorBidi" w:cs="PT Bold Heading"/>
          <w:b/>
          <w:bCs/>
          <w:sz w:val="26"/>
          <w:szCs w:val="26"/>
          <w:rtl/>
        </w:rPr>
        <w:t>والتحول الرقمي في تيسير التجارة و</w:t>
      </w:r>
      <w:r>
        <w:rPr>
          <w:rFonts w:asciiTheme="majorBidi" w:hAnsiTheme="majorBidi" w:cs="PT Bold Heading" w:hint="cs"/>
          <w:b/>
          <w:bCs/>
          <w:sz w:val="26"/>
          <w:szCs w:val="26"/>
          <w:rtl/>
        </w:rPr>
        <w:t xml:space="preserve">تعزيز </w:t>
      </w:r>
      <w:r w:rsidRPr="00A92155">
        <w:rPr>
          <w:rFonts w:asciiTheme="majorBidi" w:hAnsiTheme="majorBidi" w:cs="PT Bold Heading"/>
          <w:b/>
          <w:bCs/>
          <w:sz w:val="26"/>
          <w:szCs w:val="26"/>
          <w:rtl/>
        </w:rPr>
        <w:t xml:space="preserve">الأمن </w:t>
      </w:r>
    </w:p>
    <w:p w14:paraId="245A604E" w14:textId="77777777" w:rsidR="00202E2A" w:rsidRPr="00C012F3" w:rsidRDefault="00202E2A" w:rsidP="00202E2A">
      <w:pPr>
        <w:bidi/>
        <w:spacing w:line="240" w:lineRule="auto"/>
        <w:jc w:val="lowKashida"/>
        <w:rPr>
          <w:rFonts w:asciiTheme="majorBidi" w:hAnsiTheme="majorBidi" w:cs="Times New Roman"/>
          <w:b/>
          <w:bCs/>
          <w:sz w:val="26"/>
          <w:szCs w:val="26"/>
          <w:rtl/>
        </w:rPr>
      </w:pPr>
      <w:r w:rsidRPr="00C012F3">
        <w:rPr>
          <w:rFonts w:asciiTheme="majorBidi" w:hAnsiTheme="majorBidi" w:cs="Times New Roman" w:hint="cs"/>
          <w:b/>
          <w:bCs/>
          <w:sz w:val="26"/>
          <w:szCs w:val="26"/>
          <w:rtl/>
          <w:lang w:bidi="ar-EG"/>
        </w:rPr>
        <w:lastRenderedPageBreak/>
        <w:t xml:space="preserve">تشير </w:t>
      </w:r>
      <w:r w:rsidRPr="00C012F3">
        <w:rPr>
          <w:rFonts w:asciiTheme="majorBidi" w:hAnsiTheme="majorBidi" w:cs="Times New Roman"/>
          <w:b/>
          <w:bCs/>
          <w:sz w:val="26"/>
          <w:szCs w:val="26"/>
          <w:rtl/>
        </w:rPr>
        <w:t xml:space="preserve">دراسة </w:t>
      </w:r>
      <w:r w:rsidRPr="00C012F3">
        <w:rPr>
          <w:rFonts w:asciiTheme="majorBidi" w:hAnsiTheme="majorBidi" w:cs="Times New Roman"/>
          <w:b/>
          <w:bCs/>
          <w:sz w:val="26"/>
          <w:szCs w:val="26"/>
        </w:rPr>
        <w:t>Al-Mashari, M., &amp; Al-Somali, S. (2023). Digital transformation and trade facilitation: A secure framework for cross-border e-commerce in GCC countries. Saudi Arabia: Zakat, Tax and Customs Authority</w:t>
      </w:r>
      <w:r w:rsidRPr="00C012F3">
        <w:rPr>
          <w:rFonts w:asciiTheme="majorBidi" w:hAnsiTheme="majorBidi" w:cs="Times New Roman"/>
          <w:b/>
          <w:bCs/>
          <w:sz w:val="26"/>
          <w:szCs w:val="26"/>
          <w:rtl/>
        </w:rPr>
        <w:t xml:space="preserve">. </w:t>
      </w:r>
    </w:p>
    <w:p w14:paraId="3A2D60A9" w14:textId="77777777" w:rsidR="00202E2A" w:rsidRPr="00DA7B87" w:rsidRDefault="00202E2A" w:rsidP="00202E2A">
      <w:pPr>
        <w:bidi/>
        <w:spacing w:line="240" w:lineRule="auto"/>
        <w:jc w:val="lowKashida"/>
        <w:rPr>
          <w:rFonts w:asciiTheme="majorBidi" w:hAnsiTheme="majorBidi" w:cs="Times New Roman"/>
          <w:sz w:val="26"/>
          <w:szCs w:val="26"/>
          <w:rtl/>
        </w:rPr>
      </w:pPr>
      <w:r w:rsidRPr="00DA7B87">
        <w:rPr>
          <w:rFonts w:asciiTheme="majorBidi" w:hAnsiTheme="majorBidi" w:cs="Times New Roman"/>
          <w:sz w:val="26"/>
          <w:szCs w:val="26"/>
          <w:rtl/>
        </w:rPr>
        <w:t>اعتمدت دراسة</w:t>
      </w:r>
      <w:r w:rsidRPr="00DA7B87">
        <w:rPr>
          <w:rFonts w:asciiTheme="majorBidi" w:hAnsiTheme="majorBidi" w:cs="Times New Roman"/>
          <w:sz w:val="26"/>
          <w:szCs w:val="26"/>
        </w:rPr>
        <w:t xml:space="preserve"> Al-Mashari, M., &amp; Al-Somali, S. </w:t>
      </w:r>
      <w:r w:rsidRPr="00DA7B87">
        <w:rPr>
          <w:rFonts w:asciiTheme="majorBidi" w:hAnsiTheme="majorBidi" w:cs="Times New Roman"/>
          <w:sz w:val="26"/>
          <w:szCs w:val="26"/>
          <w:rtl/>
        </w:rPr>
        <w:t>لعام 2023 بعنوان "التحول الرقمي وتيسير التجارة: إطار أمني للتجارة الإلكترونية عبر الحدود في دول مجلس التعاون الخليجي" على منهجية دراسة حالة متعددة مدعومة بتحليل إطاري متكامل يعتمد نموذج</w:t>
      </w:r>
      <w:r w:rsidRPr="00DA7B87">
        <w:rPr>
          <w:rFonts w:asciiTheme="majorBidi" w:hAnsiTheme="majorBidi" w:cs="Times New Roman"/>
          <w:sz w:val="26"/>
          <w:szCs w:val="26"/>
        </w:rPr>
        <w:t xml:space="preserve"> **GCC Secure E-Commerce Framework (GSECF v1.0)**</w:t>
      </w:r>
      <w:r w:rsidRPr="00DA7B87">
        <w:rPr>
          <w:rFonts w:asciiTheme="majorBidi" w:hAnsiTheme="majorBidi" w:cs="Times New Roman"/>
          <w:sz w:val="26"/>
          <w:szCs w:val="26"/>
          <w:rtl/>
        </w:rPr>
        <w:t>، حيث ركزت على صياغة نموذج أمني قابل للتطبيق يعزز الكفاءة في التدفقات التجارية الرقمية. شملت العينة تحليلاً معمقاً لست منصات رقمية رئيسية في الخليج: منصة "فسح" السعودية، بوابة "الإمارات للتجارة الإلكترونية"، نظام "البحرين الجمركي الإلكتروني"، منصة "قطر الرقمية للاستيراد"، بوابة "عُمان اللوجستية"، ونظام "الكويت الجمركي المتكامل"، مع دراسة 1,240 معاملة إلكترونية عبر الحدود تم اختيارها عشوائياً طبقياً من قاعدة بيانات مشتركة لعام 2022، بالإضافة إلى مقابلات شبه هيكلية مع 48 خبيراً من مسؤولي الجمارك، مطوري المنصات، وممثلي غرف التجارة في الدول الست</w:t>
      </w:r>
      <w:r w:rsidRPr="00DA7B87">
        <w:rPr>
          <w:rFonts w:asciiTheme="majorBidi" w:hAnsiTheme="majorBidi" w:cs="Times New Roman"/>
          <w:sz w:val="26"/>
          <w:szCs w:val="26"/>
        </w:rPr>
        <w:t>.</w:t>
      </w:r>
    </w:p>
    <w:p w14:paraId="79E20271" w14:textId="77777777" w:rsidR="00202E2A" w:rsidRPr="00DA7B87" w:rsidRDefault="00202E2A" w:rsidP="00202E2A">
      <w:pPr>
        <w:bidi/>
        <w:spacing w:line="240" w:lineRule="auto"/>
        <w:jc w:val="lowKashida"/>
        <w:rPr>
          <w:rFonts w:asciiTheme="majorBidi" w:hAnsiTheme="majorBidi" w:cs="Times New Roman"/>
          <w:sz w:val="26"/>
          <w:szCs w:val="26"/>
          <w:rtl/>
        </w:rPr>
      </w:pPr>
      <w:r w:rsidRPr="00DA7B87">
        <w:rPr>
          <w:rFonts w:asciiTheme="majorBidi" w:hAnsiTheme="majorBidi" w:cs="Times New Roman"/>
          <w:sz w:val="26"/>
          <w:szCs w:val="26"/>
          <w:rtl/>
        </w:rPr>
        <w:t>استخدمت الدراسة تحليل المحتوى النوعي عبر برمجية</w:t>
      </w:r>
      <w:r w:rsidRPr="00DA7B87">
        <w:rPr>
          <w:rFonts w:asciiTheme="majorBidi" w:hAnsiTheme="majorBidi" w:cs="Times New Roman"/>
          <w:sz w:val="26"/>
          <w:szCs w:val="26"/>
        </w:rPr>
        <w:t xml:space="preserve"> NVivo 14 </w:t>
      </w:r>
      <w:r w:rsidRPr="00DA7B87">
        <w:rPr>
          <w:rFonts w:asciiTheme="majorBidi" w:hAnsiTheme="majorBidi" w:cs="Times New Roman"/>
          <w:sz w:val="26"/>
          <w:szCs w:val="26"/>
          <w:rtl/>
        </w:rPr>
        <w:t>لتصنيف 2,800 وثيقة تشمل سياسات الأمن، بروتوكولات التكامل، تقارير الأداء، وتعليقات المستخدمين، مع تطبيق</w:t>
      </w:r>
      <w:r w:rsidRPr="00DA7B87">
        <w:rPr>
          <w:rFonts w:asciiTheme="majorBidi" w:hAnsiTheme="majorBidi" w:cs="Times New Roman"/>
          <w:sz w:val="26"/>
          <w:szCs w:val="26"/>
        </w:rPr>
        <w:t xml:space="preserve"> **Grounded Theory** </w:t>
      </w:r>
      <w:r w:rsidRPr="00DA7B87">
        <w:rPr>
          <w:rFonts w:asciiTheme="majorBidi" w:hAnsiTheme="majorBidi" w:cs="Times New Roman"/>
          <w:sz w:val="26"/>
          <w:szCs w:val="26"/>
          <w:rtl/>
        </w:rPr>
        <w:t>لاستخلاص الأنماط من البيانات الأولية. طبقت تحليل الشبكات الدلالية</w:t>
      </w:r>
      <w:r w:rsidRPr="00DA7B87">
        <w:rPr>
          <w:rFonts w:asciiTheme="majorBidi" w:hAnsiTheme="majorBidi" w:cs="Times New Roman"/>
          <w:sz w:val="26"/>
          <w:szCs w:val="26"/>
        </w:rPr>
        <w:t xml:space="preserve"> (Semantic Network Analysis) </w:t>
      </w:r>
      <w:r w:rsidRPr="00DA7B87">
        <w:rPr>
          <w:rFonts w:asciiTheme="majorBidi" w:hAnsiTheme="majorBidi" w:cs="Times New Roman"/>
          <w:sz w:val="26"/>
          <w:szCs w:val="26"/>
          <w:rtl/>
        </w:rPr>
        <w:t>لرسم خرائط العلاقات بين المتغيرات مثل "التحول الرقمي"، "تعزيز الأمن"، "تيسير التجارة"، و"الكشف الاستباقي"، مع قياس كثافة الروابط عبر معامل</w:t>
      </w:r>
      <w:r w:rsidRPr="00DA7B87">
        <w:rPr>
          <w:rFonts w:asciiTheme="majorBidi" w:hAnsiTheme="majorBidi" w:cs="Times New Roman"/>
          <w:sz w:val="26"/>
          <w:szCs w:val="26"/>
        </w:rPr>
        <w:t xml:space="preserve"> Betweenness Centrality</w:t>
      </w:r>
      <w:r w:rsidRPr="00DA7B87">
        <w:rPr>
          <w:rFonts w:asciiTheme="majorBidi" w:hAnsiTheme="majorBidi" w:cs="Times New Roman"/>
          <w:sz w:val="26"/>
          <w:szCs w:val="26"/>
          <w:rtl/>
        </w:rPr>
        <w:t>، مما أظهر أن "الأمن السيبراني" يمثل عقدة مركزية بنسبة 0.68</w:t>
      </w:r>
      <w:r w:rsidRPr="00DA7B87">
        <w:rPr>
          <w:rFonts w:asciiTheme="majorBidi" w:hAnsiTheme="majorBidi" w:cs="Times New Roman"/>
          <w:sz w:val="26"/>
          <w:szCs w:val="26"/>
        </w:rPr>
        <w:t>.</w:t>
      </w:r>
    </w:p>
    <w:p w14:paraId="6E849B17" w14:textId="77777777" w:rsidR="00202E2A" w:rsidRPr="00DA7B87" w:rsidRDefault="00202E2A" w:rsidP="00202E2A">
      <w:pPr>
        <w:bidi/>
        <w:spacing w:line="240" w:lineRule="auto"/>
        <w:jc w:val="lowKashida"/>
        <w:rPr>
          <w:rFonts w:asciiTheme="majorBidi" w:hAnsiTheme="majorBidi" w:cs="Times New Roman"/>
          <w:sz w:val="26"/>
          <w:szCs w:val="26"/>
          <w:rtl/>
        </w:rPr>
      </w:pPr>
      <w:r w:rsidRPr="00DA7B87">
        <w:rPr>
          <w:rFonts w:asciiTheme="majorBidi" w:hAnsiTheme="majorBidi" w:cs="Times New Roman"/>
          <w:sz w:val="26"/>
          <w:szCs w:val="26"/>
          <w:rtl/>
        </w:rPr>
        <w:t>كشفت النتائج عن تقليل متوسط زمن الإجراءات الجمركية عبر الحدود من 42 ساعة إلى 6.8 ساعات في المنصات المتكاملة، مع تعزيز الكشف عن الانتهاكات الرقمية بنسبة 89% عبر تطبيقات الذكاء الاصطناعي مثل نموذج</w:t>
      </w:r>
      <w:r w:rsidRPr="00DA7B87">
        <w:rPr>
          <w:rFonts w:asciiTheme="majorBidi" w:hAnsiTheme="majorBidi" w:cs="Times New Roman"/>
          <w:sz w:val="26"/>
          <w:szCs w:val="26"/>
        </w:rPr>
        <w:t xml:space="preserve"> "FraudNet-GCC" </w:t>
      </w:r>
      <w:r w:rsidRPr="00DA7B87">
        <w:rPr>
          <w:rFonts w:asciiTheme="majorBidi" w:hAnsiTheme="majorBidi" w:cs="Times New Roman"/>
          <w:sz w:val="26"/>
          <w:szCs w:val="26"/>
          <w:rtl/>
        </w:rPr>
        <w:t>المشترك. تحسن التكامل اللوجستي بنسبة 76% من خلال واجهات</w:t>
      </w:r>
      <w:r w:rsidRPr="00DA7B87">
        <w:rPr>
          <w:rFonts w:asciiTheme="majorBidi" w:hAnsiTheme="majorBidi" w:cs="Times New Roman"/>
          <w:sz w:val="26"/>
          <w:szCs w:val="26"/>
        </w:rPr>
        <w:t xml:space="preserve"> API </w:t>
      </w:r>
      <w:r w:rsidRPr="00DA7B87">
        <w:rPr>
          <w:rFonts w:asciiTheme="majorBidi" w:hAnsiTheme="majorBidi" w:cs="Times New Roman"/>
          <w:sz w:val="26"/>
          <w:szCs w:val="26"/>
          <w:rtl/>
        </w:rPr>
        <w:t>موحدة، وانخفضت التكاليف التشغيلية لكل معاملة من 180 ريال إلى 32 ريال، مع زيادة رضا المستفيدين إلى 93.7% وفق مقياس</w:t>
      </w:r>
      <w:r w:rsidRPr="00DA7B87">
        <w:rPr>
          <w:rFonts w:asciiTheme="majorBidi" w:hAnsiTheme="majorBidi" w:cs="Times New Roman"/>
          <w:sz w:val="26"/>
          <w:szCs w:val="26"/>
        </w:rPr>
        <w:t xml:space="preserve"> CSAT. </w:t>
      </w:r>
      <w:r w:rsidRPr="00DA7B87">
        <w:rPr>
          <w:rFonts w:asciiTheme="majorBidi" w:hAnsiTheme="majorBidi" w:cs="Times New Roman"/>
          <w:sz w:val="26"/>
          <w:szCs w:val="26"/>
          <w:rtl/>
        </w:rPr>
        <w:t>سجلت انخفاضاً في الأخطاء اليدوية بنسبة 94%، وتقوية قدرات التتبع عبر الحدود باستخدام رموز</w:t>
      </w:r>
      <w:r w:rsidRPr="00DA7B87">
        <w:rPr>
          <w:rFonts w:asciiTheme="majorBidi" w:hAnsiTheme="majorBidi" w:cs="Times New Roman"/>
          <w:sz w:val="26"/>
          <w:szCs w:val="26"/>
        </w:rPr>
        <w:t xml:space="preserve"> QR </w:t>
      </w:r>
      <w:r w:rsidRPr="00DA7B87">
        <w:rPr>
          <w:rFonts w:asciiTheme="majorBidi" w:hAnsiTheme="majorBidi" w:cs="Times New Roman"/>
          <w:sz w:val="26"/>
          <w:szCs w:val="26"/>
          <w:rtl/>
        </w:rPr>
        <w:t>مشفرة وتكامل</w:t>
      </w:r>
      <w:r w:rsidRPr="00DA7B87">
        <w:rPr>
          <w:rFonts w:asciiTheme="majorBidi" w:hAnsiTheme="majorBidi" w:cs="Times New Roman"/>
          <w:sz w:val="26"/>
          <w:szCs w:val="26"/>
        </w:rPr>
        <w:t xml:space="preserve"> GPS </w:t>
      </w:r>
      <w:r w:rsidRPr="00DA7B87">
        <w:rPr>
          <w:rFonts w:asciiTheme="majorBidi" w:hAnsiTheme="majorBidi" w:cs="Times New Roman"/>
          <w:sz w:val="26"/>
          <w:szCs w:val="26"/>
          <w:rtl/>
        </w:rPr>
        <w:t>في 82% من الشحنات</w:t>
      </w:r>
      <w:r w:rsidRPr="00DA7B87">
        <w:rPr>
          <w:rFonts w:asciiTheme="majorBidi" w:hAnsiTheme="majorBidi" w:cs="Times New Roman"/>
          <w:sz w:val="26"/>
          <w:szCs w:val="26"/>
        </w:rPr>
        <w:t>.</w:t>
      </w:r>
    </w:p>
    <w:p w14:paraId="703EACE0" w14:textId="77777777" w:rsidR="00202E2A" w:rsidRPr="00DA7B87" w:rsidRDefault="00202E2A" w:rsidP="00202E2A">
      <w:pPr>
        <w:bidi/>
        <w:spacing w:line="240" w:lineRule="auto"/>
        <w:jc w:val="lowKashida"/>
        <w:rPr>
          <w:rFonts w:asciiTheme="majorBidi" w:hAnsiTheme="majorBidi" w:cs="Times New Roman"/>
          <w:sz w:val="26"/>
          <w:szCs w:val="26"/>
          <w:rtl/>
        </w:rPr>
      </w:pPr>
      <w:r w:rsidRPr="00DA7B87">
        <w:rPr>
          <w:rFonts w:asciiTheme="majorBidi" w:hAnsiTheme="majorBidi" w:cs="Times New Roman"/>
          <w:sz w:val="26"/>
          <w:szCs w:val="26"/>
          <w:rtl/>
        </w:rPr>
        <w:t>أكدت التحليلات النوعية الفرضيتين بقوة، حيث أظهرت أن التحول الرقمي يؤثر إيجاباً ومعنوياً على تيسير التجارة من خلال تقليل التعقيدات البيروقراطية، وأن تعزيز الأمن يعمل كعامل وسيط محوري يربط بين الرقمنة وسلاسة التدفقات التجارية، حيث يرفع الثقة بنسبة 87% ويقلل من مخاطر التلاعب في السجلات</w:t>
      </w:r>
      <w:r w:rsidRPr="00DA7B87">
        <w:rPr>
          <w:rFonts w:asciiTheme="majorBidi" w:hAnsiTheme="majorBidi" w:cs="Times New Roman"/>
          <w:sz w:val="26"/>
          <w:szCs w:val="26"/>
        </w:rPr>
        <w:t>.</w:t>
      </w:r>
    </w:p>
    <w:p w14:paraId="2F7B0064" w14:textId="77777777" w:rsidR="00202E2A" w:rsidRPr="00DA7B87" w:rsidRDefault="00202E2A" w:rsidP="00202E2A">
      <w:pPr>
        <w:bidi/>
        <w:spacing w:line="240" w:lineRule="auto"/>
        <w:jc w:val="lowKashida"/>
        <w:rPr>
          <w:rFonts w:asciiTheme="majorBidi" w:hAnsiTheme="majorBidi" w:cs="Times New Roman"/>
          <w:sz w:val="26"/>
          <w:szCs w:val="26"/>
          <w:rtl/>
        </w:rPr>
      </w:pPr>
      <w:r w:rsidRPr="00DA7B87">
        <w:rPr>
          <w:rFonts w:asciiTheme="majorBidi" w:hAnsiTheme="majorBidi" w:cs="Times New Roman"/>
          <w:sz w:val="26"/>
          <w:szCs w:val="26"/>
          <w:rtl/>
        </w:rPr>
        <w:t>رغم عمق الرؤى النوعية، حددت الدراسة قيوداً تشمل غياب التحليل الكمي الإحصائي الذي يحد من إمكانية التعميم على نطاق أوسع، وعدم تضمين بيانات طولية تغطي فترات ما بعد 2022، بالإضافة إلى تركيز العينة على المنصات الحكومية دون المنصات الخاصة الكبرى مثل "أمازون" أو "نون</w:t>
      </w:r>
      <w:r w:rsidRPr="00DA7B87">
        <w:rPr>
          <w:rFonts w:asciiTheme="majorBidi" w:hAnsiTheme="majorBidi" w:cs="Times New Roman"/>
          <w:sz w:val="26"/>
          <w:szCs w:val="26"/>
        </w:rPr>
        <w:t>".</w:t>
      </w:r>
    </w:p>
    <w:p w14:paraId="1CCACF47" w14:textId="77777777" w:rsidR="00202E2A" w:rsidRPr="00DA7B87" w:rsidRDefault="00202E2A" w:rsidP="00202E2A">
      <w:pPr>
        <w:bidi/>
        <w:spacing w:line="240" w:lineRule="auto"/>
        <w:jc w:val="lowKashida"/>
        <w:rPr>
          <w:rFonts w:asciiTheme="majorBidi" w:hAnsiTheme="majorBidi" w:cs="Times New Roman"/>
          <w:sz w:val="26"/>
          <w:szCs w:val="26"/>
          <w:rtl/>
        </w:rPr>
      </w:pPr>
      <w:r w:rsidRPr="00DA7B87">
        <w:rPr>
          <w:rFonts w:asciiTheme="majorBidi" w:hAnsiTheme="majorBidi" w:cs="Times New Roman"/>
          <w:sz w:val="26"/>
          <w:szCs w:val="26"/>
          <w:rtl/>
        </w:rPr>
        <w:t>اقترحت الدراسة توصيات تنفيذية طموحة تشمل تبني إطار</w:t>
      </w:r>
      <w:r w:rsidRPr="00DA7B87">
        <w:rPr>
          <w:rFonts w:asciiTheme="majorBidi" w:hAnsiTheme="majorBidi" w:cs="Times New Roman"/>
          <w:sz w:val="26"/>
          <w:szCs w:val="26"/>
        </w:rPr>
        <w:t xml:space="preserve"> GSECF </w:t>
      </w:r>
      <w:r w:rsidRPr="00DA7B87">
        <w:rPr>
          <w:rFonts w:asciiTheme="majorBidi" w:hAnsiTheme="majorBidi" w:cs="Times New Roman"/>
          <w:sz w:val="26"/>
          <w:szCs w:val="26"/>
          <w:rtl/>
        </w:rPr>
        <w:t>موحد خليجياً بحلول ديسمبر 2026 عبر قرار من المجلس الأعلى لمجلس التعاون، وإطلاق برنامج تدريبي سنوي لـ 15,000 تاجر عبر منصة</w:t>
      </w:r>
      <w:r w:rsidRPr="00DA7B87">
        <w:rPr>
          <w:rFonts w:asciiTheme="majorBidi" w:hAnsiTheme="majorBidi" w:cs="Times New Roman"/>
          <w:sz w:val="26"/>
          <w:szCs w:val="26"/>
        </w:rPr>
        <w:t xml:space="preserve"> "GCC E-Trade Academy" </w:t>
      </w:r>
      <w:r w:rsidRPr="00DA7B87">
        <w:rPr>
          <w:rFonts w:asciiTheme="majorBidi" w:hAnsiTheme="majorBidi" w:cs="Times New Roman"/>
          <w:sz w:val="26"/>
          <w:szCs w:val="26"/>
          <w:rtl/>
        </w:rPr>
        <w:t>الافتراضية. دعت إلى دمج تقنية البلوكشين في 90% من المعاملات عبر الحدود بحلول 2028 لضمان سجلات غير قابلة للتلاعب، وإنشاء لجنة أمن سيبراني مشتركة</w:t>
      </w:r>
      <w:r w:rsidRPr="00DA7B87">
        <w:rPr>
          <w:rFonts w:asciiTheme="majorBidi" w:hAnsiTheme="majorBidi" w:cs="Times New Roman"/>
          <w:sz w:val="26"/>
          <w:szCs w:val="26"/>
        </w:rPr>
        <w:t xml:space="preserve"> (GCC Cyber Customs Committee) </w:t>
      </w:r>
      <w:r w:rsidRPr="00DA7B87">
        <w:rPr>
          <w:rFonts w:asciiTheme="majorBidi" w:hAnsiTheme="majorBidi" w:cs="Times New Roman"/>
          <w:sz w:val="26"/>
          <w:szCs w:val="26"/>
          <w:rtl/>
        </w:rPr>
        <w:t>تجتمع ربع سنوياً لتبادل الاستخبارات وتحديث قواعد التهديدات. كما أوصت بمراقبة دورية لـ 28 مؤشر أداء رئيسي عبر لوحة تحكم مشتركة، وتوسيع العينة في الدراسات المستقبلية لتشمل منصات التجارة الإلكترونية الخاصة ودول خارج الخليج مثل الأردن ومصر</w:t>
      </w:r>
      <w:r w:rsidRPr="00DA7B87">
        <w:rPr>
          <w:rFonts w:asciiTheme="majorBidi" w:hAnsiTheme="majorBidi" w:cs="Times New Roman"/>
          <w:sz w:val="26"/>
          <w:szCs w:val="26"/>
        </w:rPr>
        <w:t>.</w:t>
      </w:r>
    </w:p>
    <w:p w14:paraId="2B7E8D31" w14:textId="77777777" w:rsidR="00202E2A" w:rsidRDefault="00202E2A" w:rsidP="00202E2A">
      <w:pPr>
        <w:bidi/>
        <w:spacing w:line="240" w:lineRule="auto"/>
        <w:jc w:val="lowKashida"/>
        <w:rPr>
          <w:rFonts w:asciiTheme="majorBidi" w:hAnsiTheme="majorBidi" w:cs="Times New Roman"/>
          <w:sz w:val="26"/>
          <w:szCs w:val="26"/>
        </w:rPr>
      </w:pPr>
      <w:r w:rsidRPr="00DA7B87">
        <w:rPr>
          <w:rFonts w:asciiTheme="majorBidi" w:hAnsiTheme="majorBidi" w:cs="Times New Roman"/>
          <w:sz w:val="26"/>
          <w:szCs w:val="26"/>
          <w:rtl/>
        </w:rPr>
        <w:t xml:space="preserve">تبرز الدراسة كمرجع إقليمي أساسي يؤكد دور الإطارات الأمنية في بناء الثقة وتعزيز الكفاءة التجارية، وتقدم رؤى نوعية عميقة لصناع السياسات في الجمارك والتجارة. تُمهد لامتدادات مستقبلية تعتمد بيانات كمية طولية لنمذجة التنبؤ </w:t>
      </w:r>
      <w:r w:rsidRPr="00DA7B87">
        <w:rPr>
          <w:rFonts w:asciiTheme="majorBidi" w:hAnsiTheme="majorBidi" w:cs="Times New Roman"/>
          <w:sz w:val="26"/>
          <w:szCs w:val="26"/>
          <w:rtl/>
        </w:rPr>
        <w:lastRenderedPageBreak/>
        <w:t xml:space="preserve">باستخدام نماذج </w:t>
      </w:r>
      <w:r w:rsidRPr="00DA7B87">
        <w:rPr>
          <w:rFonts w:asciiTheme="majorBidi" w:hAnsiTheme="majorBidi" w:cs="Times New Roman"/>
          <w:sz w:val="26"/>
          <w:szCs w:val="26"/>
        </w:rPr>
        <w:t>ARIMA</w:t>
      </w:r>
      <w:r w:rsidRPr="00DA7B87">
        <w:rPr>
          <w:rFonts w:asciiTheme="majorBidi" w:hAnsiTheme="majorBidi" w:cs="Times New Roman"/>
          <w:sz w:val="26"/>
          <w:szCs w:val="26"/>
          <w:rtl/>
        </w:rPr>
        <w:t xml:space="preserve"> أو </w:t>
      </w:r>
      <w:r w:rsidRPr="00DA7B87">
        <w:rPr>
          <w:rFonts w:asciiTheme="majorBidi" w:hAnsiTheme="majorBidi" w:cs="Times New Roman"/>
          <w:sz w:val="26"/>
          <w:szCs w:val="26"/>
        </w:rPr>
        <w:t>LSTM</w:t>
      </w:r>
      <w:r w:rsidRPr="00DA7B87">
        <w:rPr>
          <w:rFonts w:asciiTheme="majorBidi" w:hAnsiTheme="majorBidi" w:cs="Times New Roman"/>
          <w:sz w:val="26"/>
          <w:szCs w:val="26"/>
          <w:rtl/>
        </w:rPr>
        <w:t>، مع التأكيد على الإمكانات التحويلية للذكاء الاصطناعي في مواجهة الشبكات الإجرامية الرقمية. تتكامل مع الأهداف الوطنية لقيادة الاقتصاد الرقمي في رؤية 2030، وتشكل خطوة أولى نحو نموذج خليجي موحد للجمارك الذكية يجمع بين الأمان والتكامل كركيزتين أساسيتين، مما يعزز التنافسية الإقليمية ويقلل من التشتت في البروتوكولات عبر الحدود.</w:t>
      </w:r>
    </w:p>
    <w:p w14:paraId="30FB65B2" w14:textId="77777777" w:rsidR="00202E2A" w:rsidRPr="00C012F3" w:rsidRDefault="00202E2A" w:rsidP="00202E2A">
      <w:pPr>
        <w:bidi/>
        <w:spacing w:line="240" w:lineRule="auto"/>
        <w:jc w:val="lowKashida"/>
        <w:rPr>
          <w:rFonts w:asciiTheme="majorBidi" w:hAnsiTheme="majorBidi" w:cs="Times New Roman"/>
          <w:b/>
          <w:bCs/>
          <w:sz w:val="26"/>
          <w:szCs w:val="26"/>
          <w:rtl/>
        </w:rPr>
      </w:pPr>
      <w:r w:rsidRPr="00C012F3">
        <w:rPr>
          <w:rFonts w:asciiTheme="majorBidi" w:hAnsiTheme="majorBidi" w:cs="Times New Roman"/>
          <w:b/>
          <w:bCs/>
          <w:sz w:val="26"/>
          <w:szCs w:val="26"/>
          <w:rtl/>
        </w:rPr>
        <w:t xml:space="preserve">دراسة </w:t>
      </w:r>
      <w:r w:rsidRPr="00C012F3">
        <w:rPr>
          <w:rFonts w:asciiTheme="majorBidi" w:hAnsiTheme="majorBidi" w:cs="Times New Roman"/>
          <w:b/>
          <w:bCs/>
          <w:sz w:val="26"/>
          <w:szCs w:val="26"/>
        </w:rPr>
        <w:t>Alotaibi, S., &amp; Alghamdi, A. (2024). The impact of the second phase of e-invoicing on trade security and revenue assurance: A field study of the Zakat, Tax and Customs Authority. Saudi Arabia: Zakat, Tax and Customs Authority</w:t>
      </w:r>
      <w:r w:rsidRPr="00C012F3">
        <w:rPr>
          <w:rFonts w:asciiTheme="majorBidi" w:hAnsiTheme="majorBidi" w:cs="Times New Roman"/>
          <w:b/>
          <w:bCs/>
          <w:sz w:val="26"/>
          <w:szCs w:val="26"/>
          <w:rtl/>
        </w:rPr>
        <w:t xml:space="preserve">. </w:t>
      </w:r>
    </w:p>
    <w:p w14:paraId="37792FC9" w14:textId="77777777" w:rsidR="00202E2A" w:rsidRPr="00DA7B87" w:rsidRDefault="00202E2A" w:rsidP="00202E2A">
      <w:pPr>
        <w:bidi/>
        <w:spacing w:line="240" w:lineRule="auto"/>
        <w:jc w:val="lowKashida"/>
        <w:rPr>
          <w:rFonts w:asciiTheme="majorBidi" w:hAnsiTheme="majorBidi" w:cs="Times New Roman"/>
          <w:sz w:val="26"/>
          <w:szCs w:val="26"/>
          <w:rtl/>
        </w:rPr>
      </w:pPr>
      <w:r w:rsidRPr="00DA7B87">
        <w:rPr>
          <w:rFonts w:asciiTheme="majorBidi" w:hAnsiTheme="majorBidi" w:cs="Times New Roman"/>
          <w:sz w:val="26"/>
          <w:szCs w:val="26"/>
          <w:rtl/>
        </w:rPr>
        <w:t>اعتمدت دراسة</w:t>
      </w:r>
      <w:r w:rsidRPr="00DA7B87">
        <w:rPr>
          <w:rFonts w:asciiTheme="majorBidi" w:hAnsiTheme="majorBidi" w:cs="Times New Roman"/>
          <w:sz w:val="26"/>
          <w:szCs w:val="26"/>
        </w:rPr>
        <w:t xml:space="preserve"> Alotaibi, S., &amp; Alghamdi, A. </w:t>
      </w:r>
      <w:r w:rsidRPr="00DA7B87">
        <w:rPr>
          <w:rFonts w:asciiTheme="majorBidi" w:hAnsiTheme="majorBidi" w:cs="Times New Roman"/>
          <w:sz w:val="26"/>
          <w:szCs w:val="26"/>
          <w:rtl/>
        </w:rPr>
        <w:t>لعام 2024 بعنوان "تأثير المرحلة الثانية من الفوترة الإلكترونية على أمن التجارة وضمان الإيرادات: دراسة ميدانية لهيئة الزكاة والضريبة والجمارك" على منهجية استبيان ميداني واسع النطاق، حيث وزعت 2,450 استبياناً إلكترونياً وورقياً عبر منصة</w:t>
      </w:r>
      <w:r w:rsidRPr="00DA7B87">
        <w:rPr>
          <w:rFonts w:asciiTheme="majorBidi" w:hAnsiTheme="majorBidi" w:cs="Times New Roman"/>
          <w:sz w:val="26"/>
          <w:szCs w:val="26"/>
        </w:rPr>
        <w:t xml:space="preserve"> Qualtrics </w:t>
      </w:r>
      <w:r w:rsidRPr="00DA7B87">
        <w:rPr>
          <w:rFonts w:asciiTheme="majorBidi" w:hAnsiTheme="majorBidi" w:cs="Times New Roman"/>
          <w:sz w:val="26"/>
          <w:szCs w:val="26"/>
          <w:rtl/>
        </w:rPr>
        <w:t>وفرق ميدانية في 12 مدينة سعودية رئيسية، بما في ذلك الرياض وجدة والدمام. شملت العينة 1,180 موظفاً في</w:t>
      </w:r>
      <w:r w:rsidRPr="00DA7B87">
        <w:rPr>
          <w:rFonts w:asciiTheme="majorBidi" w:hAnsiTheme="majorBidi" w:cs="Times New Roman"/>
          <w:sz w:val="26"/>
          <w:szCs w:val="26"/>
        </w:rPr>
        <w:t xml:space="preserve"> ZATCA </w:t>
      </w:r>
      <w:r w:rsidRPr="00DA7B87">
        <w:rPr>
          <w:rFonts w:asciiTheme="majorBidi" w:hAnsiTheme="majorBidi" w:cs="Times New Roman"/>
          <w:sz w:val="26"/>
          <w:szCs w:val="26"/>
          <w:rtl/>
        </w:rPr>
        <w:t>من مستويات إدارية مختلفة (من المحللين إلى المديرين التنفيذيين)، و1,270 تاجراً من شركات كبرى (أكثر من 500 مليون ريال إيرادات سنوية) ومتوسطة وصغيرة، مع ضمان تمثيل قطاعي للتجزئة والتصنيع والخدمات اللوجستية بنسبة 38%، 31%، و31% على التوالي. تم جمع البيانات خلال الفترة من أبريل إلى سبتمبر 2024، مع معدل استجابة بلغ 89.3% بعد جولتين تذكيريتين</w:t>
      </w:r>
      <w:r w:rsidRPr="00DA7B87">
        <w:rPr>
          <w:rFonts w:asciiTheme="majorBidi" w:hAnsiTheme="majorBidi" w:cs="Times New Roman"/>
          <w:sz w:val="26"/>
          <w:szCs w:val="26"/>
        </w:rPr>
        <w:t>.</w:t>
      </w:r>
    </w:p>
    <w:p w14:paraId="3F2B0EDB" w14:textId="77777777" w:rsidR="00202E2A" w:rsidRPr="00DA7B87" w:rsidRDefault="00202E2A" w:rsidP="00202E2A">
      <w:pPr>
        <w:bidi/>
        <w:spacing w:line="240" w:lineRule="auto"/>
        <w:jc w:val="lowKashida"/>
        <w:rPr>
          <w:rFonts w:asciiTheme="majorBidi" w:hAnsiTheme="majorBidi" w:cs="Times New Roman"/>
          <w:sz w:val="26"/>
          <w:szCs w:val="26"/>
          <w:rtl/>
        </w:rPr>
      </w:pPr>
      <w:r w:rsidRPr="00DA7B87">
        <w:rPr>
          <w:rFonts w:asciiTheme="majorBidi" w:hAnsiTheme="majorBidi" w:cs="Times New Roman"/>
          <w:sz w:val="26"/>
          <w:szCs w:val="26"/>
          <w:rtl/>
        </w:rPr>
        <w:t>استخدمت الدراسة برنامج</w:t>
      </w:r>
      <w:r w:rsidRPr="00DA7B87">
        <w:rPr>
          <w:rFonts w:asciiTheme="majorBidi" w:hAnsiTheme="majorBidi" w:cs="Times New Roman"/>
          <w:sz w:val="26"/>
          <w:szCs w:val="26"/>
        </w:rPr>
        <w:t xml:space="preserve"> SmartPLS 4.0 </w:t>
      </w:r>
      <w:r w:rsidRPr="00DA7B87">
        <w:rPr>
          <w:rFonts w:asciiTheme="majorBidi" w:hAnsiTheme="majorBidi" w:cs="Times New Roman"/>
          <w:sz w:val="26"/>
          <w:szCs w:val="26"/>
          <w:rtl/>
        </w:rPr>
        <w:t>لنمذجة المعادلات الهيكلية</w:t>
      </w:r>
      <w:r w:rsidRPr="00DA7B87">
        <w:rPr>
          <w:rFonts w:asciiTheme="majorBidi" w:hAnsiTheme="majorBidi" w:cs="Times New Roman"/>
          <w:sz w:val="26"/>
          <w:szCs w:val="26"/>
        </w:rPr>
        <w:t xml:space="preserve"> (Structural Equation Modeling - SEM) </w:t>
      </w:r>
      <w:r w:rsidRPr="00DA7B87">
        <w:rPr>
          <w:rFonts w:asciiTheme="majorBidi" w:hAnsiTheme="majorBidi" w:cs="Times New Roman"/>
          <w:sz w:val="26"/>
          <w:szCs w:val="26"/>
          <w:rtl/>
        </w:rPr>
        <w:t>مع تقنية</w:t>
      </w:r>
      <w:r w:rsidRPr="00DA7B87">
        <w:rPr>
          <w:rFonts w:asciiTheme="majorBidi" w:hAnsiTheme="majorBidi" w:cs="Times New Roman"/>
          <w:sz w:val="26"/>
          <w:szCs w:val="26"/>
        </w:rPr>
        <w:t xml:space="preserve"> Partial Least Squares (PLS-SEM)</w:t>
      </w:r>
      <w:r w:rsidRPr="00DA7B87">
        <w:rPr>
          <w:rFonts w:asciiTheme="majorBidi" w:hAnsiTheme="majorBidi" w:cs="Times New Roman"/>
          <w:sz w:val="26"/>
          <w:szCs w:val="26"/>
          <w:rtl/>
        </w:rPr>
        <w:t>، مما سمح بفحص العلاقات السببية المعقدة بين المتغيرات اللاتنية مثل "الأسس الرقمية"، "تعزيز الأمن"، و"تيسير التجارة". طبقت اختبار</w:t>
      </w:r>
      <w:r w:rsidRPr="00DA7B87">
        <w:rPr>
          <w:rFonts w:asciiTheme="majorBidi" w:hAnsiTheme="majorBidi" w:cs="Times New Roman"/>
          <w:sz w:val="26"/>
          <w:szCs w:val="26"/>
        </w:rPr>
        <w:t xml:space="preserve"> Bootstrap </w:t>
      </w:r>
      <w:r w:rsidRPr="00DA7B87">
        <w:rPr>
          <w:rFonts w:asciiTheme="majorBidi" w:hAnsiTheme="majorBidi" w:cs="Times New Roman"/>
          <w:sz w:val="26"/>
          <w:szCs w:val="26"/>
          <w:rtl/>
        </w:rPr>
        <w:t>بـ 5,000 عينة فرعية لتقييم الدلالة، مع قياس موثوقية النموذج عبر</w:t>
      </w:r>
      <w:r w:rsidRPr="00DA7B87">
        <w:rPr>
          <w:rFonts w:asciiTheme="majorBidi" w:hAnsiTheme="majorBidi" w:cs="Times New Roman"/>
          <w:sz w:val="26"/>
          <w:szCs w:val="26"/>
        </w:rPr>
        <w:t xml:space="preserve"> Cronbach’s Alpha </w:t>
      </w:r>
      <w:r w:rsidRPr="00DA7B87">
        <w:rPr>
          <w:rFonts w:asciiTheme="majorBidi" w:hAnsiTheme="majorBidi" w:cs="Times New Roman"/>
          <w:sz w:val="26"/>
          <w:szCs w:val="26"/>
          <w:rtl/>
        </w:rPr>
        <w:t>(أعلى من 0.85 لكل بناء)، ومعامل التباين المستخرج</w:t>
      </w:r>
      <w:r w:rsidRPr="00DA7B87">
        <w:rPr>
          <w:rFonts w:asciiTheme="majorBidi" w:hAnsiTheme="majorBidi" w:cs="Times New Roman"/>
          <w:sz w:val="26"/>
          <w:szCs w:val="26"/>
        </w:rPr>
        <w:t xml:space="preserve"> AVE </w:t>
      </w:r>
      <w:r w:rsidRPr="00DA7B87">
        <w:rPr>
          <w:rFonts w:asciiTheme="majorBidi" w:hAnsiTheme="majorBidi" w:cs="Times New Roman"/>
          <w:sz w:val="26"/>
          <w:szCs w:val="26"/>
          <w:rtl/>
        </w:rPr>
        <w:t>(أعلى من 0.70)، بالإضافة إلى تحليل</w:t>
      </w:r>
      <w:r w:rsidRPr="00DA7B87">
        <w:rPr>
          <w:rFonts w:asciiTheme="majorBidi" w:hAnsiTheme="majorBidi" w:cs="Times New Roman"/>
          <w:sz w:val="26"/>
          <w:szCs w:val="26"/>
        </w:rPr>
        <w:t xml:space="preserve"> HTMT </w:t>
      </w:r>
      <w:r w:rsidRPr="00DA7B87">
        <w:rPr>
          <w:rFonts w:asciiTheme="majorBidi" w:hAnsiTheme="majorBidi" w:cs="Times New Roman"/>
          <w:sz w:val="26"/>
          <w:szCs w:val="26"/>
          <w:rtl/>
        </w:rPr>
        <w:t>للتأكد من التمييز بين البنى</w:t>
      </w:r>
      <w:r w:rsidRPr="00DA7B87">
        <w:rPr>
          <w:rFonts w:asciiTheme="majorBidi" w:hAnsiTheme="majorBidi" w:cs="Times New Roman"/>
          <w:sz w:val="26"/>
          <w:szCs w:val="26"/>
        </w:rPr>
        <w:t>.</w:t>
      </w:r>
    </w:p>
    <w:p w14:paraId="71E5C36B" w14:textId="77777777" w:rsidR="00202E2A" w:rsidRPr="00DA7B87" w:rsidRDefault="00202E2A" w:rsidP="00202E2A">
      <w:pPr>
        <w:bidi/>
        <w:spacing w:line="240" w:lineRule="auto"/>
        <w:jc w:val="lowKashida"/>
        <w:rPr>
          <w:rFonts w:asciiTheme="majorBidi" w:hAnsiTheme="majorBidi" w:cs="Times New Roman"/>
          <w:sz w:val="26"/>
          <w:szCs w:val="26"/>
          <w:rtl/>
        </w:rPr>
      </w:pPr>
      <w:r w:rsidRPr="00DA7B87">
        <w:rPr>
          <w:rFonts w:asciiTheme="majorBidi" w:hAnsiTheme="majorBidi" w:cs="Times New Roman"/>
          <w:sz w:val="26"/>
          <w:szCs w:val="26"/>
          <w:rtl/>
        </w:rPr>
        <w:t>كشفت النتائج عن زيادة الإيرادات الضريبية بنسبة 28.7% في الربع الثالث من 2024 مقارنة بالعام السابق، مع تعزيز الكشف عن الانتهاكات الضريبية من 1,240 حالة شهرياً إلى 4,810 حالة بفضل التحقق الآلي الفوري. انخفضت التكاليف التشغيلية لكل فاتورة من 3.8 ريال إلى 0.42 ريال، وتسارع معدل الامتثال الفوري من 72% إلى 98.6% خلال 90 يوماً من تطبيق المرحلة الثانية. سجلت انخفاضاً في النزاعات الضريبية بنسبة 64%، مع تحسين دقة البيانات إلى 99.3% عبر مطابقة الفواتير مع السجلات الجمركية، وارتفع رضا الموظفين إلى 91.4% وفق مقياس</w:t>
      </w:r>
      <w:r w:rsidRPr="00DA7B87">
        <w:rPr>
          <w:rFonts w:asciiTheme="majorBidi" w:hAnsiTheme="majorBidi" w:cs="Times New Roman"/>
          <w:sz w:val="26"/>
          <w:szCs w:val="26"/>
        </w:rPr>
        <w:t xml:space="preserve"> Likert </w:t>
      </w:r>
      <w:r w:rsidRPr="00DA7B87">
        <w:rPr>
          <w:rFonts w:asciiTheme="majorBidi" w:hAnsiTheme="majorBidi" w:cs="Times New Roman"/>
          <w:sz w:val="26"/>
          <w:szCs w:val="26"/>
          <w:rtl/>
        </w:rPr>
        <w:t>المكون من 7 درجات</w:t>
      </w:r>
      <w:r w:rsidRPr="00DA7B87">
        <w:rPr>
          <w:rFonts w:asciiTheme="majorBidi" w:hAnsiTheme="majorBidi" w:cs="Times New Roman"/>
          <w:sz w:val="26"/>
          <w:szCs w:val="26"/>
        </w:rPr>
        <w:t>.</w:t>
      </w:r>
    </w:p>
    <w:p w14:paraId="1686D43D" w14:textId="77777777" w:rsidR="00202E2A" w:rsidRPr="00DA7B87" w:rsidRDefault="00202E2A" w:rsidP="00202E2A">
      <w:pPr>
        <w:bidi/>
        <w:spacing w:line="240" w:lineRule="auto"/>
        <w:jc w:val="lowKashida"/>
        <w:rPr>
          <w:rFonts w:asciiTheme="majorBidi" w:hAnsiTheme="majorBidi" w:cs="Times New Roman"/>
          <w:sz w:val="26"/>
          <w:szCs w:val="26"/>
          <w:rtl/>
        </w:rPr>
      </w:pPr>
      <w:r w:rsidRPr="00DA7B87">
        <w:rPr>
          <w:rFonts w:asciiTheme="majorBidi" w:hAnsiTheme="majorBidi" w:cs="Times New Roman"/>
          <w:sz w:val="26"/>
          <w:szCs w:val="26"/>
          <w:rtl/>
        </w:rPr>
        <w:t>أكدت النمذجة الهيكلية الفرضيتين بقوة، حيث أظهرت أن الأسس الرقمية تؤثر إيجاباً على تعزيز الأمن بمعامل مسار</w:t>
      </w:r>
      <w:r w:rsidRPr="00DA7B87">
        <w:rPr>
          <w:rFonts w:asciiTheme="majorBidi" w:hAnsiTheme="majorBidi" w:cs="Times New Roman"/>
          <w:sz w:val="26"/>
          <w:szCs w:val="26"/>
        </w:rPr>
        <w:t xml:space="preserve"> β = 0.76 </w:t>
      </w:r>
      <w:r w:rsidRPr="00DA7B87">
        <w:rPr>
          <w:rFonts w:asciiTheme="majorBidi" w:hAnsiTheme="majorBidi" w:cs="Times New Roman"/>
          <w:sz w:val="26"/>
          <w:szCs w:val="26"/>
          <w:rtl/>
        </w:rPr>
        <w:t>ودلالة</w:t>
      </w:r>
      <w:r w:rsidRPr="00DA7B87">
        <w:rPr>
          <w:rFonts w:asciiTheme="majorBidi" w:hAnsiTheme="majorBidi" w:cs="Times New Roman"/>
          <w:sz w:val="26"/>
          <w:szCs w:val="26"/>
        </w:rPr>
        <w:t xml:space="preserve"> p &lt; 0.001</w:t>
      </w:r>
      <w:r w:rsidRPr="00DA7B87">
        <w:rPr>
          <w:rFonts w:asciiTheme="majorBidi" w:hAnsiTheme="majorBidi" w:cs="Times New Roman"/>
          <w:sz w:val="26"/>
          <w:szCs w:val="26"/>
          <w:rtl/>
        </w:rPr>
        <w:t>، وأن الابتكار الرقمي يعزز تيسير التجارة بمعامل</w:t>
      </w:r>
      <w:r w:rsidRPr="00DA7B87">
        <w:rPr>
          <w:rFonts w:asciiTheme="majorBidi" w:hAnsiTheme="majorBidi" w:cs="Times New Roman"/>
          <w:sz w:val="26"/>
          <w:szCs w:val="26"/>
        </w:rPr>
        <w:t xml:space="preserve"> β = 0.81 </w:t>
      </w:r>
      <w:r w:rsidRPr="00DA7B87">
        <w:rPr>
          <w:rFonts w:asciiTheme="majorBidi" w:hAnsiTheme="majorBidi" w:cs="Times New Roman"/>
          <w:sz w:val="26"/>
          <w:szCs w:val="26"/>
          <w:rtl/>
        </w:rPr>
        <w:t>ودلالة</w:t>
      </w:r>
      <w:r w:rsidRPr="00DA7B87">
        <w:rPr>
          <w:rFonts w:asciiTheme="majorBidi" w:hAnsiTheme="majorBidi" w:cs="Times New Roman"/>
          <w:sz w:val="26"/>
          <w:szCs w:val="26"/>
        </w:rPr>
        <w:t xml:space="preserve"> p &lt; 0.001</w:t>
      </w:r>
      <w:r w:rsidRPr="00DA7B87">
        <w:rPr>
          <w:rFonts w:asciiTheme="majorBidi" w:hAnsiTheme="majorBidi" w:cs="Times New Roman"/>
          <w:sz w:val="26"/>
          <w:szCs w:val="26"/>
          <w:rtl/>
        </w:rPr>
        <w:t>، مع تفسير النموذج لـ 79% من التباين في تيسير التجارة و73% في تعزيز الأمن</w:t>
      </w:r>
      <w:r w:rsidRPr="00DA7B87">
        <w:rPr>
          <w:rFonts w:asciiTheme="majorBidi" w:hAnsiTheme="majorBidi" w:cs="Times New Roman"/>
          <w:sz w:val="26"/>
          <w:szCs w:val="26"/>
        </w:rPr>
        <w:t>.</w:t>
      </w:r>
    </w:p>
    <w:p w14:paraId="4D88DF15" w14:textId="77777777" w:rsidR="00202E2A" w:rsidRPr="00DA7B87" w:rsidRDefault="00202E2A" w:rsidP="00202E2A">
      <w:pPr>
        <w:bidi/>
        <w:spacing w:line="240" w:lineRule="auto"/>
        <w:jc w:val="lowKashida"/>
        <w:rPr>
          <w:rFonts w:asciiTheme="majorBidi" w:hAnsiTheme="majorBidi" w:cs="Times New Roman"/>
          <w:sz w:val="26"/>
          <w:szCs w:val="26"/>
          <w:rtl/>
        </w:rPr>
      </w:pPr>
      <w:r w:rsidRPr="00DA7B87">
        <w:rPr>
          <w:rFonts w:asciiTheme="majorBidi" w:hAnsiTheme="majorBidi" w:cs="Times New Roman"/>
          <w:sz w:val="26"/>
          <w:szCs w:val="26"/>
          <w:rtl/>
        </w:rPr>
        <w:t>رغم دقة النتائج، حددت الدراسة قيوداً تشمل تركيزها الحصري على الفوترة الإلكترونية دون ربط مباشر بعمليات التخليص الجمركي الكامل، وغياب تمثيل للشركات الصغيرة جداً (أقل من 10 موظفين)، بالإضافة إلى الاعتماد على الاستجابات الذاتية التي قد تحتوي على تحيز اجتماعي</w:t>
      </w:r>
      <w:r w:rsidRPr="00DA7B87">
        <w:rPr>
          <w:rFonts w:asciiTheme="majorBidi" w:hAnsiTheme="majorBidi" w:cs="Times New Roman"/>
          <w:sz w:val="26"/>
          <w:szCs w:val="26"/>
        </w:rPr>
        <w:t>.</w:t>
      </w:r>
    </w:p>
    <w:p w14:paraId="16E307F1" w14:textId="77777777" w:rsidR="00202E2A" w:rsidRPr="00DA7B87" w:rsidRDefault="00202E2A" w:rsidP="00202E2A">
      <w:pPr>
        <w:bidi/>
        <w:spacing w:line="240" w:lineRule="auto"/>
        <w:jc w:val="lowKashida"/>
        <w:rPr>
          <w:rFonts w:asciiTheme="majorBidi" w:hAnsiTheme="majorBidi" w:cs="Times New Roman"/>
          <w:sz w:val="26"/>
          <w:szCs w:val="26"/>
          <w:rtl/>
        </w:rPr>
      </w:pPr>
      <w:r w:rsidRPr="00DA7B87">
        <w:rPr>
          <w:rFonts w:asciiTheme="majorBidi" w:hAnsiTheme="majorBidi" w:cs="Times New Roman"/>
          <w:sz w:val="26"/>
          <w:szCs w:val="26"/>
          <w:rtl/>
        </w:rPr>
        <w:t>اقترحت الدراسة توصيات عملية تشمل توسيع نظام الفوترة الإلكترونية ليشمل الشركات الصغيرة والمتوسطة عبر واجهة مبسطة بحلول يناير 2026، وتطوير تطبيق جوال شامل</w:t>
      </w:r>
      <w:r w:rsidRPr="00DA7B87">
        <w:rPr>
          <w:rFonts w:asciiTheme="majorBidi" w:hAnsiTheme="majorBidi" w:cs="Times New Roman"/>
          <w:sz w:val="26"/>
          <w:szCs w:val="26"/>
        </w:rPr>
        <w:t xml:space="preserve"> (ZATCA Mobile Compliance) </w:t>
      </w:r>
      <w:r w:rsidRPr="00DA7B87">
        <w:rPr>
          <w:rFonts w:asciiTheme="majorBidi" w:hAnsiTheme="majorBidi" w:cs="Times New Roman"/>
          <w:sz w:val="26"/>
          <w:szCs w:val="26"/>
          <w:rtl/>
        </w:rPr>
        <w:t>يدعم اللغتين العربية والإنجليزية مع ميزات التحقق الفوري. دعت إلى برنامج تدريبي متخصص في التحليلات المتقدمة لـ 1,500 موظف سنوياً بالتعاون مع جامعة الملك سعود، وربط قاعدة الفوترة بمنصة "فسح" لتحقيق تكامل كامل بحلول 2027. كما أوصت بإجراء استبيانات رضا ربع سنوية مع نشر النتائج علناً، وإصدار دليل امتثال متعدد اللغات (عربي، إنجليزي، صيني، هندي) متاحاً عبر بوابة</w:t>
      </w:r>
      <w:r w:rsidRPr="00DA7B87">
        <w:rPr>
          <w:rFonts w:asciiTheme="majorBidi" w:hAnsiTheme="majorBidi" w:cs="Times New Roman"/>
          <w:sz w:val="26"/>
          <w:szCs w:val="26"/>
        </w:rPr>
        <w:t xml:space="preserve"> ZATCA </w:t>
      </w:r>
      <w:r w:rsidRPr="00DA7B87">
        <w:rPr>
          <w:rFonts w:asciiTheme="majorBidi" w:hAnsiTheme="majorBidi" w:cs="Times New Roman"/>
          <w:sz w:val="26"/>
          <w:szCs w:val="26"/>
          <w:rtl/>
        </w:rPr>
        <w:t>الإلكترونية</w:t>
      </w:r>
      <w:r w:rsidRPr="00DA7B87">
        <w:rPr>
          <w:rFonts w:asciiTheme="majorBidi" w:hAnsiTheme="majorBidi" w:cs="Times New Roman"/>
          <w:sz w:val="26"/>
          <w:szCs w:val="26"/>
        </w:rPr>
        <w:t>.</w:t>
      </w:r>
    </w:p>
    <w:p w14:paraId="1EB45DD4" w14:textId="77777777" w:rsidR="00202E2A" w:rsidRPr="00224EF4" w:rsidRDefault="00202E2A" w:rsidP="00202E2A">
      <w:pPr>
        <w:bidi/>
        <w:spacing w:line="240" w:lineRule="auto"/>
        <w:jc w:val="lowKashida"/>
        <w:rPr>
          <w:rFonts w:asciiTheme="majorBidi" w:hAnsiTheme="majorBidi" w:cs="Times New Roman"/>
          <w:sz w:val="26"/>
          <w:szCs w:val="26"/>
        </w:rPr>
      </w:pPr>
      <w:r w:rsidRPr="00DA7B87">
        <w:rPr>
          <w:rFonts w:asciiTheme="majorBidi" w:hAnsiTheme="majorBidi" w:cs="Times New Roman"/>
          <w:sz w:val="26"/>
          <w:szCs w:val="26"/>
          <w:rtl/>
        </w:rPr>
        <w:lastRenderedPageBreak/>
        <w:t>تقدم الدراسة دليلاً ميدانياً قوياً على نجاح المرحلة الثانية من الفوترة الإلكترونية، وتؤكد أهمية التدريب المستمر في رفع معدلات الامتثال، وتفتح الباب لمقارنات زمنية مستقبلية مع المرحلة الثالثة. تبرز دور الفوترة في مكافحة الاحتيال الضريبي بنسبة كشف 96%، وتحسين البيئة الداخلية للموظفين عبر تقليل المهام الروتينية، وتدعيم الشفافية المالية كأساس للنمو الاقتصادي. توفر بيانات ميدانية دقيقة تجعلها مرجعاً أساسياً لدراسات الامتثال الرقمي، مع إمكانية توسيع العينة لتشمل دول مجلس التعاون الخليجي، واستخدام النماذج الإحصائية لفحص متغيرات وسيطة مثل "الثقة الرقمية" أو "الكفاءة اللوجستية"، لتعكس جدوى الاستثمار الرقمي في تحقيق نمو مستدام وآمن للإيرادات الحكومية.</w:t>
      </w:r>
    </w:p>
    <w:p w14:paraId="0880471D" w14:textId="77777777" w:rsidR="00202E2A" w:rsidRPr="00C012F3" w:rsidRDefault="00202E2A" w:rsidP="00202E2A">
      <w:pPr>
        <w:bidi/>
        <w:spacing w:line="240" w:lineRule="auto"/>
        <w:jc w:val="lowKashida"/>
        <w:rPr>
          <w:rFonts w:asciiTheme="majorBidi" w:hAnsiTheme="majorBidi" w:cs="Times New Roman"/>
          <w:b/>
          <w:bCs/>
          <w:sz w:val="26"/>
          <w:szCs w:val="26"/>
          <w:rtl/>
        </w:rPr>
      </w:pPr>
      <w:r w:rsidRPr="00C012F3">
        <w:rPr>
          <w:rFonts w:asciiTheme="majorBidi" w:hAnsiTheme="majorBidi" w:cs="Times New Roman" w:hint="cs"/>
          <w:b/>
          <w:bCs/>
          <w:sz w:val="26"/>
          <w:szCs w:val="26"/>
          <w:rtl/>
        </w:rPr>
        <w:t xml:space="preserve">أوضحت </w:t>
      </w:r>
      <w:r w:rsidRPr="00C012F3">
        <w:rPr>
          <w:rFonts w:asciiTheme="majorBidi" w:hAnsiTheme="majorBidi" w:cs="Times New Roman"/>
          <w:b/>
          <w:bCs/>
          <w:sz w:val="26"/>
          <w:szCs w:val="26"/>
          <w:rtl/>
        </w:rPr>
        <w:t xml:space="preserve">دراسة </w:t>
      </w:r>
      <w:r w:rsidRPr="00C012F3">
        <w:rPr>
          <w:rFonts w:asciiTheme="majorBidi" w:hAnsiTheme="majorBidi" w:cs="Times New Roman"/>
          <w:b/>
          <w:bCs/>
          <w:sz w:val="26"/>
          <w:szCs w:val="26"/>
        </w:rPr>
        <w:t>EY Saudi Arabia &amp; ZATCA. (2025). E-invoicing waves 2023-2025: Impact of compliance on customs efficiency and cybersecurity resilience. Saudi Arabia: Zakat, Tax and Customs Authority</w:t>
      </w:r>
      <w:r w:rsidRPr="00C012F3">
        <w:rPr>
          <w:rFonts w:asciiTheme="majorBidi" w:hAnsiTheme="majorBidi" w:cs="Times New Roman"/>
          <w:b/>
          <w:bCs/>
          <w:sz w:val="26"/>
          <w:szCs w:val="26"/>
          <w:rtl/>
        </w:rPr>
        <w:t xml:space="preserve">. </w:t>
      </w:r>
    </w:p>
    <w:p w14:paraId="3C34E6BF" w14:textId="77777777" w:rsidR="00202E2A" w:rsidRPr="00DA7B87" w:rsidRDefault="00202E2A" w:rsidP="00202E2A">
      <w:pPr>
        <w:bidi/>
        <w:spacing w:line="240" w:lineRule="auto"/>
        <w:jc w:val="lowKashida"/>
        <w:rPr>
          <w:rFonts w:asciiTheme="majorBidi" w:hAnsiTheme="majorBidi" w:cs="Times New Roman"/>
          <w:sz w:val="26"/>
          <w:szCs w:val="26"/>
          <w:rtl/>
        </w:rPr>
      </w:pPr>
      <w:r w:rsidRPr="00DA7B87">
        <w:rPr>
          <w:rFonts w:asciiTheme="majorBidi" w:hAnsiTheme="majorBidi" w:cs="Times New Roman"/>
          <w:sz w:val="26"/>
          <w:szCs w:val="26"/>
          <w:rtl/>
        </w:rPr>
        <w:t>اعتمدت دراسة</w:t>
      </w:r>
      <w:r w:rsidRPr="00DA7B87">
        <w:rPr>
          <w:rFonts w:asciiTheme="majorBidi" w:hAnsiTheme="majorBidi" w:cs="Times New Roman"/>
          <w:sz w:val="26"/>
          <w:szCs w:val="26"/>
        </w:rPr>
        <w:t xml:space="preserve"> EY Saudi Arabia &amp; ZATCA </w:t>
      </w:r>
      <w:r w:rsidRPr="00DA7B87">
        <w:rPr>
          <w:rFonts w:asciiTheme="majorBidi" w:hAnsiTheme="majorBidi" w:cs="Times New Roman"/>
          <w:sz w:val="26"/>
          <w:szCs w:val="26"/>
          <w:rtl/>
        </w:rPr>
        <w:t>لعام 2025 بعنوان "موجات الفوترة الإلكترونية 2023-2025: تأثير الامتثال على كفاءة الجمارك ومرونة الأمن السيبراني" على تحليل بيانات حية مباشرة من منصة "فسح" الإلكترونية، حيث غطت أكثر من 1.2 مليار فاتورة إلكترونية تمت معالجتها عبر المرحلتين 1 و2 من نظام الفوترة الإلكترونية في السعودية، مع تتبع 48.7 مليون معاملة جمركية مرتبطة بالفواتير خلال الفترة من يناير 2023 إلى أكتوبر 2025. شملت العينة بيانات من 285,000 شركة مسجلة في</w:t>
      </w:r>
      <w:r w:rsidRPr="00DA7B87">
        <w:rPr>
          <w:rFonts w:asciiTheme="majorBidi" w:hAnsiTheme="majorBidi" w:cs="Times New Roman"/>
          <w:sz w:val="26"/>
          <w:szCs w:val="26"/>
        </w:rPr>
        <w:t xml:space="preserve"> ZATCA</w:t>
      </w:r>
      <w:r w:rsidRPr="00DA7B87">
        <w:rPr>
          <w:rFonts w:asciiTheme="majorBidi" w:hAnsiTheme="majorBidi" w:cs="Times New Roman"/>
          <w:sz w:val="26"/>
          <w:szCs w:val="26"/>
          <w:rtl/>
        </w:rPr>
        <w:t>، بالإضافة إلى 1.9 مليون فاتورة تم رفضها آلياً بسبب عدم الامتثال، وتم دعم التحليل بمقابلات معمقة مع 72 خبيراً من</w:t>
      </w:r>
      <w:r w:rsidRPr="00DA7B87">
        <w:rPr>
          <w:rFonts w:asciiTheme="majorBidi" w:hAnsiTheme="majorBidi" w:cs="Times New Roman"/>
          <w:sz w:val="26"/>
          <w:szCs w:val="26"/>
        </w:rPr>
        <w:t xml:space="preserve"> EY</w:t>
      </w:r>
      <w:r w:rsidRPr="00DA7B87">
        <w:rPr>
          <w:rFonts w:asciiTheme="majorBidi" w:hAnsiTheme="majorBidi" w:cs="Times New Roman"/>
          <w:sz w:val="26"/>
          <w:szCs w:val="26"/>
          <w:rtl/>
        </w:rPr>
        <w:t xml:space="preserve">، </w:t>
      </w:r>
      <w:r w:rsidRPr="00DA7B87">
        <w:rPr>
          <w:rFonts w:asciiTheme="majorBidi" w:hAnsiTheme="majorBidi" w:cs="Times New Roman"/>
          <w:sz w:val="26"/>
          <w:szCs w:val="26"/>
        </w:rPr>
        <w:t>ZATCA</w:t>
      </w:r>
      <w:r w:rsidRPr="00DA7B87">
        <w:rPr>
          <w:rFonts w:asciiTheme="majorBidi" w:hAnsiTheme="majorBidi" w:cs="Times New Roman"/>
          <w:sz w:val="26"/>
          <w:szCs w:val="26"/>
          <w:rtl/>
        </w:rPr>
        <w:t>، وشركات البرمجيات الوسيطة</w:t>
      </w:r>
      <w:r w:rsidRPr="00DA7B87">
        <w:rPr>
          <w:rFonts w:asciiTheme="majorBidi" w:hAnsiTheme="majorBidi" w:cs="Times New Roman"/>
          <w:sz w:val="26"/>
          <w:szCs w:val="26"/>
        </w:rPr>
        <w:t xml:space="preserve"> (</w:t>
      </w:r>
      <w:r w:rsidRPr="00DA7B87">
        <w:rPr>
          <w:rFonts w:asciiTheme="majorBidi" w:hAnsiTheme="majorBidi" w:cs="Times New Roman"/>
          <w:sz w:val="26"/>
          <w:szCs w:val="26"/>
          <w:rtl/>
        </w:rPr>
        <w:t>مثل</w:t>
      </w:r>
      <w:r w:rsidRPr="00DA7B87">
        <w:rPr>
          <w:rFonts w:asciiTheme="majorBidi" w:hAnsiTheme="majorBidi" w:cs="Times New Roman"/>
          <w:sz w:val="26"/>
          <w:szCs w:val="26"/>
        </w:rPr>
        <w:t xml:space="preserve"> SAP</w:t>
      </w:r>
      <w:r w:rsidRPr="00DA7B87">
        <w:rPr>
          <w:rFonts w:asciiTheme="majorBidi" w:hAnsiTheme="majorBidi" w:cs="Times New Roman"/>
          <w:sz w:val="26"/>
          <w:szCs w:val="26"/>
          <w:rtl/>
        </w:rPr>
        <w:t xml:space="preserve">، </w:t>
      </w:r>
      <w:r w:rsidRPr="00DA7B87">
        <w:rPr>
          <w:rFonts w:asciiTheme="majorBidi" w:hAnsiTheme="majorBidi" w:cs="Times New Roman"/>
          <w:sz w:val="26"/>
          <w:szCs w:val="26"/>
        </w:rPr>
        <w:t>Oracle</w:t>
      </w:r>
      <w:r w:rsidRPr="00DA7B87">
        <w:rPr>
          <w:rFonts w:asciiTheme="majorBidi" w:hAnsiTheme="majorBidi" w:cs="Times New Roman"/>
          <w:sz w:val="26"/>
          <w:szCs w:val="26"/>
          <w:rtl/>
        </w:rPr>
        <w:t>، ومحلياً "ثقة" و"إيصال</w:t>
      </w:r>
      <w:r w:rsidRPr="00DA7B87">
        <w:rPr>
          <w:rFonts w:asciiTheme="majorBidi" w:hAnsiTheme="majorBidi" w:cs="Times New Roman"/>
          <w:sz w:val="26"/>
          <w:szCs w:val="26"/>
        </w:rPr>
        <w:t>".</w:t>
      </w:r>
    </w:p>
    <w:p w14:paraId="5485049A" w14:textId="77777777" w:rsidR="00202E2A" w:rsidRPr="00DA7B87" w:rsidRDefault="00202E2A" w:rsidP="00202E2A">
      <w:pPr>
        <w:bidi/>
        <w:spacing w:line="240" w:lineRule="auto"/>
        <w:jc w:val="lowKashida"/>
        <w:rPr>
          <w:rFonts w:asciiTheme="majorBidi" w:hAnsiTheme="majorBidi" w:cs="Times New Roman"/>
          <w:sz w:val="26"/>
          <w:szCs w:val="26"/>
          <w:rtl/>
        </w:rPr>
      </w:pPr>
      <w:r w:rsidRPr="00DA7B87">
        <w:rPr>
          <w:rFonts w:asciiTheme="majorBidi" w:hAnsiTheme="majorBidi" w:cs="Times New Roman"/>
          <w:sz w:val="26"/>
          <w:szCs w:val="26"/>
          <w:rtl/>
        </w:rPr>
        <w:t>استخدمت الدراسة أدوات تحليلية متقدمة شملت نماذج الانحدار المتعدد المتغيرات</w:t>
      </w:r>
      <w:r w:rsidRPr="00DA7B87">
        <w:rPr>
          <w:rFonts w:asciiTheme="majorBidi" w:hAnsiTheme="majorBidi" w:cs="Times New Roman"/>
          <w:sz w:val="26"/>
          <w:szCs w:val="26"/>
        </w:rPr>
        <w:t xml:space="preserve"> (Multiple Linear Regression) </w:t>
      </w:r>
      <w:r w:rsidRPr="00DA7B87">
        <w:rPr>
          <w:rFonts w:asciiTheme="majorBidi" w:hAnsiTheme="majorBidi" w:cs="Times New Roman"/>
          <w:sz w:val="26"/>
          <w:szCs w:val="26"/>
          <w:rtl/>
        </w:rPr>
        <w:t>مع متغيرات وهمية للمراحل الزمنية، ونماذج</w:t>
      </w:r>
      <w:r w:rsidRPr="00DA7B87">
        <w:rPr>
          <w:rFonts w:asciiTheme="majorBidi" w:hAnsiTheme="majorBidi" w:cs="Times New Roman"/>
          <w:sz w:val="26"/>
          <w:szCs w:val="26"/>
        </w:rPr>
        <w:t xml:space="preserve"> Prophet </w:t>
      </w:r>
      <w:r w:rsidRPr="00DA7B87">
        <w:rPr>
          <w:rFonts w:asciiTheme="majorBidi" w:hAnsiTheme="majorBidi" w:cs="Times New Roman"/>
          <w:sz w:val="26"/>
          <w:szCs w:val="26"/>
          <w:rtl/>
        </w:rPr>
        <w:t>للتنبؤ بالمخاطر، وأداة</w:t>
      </w:r>
      <w:r w:rsidRPr="00DA7B87">
        <w:rPr>
          <w:rFonts w:asciiTheme="majorBidi" w:hAnsiTheme="majorBidi" w:cs="Times New Roman"/>
          <w:sz w:val="26"/>
          <w:szCs w:val="26"/>
        </w:rPr>
        <w:t xml:space="preserve"> EY Cyber Threat Intelligence Platform </w:t>
      </w:r>
      <w:r w:rsidRPr="00DA7B87">
        <w:rPr>
          <w:rFonts w:asciiTheme="majorBidi" w:hAnsiTheme="majorBidi" w:cs="Times New Roman"/>
          <w:sz w:val="26"/>
          <w:szCs w:val="26"/>
          <w:rtl/>
        </w:rPr>
        <w:t>لتتبع 14,300 محاولة اختراق يومية. طبقت تحليل المسار</w:t>
      </w:r>
      <w:r w:rsidRPr="00DA7B87">
        <w:rPr>
          <w:rFonts w:asciiTheme="majorBidi" w:hAnsiTheme="majorBidi" w:cs="Times New Roman"/>
          <w:sz w:val="26"/>
          <w:szCs w:val="26"/>
        </w:rPr>
        <w:t xml:space="preserve"> (Path Analysis) </w:t>
      </w:r>
      <w:r w:rsidRPr="00DA7B87">
        <w:rPr>
          <w:rFonts w:asciiTheme="majorBidi" w:hAnsiTheme="majorBidi" w:cs="Times New Roman"/>
          <w:sz w:val="26"/>
          <w:szCs w:val="26"/>
          <w:rtl/>
        </w:rPr>
        <w:t>عبر</w:t>
      </w:r>
      <w:r w:rsidRPr="00DA7B87">
        <w:rPr>
          <w:rFonts w:asciiTheme="majorBidi" w:hAnsiTheme="majorBidi" w:cs="Times New Roman"/>
          <w:sz w:val="26"/>
          <w:szCs w:val="26"/>
        </w:rPr>
        <w:t xml:space="preserve"> AMOS </w:t>
      </w:r>
      <w:r w:rsidRPr="00DA7B87">
        <w:rPr>
          <w:rFonts w:asciiTheme="majorBidi" w:hAnsiTheme="majorBidi" w:cs="Times New Roman"/>
          <w:sz w:val="26"/>
          <w:szCs w:val="26"/>
          <w:rtl/>
        </w:rPr>
        <w:t>لفحص العلاقات الوسيطة، مع لوحات تحكم تفاعلية عبر</w:t>
      </w:r>
      <w:r w:rsidRPr="00DA7B87">
        <w:rPr>
          <w:rFonts w:asciiTheme="majorBidi" w:hAnsiTheme="majorBidi" w:cs="Times New Roman"/>
          <w:sz w:val="26"/>
          <w:szCs w:val="26"/>
        </w:rPr>
        <w:t xml:space="preserve"> Power BI </w:t>
      </w:r>
      <w:r w:rsidRPr="00DA7B87">
        <w:rPr>
          <w:rFonts w:asciiTheme="majorBidi" w:hAnsiTheme="majorBidi" w:cs="Times New Roman"/>
          <w:sz w:val="26"/>
          <w:szCs w:val="26"/>
          <w:rtl/>
        </w:rPr>
        <w:t>تحتوي على 38 مؤشراً أداء رئيسياً، بما في ذلك معدل الامتثال الفوري، زمن الاستجابة للهجمات، ومعدل الكشف الآلي</w:t>
      </w:r>
      <w:r w:rsidRPr="00DA7B87">
        <w:rPr>
          <w:rFonts w:asciiTheme="majorBidi" w:hAnsiTheme="majorBidi" w:cs="Times New Roman"/>
          <w:sz w:val="26"/>
          <w:szCs w:val="26"/>
        </w:rPr>
        <w:t>.</w:t>
      </w:r>
    </w:p>
    <w:p w14:paraId="0E0E7246" w14:textId="77777777" w:rsidR="00202E2A" w:rsidRPr="00DA7B87" w:rsidRDefault="00202E2A" w:rsidP="00202E2A">
      <w:pPr>
        <w:bidi/>
        <w:spacing w:line="240" w:lineRule="auto"/>
        <w:jc w:val="lowKashida"/>
        <w:rPr>
          <w:rFonts w:asciiTheme="majorBidi" w:hAnsiTheme="majorBidi" w:cs="Times New Roman"/>
          <w:sz w:val="26"/>
          <w:szCs w:val="26"/>
          <w:rtl/>
        </w:rPr>
      </w:pPr>
      <w:r w:rsidRPr="00DA7B87">
        <w:rPr>
          <w:rFonts w:asciiTheme="majorBidi" w:hAnsiTheme="majorBidi" w:cs="Times New Roman"/>
          <w:sz w:val="26"/>
          <w:szCs w:val="26"/>
          <w:rtl/>
        </w:rPr>
        <w:t>كشفت النتائج عن رفع معدل الامتثال من 67.3% في بداية 2023 إلى 99.4% بحلول أكتوبر 2025، مع تقليل التفتيش العشوائي بنسبة 91% (من 1 من كل 4 معاملات إلى 1 من كل 45). سجلت المنصة صد متوسط 11,800 هجوم سيبراني يومياً بنجاح 99.97% باستخدام</w:t>
      </w:r>
      <w:r w:rsidRPr="00DA7B87">
        <w:rPr>
          <w:rFonts w:asciiTheme="majorBidi" w:hAnsiTheme="majorBidi" w:cs="Times New Roman"/>
          <w:sz w:val="26"/>
          <w:szCs w:val="26"/>
        </w:rPr>
        <w:t xml:space="preserve"> WAF </w:t>
      </w:r>
      <w:r w:rsidRPr="00DA7B87">
        <w:rPr>
          <w:rFonts w:asciiTheme="majorBidi" w:hAnsiTheme="majorBidi" w:cs="Times New Roman"/>
          <w:sz w:val="26"/>
          <w:szCs w:val="26"/>
          <w:rtl/>
        </w:rPr>
        <w:t>مدعوم بالذكاء الاصطناعي، وانخفض زمن معالجة الفاتورة الجمركية من 4.2 دقائق إلى 9 ثوانٍ. حققت توفيرات مالية تراكمية قدرها 4.6 مليار ريال من تقليل الغرامات والتأخير، مع زيادة الكشف الآلي للتلاعب في الفواتير بنسبة 96.8%، وتحسين دقة التنبؤ بالمخاطر الجمركية إلى 97.3% خلال نافذة 48 ساعة</w:t>
      </w:r>
      <w:r w:rsidRPr="00DA7B87">
        <w:rPr>
          <w:rFonts w:asciiTheme="majorBidi" w:hAnsiTheme="majorBidi" w:cs="Times New Roman"/>
          <w:sz w:val="26"/>
          <w:szCs w:val="26"/>
        </w:rPr>
        <w:t>.</w:t>
      </w:r>
    </w:p>
    <w:p w14:paraId="5B42913D" w14:textId="77777777" w:rsidR="00202E2A" w:rsidRPr="00DA7B87" w:rsidRDefault="00202E2A" w:rsidP="00202E2A">
      <w:pPr>
        <w:bidi/>
        <w:spacing w:line="240" w:lineRule="auto"/>
        <w:jc w:val="lowKashida"/>
        <w:rPr>
          <w:rFonts w:asciiTheme="majorBidi" w:hAnsiTheme="majorBidi" w:cs="Times New Roman"/>
          <w:sz w:val="26"/>
          <w:szCs w:val="26"/>
          <w:rtl/>
        </w:rPr>
      </w:pPr>
      <w:r w:rsidRPr="00DA7B87">
        <w:rPr>
          <w:rFonts w:asciiTheme="majorBidi" w:hAnsiTheme="majorBidi" w:cs="Times New Roman"/>
          <w:sz w:val="26"/>
          <w:szCs w:val="26"/>
          <w:rtl/>
        </w:rPr>
        <w:t>أكدت نماذج التحليل المسار الفرضيتين الرئيسيتين، حيث أظهرت أن تعزيز الأمن يؤثر إيجاباً مباشراً على تيسير التجارة بمعامل</w:t>
      </w:r>
      <w:r w:rsidRPr="00DA7B87">
        <w:rPr>
          <w:rFonts w:asciiTheme="majorBidi" w:hAnsiTheme="majorBidi" w:cs="Times New Roman"/>
          <w:sz w:val="26"/>
          <w:szCs w:val="26"/>
        </w:rPr>
        <w:t xml:space="preserve"> β = 0.84 </w:t>
      </w:r>
      <w:r w:rsidRPr="00DA7B87">
        <w:rPr>
          <w:rFonts w:asciiTheme="majorBidi" w:hAnsiTheme="majorBidi" w:cs="Times New Roman"/>
          <w:sz w:val="26"/>
          <w:szCs w:val="26"/>
          <w:rtl/>
        </w:rPr>
        <w:t>ودلالة</w:t>
      </w:r>
      <w:r w:rsidRPr="00DA7B87">
        <w:rPr>
          <w:rFonts w:asciiTheme="majorBidi" w:hAnsiTheme="majorBidi" w:cs="Times New Roman"/>
          <w:sz w:val="26"/>
          <w:szCs w:val="26"/>
        </w:rPr>
        <w:t xml:space="preserve"> p &lt; 0.001</w:t>
      </w:r>
      <w:r w:rsidRPr="00DA7B87">
        <w:rPr>
          <w:rFonts w:asciiTheme="majorBidi" w:hAnsiTheme="majorBidi" w:cs="Times New Roman"/>
          <w:sz w:val="26"/>
          <w:szCs w:val="26"/>
          <w:rtl/>
        </w:rPr>
        <w:t>، وأنه يلعب دوراً وسيطاً كاملاً بين التحول الرقمي والتجارة بتأثير غير مباشر 0.71، مع تفسير 82% من التباين في سرعة التخليص الجمركي</w:t>
      </w:r>
      <w:r w:rsidRPr="00DA7B87">
        <w:rPr>
          <w:rFonts w:asciiTheme="majorBidi" w:hAnsiTheme="majorBidi" w:cs="Times New Roman"/>
          <w:sz w:val="26"/>
          <w:szCs w:val="26"/>
        </w:rPr>
        <w:t>.</w:t>
      </w:r>
    </w:p>
    <w:p w14:paraId="23CAB8A3" w14:textId="77777777" w:rsidR="00202E2A" w:rsidRPr="00DA7B87" w:rsidRDefault="00202E2A" w:rsidP="00202E2A">
      <w:pPr>
        <w:bidi/>
        <w:spacing w:line="240" w:lineRule="auto"/>
        <w:jc w:val="lowKashida"/>
        <w:rPr>
          <w:rFonts w:asciiTheme="majorBidi" w:hAnsiTheme="majorBidi" w:cs="Times New Roman"/>
          <w:sz w:val="26"/>
          <w:szCs w:val="26"/>
          <w:rtl/>
        </w:rPr>
      </w:pPr>
      <w:r w:rsidRPr="00DA7B87">
        <w:rPr>
          <w:rFonts w:asciiTheme="majorBidi" w:hAnsiTheme="majorBidi" w:cs="Times New Roman"/>
          <w:sz w:val="26"/>
          <w:szCs w:val="26"/>
          <w:rtl/>
        </w:rPr>
        <w:t>رغم طبيعتها الاستشارية وتركيزها على السياق السعودي، حددت الدراسة قيوداً تشمل عدم تضمين بيانات من دول خليجية أخرى للمقارنة، والاعتماد الجزئي على افتراضات سلوك الشركات بعد المرحلة 2</w:t>
      </w:r>
      <w:r w:rsidRPr="00DA7B87">
        <w:rPr>
          <w:rFonts w:asciiTheme="majorBidi" w:hAnsiTheme="majorBidi" w:cs="Times New Roman"/>
          <w:sz w:val="26"/>
          <w:szCs w:val="26"/>
        </w:rPr>
        <w:t>.</w:t>
      </w:r>
    </w:p>
    <w:p w14:paraId="331A1923" w14:textId="77777777" w:rsidR="00202E2A" w:rsidRPr="00DA7B87" w:rsidRDefault="00202E2A" w:rsidP="00202E2A">
      <w:pPr>
        <w:bidi/>
        <w:spacing w:line="240" w:lineRule="auto"/>
        <w:jc w:val="lowKashida"/>
        <w:rPr>
          <w:rFonts w:asciiTheme="majorBidi" w:hAnsiTheme="majorBidi" w:cs="Times New Roman"/>
          <w:sz w:val="26"/>
          <w:szCs w:val="26"/>
          <w:rtl/>
        </w:rPr>
      </w:pPr>
      <w:r w:rsidRPr="00DA7B87">
        <w:rPr>
          <w:rFonts w:asciiTheme="majorBidi" w:hAnsiTheme="majorBidi" w:cs="Times New Roman"/>
          <w:sz w:val="26"/>
          <w:szCs w:val="26"/>
          <w:rtl/>
        </w:rPr>
        <w:t>اقترحت الدراسة توصيات تنفيذية فورية تشمل رفع معدل الامتثال إلى 99.9% خلال المرحلة 3 بحلول يونيو 2026 عبر توسيع نطاق الفحص الآلي، ودمج الذكاء الاصطناعي في فواتير التصدير والاستيراد الدولي بنسبة 100% بحلول 2027. دعت إلى تطوير بروتوكولات خصوصية مشتركة مع دول مجلس التعاون الخليجي بناءً على معيار</w:t>
      </w:r>
      <w:r w:rsidRPr="00DA7B87">
        <w:rPr>
          <w:rFonts w:asciiTheme="majorBidi" w:hAnsiTheme="majorBidi" w:cs="Times New Roman"/>
          <w:sz w:val="26"/>
          <w:szCs w:val="26"/>
        </w:rPr>
        <w:t xml:space="preserve"> ISO 27018</w:t>
      </w:r>
      <w:r w:rsidRPr="00DA7B87">
        <w:rPr>
          <w:rFonts w:asciiTheme="majorBidi" w:hAnsiTheme="majorBidi" w:cs="Times New Roman"/>
          <w:sz w:val="26"/>
          <w:szCs w:val="26"/>
          <w:rtl/>
        </w:rPr>
        <w:t>، وإصدار تقارير أداء ربع سنوية علنية (مجهولة الهوية)، وإطلاق برنامج تدريبي لـ 8,000 موظف وشركة وسيطة سنوياً بالشراكة مع</w:t>
      </w:r>
      <w:r w:rsidRPr="00DA7B87">
        <w:rPr>
          <w:rFonts w:asciiTheme="majorBidi" w:hAnsiTheme="majorBidi" w:cs="Times New Roman"/>
          <w:sz w:val="26"/>
          <w:szCs w:val="26"/>
        </w:rPr>
        <w:t xml:space="preserve"> EY Academy. </w:t>
      </w:r>
      <w:r w:rsidRPr="00DA7B87">
        <w:rPr>
          <w:rFonts w:asciiTheme="majorBidi" w:hAnsiTheme="majorBidi" w:cs="Times New Roman"/>
          <w:sz w:val="26"/>
          <w:szCs w:val="26"/>
          <w:rtl/>
        </w:rPr>
        <w:t>كما أوصت بإجراء اختبارات محاكاة هجمات سيبرانية شهرية</w:t>
      </w:r>
      <w:r w:rsidRPr="00DA7B87">
        <w:rPr>
          <w:rFonts w:asciiTheme="majorBidi" w:hAnsiTheme="majorBidi" w:cs="Times New Roman"/>
          <w:sz w:val="26"/>
          <w:szCs w:val="26"/>
        </w:rPr>
        <w:t xml:space="preserve"> (Red Team Exercises) </w:t>
      </w:r>
      <w:r w:rsidRPr="00DA7B87">
        <w:rPr>
          <w:rFonts w:asciiTheme="majorBidi" w:hAnsiTheme="majorBidi" w:cs="Times New Roman"/>
          <w:sz w:val="26"/>
          <w:szCs w:val="26"/>
          <w:rtl/>
        </w:rPr>
        <w:t>بمشاركة</w:t>
      </w:r>
      <w:r w:rsidRPr="00DA7B87">
        <w:rPr>
          <w:rFonts w:asciiTheme="majorBidi" w:hAnsiTheme="majorBidi" w:cs="Times New Roman"/>
          <w:sz w:val="26"/>
          <w:szCs w:val="26"/>
        </w:rPr>
        <w:t xml:space="preserve"> NIST</w:t>
      </w:r>
      <w:r w:rsidRPr="00DA7B87">
        <w:rPr>
          <w:rFonts w:asciiTheme="majorBidi" w:hAnsiTheme="majorBidi" w:cs="Times New Roman"/>
          <w:sz w:val="26"/>
          <w:szCs w:val="26"/>
          <w:rtl/>
        </w:rPr>
        <w:t>، ونشر المنهجية الكاملة أكاديمياً على</w:t>
      </w:r>
      <w:r w:rsidRPr="00DA7B87">
        <w:rPr>
          <w:rFonts w:asciiTheme="majorBidi" w:hAnsiTheme="majorBidi" w:cs="Times New Roman"/>
          <w:sz w:val="26"/>
          <w:szCs w:val="26"/>
        </w:rPr>
        <w:t xml:space="preserve"> SSRN </w:t>
      </w:r>
      <w:r w:rsidRPr="00DA7B87">
        <w:rPr>
          <w:rFonts w:asciiTheme="majorBidi" w:hAnsiTheme="majorBidi" w:cs="Times New Roman"/>
          <w:sz w:val="26"/>
          <w:szCs w:val="26"/>
          <w:rtl/>
        </w:rPr>
        <w:t>بحلول</w:t>
      </w:r>
      <w:r w:rsidRPr="00DA7B87">
        <w:rPr>
          <w:rFonts w:asciiTheme="majorBidi" w:hAnsiTheme="majorBidi" w:cs="Times New Roman"/>
          <w:sz w:val="26"/>
          <w:szCs w:val="26"/>
        </w:rPr>
        <w:t xml:space="preserve"> Q1 2026.</w:t>
      </w:r>
    </w:p>
    <w:p w14:paraId="0B4317FA" w14:textId="77777777" w:rsidR="00202E2A" w:rsidRDefault="00202E2A" w:rsidP="00202E2A">
      <w:pPr>
        <w:bidi/>
        <w:spacing w:line="240" w:lineRule="auto"/>
        <w:jc w:val="lowKashida"/>
        <w:rPr>
          <w:rFonts w:asciiTheme="majorBidi" w:hAnsiTheme="majorBidi" w:cs="Times New Roman"/>
          <w:sz w:val="26"/>
          <w:szCs w:val="26"/>
        </w:rPr>
      </w:pPr>
      <w:r w:rsidRPr="00DA7B87">
        <w:rPr>
          <w:rFonts w:asciiTheme="majorBidi" w:hAnsiTheme="majorBidi" w:cs="Times New Roman"/>
          <w:sz w:val="26"/>
          <w:szCs w:val="26"/>
          <w:rtl/>
        </w:rPr>
        <w:lastRenderedPageBreak/>
        <w:t xml:space="preserve">توفر الدراسة قاعدة بيانات حية غير مسبوقة تدعم الدراسات المستقبلية في الاقتصاد الرقمي، وتبرز التوازن الناجح بين السرعة والأمن في بيئة عالية الضغط. تثبت فعالية التحليل التنبؤي في منع الخسائر قبل حدوثها، وتؤكد عائد الاستثمار في الأمن السيبراني بنسبة 1:18 خلال عامين. تفتح الباب لدراسة المتغيرات الخارجية مثل تأثير التضخم أو تغيرات أسعار النفط، وتدعم بناء اقتصاد رقمي مرن يتحمل الصدمات. تقدم بيانات حية مرجعية لأي جهة حكومية، وتُمهد لتوسيع النموذج دولياً عبر اتفاقيات مع سنغافورة وكوريا، وتؤكد تقدم </w:t>
      </w:r>
      <w:r w:rsidRPr="00DA7B87">
        <w:rPr>
          <w:rFonts w:asciiTheme="majorBidi" w:hAnsiTheme="majorBidi" w:cs="Times New Roman"/>
          <w:sz w:val="26"/>
          <w:szCs w:val="26"/>
        </w:rPr>
        <w:t>ZATCA</w:t>
      </w:r>
      <w:r w:rsidRPr="00DA7B87">
        <w:rPr>
          <w:rFonts w:asciiTheme="majorBidi" w:hAnsiTheme="majorBidi" w:cs="Times New Roman"/>
          <w:sz w:val="26"/>
          <w:szCs w:val="26"/>
          <w:rtl/>
        </w:rPr>
        <w:t xml:space="preserve"> في الأتمتة كأول هيئة جمركية تحقق معالجة فورية لأكثر من مليار فاتورة دون تدخل بشري، مما يجعلها نموذجاً عالمياً للتحول الرقمي الآمن والفعال.</w:t>
      </w:r>
    </w:p>
    <w:p w14:paraId="27FB9781" w14:textId="77777777" w:rsidR="00202E2A" w:rsidRPr="00224EF4" w:rsidRDefault="00202E2A" w:rsidP="00202E2A">
      <w:pPr>
        <w:bidi/>
        <w:spacing w:line="240" w:lineRule="auto"/>
        <w:jc w:val="lowKashida"/>
        <w:rPr>
          <w:rFonts w:asciiTheme="majorBidi" w:hAnsiTheme="majorBidi" w:cs="Times New Roman"/>
          <w:b/>
          <w:bCs/>
          <w:sz w:val="26"/>
          <w:szCs w:val="26"/>
          <w:rtl/>
        </w:rPr>
      </w:pPr>
      <w:r>
        <w:rPr>
          <w:rFonts w:asciiTheme="majorBidi" w:hAnsiTheme="majorBidi" w:cs="Times New Roman" w:hint="cs"/>
          <w:b/>
          <w:bCs/>
          <w:sz w:val="26"/>
          <w:szCs w:val="26"/>
          <w:rtl/>
        </w:rPr>
        <w:t xml:space="preserve">أوضحت </w:t>
      </w:r>
      <w:r w:rsidRPr="00224EF4">
        <w:rPr>
          <w:rFonts w:asciiTheme="majorBidi" w:hAnsiTheme="majorBidi" w:cs="Times New Roman" w:hint="cs"/>
          <w:b/>
          <w:bCs/>
          <w:sz w:val="26"/>
          <w:szCs w:val="26"/>
          <w:rtl/>
        </w:rPr>
        <w:t xml:space="preserve">دراسة </w:t>
      </w:r>
      <w:r>
        <w:rPr>
          <w:rFonts w:asciiTheme="majorBidi" w:hAnsiTheme="majorBidi" w:cs="Times New Roman"/>
          <w:b/>
          <w:bCs/>
          <w:sz w:val="26"/>
          <w:szCs w:val="26"/>
        </w:rPr>
        <w:t>A</w:t>
      </w:r>
      <w:r w:rsidRPr="00224EF4">
        <w:rPr>
          <w:rFonts w:asciiTheme="majorBidi" w:hAnsiTheme="majorBidi" w:cs="Times New Roman" w:hint="cs"/>
          <w:b/>
          <w:bCs/>
          <w:sz w:val="26"/>
          <w:szCs w:val="26"/>
        </w:rPr>
        <w:t>gero</w:t>
      </w:r>
      <w:r w:rsidRPr="00224EF4">
        <w:rPr>
          <w:rFonts w:asciiTheme="majorBidi" w:hAnsiTheme="majorBidi" w:cstheme="majorBidi"/>
          <w:b/>
          <w:bCs/>
          <w:sz w:val="26"/>
          <w:szCs w:val="26"/>
        </w:rPr>
        <w:t xml:space="preserve"> &amp; UnifiedPost Group. (2025). Continuous e-invoicing in GCC and ASEAN countries: A comparison between ZATCA, FTA, and Singapore Customs. International comparison</w:t>
      </w:r>
      <w:r w:rsidRPr="00224EF4">
        <w:rPr>
          <w:rFonts w:asciiTheme="majorBidi" w:hAnsiTheme="majorBidi" w:cs="Times New Roman"/>
          <w:b/>
          <w:bCs/>
          <w:sz w:val="26"/>
          <w:szCs w:val="26"/>
          <w:rtl/>
        </w:rPr>
        <w:t xml:space="preserve">. </w:t>
      </w:r>
    </w:p>
    <w:p w14:paraId="79F006DA" w14:textId="77777777" w:rsidR="00202E2A" w:rsidRPr="002B6DF4" w:rsidRDefault="00202E2A" w:rsidP="00202E2A">
      <w:pPr>
        <w:bidi/>
        <w:spacing w:line="240" w:lineRule="auto"/>
        <w:jc w:val="lowKashida"/>
        <w:rPr>
          <w:rFonts w:asciiTheme="majorBidi" w:hAnsiTheme="majorBidi" w:cs="Times New Roman"/>
          <w:sz w:val="26"/>
          <w:szCs w:val="26"/>
          <w:rtl/>
        </w:rPr>
      </w:pPr>
      <w:r w:rsidRPr="002B6DF4">
        <w:rPr>
          <w:rFonts w:asciiTheme="majorBidi" w:hAnsiTheme="majorBidi" w:cs="Times New Roman"/>
          <w:sz w:val="26"/>
          <w:szCs w:val="26"/>
          <w:rtl/>
        </w:rPr>
        <w:t xml:space="preserve">اعتمدت </w:t>
      </w:r>
      <w:r>
        <w:rPr>
          <w:rFonts w:asciiTheme="majorBidi" w:hAnsiTheme="majorBidi" w:cs="Times New Roman" w:hint="cs"/>
          <w:sz w:val="26"/>
          <w:szCs w:val="26"/>
          <w:rtl/>
        </w:rPr>
        <w:t>ال</w:t>
      </w:r>
      <w:r w:rsidRPr="002B6DF4">
        <w:rPr>
          <w:rFonts w:asciiTheme="majorBidi" w:hAnsiTheme="majorBidi" w:cs="Times New Roman"/>
          <w:sz w:val="26"/>
          <w:szCs w:val="26"/>
          <w:rtl/>
        </w:rPr>
        <w:t>دراسة</w:t>
      </w:r>
      <w:r w:rsidRPr="002B6DF4">
        <w:rPr>
          <w:rFonts w:asciiTheme="majorBidi" w:hAnsiTheme="majorBidi" w:cs="Times New Roman"/>
          <w:sz w:val="26"/>
          <w:szCs w:val="26"/>
        </w:rPr>
        <w:t xml:space="preserve"> </w:t>
      </w:r>
      <w:r>
        <w:rPr>
          <w:rFonts w:asciiTheme="majorBidi" w:hAnsiTheme="majorBidi" w:cs="Times New Roman" w:hint="cs"/>
          <w:sz w:val="26"/>
          <w:szCs w:val="26"/>
          <w:rtl/>
        </w:rPr>
        <w:t>علي</w:t>
      </w:r>
      <w:r w:rsidRPr="002B6DF4">
        <w:rPr>
          <w:rFonts w:asciiTheme="majorBidi" w:hAnsiTheme="majorBidi" w:cs="Times New Roman"/>
          <w:sz w:val="26"/>
          <w:szCs w:val="26"/>
        </w:rPr>
        <w:t xml:space="preserve"> </w:t>
      </w:r>
      <w:r w:rsidRPr="002B6DF4">
        <w:rPr>
          <w:rFonts w:asciiTheme="majorBidi" w:hAnsiTheme="majorBidi" w:cs="Times New Roman"/>
          <w:sz w:val="26"/>
          <w:szCs w:val="26"/>
          <w:rtl/>
        </w:rPr>
        <w:t>مقارنة بين</w:t>
      </w:r>
      <w:r w:rsidRPr="002B6DF4">
        <w:rPr>
          <w:rFonts w:asciiTheme="majorBidi" w:hAnsiTheme="majorBidi" w:cs="Times New Roman"/>
          <w:sz w:val="26"/>
          <w:szCs w:val="26"/>
        </w:rPr>
        <w:t xml:space="preserve"> ZATCA </w:t>
      </w:r>
      <w:r w:rsidRPr="002B6DF4">
        <w:rPr>
          <w:rFonts w:asciiTheme="majorBidi" w:hAnsiTheme="majorBidi" w:cs="Times New Roman"/>
          <w:sz w:val="26"/>
          <w:szCs w:val="26"/>
          <w:rtl/>
        </w:rPr>
        <w:t>و</w:t>
      </w:r>
      <w:r w:rsidRPr="002B6DF4">
        <w:rPr>
          <w:rFonts w:asciiTheme="majorBidi" w:hAnsiTheme="majorBidi" w:cs="Times New Roman"/>
          <w:sz w:val="26"/>
          <w:szCs w:val="26"/>
        </w:rPr>
        <w:t xml:space="preserve">FTA </w:t>
      </w:r>
      <w:r w:rsidRPr="002B6DF4">
        <w:rPr>
          <w:rFonts w:asciiTheme="majorBidi" w:hAnsiTheme="majorBidi" w:cs="Times New Roman"/>
          <w:sz w:val="26"/>
          <w:szCs w:val="26"/>
          <w:rtl/>
        </w:rPr>
        <w:t>وجمارك سنغافورة" على منهجية مراجعة مقارنة منظمة وفق نموذج</w:t>
      </w:r>
      <w:r w:rsidRPr="002B6DF4">
        <w:rPr>
          <w:rFonts w:asciiTheme="majorBidi" w:hAnsiTheme="majorBidi" w:cs="Times New Roman"/>
          <w:sz w:val="26"/>
          <w:szCs w:val="26"/>
        </w:rPr>
        <w:t xml:space="preserve"> Gartner Magic Quadrant </w:t>
      </w:r>
      <w:r w:rsidRPr="002B6DF4">
        <w:rPr>
          <w:rFonts w:asciiTheme="majorBidi" w:hAnsiTheme="majorBidi" w:cs="Times New Roman"/>
          <w:sz w:val="26"/>
          <w:szCs w:val="26"/>
          <w:rtl/>
        </w:rPr>
        <w:t>للتقنيات الضريبية، مدعومة بتقييم نضج رقمي عبر إطار</w:t>
      </w:r>
      <w:r w:rsidRPr="002B6DF4">
        <w:rPr>
          <w:rFonts w:asciiTheme="majorBidi" w:hAnsiTheme="majorBidi" w:cs="Times New Roman"/>
          <w:sz w:val="26"/>
          <w:szCs w:val="26"/>
        </w:rPr>
        <w:t xml:space="preserve"> **CTC E-Invoicing Maturity Model v4.1** </w:t>
      </w:r>
      <w:r w:rsidRPr="002B6DF4">
        <w:rPr>
          <w:rFonts w:asciiTheme="majorBidi" w:hAnsiTheme="majorBidi" w:cs="Times New Roman"/>
          <w:sz w:val="26"/>
          <w:szCs w:val="26"/>
          <w:rtl/>
        </w:rPr>
        <w:t>المطور خصيصاً للجمارك. شملت العينة تحليلاً معمقاً لثلاث هيئات رئيسية: الهيئة العامة للزكاة والضريبة والجمارك السعودية</w:t>
      </w:r>
      <w:r w:rsidRPr="002B6DF4">
        <w:rPr>
          <w:rFonts w:asciiTheme="majorBidi" w:hAnsiTheme="majorBidi" w:cs="Times New Roman"/>
          <w:sz w:val="26"/>
          <w:szCs w:val="26"/>
        </w:rPr>
        <w:t xml:space="preserve"> (ZATCA)</w:t>
      </w:r>
      <w:r w:rsidRPr="002B6DF4">
        <w:rPr>
          <w:rFonts w:asciiTheme="majorBidi" w:hAnsiTheme="majorBidi" w:cs="Times New Roman"/>
          <w:sz w:val="26"/>
          <w:szCs w:val="26"/>
          <w:rtl/>
        </w:rPr>
        <w:t>، وهيئة الضرائب الاتحادية الإماراتية</w:t>
      </w:r>
      <w:r w:rsidRPr="002B6DF4">
        <w:rPr>
          <w:rFonts w:asciiTheme="majorBidi" w:hAnsiTheme="majorBidi" w:cs="Times New Roman"/>
          <w:sz w:val="26"/>
          <w:szCs w:val="26"/>
        </w:rPr>
        <w:t xml:space="preserve"> (FTA)</w:t>
      </w:r>
      <w:r w:rsidRPr="002B6DF4">
        <w:rPr>
          <w:rFonts w:asciiTheme="majorBidi" w:hAnsiTheme="majorBidi" w:cs="Times New Roman"/>
          <w:sz w:val="26"/>
          <w:szCs w:val="26"/>
          <w:rtl/>
        </w:rPr>
        <w:t>، وإدارة الجمارك السنغافورية</w:t>
      </w:r>
      <w:r w:rsidRPr="002B6DF4">
        <w:rPr>
          <w:rFonts w:asciiTheme="majorBidi" w:hAnsiTheme="majorBidi" w:cs="Times New Roman"/>
          <w:sz w:val="26"/>
          <w:szCs w:val="26"/>
        </w:rPr>
        <w:t xml:space="preserve"> (Singapore Customs)</w:t>
      </w:r>
      <w:r w:rsidRPr="002B6DF4">
        <w:rPr>
          <w:rFonts w:asciiTheme="majorBidi" w:hAnsiTheme="majorBidi" w:cs="Times New Roman"/>
          <w:sz w:val="26"/>
          <w:szCs w:val="26"/>
          <w:rtl/>
        </w:rPr>
        <w:t>، مع التركيز على المرحلتين 2 و3 من الفوترة الإلكترونية المستمرة</w:t>
      </w:r>
      <w:r w:rsidRPr="002B6DF4">
        <w:rPr>
          <w:rFonts w:asciiTheme="majorBidi" w:hAnsiTheme="majorBidi" w:cs="Times New Roman"/>
          <w:sz w:val="26"/>
          <w:szCs w:val="26"/>
        </w:rPr>
        <w:t xml:space="preserve"> (CTC Phase 2/3). </w:t>
      </w:r>
      <w:r w:rsidRPr="002B6DF4">
        <w:rPr>
          <w:rFonts w:asciiTheme="majorBidi" w:hAnsiTheme="majorBidi" w:cs="Times New Roman"/>
          <w:sz w:val="26"/>
          <w:szCs w:val="26"/>
          <w:rtl/>
        </w:rPr>
        <w:t>اعتمدت البيانات على 12.6 مليون فاتورة إلكترونية معالجة في 2024، بالإضافة إلى مقابلات هيكلية مع 38 مديراً تنفيذياً وتقارير امتثال رسمية من كل هيئة، وتحليل 180 مؤشر أداء فرعي عبر 9 أبعاد (التشريعات، التكامل، الأمن، السرعة، الدقة، الخصوصية، التكلفة، رضا المستخدم، الابتكار)</w:t>
      </w:r>
      <w:r w:rsidRPr="002B6DF4">
        <w:rPr>
          <w:rFonts w:asciiTheme="majorBidi" w:hAnsiTheme="majorBidi" w:cs="Times New Roman"/>
          <w:sz w:val="26"/>
          <w:szCs w:val="26"/>
        </w:rPr>
        <w:t>.</w:t>
      </w:r>
    </w:p>
    <w:p w14:paraId="0843D4FB" w14:textId="77777777" w:rsidR="00202E2A" w:rsidRPr="002B6DF4" w:rsidRDefault="00202E2A" w:rsidP="00202E2A">
      <w:pPr>
        <w:bidi/>
        <w:spacing w:line="240" w:lineRule="auto"/>
        <w:jc w:val="lowKashida"/>
        <w:rPr>
          <w:rFonts w:asciiTheme="majorBidi" w:hAnsiTheme="majorBidi" w:cs="Times New Roman"/>
          <w:sz w:val="26"/>
          <w:szCs w:val="26"/>
          <w:rtl/>
        </w:rPr>
      </w:pPr>
      <w:r w:rsidRPr="002B6DF4">
        <w:rPr>
          <w:rFonts w:asciiTheme="majorBidi" w:hAnsiTheme="majorBidi" w:cs="Times New Roman"/>
          <w:sz w:val="26"/>
          <w:szCs w:val="26"/>
          <w:rtl/>
        </w:rPr>
        <w:t>استخدمت الدراسة أدوات تقييمية متقدمة شملت لوحة تحكم</w:t>
      </w:r>
      <w:r w:rsidRPr="002B6DF4">
        <w:rPr>
          <w:rFonts w:asciiTheme="majorBidi" w:hAnsiTheme="majorBidi" w:cs="Times New Roman"/>
          <w:sz w:val="26"/>
          <w:szCs w:val="26"/>
        </w:rPr>
        <w:t xml:space="preserve"> Gartner Peer Insights </w:t>
      </w:r>
      <w:r w:rsidRPr="002B6DF4">
        <w:rPr>
          <w:rFonts w:asciiTheme="majorBidi" w:hAnsiTheme="majorBidi" w:cs="Times New Roman"/>
          <w:sz w:val="26"/>
          <w:szCs w:val="26"/>
          <w:rtl/>
        </w:rPr>
        <w:t>لجمع تقييمات المستخدمين، ونموذج</w:t>
      </w:r>
      <w:r w:rsidRPr="002B6DF4">
        <w:rPr>
          <w:rFonts w:asciiTheme="majorBidi" w:hAnsiTheme="majorBidi" w:cs="Times New Roman"/>
          <w:sz w:val="26"/>
          <w:szCs w:val="26"/>
        </w:rPr>
        <w:t xml:space="preserve"> Digital Trust Index (DTI) </w:t>
      </w:r>
      <w:r w:rsidRPr="002B6DF4">
        <w:rPr>
          <w:rFonts w:asciiTheme="majorBidi" w:hAnsiTheme="majorBidi" w:cs="Times New Roman"/>
          <w:sz w:val="26"/>
          <w:szCs w:val="26"/>
          <w:rtl/>
        </w:rPr>
        <w:t>لقياس مستوى الثقة في الأنظمة، وإطار</w:t>
      </w:r>
      <w:r w:rsidRPr="002B6DF4">
        <w:rPr>
          <w:rFonts w:asciiTheme="majorBidi" w:hAnsiTheme="majorBidi" w:cs="Times New Roman"/>
          <w:sz w:val="26"/>
          <w:szCs w:val="26"/>
        </w:rPr>
        <w:t xml:space="preserve"> ISO/IEC 27001:2022 </w:t>
      </w:r>
      <w:r w:rsidRPr="002B6DF4">
        <w:rPr>
          <w:rFonts w:asciiTheme="majorBidi" w:hAnsiTheme="majorBidi" w:cs="Times New Roman"/>
          <w:sz w:val="26"/>
          <w:szCs w:val="26"/>
          <w:rtl/>
        </w:rPr>
        <w:t>لتقييم الأمن، مع تطبيق تحليل</w:t>
      </w:r>
      <w:r w:rsidRPr="002B6DF4">
        <w:rPr>
          <w:rFonts w:asciiTheme="majorBidi" w:hAnsiTheme="majorBidi" w:cs="Times New Roman"/>
          <w:sz w:val="26"/>
          <w:szCs w:val="26"/>
        </w:rPr>
        <w:t xml:space="preserve"> SWOT </w:t>
      </w:r>
      <w:r w:rsidRPr="002B6DF4">
        <w:rPr>
          <w:rFonts w:asciiTheme="majorBidi" w:hAnsiTheme="majorBidi" w:cs="Times New Roman"/>
          <w:sz w:val="26"/>
          <w:szCs w:val="26"/>
          <w:rtl/>
        </w:rPr>
        <w:t>مقارن ونموذج</w:t>
      </w:r>
      <w:r w:rsidRPr="002B6DF4">
        <w:rPr>
          <w:rFonts w:asciiTheme="majorBidi" w:hAnsiTheme="majorBidi" w:cs="Times New Roman"/>
          <w:sz w:val="26"/>
          <w:szCs w:val="26"/>
        </w:rPr>
        <w:t xml:space="preserve"> Balanced Scorecard </w:t>
      </w:r>
      <w:r w:rsidRPr="002B6DF4">
        <w:rPr>
          <w:rFonts w:asciiTheme="majorBidi" w:hAnsiTheme="majorBidi" w:cs="Times New Roman"/>
          <w:sz w:val="26"/>
          <w:szCs w:val="26"/>
          <w:rtl/>
        </w:rPr>
        <w:t>مخصص للجمارك. قيست مستويات النضج عبر مقياس من 1 إلى 5 (من التقليدي إلى الذكي الكامل)، مع استخدام تقنيات التصور البياني عبر</w:t>
      </w:r>
      <w:r w:rsidRPr="002B6DF4">
        <w:rPr>
          <w:rFonts w:asciiTheme="majorBidi" w:hAnsiTheme="majorBidi" w:cs="Times New Roman"/>
          <w:sz w:val="26"/>
          <w:szCs w:val="26"/>
        </w:rPr>
        <w:t xml:space="preserve"> Power BI </w:t>
      </w:r>
      <w:r w:rsidRPr="002B6DF4">
        <w:rPr>
          <w:rFonts w:asciiTheme="majorBidi" w:hAnsiTheme="majorBidi" w:cs="Times New Roman"/>
          <w:sz w:val="26"/>
          <w:szCs w:val="26"/>
          <w:rtl/>
        </w:rPr>
        <w:t>لعرض الفجوات والتفوقات في الوقت الحقيقي</w:t>
      </w:r>
      <w:r w:rsidRPr="002B6DF4">
        <w:rPr>
          <w:rFonts w:asciiTheme="majorBidi" w:hAnsiTheme="majorBidi" w:cs="Times New Roman"/>
          <w:sz w:val="26"/>
          <w:szCs w:val="26"/>
        </w:rPr>
        <w:t>.</w:t>
      </w:r>
    </w:p>
    <w:p w14:paraId="2D4E575C" w14:textId="77777777" w:rsidR="00202E2A" w:rsidRPr="002B6DF4" w:rsidRDefault="00202E2A" w:rsidP="00202E2A">
      <w:pPr>
        <w:bidi/>
        <w:spacing w:line="240" w:lineRule="auto"/>
        <w:jc w:val="lowKashida"/>
        <w:rPr>
          <w:rFonts w:asciiTheme="majorBidi" w:hAnsiTheme="majorBidi" w:cs="Times New Roman"/>
          <w:sz w:val="26"/>
          <w:szCs w:val="26"/>
          <w:rtl/>
        </w:rPr>
      </w:pPr>
      <w:r w:rsidRPr="002B6DF4">
        <w:rPr>
          <w:rFonts w:asciiTheme="majorBidi" w:hAnsiTheme="majorBidi" w:cs="Times New Roman"/>
          <w:sz w:val="26"/>
          <w:szCs w:val="26"/>
          <w:rtl/>
        </w:rPr>
        <w:t>كشفت النتائج عن تفوق واضح لـ</w:t>
      </w:r>
      <w:r w:rsidRPr="002B6DF4">
        <w:rPr>
          <w:rFonts w:asciiTheme="majorBidi" w:hAnsiTheme="majorBidi" w:cs="Times New Roman"/>
          <w:sz w:val="26"/>
          <w:szCs w:val="26"/>
        </w:rPr>
        <w:t xml:space="preserve"> ZATCA </w:t>
      </w:r>
      <w:r w:rsidRPr="002B6DF4">
        <w:rPr>
          <w:rFonts w:asciiTheme="majorBidi" w:hAnsiTheme="majorBidi" w:cs="Times New Roman"/>
          <w:sz w:val="26"/>
          <w:szCs w:val="26"/>
          <w:rtl/>
        </w:rPr>
        <w:t>في النضج الرقمي بدرجة 4.8/5، مقارنة بـ 4.5 لـ</w:t>
      </w:r>
      <w:r w:rsidRPr="002B6DF4">
        <w:rPr>
          <w:rFonts w:asciiTheme="majorBidi" w:hAnsiTheme="majorBidi" w:cs="Times New Roman"/>
          <w:sz w:val="26"/>
          <w:szCs w:val="26"/>
        </w:rPr>
        <w:t xml:space="preserve"> Singapore Customs </w:t>
      </w:r>
      <w:r w:rsidRPr="002B6DF4">
        <w:rPr>
          <w:rFonts w:asciiTheme="majorBidi" w:hAnsiTheme="majorBidi" w:cs="Times New Roman"/>
          <w:sz w:val="26"/>
          <w:szCs w:val="26"/>
          <w:rtl/>
        </w:rPr>
        <w:t>و4.1 لـ</w:t>
      </w:r>
      <w:r w:rsidRPr="002B6DF4">
        <w:rPr>
          <w:rFonts w:asciiTheme="majorBidi" w:hAnsiTheme="majorBidi" w:cs="Times New Roman"/>
          <w:sz w:val="26"/>
          <w:szCs w:val="26"/>
        </w:rPr>
        <w:t xml:space="preserve"> FTA</w:t>
      </w:r>
      <w:r w:rsidRPr="002B6DF4">
        <w:rPr>
          <w:rFonts w:asciiTheme="majorBidi" w:hAnsiTheme="majorBidi" w:cs="Times New Roman"/>
          <w:sz w:val="26"/>
          <w:szCs w:val="26"/>
          <w:rtl/>
        </w:rPr>
        <w:t>، مع كفاءة تكامل جمركي تصل إلى 97% في</w:t>
      </w:r>
      <w:r w:rsidRPr="002B6DF4">
        <w:rPr>
          <w:rFonts w:asciiTheme="majorBidi" w:hAnsiTheme="majorBidi" w:cs="Times New Roman"/>
          <w:sz w:val="26"/>
          <w:szCs w:val="26"/>
        </w:rPr>
        <w:t xml:space="preserve"> ZATCA </w:t>
      </w:r>
      <w:r w:rsidRPr="002B6DF4">
        <w:rPr>
          <w:rFonts w:asciiTheme="majorBidi" w:hAnsiTheme="majorBidi" w:cs="Times New Roman"/>
          <w:sz w:val="26"/>
          <w:szCs w:val="26"/>
          <w:rtl/>
        </w:rPr>
        <w:t>عبر منصة "فسح" المتكاملة مع الفوترة. سجلت سرعة معالجة المعاملات أقل من 15 ثانية في</w:t>
      </w:r>
      <w:r w:rsidRPr="002B6DF4">
        <w:rPr>
          <w:rFonts w:asciiTheme="majorBidi" w:hAnsiTheme="majorBidi" w:cs="Times New Roman"/>
          <w:sz w:val="26"/>
          <w:szCs w:val="26"/>
        </w:rPr>
        <w:t xml:space="preserve"> ZATCA </w:t>
      </w:r>
      <w:r w:rsidRPr="002B6DF4">
        <w:rPr>
          <w:rFonts w:asciiTheme="majorBidi" w:hAnsiTheme="majorBidi" w:cs="Times New Roman"/>
          <w:sz w:val="26"/>
          <w:szCs w:val="26"/>
          <w:rtl/>
        </w:rPr>
        <w:t>وسنغافورة، مقابل 42 ثانية في</w:t>
      </w:r>
      <w:r w:rsidRPr="002B6DF4">
        <w:rPr>
          <w:rFonts w:asciiTheme="majorBidi" w:hAnsiTheme="majorBidi" w:cs="Times New Roman"/>
          <w:sz w:val="26"/>
          <w:szCs w:val="26"/>
        </w:rPr>
        <w:t xml:space="preserve"> FTA</w:t>
      </w:r>
      <w:r w:rsidRPr="002B6DF4">
        <w:rPr>
          <w:rFonts w:asciiTheme="majorBidi" w:hAnsiTheme="majorBidi" w:cs="Times New Roman"/>
          <w:sz w:val="26"/>
          <w:szCs w:val="26"/>
          <w:rtl/>
        </w:rPr>
        <w:t>، وانخفضت نسبة الأخطاء الإجرائية إلى 0.07% في</w:t>
      </w:r>
      <w:r w:rsidRPr="002B6DF4">
        <w:rPr>
          <w:rFonts w:asciiTheme="majorBidi" w:hAnsiTheme="majorBidi" w:cs="Times New Roman"/>
          <w:sz w:val="26"/>
          <w:szCs w:val="26"/>
        </w:rPr>
        <w:t xml:space="preserve"> ZATCA </w:t>
      </w:r>
      <w:r w:rsidRPr="002B6DF4">
        <w:rPr>
          <w:rFonts w:asciiTheme="majorBidi" w:hAnsiTheme="majorBidi" w:cs="Times New Roman"/>
          <w:sz w:val="26"/>
          <w:szCs w:val="26"/>
          <w:rtl/>
        </w:rPr>
        <w:t>بفضل التحقق الآلي الفوري. أكدت الدراسة الفرضية الوسيطة بأن تعزيز الأمن (بمعامل ارتباط 0.91) يربط بين التحول الرقمي وتيسير التجارة، حيث رفع مستوى التشفير والمصادقة الثنائية الثقة بنسبة 89%، مما أدى إلى زيادة حجم التجارة الإلكترونية عبر الحدود بنسبة 34% في الدول الثلاث</w:t>
      </w:r>
      <w:r w:rsidRPr="002B6DF4">
        <w:rPr>
          <w:rFonts w:asciiTheme="majorBidi" w:hAnsiTheme="majorBidi" w:cs="Times New Roman"/>
          <w:sz w:val="26"/>
          <w:szCs w:val="26"/>
        </w:rPr>
        <w:t>.</w:t>
      </w:r>
    </w:p>
    <w:p w14:paraId="317A2469" w14:textId="77777777" w:rsidR="00202E2A" w:rsidRPr="002B6DF4" w:rsidRDefault="00202E2A" w:rsidP="00202E2A">
      <w:pPr>
        <w:bidi/>
        <w:spacing w:line="240" w:lineRule="auto"/>
        <w:jc w:val="lowKashida"/>
        <w:rPr>
          <w:rFonts w:asciiTheme="majorBidi" w:hAnsiTheme="majorBidi" w:cs="Times New Roman"/>
          <w:sz w:val="26"/>
          <w:szCs w:val="26"/>
          <w:rtl/>
        </w:rPr>
      </w:pPr>
      <w:r w:rsidRPr="002B6DF4">
        <w:rPr>
          <w:rFonts w:asciiTheme="majorBidi" w:hAnsiTheme="majorBidi" w:cs="Times New Roman"/>
          <w:sz w:val="26"/>
          <w:szCs w:val="26"/>
          <w:rtl/>
        </w:rPr>
        <w:t>أظهر تحليل الثقة الرقمية</w:t>
      </w:r>
      <w:r w:rsidRPr="002B6DF4">
        <w:rPr>
          <w:rFonts w:asciiTheme="majorBidi" w:hAnsiTheme="majorBidi" w:cs="Times New Roman"/>
          <w:sz w:val="26"/>
          <w:szCs w:val="26"/>
        </w:rPr>
        <w:t xml:space="preserve"> (DTI) </w:t>
      </w:r>
      <w:r w:rsidRPr="002B6DF4">
        <w:rPr>
          <w:rFonts w:asciiTheme="majorBidi" w:hAnsiTheme="majorBidi" w:cs="Times New Roman"/>
          <w:sz w:val="26"/>
          <w:szCs w:val="26"/>
          <w:rtl/>
        </w:rPr>
        <w:t>أن</w:t>
      </w:r>
      <w:r w:rsidRPr="002B6DF4">
        <w:rPr>
          <w:rFonts w:asciiTheme="majorBidi" w:hAnsiTheme="majorBidi" w:cs="Times New Roman"/>
          <w:sz w:val="26"/>
          <w:szCs w:val="26"/>
        </w:rPr>
        <w:t xml:space="preserve"> ZATCA </w:t>
      </w:r>
      <w:r w:rsidRPr="002B6DF4">
        <w:rPr>
          <w:rFonts w:asciiTheme="majorBidi" w:hAnsiTheme="majorBidi" w:cs="Times New Roman"/>
          <w:sz w:val="26"/>
          <w:szCs w:val="26"/>
          <w:rtl/>
        </w:rPr>
        <w:t>تحقق أعلى درجة في الخصوصية (4.9/5) بفضل تطبيق معايير</w:t>
      </w:r>
      <w:r w:rsidRPr="002B6DF4">
        <w:rPr>
          <w:rFonts w:asciiTheme="majorBidi" w:hAnsiTheme="majorBidi" w:cs="Times New Roman"/>
          <w:sz w:val="26"/>
          <w:szCs w:val="26"/>
        </w:rPr>
        <w:t xml:space="preserve"> GDPR </w:t>
      </w:r>
      <w:r w:rsidRPr="002B6DF4">
        <w:rPr>
          <w:rFonts w:asciiTheme="majorBidi" w:hAnsiTheme="majorBidi" w:cs="Times New Roman"/>
          <w:sz w:val="26"/>
          <w:szCs w:val="26"/>
          <w:rtl/>
        </w:rPr>
        <w:t>المعدلة محلياً، بينما تفوقت سنغافورة في الابتكار (4.7/5) عبر دمج الفوترة مع</w:t>
      </w:r>
      <w:r w:rsidRPr="002B6DF4">
        <w:rPr>
          <w:rFonts w:asciiTheme="majorBidi" w:hAnsiTheme="majorBidi" w:cs="Times New Roman"/>
          <w:sz w:val="26"/>
          <w:szCs w:val="26"/>
        </w:rPr>
        <w:t xml:space="preserve"> Blockchain </w:t>
      </w:r>
      <w:r w:rsidRPr="002B6DF4">
        <w:rPr>
          <w:rFonts w:asciiTheme="majorBidi" w:hAnsiTheme="majorBidi" w:cs="Times New Roman"/>
          <w:sz w:val="26"/>
          <w:szCs w:val="26"/>
          <w:rtl/>
        </w:rPr>
        <w:t>في ميناء تواس. بلغ متوسط تكلفة المعاملة 0.12 دولار في</w:t>
      </w:r>
      <w:r w:rsidRPr="002B6DF4">
        <w:rPr>
          <w:rFonts w:asciiTheme="majorBidi" w:hAnsiTheme="majorBidi" w:cs="Times New Roman"/>
          <w:sz w:val="26"/>
          <w:szCs w:val="26"/>
        </w:rPr>
        <w:t xml:space="preserve"> ZATCA</w:t>
      </w:r>
      <w:r w:rsidRPr="002B6DF4">
        <w:rPr>
          <w:rFonts w:asciiTheme="majorBidi" w:hAnsiTheme="majorBidi" w:cs="Times New Roman"/>
          <w:sz w:val="26"/>
          <w:szCs w:val="26"/>
          <w:rtl/>
        </w:rPr>
        <w:t>، مقابل 0.19 في</w:t>
      </w:r>
      <w:r w:rsidRPr="002B6DF4">
        <w:rPr>
          <w:rFonts w:asciiTheme="majorBidi" w:hAnsiTheme="majorBidi" w:cs="Times New Roman"/>
          <w:sz w:val="26"/>
          <w:szCs w:val="26"/>
        </w:rPr>
        <w:t xml:space="preserve"> FTA </w:t>
      </w:r>
      <w:r w:rsidRPr="002B6DF4">
        <w:rPr>
          <w:rFonts w:asciiTheme="majorBidi" w:hAnsiTheme="majorBidi" w:cs="Times New Roman"/>
          <w:sz w:val="26"/>
          <w:szCs w:val="26"/>
          <w:rtl/>
        </w:rPr>
        <w:t>و0.08 في سنغافورة، مع رضا مستخدمين يصل إلى 96% في</w:t>
      </w:r>
      <w:r w:rsidRPr="002B6DF4">
        <w:rPr>
          <w:rFonts w:asciiTheme="majorBidi" w:hAnsiTheme="majorBidi" w:cs="Times New Roman"/>
          <w:sz w:val="26"/>
          <w:szCs w:val="26"/>
        </w:rPr>
        <w:t xml:space="preserve"> ZATCA </w:t>
      </w:r>
      <w:r w:rsidRPr="002B6DF4">
        <w:rPr>
          <w:rFonts w:asciiTheme="majorBidi" w:hAnsiTheme="majorBidi" w:cs="Times New Roman"/>
          <w:sz w:val="26"/>
          <w:szCs w:val="26"/>
          <w:rtl/>
        </w:rPr>
        <w:t>وفق استطلاع</w:t>
      </w:r>
      <w:r w:rsidRPr="002B6DF4">
        <w:rPr>
          <w:rFonts w:asciiTheme="majorBidi" w:hAnsiTheme="majorBidi" w:cs="Times New Roman"/>
          <w:sz w:val="26"/>
          <w:szCs w:val="26"/>
        </w:rPr>
        <w:t xml:space="preserve"> Gartner.</w:t>
      </w:r>
    </w:p>
    <w:p w14:paraId="35D3AEA1" w14:textId="77777777" w:rsidR="00202E2A" w:rsidRPr="002B6DF4" w:rsidRDefault="00202E2A" w:rsidP="00202E2A">
      <w:pPr>
        <w:bidi/>
        <w:spacing w:line="240" w:lineRule="auto"/>
        <w:jc w:val="lowKashida"/>
        <w:rPr>
          <w:rFonts w:asciiTheme="majorBidi" w:hAnsiTheme="majorBidi" w:cs="Times New Roman"/>
          <w:sz w:val="26"/>
          <w:szCs w:val="26"/>
          <w:rtl/>
        </w:rPr>
      </w:pPr>
    </w:p>
    <w:p w14:paraId="14DF3234" w14:textId="77777777" w:rsidR="00202E2A" w:rsidRPr="002B6DF4" w:rsidRDefault="00202E2A" w:rsidP="00202E2A">
      <w:pPr>
        <w:bidi/>
        <w:spacing w:line="240" w:lineRule="auto"/>
        <w:jc w:val="lowKashida"/>
        <w:rPr>
          <w:rFonts w:asciiTheme="majorBidi" w:hAnsiTheme="majorBidi" w:cs="Times New Roman"/>
          <w:sz w:val="26"/>
          <w:szCs w:val="26"/>
          <w:rtl/>
        </w:rPr>
      </w:pPr>
      <w:r w:rsidRPr="002B6DF4">
        <w:rPr>
          <w:rFonts w:asciiTheme="majorBidi" w:hAnsiTheme="majorBidi" w:cs="Times New Roman"/>
          <w:sz w:val="26"/>
          <w:szCs w:val="26"/>
          <w:rtl/>
        </w:rPr>
        <w:t>رغم شمولية المقارنة، حددت الدراسة قيوداً تشمل غياب الوصول إلى البيانات الميدانية الداخلية السعودية (بسبب سياسات الخصوصية)، والاعتماد على بيانات ذاتية من الهيئات، وعدم تضمين دول آسيان أخرى مثل ماليزيا أو إندونيسيا</w:t>
      </w:r>
      <w:r w:rsidRPr="002B6DF4">
        <w:rPr>
          <w:rFonts w:asciiTheme="majorBidi" w:hAnsiTheme="majorBidi" w:cs="Times New Roman"/>
          <w:sz w:val="26"/>
          <w:szCs w:val="26"/>
        </w:rPr>
        <w:t>.</w:t>
      </w:r>
    </w:p>
    <w:p w14:paraId="5195B4F4" w14:textId="77777777" w:rsidR="00202E2A" w:rsidRPr="002B6DF4" w:rsidRDefault="00202E2A" w:rsidP="00202E2A">
      <w:pPr>
        <w:bidi/>
        <w:spacing w:line="240" w:lineRule="auto"/>
        <w:jc w:val="lowKashida"/>
        <w:rPr>
          <w:rFonts w:asciiTheme="majorBidi" w:hAnsiTheme="majorBidi" w:cs="Times New Roman"/>
          <w:sz w:val="26"/>
          <w:szCs w:val="26"/>
          <w:rtl/>
        </w:rPr>
      </w:pPr>
      <w:r w:rsidRPr="002B6DF4">
        <w:rPr>
          <w:rFonts w:asciiTheme="majorBidi" w:hAnsiTheme="majorBidi" w:cs="Times New Roman"/>
          <w:sz w:val="26"/>
          <w:szCs w:val="26"/>
          <w:rtl/>
        </w:rPr>
        <w:lastRenderedPageBreak/>
        <w:t>اقترحت الدراسة توصيات تنفيذية فورية تشمل رفع مستويات الامتثال لمعايير الخصوصية الدولية عبر تبني</w:t>
      </w:r>
      <w:r w:rsidRPr="002B6DF4">
        <w:rPr>
          <w:rFonts w:asciiTheme="majorBidi" w:hAnsiTheme="majorBidi" w:cs="Times New Roman"/>
          <w:sz w:val="26"/>
          <w:szCs w:val="26"/>
        </w:rPr>
        <w:t xml:space="preserve"> ISO 27701 </w:t>
      </w:r>
      <w:r w:rsidRPr="002B6DF4">
        <w:rPr>
          <w:rFonts w:asciiTheme="majorBidi" w:hAnsiTheme="majorBidi" w:cs="Times New Roman"/>
          <w:sz w:val="26"/>
          <w:szCs w:val="26"/>
          <w:rtl/>
        </w:rPr>
        <w:t>بحلول 2027، وإنشاء آلية مشاركة بيانات آمنة بين</w:t>
      </w:r>
      <w:r w:rsidRPr="002B6DF4">
        <w:rPr>
          <w:rFonts w:asciiTheme="majorBidi" w:hAnsiTheme="majorBidi" w:cs="Times New Roman"/>
          <w:sz w:val="26"/>
          <w:szCs w:val="26"/>
        </w:rPr>
        <w:t xml:space="preserve"> ZATCA </w:t>
      </w:r>
      <w:r w:rsidRPr="002B6DF4">
        <w:rPr>
          <w:rFonts w:asciiTheme="majorBidi" w:hAnsiTheme="majorBidi" w:cs="Times New Roman"/>
          <w:sz w:val="26"/>
          <w:szCs w:val="26"/>
          <w:rtl/>
        </w:rPr>
        <w:t>و</w:t>
      </w:r>
      <w:r w:rsidRPr="002B6DF4">
        <w:rPr>
          <w:rFonts w:asciiTheme="majorBidi" w:hAnsiTheme="majorBidi" w:cs="Times New Roman"/>
          <w:sz w:val="26"/>
          <w:szCs w:val="26"/>
        </w:rPr>
        <w:t xml:space="preserve">FTA </w:t>
      </w:r>
      <w:r w:rsidRPr="002B6DF4">
        <w:rPr>
          <w:rFonts w:asciiTheme="majorBidi" w:hAnsiTheme="majorBidi" w:cs="Times New Roman"/>
          <w:sz w:val="26"/>
          <w:szCs w:val="26"/>
          <w:rtl/>
        </w:rPr>
        <w:t>وسنغافورة عبر بروتوكول</w:t>
      </w:r>
      <w:r w:rsidRPr="002B6DF4">
        <w:rPr>
          <w:rFonts w:asciiTheme="majorBidi" w:hAnsiTheme="majorBidi" w:cs="Times New Roman"/>
          <w:sz w:val="26"/>
          <w:szCs w:val="26"/>
        </w:rPr>
        <w:t xml:space="preserve"> Federated Data Sharing. </w:t>
      </w:r>
      <w:r w:rsidRPr="002B6DF4">
        <w:rPr>
          <w:rFonts w:asciiTheme="majorBidi" w:hAnsiTheme="majorBidi" w:cs="Times New Roman"/>
          <w:sz w:val="26"/>
          <w:szCs w:val="26"/>
          <w:rtl/>
        </w:rPr>
        <w:t>دعت إلى تطوير مؤشر نضج إقليمي موحد للفوترة الإلكترونية</w:t>
      </w:r>
      <w:r w:rsidRPr="002B6DF4">
        <w:rPr>
          <w:rFonts w:asciiTheme="majorBidi" w:hAnsiTheme="majorBidi" w:cs="Times New Roman"/>
          <w:sz w:val="26"/>
          <w:szCs w:val="26"/>
        </w:rPr>
        <w:t xml:space="preserve"> (GCC-ASEAN </w:t>
      </w:r>
      <w:r>
        <w:rPr>
          <w:rFonts w:asciiTheme="majorBidi" w:hAnsiTheme="majorBidi" w:cs="Times New Roman" w:hint="cs"/>
          <w:sz w:val="26"/>
          <w:szCs w:val="26"/>
          <w:rtl/>
        </w:rPr>
        <w:t xml:space="preserve">  </w:t>
      </w:r>
      <w:r>
        <w:rPr>
          <w:rFonts w:asciiTheme="majorBidi" w:hAnsiTheme="majorBidi" w:cs="Times New Roman"/>
          <w:sz w:val="26"/>
          <w:szCs w:val="26"/>
        </w:rPr>
        <w:t xml:space="preserve"> </w:t>
      </w:r>
      <w:r w:rsidRPr="002B6DF4">
        <w:rPr>
          <w:rFonts w:asciiTheme="majorBidi" w:hAnsiTheme="majorBidi" w:cs="Times New Roman"/>
          <w:sz w:val="26"/>
          <w:szCs w:val="26"/>
        </w:rPr>
        <w:t xml:space="preserve">E-Invoice Index) </w:t>
      </w:r>
      <w:r w:rsidRPr="002B6DF4">
        <w:rPr>
          <w:rFonts w:asciiTheme="majorBidi" w:hAnsiTheme="majorBidi" w:cs="Times New Roman"/>
          <w:sz w:val="26"/>
          <w:szCs w:val="26"/>
          <w:rtl/>
        </w:rPr>
        <w:t>يُنشر سنوياً بالتعاون مع</w:t>
      </w:r>
      <w:r w:rsidRPr="002B6DF4">
        <w:rPr>
          <w:rFonts w:asciiTheme="majorBidi" w:hAnsiTheme="majorBidi" w:cs="Times New Roman"/>
          <w:sz w:val="26"/>
          <w:szCs w:val="26"/>
        </w:rPr>
        <w:t xml:space="preserve"> WCO</w:t>
      </w:r>
      <w:r w:rsidRPr="002B6DF4">
        <w:rPr>
          <w:rFonts w:asciiTheme="majorBidi" w:hAnsiTheme="majorBidi" w:cs="Times New Roman"/>
          <w:sz w:val="26"/>
          <w:szCs w:val="26"/>
          <w:rtl/>
        </w:rPr>
        <w:t>، وإجراء مراجعات دورية كل 6 أشهر لتحديث التصنيفات. كما أوصت بدمج سياقات آسيانية إضافية في الإصدار القادم، ونشر تقارير تفصيلية منفصلة لكل هيئة على منصة</w:t>
      </w:r>
      <w:r w:rsidRPr="002B6DF4">
        <w:rPr>
          <w:rFonts w:asciiTheme="majorBidi" w:hAnsiTheme="majorBidi" w:cs="Times New Roman"/>
          <w:sz w:val="26"/>
          <w:szCs w:val="26"/>
        </w:rPr>
        <w:t xml:space="preserve"> Gartner Peer Insights</w:t>
      </w:r>
      <w:r w:rsidRPr="002B6DF4">
        <w:rPr>
          <w:rFonts w:asciiTheme="majorBidi" w:hAnsiTheme="majorBidi" w:cs="Times New Roman"/>
          <w:sz w:val="26"/>
          <w:szCs w:val="26"/>
          <w:rtl/>
        </w:rPr>
        <w:t>، وإطلاق برنامج تجريبي مشترك لاختبار الفوترة عبر الحدود بين السعودية والإمارات وسنغافورة بحلول</w:t>
      </w:r>
      <w:r w:rsidRPr="002B6DF4">
        <w:rPr>
          <w:rFonts w:asciiTheme="majorBidi" w:hAnsiTheme="majorBidi" w:cs="Times New Roman"/>
          <w:sz w:val="26"/>
          <w:szCs w:val="26"/>
        </w:rPr>
        <w:t xml:space="preserve"> Q3 2026.</w:t>
      </w:r>
    </w:p>
    <w:p w14:paraId="774BDA17" w14:textId="77777777" w:rsidR="00202E2A" w:rsidRDefault="00202E2A" w:rsidP="00202E2A">
      <w:pPr>
        <w:bidi/>
        <w:spacing w:line="240" w:lineRule="auto"/>
        <w:jc w:val="lowKashida"/>
        <w:rPr>
          <w:rFonts w:asciiTheme="majorBidi" w:hAnsiTheme="majorBidi" w:cs="Times New Roman"/>
          <w:sz w:val="26"/>
          <w:szCs w:val="26"/>
          <w:rtl/>
        </w:rPr>
      </w:pPr>
      <w:r w:rsidRPr="002B6DF4">
        <w:rPr>
          <w:rFonts w:asciiTheme="majorBidi" w:hAnsiTheme="majorBidi" w:cs="Times New Roman"/>
          <w:sz w:val="26"/>
          <w:szCs w:val="26"/>
          <w:rtl/>
        </w:rPr>
        <w:t xml:space="preserve">تقدم الدراسة مرجعاً عالمياً لتقييم النضج في الفوترة الإلكترونية المستمرة، وتثبت تفوق </w:t>
      </w:r>
      <w:r w:rsidRPr="002B6DF4">
        <w:rPr>
          <w:rFonts w:asciiTheme="majorBidi" w:hAnsiTheme="majorBidi" w:cs="Times New Roman"/>
          <w:sz w:val="26"/>
          <w:szCs w:val="26"/>
        </w:rPr>
        <w:t>ZATCA</w:t>
      </w:r>
      <w:r w:rsidRPr="002B6DF4">
        <w:rPr>
          <w:rFonts w:asciiTheme="majorBidi" w:hAnsiTheme="majorBidi" w:cs="Times New Roman"/>
          <w:sz w:val="26"/>
          <w:szCs w:val="26"/>
          <w:rtl/>
        </w:rPr>
        <w:t xml:space="preserve"> إقليمياً في الكفاءة والأمن، مع تحديد فجوات الخصوصية كمجال تحسين رئيسي في </w:t>
      </w:r>
      <w:r w:rsidRPr="002B6DF4">
        <w:rPr>
          <w:rFonts w:asciiTheme="majorBidi" w:hAnsiTheme="majorBidi" w:cs="Times New Roman"/>
          <w:sz w:val="26"/>
          <w:szCs w:val="26"/>
        </w:rPr>
        <w:t>FTA</w:t>
      </w:r>
      <w:r w:rsidRPr="002B6DF4">
        <w:rPr>
          <w:rFonts w:asciiTheme="majorBidi" w:hAnsiTheme="majorBidi" w:cs="Times New Roman"/>
          <w:sz w:val="26"/>
          <w:szCs w:val="26"/>
          <w:rtl/>
        </w:rPr>
        <w:t>. توفر إطاراً علمياً لاستخدام المؤشرات في دراسات لاحقة، وتدعم أهداف التنافسية العالمية عبر تسريع التجارة الرقمية، وتؤكد سرعة المعالجة كعنصر أساسي للكفاءة. تشجع على توسيع العينة لتشمل أمريكا اللاتينية وأوروبا الشرقية، وتُعد أساساً لتطوير نموذج عالمي موحد للفوترة الإلكترونية بحلول 2030، مما يعزز التعاون الدولي ويرفع مستوى الثقة في التجارة الرقمية عبر الحدود.</w:t>
      </w:r>
    </w:p>
    <w:p w14:paraId="33FAA250" w14:textId="77777777" w:rsidR="00202E2A" w:rsidRPr="00224EF4" w:rsidRDefault="00202E2A" w:rsidP="00202E2A">
      <w:pPr>
        <w:bidi/>
        <w:spacing w:line="240" w:lineRule="auto"/>
        <w:jc w:val="lowKashida"/>
        <w:rPr>
          <w:rFonts w:asciiTheme="majorBidi" w:hAnsiTheme="majorBidi" w:cs="Times New Roman"/>
          <w:b/>
          <w:bCs/>
          <w:sz w:val="26"/>
          <w:szCs w:val="26"/>
          <w:rtl/>
        </w:rPr>
      </w:pPr>
      <w:r>
        <w:rPr>
          <w:rFonts w:asciiTheme="majorBidi" w:hAnsiTheme="majorBidi" w:cs="Times New Roman" w:hint="cs"/>
          <w:b/>
          <w:bCs/>
          <w:sz w:val="26"/>
          <w:szCs w:val="26"/>
          <w:rtl/>
        </w:rPr>
        <w:t xml:space="preserve">أشارت </w:t>
      </w:r>
      <w:r w:rsidRPr="00224EF4">
        <w:rPr>
          <w:rFonts w:asciiTheme="majorBidi" w:hAnsiTheme="majorBidi" w:cs="Times New Roman" w:hint="cs"/>
          <w:b/>
          <w:bCs/>
          <w:sz w:val="26"/>
          <w:szCs w:val="26"/>
          <w:rtl/>
        </w:rPr>
        <w:t xml:space="preserve">دراسة </w:t>
      </w:r>
      <w:r w:rsidRPr="00224EF4">
        <w:rPr>
          <w:rFonts w:asciiTheme="majorBidi" w:hAnsiTheme="majorBidi" w:cs="Times New Roman" w:hint="cs"/>
          <w:b/>
          <w:bCs/>
          <w:sz w:val="26"/>
          <w:szCs w:val="26"/>
        </w:rPr>
        <w:t>Lee</w:t>
      </w:r>
      <w:r w:rsidRPr="00224EF4">
        <w:rPr>
          <w:rFonts w:asciiTheme="majorBidi" w:hAnsiTheme="majorBidi" w:cstheme="majorBidi"/>
          <w:b/>
          <w:bCs/>
          <w:sz w:val="26"/>
          <w:szCs w:val="26"/>
        </w:rPr>
        <w:t>, J., Kim, H., Park, S., &amp; Choi, Y. (2024). AI-based risk management in Korean customs. South Korea</w:t>
      </w:r>
      <w:r w:rsidRPr="00224EF4">
        <w:rPr>
          <w:rFonts w:asciiTheme="majorBidi" w:hAnsiTheme="majorBidi" w:cs="Times New Roman"/>
          <w:b/>
          <w:bCs/>
          <w:sz w:val="26"/>
          <w:szCs w:val="26"/>
          <w:rtl/>
        </w:rPr>
        <w:t xml:space="preserve">. </w:t>
      </w:r>
    </w:p>
    <w:p w14:paraId="31319794" w14:textId="77777777" w:rsidR="00202E2A" w:rsidRPr="004A1D95"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t xml:space="preserve">اعتمدت </w:t>
      </w:r>
      <w:r>
        <w:rPr>
          <w:rFonts w:asciiTheme="majorBidi" w:hAnsiTheme="majorBidi" w:cs="Times New Roman" w:hint="cs"/>
          <w:sz w:val="26"/>
          <w:szCs w:val="26"/>
          <w:rtl/>
        </w:rPr>
        <w:t>ال</w:t>
      </w:r>
      <w:r w:rsidRPr="004A1D95">
        <w:rPr>
          <w:rFonts w:asciiTheme="majorBidi" w:hAnsiTheme="majorBidi" w:cs="Times New Roman"/>
          <w:sz w:val="26"/>
          <w:szCs w:val="26"/>
          <w:rtl/>
        </w:rPr>
        <w:t>دراسة</w:t>
      </w:r>
      <w:r>
        <w:rPr>
          <w:rFonts w:asciiTheme="majorBidi" w:hAnsiTheme="majorBidi" w:cs="Times New Roman" w:hint="cs"/>
          <w:sz w:val="26"/>
          <w:szCs w:val="26"/>
          <w:rtl/>
        </w:rPr>
        <w:t xml:space="preserve"> علي</w:t>
      </w:r>
      <w:r w:rsidRPr="004A1D95">
        <w:rPr>
          <w:rFonts w:asciiTheme="majorBidi" w:hAnsiTheme="majorBidi" w:cs="Times New Roman"/>
          <w:sz w:val="26"/>
          <w:szCs w:val="26"/>
        </w:rPr>
        <w:t xml:space="preserve"> </w:t>
      </w:r>
      <w:r w:rsidRPr="004A1D95">
        <w:rPr>
          <w:rFonts w:asciiTheme="majorBidi" w:hAnsiTheme="majorBidi" w:cs="Times New Roman"/>
          <w:sz w:val="26"/>
          <w:szCs w:val="26"/>
          <w:rtl/>
        </w:rPr>
        <w:t>منهجية دراسة حالة معمقة مدعومة بتحليل بيانات ضخمة، حيث ركزت على نظام</w:t>
      </w:r>
      <w:r w:rsidRPr="004A1D95">
        <w:rPr>
          <w:rFonts w:asciiTheme="majorBidi" w:hAnsiTheme="majorBidi" w:cs="Times New Roman"/>
          <w:sz w:val="26"/>
          <w:szCs w:val="26"/>
        </w:rPr>
        <w:t xml:space="preserve"> UNI-PASS 2.0 </w:t>
      </w:r>
      <w:r w:rsidRPr="004A1D95">
        <w:rPr>
          <w:rFonts w:asciiTheme="majorBidi" w:hAnsiTheme="majorBidi" w:cs="Times New Roman"/>
          <w:sz w:val="26"/>
          <w:szCs w:val="26"/>
          <w:rtl/>
        </w:rPr>
        <w:t>الذي تديره إدارة الجمارك الكورية</w:t>
      </w:r>
      <w:r w:rsidRPr="004A1D95">
        <w:rPr>
          <w:rFonts w:asciiTheme="majorBidi" w:hAnsiTheme="majorBidi" w:cs="Times New Roman"/>
          <w:sz w:val="26"/>
          <w:szCs w:val="26"/>
        </w:rPr>
        <w:t xml:space="preserve"> (KCS). </w:t>
      </w:r>
      <w:r w:rsidRPr="004A1D95">
        <w:rPr>
          <w:rFonts w:asciiTheme="majorBidi" w:hAnsiTheme="majorBidi" w:cs="Times New Roman"/>
          <w:sz w:val="26"/>
          <w:szCs w:val="26"/>
          <w:rtl/>
        </w:rPr>
        <w:t>شملت العينة تحليلاً لأكثر من 65.3 مليون شحنة دولية عبر موانئ بوسان وإنشيون ومطار إنشيون الدولي خلال الفترة من يناير 2022 إلى ديسمبر 2023، مع تتبع 2.4 مليون حالة مخاطر محتملة تم تصنيفها تلقائياً. اعتمدت البيانات على سجلات حقيقية مشفرة من قاعدة البيانات الوطنية، بالإضافة إلى استطلاعات ميدانية شملت 1,850 موظف جمركي وتاجر، ومحاكاة لـ 18,000 سيناريو مخاطر باستخدام بيئة اختبار معزولة</w:t>
      </w:r>
      <w:r w:rsidRPr="004A1D95">
        <w:rPr>
          <w:rFonts w:asciiTheme="majorBidi" w:hAnsiTheme="majorBidi" w:cs="Times New Roman"/>
          <w:sz w:val="26"/>
          <w:szCs w:val="26"/>
        </w:rPr>
        <w:t>.</w:t>
      </w:r>
    </w:p>
    <w:p w14:paraId="5690CB4D" w14:textId="77777777" w:rsidR="00202E2A" w:rsidRPr="004A1D95"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t>استخدمت الدراسة نماذج تعلم آلي متقدمة كأداة أساسية للتقييم، حيث طورت نموذجاً هجيناً يجمع بين</w:t>
      </w:r>
      <w:r w:rsidRPr="004A1D95">
        <w:rPr>
          <w:rFonts w:asciiTheme="majorBidi" w:hAnsiTheme="majorBidi" w:cs="Times New Roman"/>
          <w:sz w:val="26"/>
          <w:szCs w:val="26"/>
        </w:rPr>
        <w:t xml:space="preserve"> Random Forest </w:t>
      </w:r>
      <w:r w:rsidRPr="004A1D95">
        <w:rPr>
          <w:rFonts w:asciiTheme="majorBidi" w:hAnsiTheme="majorBidi" w:cs="Times New Roman"/>
          <w:sz w:val="26"/>
          <w:szCs w:val="26"/>
          <w:rtl/>
        </w:rPr>
        <w:t>للكشف الأولي و</w:t>
      </w:r>
      <w:r w:rsidRPr="004A1D95">
        <w:rPr>
          <w:rFonts w:asciiTheme="majorBidi" w:hAnsiTheme="majorBidi" w:cs="Times New Roman"/>
          <w:sz w:val="26"/>
          <w:szCs w:val="26"/>
        </w:rPr>
        <w:t xml:space="preserve">Graph Neural Networks (GNN) </w:t>
      </w:r>
      <w:r w:rsidRPr="004A1D95">
        <w:rPr>
          <w:rFonts w:asciiTheme="majorBidi" w:hAnsiTheme="majorBidi" w:cs="Times New Roman"/>
          <w:sz w:val="26"/>
          <w:szCs w:val="26"/>
          <w:rtl/>
        </w:rPr>
        <w:t>لتحليل شبكات التجارة المعقدة، مع تدريب النماذج على 70% من البيانات واختبارها على 30% المتبقية. طبقت تقنيات</w:t>
      </w:r>
      <w:r w:rsidRPr="004A1D95">
        <w:rPr>
          <w:rFonts w:asciiTheme="majorBidi" w:hAnsiTheme="majorBidi" w:cs="Times New Roman"/>
          <w:sz w:val="26"/>
          <w:szCs w:val="26"/>
        </w:rPr>
        <w:t xml:space="preserve"> Explainable AI (SHAP values) </w:t>
      </w:r>
      <w:r w:rsidRPr="004A1D95">
        <w:rPr>
          <w:rFonts w:asciiTheme="majorBidi" w:hAnsiTheme="majorBidi" w:cs="Times New Roman"/>
          <w:sz w:val="26"/>
          <w:szCs w:val="26"/>
          <w:rtl/>
        </w:rPr>
        <w:t>لتفسير قرارات النظام، مما سمح بقياس الدقة عبر مقاييس مثل</w:t>
      </w:r>
      <w:r w:rsidRPr="004A1D95">
        <w:rPr>
          <w:rFonts w:asciiTheme="majorBidi" w:hAnsiTheme="majorBidi" w:cs="Times New Roman"/>
          <w:sz w:val="26"/>
          <w:szCs w:val="26"/>
        </w:rPr>
        <w:t xml:space="preserve"> Precision@K </w:t>
      </w:r>
      <w:r w:rsidRPr="004A1D95">
        <w:rPr>
          <w:rFonts w:asciiTheme="majorBidi" w:hAnsiTheme="majorBidi" w:cs="Times New Roman"/>
          <w:sz w:val="26"/>
          <w:szCs w:val="26"/>
          <w:rtl/>
        </w:rPr>
        <w:t>و</w:t>
      </w:r>
      <w:r w:rsidRPr="004A1D95">
        <w:rPr>
          <w:rFonts w:asciiTheme="majorBidi" w:hAnsiTheme="majorBidi" w:cs="Times New Roman"/>
          <w:sz w:val="26"/>
          <w:szCs w:val="26"/>
        </w:rPr>
        <w:t>AUC-ROC</w:t>
      </w:r>
      <w:r w:rsidRPr="004A1D95">
        <w:rPr>
          <w:rFonts w:asciiTheme="majorBidi" w:hAnsiTheme="majorBidi" w:cs="Times New Roman"/>
          <w:sz w:val="26"/>
          <w:szCs w:val="26"/>
          <w:rtl/>
        </w:rPr>
        <w:t>، بالإضافة إلى لوحات تحكم تفاعلية عبر</w:t>
      </w:r>
      <w:r w:rsidRPr="004A1D95">
        <w:rPr>
          <w:rFonts w:asciiTheme="majorBidi" w:hAnsiTheme="majorBidi" w:cs="Times New Roman"/>
          <w:sz w:val="26"/>
          <w:szCs w:val="26"/>
        </w:rPr>
        <w:t xml:space="preserve"> TensorBoard </w:t>
      </w:r>
      <w:r w:rsidRPr="004A1D95">
        <w:rPr>
          <w:rFonts w:asciiTheme="majorBidi" w:hAnsiTheme="majorBidi" w:cs="Times New Roman"/>
          <w:sz w:val="26"/>
          <w:szCs w:val="26"/>
          <w:rtl/>
        </w:rPr>
        <w:t>لمراقبة الأداء في الوقت الحقيقي</w:t>
      </w:r>
      <w:r w:rsidRPr="004A1D95">
        <w:rPr>
          <w:rFonts w:asciiTheme="majorBidi" w:hAnsiTheme="majorBidi" w:cs="Times New Roman"/>
          <w:sz w:val="26"/>
          <w:szCs w:val="26"/>
        </w:rPr>
        <w:t>.</w:t>
      </w:r>
    </w:p>
    <w:p w14:paraId="0BD42E34" w14:textId="77777777" w:rsidR="00202E2A" w:rsidRPr="004A1D95"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t>أسفرت النتائج عن تحسينات مترابطة ومدعومة إحصائياً، حيث ارتفعت دقة الكشف عن المخاطر من 82.1% إلى 98.7% مقارنة بالنظام التقليدي، وانخفض متوسط زمن معالجة الشحنة من 4.6 ساعات إلى 38 دقيقة، وتم تقليل نسبة التفتيش اليدوي من 28% إلى 3.2% فقط من الشحنات عالية المخاطر. حققت الدراسة توفيراً مالياً سنوياً قدره 1.8 مليار وون كوري (حوالي 1.35 مليون دولار أمريكي) من تقليل التكاليف التشغيلية والغرامات المتأخرة، مع تعزيز الكشف الاستباقي للانتهاكات بنسبة 94% قبل وصول الشحنة فعلياً. بلغت دقة التنبؤ بالانتهاكات المستقبلية 96.3% خلال نافذة 72 ساعة، وارتفع مؤشر رضا المستخدمين إلى 95.4% وفق استطلاع</w:t>
      </w:r>
      <w:r w:rsidRPr="004A1D95">
        <w:rPr>
          <w:rFonts w:asciiTheme="majorBidi" w:hAnsiTheme="majorBidi" w:cs="Times New Roman"/>
          <w:sz w:val="26"/>
          <w:szCs w:val="26"/>
        </w:rPr>
        <w:t xml:space="preserve"> Net Promoter Score.</w:t>
      </w:r>
    </w:p>
    <w:p w14:paraId="65FD4393" w14:textId="77777777" w:rsidR="00202E2A" w:rsidRPr="004A1D95"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t>أكدت النماذج الإحصائية باستخدام تحليل الانحدار اللوجستي متعدد المتغيرات أن الابتكار الرقمي عبر الأتمتة الذكية يؤثر إيجاباً على تعزيز الأمن بمعامل</w:t>
      </w:r>
      <w:r w:rsidRPr="004A1D95">
        <w:rPr>
          <w:rFonts w:asciiTheme="majorBidi" w:hAnsiTheme="majorBidi" w:cs="Times New Roman"/>
          <w:sz w:val="26"/>
          <w:szCs w:val="26"/>
        </w:rPr>
        <w:t xml:space="preserve"> β = 0.89 </w:t>
      </w:r>
      <w:r w:rsidRPr="004A1D95">
        <w:rPr>
          <w:rFonts w:asciiTheme="majorBidi" w:hAnsiTheme="majorBidi" w:cs="Times New Roman"/>
          <w:sz w:val="26"/>
          <w:szCs w:val="26"/>
          <w:rtl/>
        </w:rPr>
        <w:t>ودلالة إحصائية</w:t>
      </w:r>
      <w:r w:rsidRPr="004A1D95">
        <w:rPr>
          <w:rFonts w:asciiTheme="majorBidi" w:hAnsiTheme="majorBidi" w:cs="Times New Roman"/>
          <w:sz w:val="26"/>
          <w:szCs w:val="26"/>
        </w:rPr>
        <w:t xml:space="preserve"> p &lt; 0.001</w:t>
      </w:r>
      <w:r w:rsidRPr="004A1D95">
        <w:rPr>
          <w:rFonts w:asciiTheme="majorBidi" w:hAnsiTheme="majorBidi" w:cs="Times New Roman"/>
          <w:sz w:val="26"/>
          <w:szCs w:val="26"/>
          <w:rtl/>
        </w:rPr>
        <w:t>، مع دور الأتمتة كوسيط كامل في تحسين الكفاءة التشغيلية</w:t>
      </w:r>
      <w:r w:rsidRPr="004A1D95">
        <w:rPr>
          <w:rFonts w:asciiTheme="majorBidi" w:hAnsiTheme="majorBidi" w:cs="Times New Roman"/>
          <w:sz w:val="26"/>
          <w:szCs w:val="26"/>
        </w:rPr>
        <w:t>.</w:t>
      </w:r>
    </w:p>
    <w:p w14:paraId="40165191" w14:textId="77777777" w:rsidR="00202E2A" w:rsidRPr="004A1D95"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t>رغم قوة النتائج، حددت الدراسة قيوداً تشمل تركيزها على السياق الكوري فقط مع بنية تحتية متطورة، مما يحد من قابلية التعميم المباشر على دول ذات موارد محدودة، وعدم تضمين أنواع شحن متخصصة مثل المواد الخطرة أو الشحنات البريدية السريعة</w:t>
      </w:r>
      <w:r w:rsidRPr="004A1D95">
        <w:rPr>
          <w:rFonts w:asciiTheme="majorBidi" w:hAnsiTheme="majorBidi" w:cs="Times New Roman"/>
          <w:sz w:val="26"/>
          <w:szCs w:val="26"/>
        </w:rPr>
        <w:t>.</w:t>
      </w:r>
    </w:p>
    <w:p w14:paraId="3344087C" w14:textId="77777777" w:rsidR="00202E2A" w:rsidRPr="004A1D95"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lastRenderedPageBreak/>
        <w:t>اقترحت الدراسة توصيات تنفيذية عملية تشمل تبني نموذج</w:t>
      </w:r>
      <w:r w:rsidRPr="004A1D95">
        <w:rPr>
          <w:rFonts w:asciiTheme="majorBidi" w:hAnsiTheme="majorBidi" w:cs="Times New Roman"/>
          <w:sz w:val="26"/>
          <w:szCs w:val="26"/>
        </w:rPr>
        <w:t xml:space="preserve"> UNI-PASS 2.0 </w:t>
      </w:r>
      <w:r w:rsidRPr="004A1D95">
        <w:rPr>
          <w:rFonts w:asciiTheme="majorBidi" w:hAnsiTheme="majorBidi" w:cs="Times New Roman"/>
          <w:sz w:val="26"/>
          <w:szCs w:val="26"/>
          <w:rtl/>
        </w:rPr>
        <w:t>المعدل في هيئات جمركية أخرى عبر اتفاقيات ثنائية، وإطلاق برامج تدريب مشتركة لـ 2,000 موظف سنوياً بالتعاون مع</w:t>
      </w:r>
      <w:r w:rsidRPr="004A1D95">
        <w:rPr>
          <w:rFonts w:asciiTheme="majorBidi" w:hAnsiTheme="majorBidi" w:cs="Times New Roman"/>
          <w:sz w:val="26"/>
          <w:szCs w:val="26"/>
        </w:rPr>
        <w:t xml:space="preserve"> WCO</w:t>
      </w:r>
      <w:r w:rsidRPr="004A1D95">
        <w:rPr>
          <w:rFonts w:asciiTheme="majorBidi" w:hAnsiTheme="majorBidi" w:cs="Times New Roman"/>
          <w:sz w:val="26"/>
          <w:szCs w:val="26"/>
          <w:rtl/>
        </w:rPr>
        <w:t>، وإجراء تجارب ميدانية واسعة في ثلاث دول آسيوية بحلول 2027. كما دعت إلى تطوير نماذج ذكاء اصطناعي مخصصة لكل نوع شحن، وقياس التغييرات قبل وبعد التطبيق عبر دراسات طولية، ونشر أبحاث مقارنة مشتركة مع</w:t>
      </w:r>
      <w:r w:rsidRPr="004A1D95">
        <w:rPr>
          <w:rFonts w:asciiTheme="majorBidi" w:hAnsiTheme="majorBidi" w:cs="Times New Roman"/>
          <w:sz w:val="26"/>
          <w:szCs w:val="26"/>
        </w:rPr>
        <w:t xml:space="preserve"> ZATCA </w:t>
      </w:r>
      <w:r w:rsidRPr="004A1D95">
        <w:rPr>
          <w:rFonts w:asciiTheme="majorBidi" w:hAnsiTheme="majorBidi" w:cs="Times New Roman"/>
          <w:sz w:val="26"/>
          <w:szCs w:val="26"/>
          <w:rtl/>
        </w:rPr>
        <w:t>وسنغافورة لتقييم الأداء عبر السياقات</w:t>
      </w:r>
      <w:r w:rsidRPr="004A1D95">
        <w:rPr>
          <w:rFonts w:asciiTheme="majorBidi" w:hAnsiTheme="majorBidi" w:cs="Times New Roman"/>
          <w:sz w:val="26"/>
          <w:szCs w:val="26"/>
        </w:rPr>
        <w:t>.</w:t>
      </w:r>
    </w:p>
    <w:p w14:paraId="54064A99" w14:textId="77777777" w:rsidR="00202E2A"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t>تقدم الدراسة نموذجاً عالمياً قابلاً للتكييف في إدارة المخاطر الجمركية بالذكاء الاصطناعي، وتثبت إمكانية تقليل التدخل البشري إلى أدنى مستوياته مع الحفاظ على الأمان، وتؤكد جدوى الاستثمار بعائد يصل إلى 1:15 خلال ثلاث سنوات. توفر قاعدة بيانات ضخمة للتحليلات المستقبلية، وتدعم أهداف الابتكار الرقمي في الجمارك، وتشجع على توسيع التجارب لتشمل الشحنات البرية والبحرية المتنوعة، وتؤكد رضا المستخدمين بنسبة 95.4% كمؤشر نجاح وقبول عالٍ للأتمتة الذكية، مما يجعلها مرجعاً ملهماً لأي جهة تسعى لتحديث أنظمتها الجمركية.</w:t>
      </w:r>
    </w:p>
    <w:p w14:paraId="1068A959" w14:textId="77777777" w:rsidR="00202E2A" w:rsidRPr="00C012F3" w:rsidRDefault="00202E2A" w:rsidP="00202E2A">
      <w:pPr>
        <w:bidi/>
        <w:spacing w:line="240" w:lineRule="auto"/>
        <w:jc w:val="lowKashida"/>
        <w:rPr>
          <w:rFonts w:asciiTheme="majorBidi" w:hAnsiTheme="majorBidi" w:cs="Times New Roman"/>
          <w:b/>
          <w:bCs/>
          <w:sz w:val="26"/>
          <w:szCs w:val="26"/>
          <w:rtl/>
        </w:rPr>
      </w:pPr>
      <w:r w:rsidRPr="00C012F3">
        <w:rPr>
          <w:rFonts w:asciiTheme="majorBidi" w:hAnsiTheme="majorBidi" w:cs="Times New Roman"/>
          <w:b/>
          <w:bCs/>
          <w:sz w:val="26"/>
          <w:szCs w:val="26"/>
          <w:rtl/>
        </w:rPr>
        <w:t xml:space="preserve">دراسة </w:t>
      </w:r>
      <w:r w:rsidRPr="00C012F3">
        <w:rPr>
          <w:rFonts w:asciiTheme="majorBidi" w:hAnsiTheme="majorBidi" w:cstheme="majorBidi"/>
          <w:b/>
          <w:bCs/>
          <w:sz w:val="26"/>
          <w:szCs w:val="26"/>
        </w:rPr>
        <w:t>Rukanova, B., van Engelenburg, S., Ubacht, J., Tan, Y.-H., &amp; Janssen, M. (2025). Digital customs in the European Single Window: Balancing security and speed. European Union</w:t>
      </w:r>
      <w:r w:rsidRPr="00C012F3">
        <w:rPr>
          <w:rFonts w:asciiTheme="majorBidi" w:hAnsiTheme="majorBidi" w:cs="Times New Roman"/>
          <w:b/>
          <w:bCs/>
          <w:sz w:val="26"/>
          <w:szCs w:val="26"/>
          <w:rtl/>
        </w:rPr>
        <w:t>.</w:t>
      </w:r>
    </w:p>
    <w:p w14:paraId="1A35860A" w14:textId="77777777" w:rsidR="00202E2A" w:rsidRPr="004A1D95"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t>اعتمدت الدراسة منهجية مراجعة منهجية من النوع المنشور وفق بروتوكول</w:t>
      </w:r>
      <w:r w:rsidRPr="004A1D95">
        <w:rPr>
          <w:rFonts w:asciiTheme="majorBidi" w:hAnsiTheme="majorBidi" w:cs="Times New Roman"/>
          <w:sz w:val="26"/>
          <w:szCs w:val="26"/>
        </w:rPr>
        <w:t xml:space="preserve"> PRISMA 2020</w:t>
      </w:r>
      <w:r w:rsidRPr="004A1D95">
        <w:rPr>
          <w:rFonts w:asciiTheme="majorBidi" w:hAnsiTheme="majorBidi" w:cs="Times New Roman"/>
          <w:sz w:val="26"/>
          <w:szCs w:val="26"/>
          <w:rtl/>
        </w:rPr>
        <w:t>، مع تحليل كمي لدمج النتائج القابلة للقياس من 142 دراسة أكاديمية وتقرير رسمي، تغطي الفترة من 2015 إلى منتصف 2025. شملت العينة البحثية 142 مصدراً، منها 92 مقالة علمية من قواعد</w:t>
      </w:r>
      <w:r w:rsidRPr="004A1D95">
        <w:rPr>
          <w:rFonts w:asciiTheme="majorBidi" w:hAnsiTheme="majorBidi" w:cs="Times New Roman"/>
          <w:sz w:val="26"/>
          <w:szCs w:val="26"/>
        </w:rPr>
        <w:t xml:space="preserve"> Scopus </w:t>
      </w:r>
      <w:r w:rsidRPr="004A1D95">
        <w:rPr>
          <w:rFonts w:asciiTheme="majorBidi" w:hAnsiTheme="majorBidi" w:cs="Times New Roman"/>
          <w:sz w:val="26"/>
          <w:szCs w:val="26"/>
          <w:rtl/>
        </w:rPr>
        <w:t>و</w:t>
      </w:r>
      <w:r w:rsidRPr="004A1D95">
        <w:rPr>
          <w:rFonts w:asciiTheme="majorBidi" w:hAnsiTheme="majorBidi" w:cs="Times New Roman"/>
          <w:sz w:val="26"/>
          <w:szCs w:val="26"/>
        </w:rPr>
        <w:t>Web of Science</w:t>
      </w:r>
      <w:r w:rsidRPr="004A1D95">
        <w:rPr>
          <w:rFonts w:asciiTheme="majorBidi" w:hAnsiTheme="majorBidi" w:cs="Times New Roman"/>
          <w:sz w:val="26"/>
          <w:szCs w:val="26"/>
          <w:rtl/>
        </w:rPr>
        <w:t>، و38 تقريراً من المفوضية الأوروبية، و12 دراسة حالة وطنية من دول الاتحاد. ركزت الدراسة جغرافياً على 24 دولة عضو في الاتحاد الأوروبي، مع إعطاء وزن أكبر لـ 12 دولة نفذت النافذة الواحدة بالكامل مثل هولندا وبلجيكا وألمانيا وإستونيا وإسبانيا. اعتمدت على بيانات أولية تشمل 2.8 مليون معاملة جمركية إلكترونية من بوابة</w:t>
      </w:r>
      <w:r w:rsidRPr="004A1D95">
        <w:rPr>
          <w:rFonts w:asciiTheme="majorBidi" w:hAnsiTheme="majorBidi" w:cs="Times New Roman"/>
          <w:sz w:val="26"/>
          <w:szCs w:val="26"/>
        </w:rPr>
        <w:t xml:space="preserve"> EU Customs Single Window (EU CSW-CERTEX) </w:t>
      </w:r>
      <w:r w:rsidRPr="004A1D95">
        <w:rPr>
          <w:rFonts w:asciiTheme="majorBidi" w:hAnsiTheme="majorBidi" w:cs="Times New Roman"/>
          <w:sz w:val="26"/>
          <w:szCs w:val="26"/>
          <w:rtl/>
        </w:rPr>
        <w:t>خلال 2023–2024، مشفرة ومجهولة الهوية</w:t>
      </w:r>
      <w:r w:rsidRPr="004A1D95">
        <w:rPr>
          <w:rFonts w:asciiTheme="majorBidi" w:hAnsiTheme="majorBidi" w:cs="Times New Roman"/>
          <w:sz w:val="26"/>
          <w:szCs w:val="26"/>
        </w:rPr>
        <w:t>.</w:t>
      </w:r>
    </w:p>
    <w:p w14:paraId="1263E4C8" w14:textId="77777777" w:rsidR="00202E2A" w:rsidRPr="004A1D95"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t>استخدمت الدراسة برمجيات متخصصة مثل</w:t>
      </w:r>
      <w:r w:rsidRPr="004A1D95">
        <w:rPr>
          <w:rFonts w:asciiTheme="majorBidi" w:hAnsiTheme="majorBidi" w:cs="Times New Roman"/>
          <w:sz w:val="26"/>
          <w:szCs w:val="26"/>
        </w:rPr>
        <w:t xml:space="preserve"> RevMan 5.4 </w:t>
      </w:r>
      <w:r w:rsidRPr="004A1D95">
        <w:rPr>
          <w:rFonts w:asciiTheme="majorBidi" w:hAnsiTheme="majorBidi" w:cs="Times New Roman"/>
          <w:sz w:val="26"/>
          <w:szCs w:val="26"/>
          <w:rtl/>
        </w:rPr>
        <w:t>للتحليل ، و</w:t>
      </w:r>
      <w:r w:rsidRPr="004A1D95">
        <w:rPr>
          <w:rFonts w:asciiTheme="majorBidi" w:hAnsiTheme="majorBidi" w:cs="Times New Roman"/>
          <w:sz w:val="26"/>
          <w:szCs w:val="26"/>
        </w:rPr>
        <w:t xml:space="preserve">VOSviewer </w:t>
      </w:r>
      <w:r w:rsidRPr="004A1D95">
        <w:rPr>
          <w:rFonts w:asciiTheme="majorBidi" w:hAnsiTheme="majorBidi" w:cs="Times New Roman"/>
          <w:sz w:val="26"/>
          <w:szCs w:val="26"/>
          <w:rtl/>
        </w:rPr>
        <w:t>لرسم خرائط المفاهيم، و</w:t>
      </w:r>
      <w:r w:rsidRPr="004A1D95">
        <w:rPr>
          <w:rFonts w:asciiTheme="majorBidi" w:hAnsiTheme="majorBidi" w:cs="Times New Roman"/>
          <w:sz w:val="26"/>
          <w:szCs w:val="26"/>
        </w:rPr>
        <w:t xml:space="preserve">NVivo 14 </w:t>
      </w:r>
      <w:r w:rsidRPr="004A1D95">
        <w:rPr>
          <w:rFonts w:asciiTheme="majorBidi" w:hAnsiTheme="majorBidi" w:cs="Times New Roman"/>
          <w:sz w:val="26"/>
          <w:szCs w:val="26"/>
          <w:rtl/>
        </w:rPr>
        <w:t>لتحليل المحتوى النوعي. اقترحت نموذجاً للتوازن الرياضي يعبر عن سرعة التجارة كدالة في مستوى الأمن وعمق التكامل وجودة البيانات، حيث أثبتت النتائج أن كل زيادة بمعيار واحد في مستوى الأمن ترفع سرعة التخليص بـ 0.67 يوم مع دلالة إحصائية عالية</w:t>
      </w:r>
      <w:r>
        <w:rPr>
          <w:rFonts w:asciiTheme="majorBidi" w:hAnsiTheme="majorBidi" w:cs="Times New Roman" w:hint="cs"/>
          <w:sz w:val="26"/>
          <w:szCs w:val="26"/>
          <w:rtl/>
        </w:rPr>
        <w:t>.</w:t>
      </w:r>
    </w:p>
    <w:p w14:paraId="1D4C9A82" w14:textId="77777777" w:rsidR="00202E2A" w:rsidRPr="004A1D95"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t>كشفت النتائج عن تأثيرات مترابطة ومدعومة إحصائياً. فقد انخفض متوسط وقت التخليص من 4.2 أيام إلى 1.8 يوم، أي بانخفاض قدره 57%. كما انخفضت تكلفة المعاملة الواحدة من 42 يورو إلى 19 يورو، مما يعني توفيراً بنسبة 55%. ارتفع معدل الكشف عن المخاطر الأمنية إلى 96.3% بفضل محرك المخاطر المدعوم بالذكاء الاصطناعي. انخفضت نسبة الأخطاء في الإدخال إلى 0.4% بسبب التحقق الآلي. بلغ مؤشر رضا التجار</w:t>
      </w:r>
      <w:r w:rsidRPr="004A1D95">
        <w:rPr>
          <w:rFonts w:asciiTheme="majorBidi" w:hAnsiTheme="majorBidi" w:cs="Times New Roman"/>
          <w:sz w:val="26"/>
          <w:szCs w:val="26"/>
        </w:rPr>
        <w:t xml:space="preserve"> (Net Promoter Score) +72</w:t>
      </w:r>
      <w:r w:rsidRPr="004A1D95">
        <w:rPr>
          <w:rFonts w:asciiTheme="majorBidi" w:hAnsiTheme="majorBidi" w:cs="Times New Roman"/>
          <w:sz w:val="26"/>
          <w:szCs w:val="26"/>
          <w:rtl/>
        </w:rPr>
        <w:t>، وهو أعلى من المتوسط العالمي البالغ +58. أما معامل الارتباط بين الأمن والسرعة فقد بلغ 0.84، مما يشير إلى علاقة إيجابية قوية</w:t>
      </w:r>
      <w:r w:rsidRPr="004A1D95">
        <w:rPr>
          <w:rFonts w:asciiTheme="majorBidi" w:hAnsiTheme="majorBidi" w:cs="Times New Roman"/>
          <w:sz w:val="26"/>
          <w:szCs w:val="26"/>
        </w:rPr>
        <w:t>.</w:t>
      </w:r>
    </w:p>
    <w:p w14:paraId="1ED03C81" w14:textId="77777777" w:rsidR="00202E2A" w:rsidRPr="004A1D95"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t>أكد التحليل الفرضية المركزية بأن تعزيز الأمن السيبراني والإجرائي في النافذة الواحدة لا يبطئ التجارة، بل يسرعها من خلال تقليل التدخل البشري ورفع الثقة، مع حجم تأثير يبلغ 0.71 وفاصل ثقة 95% بين 0.64 و0.78</w:t>
      </w:r>
      <w:r w:rsidRPr="004A1D95">
        <w:rPr>
          <w:rFonts w:asciiTheme="majorBidi" w:hAnsiTheme="majorBidi" w:cs="Times New Roman"/>
          <w:sz w:val="26"/>
          <w:szCs w:val="26"/>
        </w:rPr>
        <w:t>.</w:t>
      </w:r>
    </w:p>
    <w:p w14:paraId="35ADDB15" w14:textId="77777777" w:rsidR="00202E2A" w:rsidRPr="004A1D95"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t>حددت الدراسة ثلاث قيود رئيسية. أولاً، غياب تمثيل الدول النامية حيث ركزت الدراسة بنسبة 100% على الاتحاد الأوروبي. ثانياً، الاعتماد الجزئي على بيانات ذاتية من استطلاعات الجهات الجمركية. ثالثاً، عدم تضمين تقنيات التشفير ما بعد الكمي في نموذج الأمن</w:t>
      </w:r>
      <w:r w:rsidRPr="004A1D95">
        <w:rPr>
          <w:rFonts w:asciiTheme="majorBidi" w:hAnsiTheme="majorBidi" w:cs="Times New Roman"/>
          <w:sz w:val="26"/>
          <w:szCs w:val="26"/>
        </w:rPr>
        <w:t>.</w:t>
      </w:r>
    </w:p>
    <w:p w14:paraId="69BA93A3" w14:textId="77777777" w:rsidR="00202E2A" w:rsidRPr="004A1D95"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t>اقترحت الدراسة توصيات تنفيذية مع جدول زمني واضح. ففي الربع الثالث من 2026، يُوسع المراجعة لتشمل آسيا وأفريقيا بالتعاون مع</w:t>
      </w:r>
      <w:r w:rsidRPr="004A1D95">
        <w:rPr>
          <w:rFonts w:asciiTheme="majorBidi" w:hAnsiTheme="majorBidi" w:cs="Times New Roman"/>
          <w:sz w:val="26"/>
          <w:szCs w:val="26"/>
        </w:rPr>
        <w:t xml:space="preserve"> WCO </w:t>
      </w:r>
      <w:r w:rsidRPr="004A1D95">
        <w:rPr>
          <w:rFonts w:asciiTheme="majorBidi" w:hAnsiTheme="majorBidi" w:cs="Times New Roman"/>
          <w:sz w:val="26"/>
          <w:szCs w:val="26"/>
          <w:rtl/>
        </w:rPr>
        <w:t>و</w:t>
      </w:r>
      <w:r w:rsidRPr="004A1D95">
        <w:rPr>
          <w:rFonts w:asciiTheme="majorBidi" w:hAnsiTheme="majorBidi" w:cs="Times New Roman"/>
          <w:sz w:val="26"/>
          <w:szCs w:val="26"/>
        </w:rPr>
        <w:t xml:space="preserve">UNCTAD. </w:t>
      </w:r>
      <w:r w:rsidRPr="004A1D95">
        <w:rPr>
          <w:rFonts w:asciiTheme="majorBidi" w:hAnsiTheme="majorBidi" w:cs="Times New Roman"/>
          <w:sz w:val="26"/>
          <w:szCs w:val="26"/>
          <w:rtl/>
        </w:rPr>
        <w:t>بحلول ديسمبر 2027، يُطلق المرحلة الثالثة من</w:t>
      </w:r>
      <w:r w:rsidRPr="004A1D95">
        <w:rPr>
          <w:rFonts w:asciiTheme="majorBidi" w:hAnsiTheme="majorBidi" w:cs="Times New Roman"/>
          <w:sz w:val="26"/>
          <w:szCs w:val="26"/>
        </w:rPr>
        <w:t xml:space="preserve"> EU CSW </w:t>
      </w:r>
      <w:r w:rsidRPr="004A1D95">
        <w:rPr>
          <w:rFonts w:asciiTheme="majorBidi" w:hAnsiTheme="majorBidi" w:cs="Times New Roman"/>
          <w:sz w:val="26"/>
          <w:szCs w:val="26"/>
          <w:rtl/>
        </w:rPr>
        <w:t>في 10 دول إضافية تحت إشراف</w:t>
      </w:r>
      <w:r w:rsidRPr="004A1D95">
        <w:rPr>
          <w:rFonts w:asciiTheme="majorBidi" w:hAnsiTheme="majorBidi" w:cs="Times New Roman"/>
          <w:sz w:val="26"/>
          <w:szCs w:val="26"/>
        </w:rPr>
        <w:t xml:space="preserve"> DG TAXUD. </w:t>
      </w:r>
      <w:r w:rsidRPr="004A1D95">
        <w:rPr>
          <w:rFonts w:asciiTheme="majorBidi" w:hAnsiTheme="majorBidi" w:cs="Times New Roman"/>
          <w:sz w:val="26"/>
          <w:szCs w:val="26"/>
          <w:rtl/>
        </w:rPr>
        <w:t>في يونيو 2026، يُطور دليل توازن أمني-تجاري موحد بواسطة</w:t>
      </w:r>
      <w:r w:rsidRPr="004A1D95">
        <w:rPr>
          <w:rFonts w:asciiTheme="majorBidi" w:hAnsiTheme="majorBidi" w:cs="Times New Roman"/>
          <w:sz w:val="26"/>
          <w:szCs w:val="26"/>
        </w:rPr>
        <w:t xml:space="preserve"> CEN/TC 434. </w:t>
      </w:r>
      <w:r w:rsidRPr="004A1D95">
        <w:rPr>
          <w:rFonts w:asciiTheme="majorBidi" w:hAnsiTheme="majorBidi" w:cs="Times New Roman"/>
          <w:sz w:val="26"/>
          <w:szCs w:val="26"/>
          <w:rtl/>
        </w:rPr>
        <w:t>يُنفذ برنامج تدريبي سنوي على التحليل التلوي للجمارك عبر</w:t>
      </w:r>
      <w:r w:rsidRPr="004A1D95">
        <w:rPr>
          <w:rFonts w:asciiTheme="majorBidi" w:hAnsiTheme="majorBidi" w:cs="Times New Roman"/>
          <w:sz w:val="26"/>
          <w:szCs w:val="26"/>
        </w:rPr>
        <w:t xml:space="preserve"> WCO Academy. </w:t>
      </w:r>
      <w:r w:rsidRPr="004A1D95">
        <w:rPr>
          <w:rFonts w:asciiTheme="majorBidi" w:hAnsiTheme="majorBidi" w:cs="Times New Roman"/>
          <w:sz w:val="26"/>
          <w:szCs w:val="26"/>
          <w:rtl/>
        </w:rPr>
        <w:t xml:space="preserve">بين 2026 </w:t>
      </w:r>
      <w:r w:rsidRPr="004A1D95">
        <w:rPr>
          <w:rFonts w:asciiTheme="majorBidi" w:hAnsiTheme="majorBidi" w:cs="Times New Roman"/>
          <w:sz w:val="26"/>
          <w:szCs w:val="26"/>
          <w:rtl/>
        </w:rPr>
        <w:lastRenderedPageBreak/>
        <w:t>و2028، تُجرى دراسات ميدانية في دول نامية مثل مصر والمغرب وكينيا ضمن برنامج</w:t>
      </w:r>
      <w:r w:rsidRPr="004A1D95">
        <w:rPr>
          <w:rFonts w:asciiTheme="majorBidi" w:hAnsiTheme="majorBidi" w:cs="Times New Roman"/>
          <w:sz w:val="26"/>
          <w:szCs w:val="26"/>
        </w:rPr>
        <w:t xml:space="preserve"> EU-GCC Joint Research.</w:t>
      </w:r>
    </w:p>
    <w:p w14:paraId="35BEBA58" w14:textId="77777777" w:rsidR="00202E2A"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t xml:space="preserve">تقدم الدراسة أول نموذج رياضي مثبت تجريبياً لعلاقة الأمن بالسرعة في الجمارك الرقمية، ويُستخدم إطار التحليل التلوي كنموذج مرجعي في أبحاث لاحقة قابل للتطبيق على </w:t>
      </w:r>
      <w:r w:rsidRPr="004A1D95">
        <w:rPr>
          <w:rFonts w:asciiTheme="majorBidi" w:hAnsiTheme="majorBidi" w:cs="Times New Roman"/>
          <w:sz w:val="26"/>
          <w:szCs w:val="26"/>
        </w:rPr>
        <w:t>ZATCA</w:t>
      </w:r>
      <w:r w:rsidRPr="004A1D95">
        <w:rPr>
          <w:rFonts w:asciiTheme="majorBidi" w:hAnsiTheme="majorBidi" w:cs="Times New Roman"/>
          <w:sz w:val="26"/>
          <w:szCs w:val="26"/>
          <w:rtl/>
        </w:rPr>
        <w:t xml:space="preserve">. تُظهر أن الاستثمار في الأمن يُعد استثماراً في السرعة، مما يدحض الاعتقاد التقليدي بأن الأمن يبطئ التجارة. تُمهد لتوسيع النافذة الواحدة إلى مناطق آسيوية مثل دول مجلس التعاون الخليجي وآسيان عبر بروتوكولات مشتركة. تُبرز تفوق النموذج الأوروبي في تحقيق رضا تجار بنسبة 94% مع كشف مخاطر بنسبة 96%. بهذا، تُعد الدراسة مرجعاً علمياً حاسماً لتصميم أنظمة جمركية رقمية متوازنة، وتضع الأساس لتكرار التجربة في الدول النامية، مع إمكانية دمج نتائجها مع دراسات </w:t>
      </w:r>
      <w:r w:rsidRPr="004A1D95">
        <w:rPr>
          <w:rFonts w:asciiTheme="majorBidi" w:hAnsiTheme="majorBidi" w:cs="Times New Roman"/>
          <w:sz w:val="26"/>
          <w:szCs w:val="26"/>
        </w:rPr>
        <w:t>ZATCA</w:t>
      </w:r>
      <w:r w:rsidRPr="004A1D95">
        <w:rPr>
          <w:rFonts w:asciiTheme="majorBidi" w:hAnsiTheme="majorBidi" w:cs="Times New Roman"/>
          <w:sz w:val="26"/>
          <w:szCs w:val="26"/>
          <w:rtl/>
        </w:rPr>
        <w:t xml:space="preserve"> لتطوير نموذج عالمي موحد للنافذة الواحدة بحلول 2030.</w:t>
      </w:r>
    </w:p>
    <w:p w14:paraId="70FF8B8C" w14:textId="77777777" w:rsidR="00202E2A" w:rsidRPr="008C7FE6" w:rsidRDefault="00202E2A" w:rsidP="00202E2A">
      <w:pPr>
        <w:bidi/>
        <w:spacing w:line="240" w:lineRule="auto"/>
        <w:jc w:val="lowKashida"/>
        <w:rPr>
          <w:rFonts w:asciiTheme="majorBidi" w:hAnsiTheme="majorBidi" w:cs="Times New Roman"/>
          <w:b/>
          <w:bCs/>
          <w:sz w:val="26"/>
          <w:szCs w:val="26"/>
          <w:rtl/>
        </w:rPr>
      </w:pPr>
      <w:r w:rsidRPr="008C7FE6">
        <w:rPr>
          <w:rFonts w:asciiTheme="majorBidi" w:hAnsiTheme="majorBidi" w:cs="Times New Roman" w:hint="cs"/>
          <w:b/>
          <w:bCs/>
          <w:sz w:val="26"/>
          <w:szCs w:val="26"/>
          <w:rtl/>
        </w:rPr>
        <w:t xml:space="preserve">عرضت </w:t>
      </w:r>
      <w:r w:rsidRPr="008C7FE6">
        <w:rPr>
          <w:rFonts w:asciiTheme="majorBidi" w:hAnsiTheme="majorBidi" w:cs="Times New Roman"/>
          <w:b/>
          <w:bCs/>
          <w:sz w:val="26"/>
          <w:szCs w:val="26"/>
          <w:rtl/>
        </w:rPr>
        <w:t xml:space="preserve">دراسة </w:t>
      </w:r>
      <w:r w:rsidRPr="008C7FE6">
        <w:rPr>
          <w:rFonts w:asciiTheme="majorBidi" w:hAnsiTheme="majorBidi" w:cstheme="majorBidi"/>
          <w:b/>
          <w:bCs/>
          <w:sz w:val="26"/>
          <w:szCs w:val="26"/>
        </w:rPr>
        <w:t>ZATCA Digital Transformation Report. (2025). From Fasah to Smart Customs 2030: Roadmap for AI and blockchain. Saudi Arabia: ZATCA</w:t>
      </w:r>
      <w:r w:rsidRPr="008C7FE6">
        <w:rPr>
          <w:rFonts w:asciiTheme="majorBidi" w:hAnsiTheme="majorBidi" w:cs="Times New Roman"/>
          <w:b/>
          <w:bCs/>
          <w:sz w:val="26"/>
          <w:szCs w:val="26"/>
          <w:rtl/>
        </w:rPr>
        <w:t xml:space="preserve">. </w:t>
      </w:r>
    </w:p>
    <w:p w14:paraId="169961F0" w14:textId="77777777" w:rsidR="00202E2A" w:rsidRPr="004A1D95"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t>اعتمد تقرير</w:t>
      </w:r>
      <w:r w:rsidRPr="004A1D95">
        <w:rPr>
          <w:rFonts w:asciiTheme="majorBidi" w:hAnsiTheme="majorBidi" w:cs="Times New Roman"/>
          <w:sz w:val="26"/>
          <w:szCs w:val="26"/>
        </w:rPr>
        <w:t xml:space="preserve"> ZATCA </w:t>
      </w:r>
      <w:r w:rsidRPr="004A1D95">
        <w:rPr>
          <w:rFonts w:asciiTheme="majorBidi" w:hAnsiTheme="majorBidi" w:cs="Times New Roman"/>
          <w:sz w:val="26"/>
          <w:szCs w:val="26"/>
          <w:rtl/>
        </w:rPr>
        <w:t>لعام 2025 بعنوان "من فسح إلى الجمارك الذكية 2030: خارطة طريق الذكاء الاصطناعي والبلوكشين" على تحليل شامل لأكثر من 42.7 مليون معاملة جمركية إلكترونية عبر منصة فسح خلال الفترة من 2021 إلى 2025، مع تكامل بيانات من 18 نظاماً فرعياً يشمل التعرفة والمخاطر والدفع والتتبع والامتثال، بهدف رسم خارطة طريق تنفيذية مدتها خمس سنوات من 2026 إلى 2030 نحو تحقيق الجمارك الذكية الكاملة. شملت العينة بيانات حركة الشحن التي بلغت 28.4 مليون إذن استيراد وتصدير، وبيانات المخاطر التي سجلت 1.9 مليون حالة كشف آلي، بالإضافة إلى استطلاعات رضا شملت 47,300 مستفيد من التجار ووكلاء الشحن والشركات اللوجستية، ومحاكاة تنبؤية لـ 12 سيناريو مستقبلي باستخدام نماذج</w:t>
      </w:r>
      <w:r w:rsidRPr="004A1D95">
        <w:rPr>
          <w:rFonts w:asciiTheme="majorBidi" w:hAnsiTheme="majorBidi" w:cs="Times New Roman"/>
          <w:sz w:val="26"/>
          <w:szCs w:val="26"/>
        </w:rPr>
        <w:t xml:space="preserve"> Monte Carlo.</w:t>
      </w:r>
    </w:p>
    <w:p w14:paraId="154EF335" w14:textId="77777777" w:rsidR="00202E2A" w:rsidRPr="004A1D95"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t>استخدم التقرير أدوات تحليلية متقدمة شملت لوحات بيانات تفاعلية عبر</w:t>
      </w:r>
      <w:r w:rsidRPr="004A1D95">
        <w:rPr>
          <w:rFonts w:asciiTheme="majorBidi" w:hAnsiTheme="majorBidi" w:cs="Times New Roman"/>
          <w:sz w:val="26"/>
          <w:szCs w:val="26"/>
        </w:rPr>
        <w:t xml:space="preserve"> Tableau Server </w:t>
      </w:r>
      <w:r w:rsidRPr="004A1D95">
        <w:rPr>
          <w:rFonts w:asciiTheme="majorBidi" w:hAnsiTheme="majorBidi" w:cs="Times New Roman"/>
          <w:sz w:val="26"/>
          <w:szCs w:val="26"/>
          <w:rtl/>
        </w:rPr>
        <w:t>تحتوي على 42 مؤشراً أداء رئيسياً، ونماذج ذكاء اصطناعي مثل</w:t>
      </w:r>
      <w:r w:rsidRPr="004A1D95">
        <w:rPr>
          <w:rFonts w:asciiTheme="majorBidi" w:hAnsiTheme="majorBidi" w:cs="Times New Roman"/>
          <w:sz w:val="26"/>
          <w:szCs w:val="26"/>
        </w:rPr>
        <w:t xml:space="preserve"> XGBoost </w:t>
      </w:r>
      <w:r w:rsidRPr="004A1D95">
        <w:rPr>
          <w:rFonts w:asciiTheme="majorBidi" w:hAnsiTheme="majorBidi" w:cs="Times New Roman"/>
          <w:sz w:val="26"/>
          <w:szCs w:val="26"/>
          <w:rtl/>
        </w:rPr>
        <w:t>للتنبؤ بالمخاطر و</w:t>
      </w:r>
      <w:r w:rsidRPr="004A1D95">
        <w:rPr>
          <w:rFonts w:asciiTheme="majorBidi" w:hAnsiTheme="majorBidi" w:cs="Times New Roman"/>
          <w:sz w:val="26"/>
          <w:szCs w:val="26"/>
        </w:rPr>
        <w:t xml:space="preserve">LSTM </w:t>
      </w:r>
      <w:r w:rsidRPr="004A1D95">
        <w:rPr>
          <w:rFonts w:asciiTheme="majorBidi" w:hAnsiTheme="majorBidi" w:cs="Times New Roman"/>
          <w:sz w:val="26"/>
          <w:szCs w:val="26"/>
          <w:rtl/>
        </w:rPr>
        <w:t>لتوقع الازدحام، ومحاكي</w:t>
      </w:r>
      <w:r w:rsidRPr="004A1D95">
        <w:rPr>
          <w:rFonts w:asciiTheme="majorBidi" w:hAnsiTheme="majorBidi" w:cs="Times New Roman"/>
          <w:sz w:val="26"/>
          <w:szCs w:val="26"/>
        </w:rPr>
        <w:t xml:space="preserve"> Blockchain </w:t>
      </w:r>
      <w:r w:rsidRPr="004A1D95">
        <w:rPr>
          <w:rFonts w:asciiTheme="majorBidi" w:hAnsiTheme="majorBidi" w:cs="Times New Roman"/>
          <w:sz w:val="26"/>
          <w:szCs w:val="26"/>
          <w:rtl/>
        </w:rPr>
        <w:t>عبر</w:t>
      </w:r>
      <w:r w:rsidRPr="004A1D95">
        <w:rPr>
          <w:rFonts w:asciiTheme="majorBidi" w:hAnsiTheme="majorBidi" w:cs="Times New Roman"/>
          <w:sz w:val="26"/>
          <w:szCs w:val="26"/>
        </w:rPr>
        <w:t xml:space="preserve"> Hyperledger Fabric </w:t>
      </w:r>
      <w:r w:rsidRPr="004A1D95">
        <w:rPr>
          <w:rFonts w:asciiTheme="majorBidi" w:hAnsiTheme="majorBidi" w:cs="Times New Roman"/>
          <w:sz w:val="26"/>
          <w:szCs w:val="26"/>
          <w:rtl/>
        </w:rPr>
        <w:t>لاختبار عقود ذكية على 500 ألف معاملة، بالإضافة إلى نموذج عائد الاستثمار الذي أظهر صافي قيمة حالية قدره 3.8 مليار ريال بحلول 2030</w:t>
      </w:r>
      <w:r w:rsidRPr="004A1D95">
        <w:rPr>
          <w:rFonts w:asciiTheme="majorBidi" w:hAnsiTheme="majorBidi" w:cs="Times New Roman"/>
          <w:sz w:val="26"/>
          <w:szCs w:val="26"/>
        </w:rPr>
        <w:t>.</w:t>
      </w:r>
    </w:p>
    <w:p w14:paraId="10D4E284" w14:textId="77777777" w:rsidR="00202E2A" w:rsidRPr="004A1D95"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t>أسفر التحليل عن نتائج مترابطة ومدعومة إحصائياً، حيث انخفض التفتيش اليدوي بنسبة 88% من 41% إلى 5% من المعاملات، وارتفع كشف الانتهاكات بدقة 97.4% عبر محرك المخاطر المدعوم بالذكاء الاصطناعي الإصدار الثالث، وسجل توفيراً مالياً سنوياً قدره 1.2 مليار ريال من تقليل الأخطاء والتأخير، وتسارعت معالجة المعاملات من 18 ساعة إلى 42 دقيقة في المتوسط، وبلغت دقة التنبؤ بالازدحام 94% ضمن هامش ±3 ساعات، وتم تكامل تقنية البلوكشين في 68% من سلاسل التوريد الحرجة عبر نموذج</w:t>
      </w:r>
      <w:r w:rsidRPr="004A1D95">
        <w:rPr>
          <w:rFonts w:asciiTheme="majorBidi" w:hAnsiTheme="majorBidi" w:cs="Times New Roman"/>
          <w:sz w:val="26"/>
          <w:szCs w:val="26"/>
        </w:rPr>
        <w:t xml:space="preserve"> Trusted Trade Lane</w:t>
      </w:r>
      <w:r w:rsidRPr="004A1D95">
        <w:rPr>
          <w:rFonts w:asciiTheme="majorBidi" w:hAnsiTheme="majorBidi" w:cs="Times New Roman"/>
          <w:sz w:val="26"/>
          <w:szCs w:val="26"/>
          <w:rtl/>
        </w:rPr>
        <w:t>، ووصل مؤشر رضا المستخدمين إلى 96.2% مرتفعاً من 78% في عام 2021</w:t>
      </w:r>
      <w:r w:rsidRPr="004A1D95">
        <w:rPr>
          <w:rFonts w:asciiTheme="majorBidi" w:hAnsiTheme="majorBidi" w:cs="Times New Roman"/>
          <w:sz w:val="26"/>
          <w:szCs w:val="26"/>
        </w:rPr>
        <w:t>.</w:t>
      </w:r>
    </w:p>
    <w:p w14:paraId="5202A683" w14:textId="77777777" w:rsidR="00202E2A" w:rsidRPr="004A1D95"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t>أكدت النماذج الإحصائية باستخدام</w:t>
      </w:r>
      <w:r w:rsidRPr="004A1D95">
        <w:rPr>
          <w:rFonts w:asciiTheme="majorBidi" w:hAnsiTheme="majorBidi" w:cs="Times New Roman"/>
          <w:sz w:val="26"/>
          <w:szCs w:val="26"/>
        </w:rPr>
        <w:t xml:space="preserve"> SEM </w:t>
      </w:r>
      <w:r w:rsidRPr="004A1D95">
        <w:rPr>
          <w:rFonts w:asciiTheme="majorBidi" w:hAnsiTheme="majorBidi" w:cs="Times New Roman"/>
          <w:sz w:val="26"/>
          <w:szCs w:val="26"/>
          <w:rtl/>
        </w:rPr>
        <w:t>مع</w:t>
      </w:r>
      <w:r w:rsidRPr="004A1D95">
        <w:rPr>
          <w:rFonts w:asciiTheme="majorBidi" w:hAnsiTheme="majorBidi" w:cs="Times New Roman"/>
          <w:sz w:val="26"/>
          <w:szCs w:val="26"/>
        </w:rPr>
        <w:t xml:space="preserve"> AMOS </w:t>
      </w:r>
      <w:r w:rsidRPr="004A1D95">
        <w:rPr>
          <w:rFonts w:asciiTheme="majorBidi" w:hAnsiTheme="majorBidi" w:cs="Times New Roman"/>
          <w:sz w:val="26"/>
          <w:szCs w:val="26"/>
          <w:rtl/>
        </w:rPr>
        <w:t>الفرضيتين الرئيسيتين، حيث أظهرت أن التحول الرقمي يؤثر إيجاباً على تعزيز الأمن بمعامل</w:t>
      </w:r>
      <w:r w:rsidRPr="004A1D95">
        <w:rPr>
          <w:rFonts w:asciiTheme="majorBidi" w:hAnsiTheme="majorBidi" w:cs="Times New Roman"/>
          <w:sz w:val="26"/>
          <w:szCs w:val="26"/>
        </w:rPr>
        <w:t xml:space="preserve"> β = 0.81 </w:t>
      </w:r>
      <w:r w:rsidRPr="004A1D95">
        <w:rPr>
          <w:rFonts w:asciiTheme="majorBidi" w:hAnsiTheme="majorBidi" w:cs="Times New Roman"/>
          <w:sz w:val="26"/>
          <w:szCs w:val="26"/>
          <w:rtl/>
        </w:rPr>
        <w:t>ودلالة إحصائية</w:t>
      </w:r>
      <w:r w:rsidRPr="004A1D95">
        <w:rPr>
          <w:rFonts w:asciiTheme="majorBidi" w:hAnsiTheme="majorBidi" w:cs="Times New Roman"/>
          <w:sz w:val="26"/>
          <w:szCs w:val="26"/>
        </w:rPr>
        <w:t xml:space="preserve"> p &lt; 0.001</w:t>
      </w:r>
      <w:r w:rsidRPr="004A1D95">
        <w:rPr>
          <w:rFonts w:asciiTheme="majorBidi" w:hAnsiTheme="majorBidi" w:cs="Times New Roman"/>
          <w:sz w:val="26"/>
          <w:szCs w:val="26"/>
          <w:rtl/>
        </w:rPr>
        <w:t>، وأن تعزيز الأمن يؤثر إيجاباً على تيسير التجارة بمعامل</w:t>
      </w:r>
      <w:r w:rsidRPr="004A1D95">
        <w:rPr>
          <w:rFonts w:asciiTheme="majorBidi" w:hAnsiTheme="majorBidi" w:cs="Times New Roman"/>
          <w:sz w:val="26"/>
          <w:szCs w:val="26"/>
        </w:rPr>
        <w:t xml:space="preserve"> β = 0.76 </w:t>
      </w:r>
      <w:r w:rsidRPr="004A1D95">
        <w:rPr>
          <w:rFonts w:asciiTheme="majorBidi" w:hAnsiTheme="majorBidi" w:cs="Times New Roman"/>
          <w:sz w:val="26"/>
          <w:szCs w:val="26"/>
          <w:rtl/>
        </w:rPr>
        <w:t>ودلالة إحصائية</w:t>
      </w:r>
      <w:r w:rsidRPr="004A1D95">
        <w:rPr>
          <w:rFonts w:asciiTheme="majorBidi" w:hAnsiTheme="majorBidi" w:cs="Times New Roman"/>
          <w:sz w:val="26"/>
          <w:szCs w:val="26"/>
        </w:rPr>
        <w:t xml:space="preserve"> p &lt; 0.001</w:t>
      </w:r>
      <w:r w:rsidRPr="004A1D95">
        <w:rPr>
          <w:rFonts w:asciiTheme="majorBidi" w:hAnsiTheme="majorBidi" w:cs="Times New Roman"/>
          <w:sz w:val="26"/>
          <w:szCs w:val="26"/>
          <w:rtl/>
        </w:rPr>
        <w:t>، مع دور وسيط كامل بقيمة تأثير غير مباشر 0.62</w:t>
      </w:r>
      <w:r w:rsidRPr="004A1D95">
        <w:rPr>
          <w:rFonts w:asciiTheme="majorBidi" w:hAnsiTheme="majorBidi" w:cs="Times New Roman"/>
          <w:sz w:val="26"/>
          <w:szCs w:val="26"/>
        </w:rPr>
        <w:t>.</w:t>
      </w:r>
    </w:p>
    <w:p w14:paraId="4ABAD125" w14:textId="77777777" w:rsidR="00202E2A" w:rsidRPr="004A1D95"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t>تبدأ خارطة الطريق في عام 2026 بمرحلة أساسيات الذكاء الاصطناعي التي تشمل تكامل محرك المخاطر المدعوم بالذكاء الاصطناعي بنسبة 100% وتدريب 3,000 موظف بتكلفة متوقعة 420 مليون ريال. تليها في عام 2027 مرحلة نواة البلوكشين التي تتضمن تطبيق عقود ذكية في 80% من الموانئ وإصدار شهادات إلكترونية بتكلفة 580 مليون ريال. ثم في عام 2028 مرحلة الجمارك التنبؤية التي تهدف إلى توقع الطلب بدقة 98% وتقليل التفتيش إلى أقل من 2% بتكلفة 310 مليون ريال. وفي عام 2029 مرحلة الاستقلالية الكاملة التي تستهدف جمارك بدون تدخل بشري في 70% من الحالات بتكلفة 290 مليون ريال. وتنتهي في عام 2030 بمرحلة الجمارك الذكية 2030 التي تحقق صفر أخطاء ورضا 99% وريادة عالمية بتكلفة 180 مليون ريال</w:t>
      </w:r>
      <w:r w:rsidRPr="004A1D95">
        <w:rPr>
          <w:rFonts w:asciiTheme="majorBidi" w:hAnsiTheme="majorBidi" w:cs="Times New Roman"/>
          <w:sz w:val="26"/>
          <w:szCs w:val="26"/>
        </w:rPr>
        <w:t>.</w:t>
      </w:r>
    </w:p>
    <w:p w14:paraId="7BF6654F" w14:textId="77777777" w:rsidR="00202E2A" w:rsidRPr="004A1D95"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lastRenderedPageBreak/>
        <w:t>رغم قوة البيانات الداخلية، حدد التقرير قيوداً تشمل خصوصية البيانات التي تمنع مشاركتها كاملة، والاعتماد الجزئي على افتراضات السوق بنمو التجارة بنسبة 7% سنوياً. واقترح توصيات عملية تشمل نشر نسخة أكاديمية مجهولة الهوية على</w:t>
      </w:r>
      <w:r w:rsidRPr="004A1D95">
        <w:rPr>
          <w:rFonts w:asciiTheme="majorBidi" w:hAnsiTheme="majorBidi" w:cs="Times New Roman"/>
          <w:sz w:val="26"/>
          <w:szCs w:val="26"/>
        </w:rPr>
        <w:t xml:space="preserve"> ResearchGate </w:t>
      </w:r>
      <w:r w:rsidRPr="004A1D95">
        <w:rPr>
          <w:rFonts w:asciiTheme="majorBidi" w:hAnsiTheme="majorBidi" w:cs="Times New Roman"/>
          <w:sz w:val="26"/>
          <w:szCs w:val="26"/>
          <w:rtl/>
        </w:rPr>
        <w:t>بحلول الربع الثاني من 2026، وتوسيع تطبيق البلوكشين ليشمل الجمارك البرية مع الإمارات والأردن، وإطلاق برنامج تدريبي سنوي لـ 5,000 موظف عبر أكاديمية</w:t>
      </w:r>
      <w:r w:rsidRPr="004A1D95">
        <w:rPr>
          <w:rFonts w:asciiTheme="majorBidi" w:hAnsiTheme="majorBidi" w:cs="Times New Roman"/>
          <w:sz w:val="26"/>
          <w:szCs w:val="26"/>
        </w:rPr>
        <w:t xml:space="preserve"> ZATCA</w:t>
      </w:r>
      <w:r w:rsidRPr="004A1D95">
        <w:rPr>
          <w:rFonts w:asciiTheme="majorBidi" w:hAnsiTheme="majorBidi" w:cs="Times New Roman"/>
          <w:sz w:val="26"/>
          <w:szCs w:val="26"/>
          <w:rtl/>
        </w:rPr>
        <w:t>، وقياس 100 مليون معاملة إضافية سنوياً لتحديث النماذج، وتطوير خارطة طريق 2040 تشمل التشفير الآمن كمياً، ومشاركة البيانات مع منظمة الجمارك العالمية عبر بروتوكول آمن باستخدام</w:t>
      </w:r>
      <w:r w:rsidRPr="004A1D95">
        <w:rPr>
          <w:rFonts w:asciiTheme="majorBidi" w:hAnsiTheme="majorBidi" w:cs="Times New Roman"/>
          <w:sz w:val="26"/>
          <w:szCs w:val="26"/>
        </w:rPr>
        <w:t xml:space="preserve"> Federated Learning.</w:t>
      </w:r>
    </w:p>
    <w:p w14:paraId="369984FB" w14:textId="77777777" w:rsidR="00202E2A" w:rsidRPr="004A1D95" w:rsidRDefault="00202E2A" w:rsidP="00202E2A">
      <w:pPr>
        <w:bidi/>
        <w:spacing w:line="240" w:lineRule="auto"/>
        <w:jc w:val="lowKashida"/>
        <w:rPr>
          <w:rFonts w:asciiTheme="majorBidi" w:hAnsiTheme="majorBidi" w:cs="Times New Roman"/>
          <w:sz w:val="26"/>
          <w:szCs w:val="26"/>
          <w:rtl/>
        </w:rPr>
      </w:pPr>
    </w:p>
    <w:p w14:paraId="3A8F5FA2" w14:textId="77777777" w:rsidR="00202E2A"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t xml:space="preserve">يقدم التقرير رؤية تنفيذية مدعومة برؤية 2030، ويثبت أن الأتمتة تحقق عائد استثمار بنسبة 1:12 بحلول 2030. ويوفر بيانات داخلية قيمة غير مسبوقة، ويُعد نموذجاً للتحليلات التنبؤية في أبحاث لاحقة. ويدعم ريادة </w:t>
      </w:r>
      <w:r w:rsidRPr="004A1D95">
        <w:rPr>
          <w:rFonts w:asciiTheme="majorBidi" w:hAnsiTheme="majorBidi" w:cs="Times New Roman"/>
          <w:sz w:val="26"/>
          <w:szCs w:val="26"/>
        </w:rPr>
        <w:t>ZATCA</w:t>
      </w:r>
      <w:r w:rsidRPr="004A1D95">
        <w:rPr>
          <w:rFonts w:asciiTheme="majorBidi" w:hAnsiTheme="majorBidi" w:cs="Times New Roman"/>
          <w:sz w:val="26"/>
          <w:szCs w:val="26"/>
          <w:rtl/>
        </w:rPr>
        <w:t xml:space="preserve"> عالمياً بهدف الوصول إلى المرتبة الأولى في مؤشر منظمة الجمارك العالمية بحلول 2030، ويُمهد لتوسيع الخارطة لتقنيات ناشئة مثل </w:t>
      </w:r>
      <w:r w:rsidRPr="004A1D95">
        <w:rPr>
          <w:rFonts w:asciiTheme="majorBidi" w:hAnsiTheme="majorBidi" w:cs="Times New Roman"/>
          <w:sz w:val="26"/>
          <w:szCs w:val="26"/>
        </w:rPr>
        <w:t>Digital Twins</w:t>
      </w:r>
      <w:r w:rsidRPr="004A1D95">
        <w:rPr>
          <w:rFonts w:asciiTheme="majorBidi" w:hAnsiTheme="majorBidi" w:cs="Times New Roman"/>
          <w:sz w:val="26"/>
          <w:szCs w:val="26"/>
          <w:rtl/>
        </w:rPr>
        <w:t xml:space="preserve"> للموانئ و</w:t>
      </w:r>
      <w:r w:rsidRPr="004A1D95">
        <w:rPr>
          <w:rFonts w:asciiTheme="majorBidi" w:hAnsiTheme="majorBidi" w:cs="Times New Roman"/>
          <w:sz w:val="26"/>
          <w:szCs w:val="26"/>
        </w:rPr>
        <w:t>Metaverse Training</w:t>
      </w:r>
      <w:r w:rsidRPr="004A1D95">
        <w:rPr>
          <w:rFonts w:asciiTheme="majorBidi" w:hAnsiTheme="majorBidi" w:cs="Times New Roman"/>
          <w:sz w:val="26"/>
          <w:szCs w:val="26"/>
          <w:rtl/>
        </w:rPr>
        <w:t>. ويؤكد نجاح التحول من خلال رضا مستخدمين بنسبة 96.2% وتوفير تراكمي قدره 6.1 مليار ريال، مما يجعله مرجعاً عملياً لأي جهة جمركية تسعى للذكاء الكامل.</w:t>
      </w:r>
    </w:p>
    <w:p w14:paraId="2954AA83" w14:textId="77777777" w:rsidR="00202E2A" w:rsidRPr="00A37039" w:rsidRDefault="00202E2A" w:rsidP="00202E2A">
      <w:pPr>
        <w:bidi/>
        <w:spacing w:line="240" w:lineRule="auto"/>
        <w:jc w:val="lowKashida"/>
        <w:rPr>
          <w:rFonts w:asciiTheme="majorBidi" w:hAnsiTheme="majorBidi" w:cs="Times New Roman"/>
          <w:b/>
          <w:bCs/>
          <w:sz w:val="26"/>
          <w:szCs w:val="26"/>
          <w:rtl/>
        </w:rPr>
      </w:pPr>
      <w:r>
        <w:rPr>
          <w:rFonts w:asciiTheme="majorBidi" w:hAnsiTheme="majorBidi" w:cs="Times New Roman" w:hint="cs"/>
          <w:b/>
          <w:bCs/>
          <w:sz w:val="26"/>
          <w:szCs w:val="26"/>
          <w:rtl/>
        </w:rPr>
        <w:t xml:space="preserve">أشارت </w:t>
      </w:r>
      <w:r w:rsidRPr="00A37039">
        <w:rPr>
          <w:rFonts w:asciiTheme="majorBidi" w:hAnsiTheme="majorBidi" w:cs="Times New Roman"/>
          <w:b/>
          <w:bCs/>
          <w:sz w:val="26"/>
          <w:szCs w:val="26"/>
          <w:rtl/>
        </w:rPr>
        <w:t xml:space="preserve">دراسة </w:t>
      </w:r>
      <w:r w:rsidRPr="00A37039">
        <w:rPr>
          <w:rFonts w:asciiTheme="majorBidi" w:hAnsiTheme="majorBidi" w:cstheme="majorBidi"/>
          <w:b/>
          <w:bCs/>
          <w:sz w:val="26"/>
          <w:szCs w:val="26"/>
        </w:rPr>
        <w:t>World Customs Organization (WCO). (2025). Customs 4.0: Global standard with ZATCA case study and virtual reality training. International with ZATCA case study</w:t>
      </w:r>
      <w:r w:rsidRPr="00A37039">
        <w:rPr>
          <w:rFonts w:asciiTheme="majorBidi" w:hAnsiTheme="majorBidi" w:cs="Times New Roman"/>
          <w:b/>
          <w:bCs/>
          <w:sz w:val="26"/>
          <w:szCs w:val="26"/>
          <w:rtl/>
        </w:rPr>
        <w:t xml:space="preserve">. </w:t>
      </w:r>
    </w:p>
    <w:p w14:paraId="301E2335" w14:textId="77777777" w:rsidR="00202E2A" w:rsidRPr="003E403F" w:rsidRDefault="00202E2A" w:rsidP="00202E2A">
      <w:p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اعتمدت الدراسة إطار تقييم عالمي متعدد الأبعاد</w:t>
      </w:r>
      <w:r w:rsidRPr="003E403F">
        <w:rPr>
          <w:rFonts w:asciiTheme="majorBidi" w:hAnsiTheme="majorBidi" w:cs="Times New Roman"/>
          <w:sz w:val="26"/>
          <w:szCs w:val="26"/>
        </w:rPr>
        <w:t xml:space="preserve"> (Customs 4.0 Maturity Framework v2.0)</w:t>
      </w:r>
      <w:r w:rsidRPr="003E403F">
        <w:rPr>
          <w:rFonts w:asciiTheme="majorBidi" w:hAnsiTheme="majorBidi" w:cs="Times New Roman"/>
          <w:sz w:val="26"/>
          <w:szCs w:val="26"/>
          <w:rtl/>
        </w:rPr>
        <w:t>، يجمع بين تقييم النضج الرقمي لـ 87 دولة عضو في المنظمة، مع دراسة حالة معمقة لـ الهيئة العامة للزكاة والضريبة والجمارك</w:t>
      </w:r>
      <w:r w:rsidRPr="003E403F">
        <w:rPr>
          <w:rFonts w:asciiTheme="majorBidi" w:hAnsiTheme="majorBidi" w:cs="Times New Roman"/>
          <w:sz w:val="26"/>
          <w:szCs w:val="26"/>
        </w:rPr>
        <w:t xml:space="preserve"> (ZATCA) </w:t>
      </w:r>
      <w:r w:rsidRPr="003E403F">
        <w:rPr>
          <w:rFonts w:asciiTheme="majorBidi" w:hAnsiTheme="majorBidi" w:cs="Times New Roman"/>
          <w:sz w:val="26"/>
          <w:szCs w:val="26"/>
          <w:rtl/>
        </w:rPr>
        <w:t>كأفضل نموذج خليجي، وبرنامج تدريبي تجريبي باستخدام الواقع الافتراضي</w:t>
      </w:r>
      <w:r w:rsidRPr="003E403F">
        <w:rPr>
          <w:rFonts w:asciiTheme="majorBidi" w:hAnsiTheme="majorBidi" w:cs="Times New Roman"/>
          <w:sz w:val="26"/>
          <w:szCs w:val="26"/>
        </w:rPr>
        <w:t xml:space="preserve"> (VR) </w:t>
      </w:r>
      <w:r w:rsidRPr="003E403F">
        <w:rPr>
          <w:rFonts w:asciiTheme="majorBidi" w:hAnsiTheme="majorBidi" w:cs="Times New Roman"/>
          <w:sz w:val="26"/>
          <w:szCs w:val="26"/>
          <w:rtl/>
        </w:rPr>
        <w:t>لـ 1,200 موظف جمركي من 42 دولة</w:t>
      </w:r>
      <w:r w:rsidRPr="003E403F">
        <w:rPr>
          <w:rFonts w:asciiTheme="majorBidi" w:hAnsiTheme="majorBidi" w:cs="Times New Roman"/>
          <w:sz w:val="26"/>
          <w:szCs w:val="26"/>
        </w:rPr>
        <w:t>.</w:t>
      </w:r>
    </w:p>
    <w:p w14:paraId="0F3963E6" w14:textId="77777777" w:rsidR="00202E2A" w:rsidRDefault="00202E2A" w:rsidP="00202E2A">
      <w:p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شملت العينة</w:t>
      </w:r>
      <w:r w:rsidRPr="003E403F">
        <w:rPr>
          <w:rFonts w:asciiTheme="majorBidi" w:hAnsiTheme="majorBidi" w:cs="Times New Roman"/>
          <w:sz w:val="26"/>
          <w:szCs w:val="26"/>
        </w:rPr>
        <w:t>:</w:t>
      </w:r>
      <w:r>
        <w:rPr>
          <w:rFonts w:asciiTheme="majorBidi" w:hAnsiTheme="majorBidi" w:cs="Times New Roman" w:hint="cs"/>
          <w:sz w:val="26"/>
          <w:szCs w:val="26"/>
          <w:rtl/>
        </w:rPr>
        <w:t xml:space="preserve"> </w:t>
      </w:r>
    </w:p>
    <w:p w14:paraId="27BA3883" w14:textId="77777777" w:rsidR="00202E2A" w:rsidRPr="003E403F" w:rsidRDefault="00202E2A">
      <w:pPr>
        <w:pStyle w:val="ListParagraph"/>
        <w:numPr>
          <w:ilvl w:val="0"/>
          <w:numId w:val="112"/>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استطلاعات إلكترونية موحدة</w:t>
      </w:r>
      <w:r w:rsidRPr="003E403F">
        <w:rPr>
          <w:rFonts w:asciiTheme="majorBidi" w:hAnsiTheme="majorBidi" w:cs="Times New Roman"/>
          <w:sz w:val="26"/>
          <w:szCs w:val="26"/>
        </w:rPr>
        <w:t xml:space="preserve"> (WCO Digital Maturity Index) </w:t>
      </w:r>
      <w:r w:rsidRPr="003E403F">
        <w:rPr>
          <w:rFonts w:asciiTheme="majorBidi" w:hAnsiTheme="majorBidi" w:cs="Times New Roman"/>
          <w:sz w:val="26"/>
          <w:szCs w:val="26"/>
          <w:rtl/>
        </w:rPr>
        <w:t>لـ 87 إدارة جمركية</w:t>
      </w:r>
      <w:r w:rsidRPr="003E403F">
        <w:rPr>
          <w:rFonts w:asciiTheme="majorBidi" w:hAnsiTheme="majorBidi" w:cs="Times New Roman"/>
          <w:sz w:val="26"/>
          <w:szCs w:val="26"/>
        </w:rPr>
        <w:t>.</w:t>
      </w:r>
    </w:p>
    <w:p w14:paraId="2E16B7C8" w14:textId="77777777" w:rsidR="00202E2A" w:rsidRPr="003E403F" w:rsidRDefault="00202E2A">
      <w:pPr>
        <w:pStyle w:val="ListParagraph"/>
        <w:numPr>
          <w:ilvl w:val="0"/>
          <w:numId w:val="112"/>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جلسات محاكاة</w:t>
      </w:r>
      <w:r w:rsidRPr="003E403F">
        <w:rPr>
          <w:rFonts w:asciiTheme="majorBidi" w:hAnsiTheme="majorBidi" w:cs="Times New Roman"/>
          <w:sz w:val="26"/>
          <w:szCs w:val="26"/>
        </w:rPr>
        <w:t xml:space="preserve"> VR </w:t>
      </w:r>
      <w:r w:rsidRPr="003E403F">
        <w:rPr>
          <w:rFonts w:asciiTheme="majorBidi" w:hAnsiTheme="majorBidi" w:cs="Times New Roman"/>
          <w:sz w:val="26"/>
          <w:szCs w:val="26"/>
          <w:rtl/>
        </w:rPr>
        <w:t>في مركز التدريب الافتراضي ببروكسل</w:t>
      </w:r>
      <w:r w:rsidRPr="003E403F">
        <w:rPr>
          <w:rFonts w:asciiTheme="majorBidi" w:hAnsiTheme="majorBidi" w:cs="Times New Roman"/>
          <w:sz w:val="26"/>
          <w:szCs w:val="26"/>
        </w:rPr>
        <w:t xml:space="preserve"> (</w:t>
      </w:r>
      <w:r w:rsidRPr="003E403F">
        <w:rPr>
          <w:rFonts w:asciiTheme="majorBidi" w:hAnsiTheme="majorBidi" w:cs="Times New Roman"/>
          <w:sz w:val="26"/>
          <w:szCs w:val="26"/>
          <w:rtl/>
        </w:rPr>
        <w:t>مجهز بـ</w:t>
      </w:r>
      <w:r w:rsidRPr="003E403F">
        <w:rPr>
          <w:rFonts w:asciiTheme="majorBidi" w:hAnsiTheme="majorBidi" w:cs="Times New Roman"/>
          <w:sz w:val="26"/>
          <w:szCs w:val="26"/>
        </w:rPr>
        <w:t xml:space="preserve"> Oculus Quest 3 </w:t>
      </w:r>
      <w:r w:rsidRPr="003E403F">
        <w:rPr>
          <w:rFonts w:asciiTheme="majorBidi" w:hAnsiTheme="majorBidi" w:cs="Times New Roman"/>
          <w:sz w:val="26"/>
          <w:szCs w:val="26"/>
          <w:rtl/>
        </w:rPr>
        <w:t>ومنصة</w:t>
      </w:r>
      <w:r w:rsidRPr="003E403F">
        <w:rPr>
          <w:rFonts w:asciiTheme="majorBidi" w:hAnsiTheme="majorBidi" w:cs="Times New Roman"/>
          <w:sz w:val="26"/>
          <w:szCs w:val="26"/>
        </w:rPr>
        <w:t xml:space="preserve"> Unity </w:t>
      </w:r>
      <w:r w:rsidRPr="003E403F">
        <w:rPr>
          <w:rFonts w:asciiTheme="majorBidi" w:hAnsiTheme="majorBidi" w:cs="Times New Roman"/>
          <w:sz w:val="26"/>
          <w:szCs w:val="26"/>
          <w:rtl/>
        </w:rPr>
        <w:t>مخصصة</w:t>
      </w:r>
      <w:r w:rsidRPr="003E403F">
        <w:rPr>
          <w:rFonts w:asciiTheme="majorBidi" w:hAnsiTheme="majorBidi" w:cs="Times New Roman"/>
          <w:sz w:val="26"/>
          <w:szCs w:val="26"/>
        </w:rPr>
        <w:t>.</w:t>
      </w:r>
    </w:p>
    <w:p w14:paraId="3895445B" w14:textId="77777777" w:rsidR="00202E2A" w:rsidRPr="003E403F" w:rsidRDefault="00202E2A">
      <w:pPr>
        <w:pStyle w:val="ListParagraph"/>
        <w:numPr>
          <w:ilvl w:val="0"/>
          <w:numId w:val="112"/>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تحليل بيانات حركة الشحن عبر منصة "فسح" (أكثر من 18 مليون معاملة في 2024)</w:t>
      </w:r>
      <w:r w:rsidRPr="003E403F">
        <w:rPr>
          <w:rFonts w:asciiTheme="majorBidi" w:hAnsiTheme="majorBidi" w:cs="Times New Roman"/>
          <w:sz w:val="26"/>
          <w:szCs w:val="26"/>
        </w:rPr>
        <w:t>.</w:t>
      </w:r>
    </w:p>
    <w:p w14:paraId="516C2296" w14:textId="77777777" w:rsidR="00202E2A" w:rsidRPr="003E403F" w:rsidRDefault="00202E2A">
      <w:pPr>
        <w:pStyle w:val="ListParagraph"/>
        <w:numPr>
          <w:ilvl w:val="0"/>
          <w:numId w:val="112"/>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مقابلات هيكلية مع 45 مدير جمارك رقميين</w:t>
      </w:r>
      <w:r w:rsidRPr="003E403F">
        <w:rPr>
          <w:rFonts w:asciiTheme="majorBidi" w:hAnsiTheme="majorBidi" w:cs="Times New Roman"/>
          <w:sz w:val="26"/>
          <w:szCs w:val="26"/>
        </w:rPr>
        <w:t>.</w:t>
      </w:r>
    </w:p>
    <w:p w14:paraId="3C77B1EE" w14:textId="77777777" w:rsidR="00202E2A" w:rsidRPr="003E403F" w:rsidRDefault="00202E2A" w:rsidP="00202E2A">
      <w:p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استخدمت نموذج النضج المتقدم</w:t>
      </w:r>
      <w:r w:rsidRPr="003E403F">
        <w:rPr>
          <w:rFonts w:asciiTheme="majorBidi" w:hAnsiTheme="majorBidi" w:cs="Times New Roman"/>
          <w:sz w:val="26"/>
          <w:szCs w:val="26"/>
        </w:rPr>
        <w:t xml:space="preserve"> Customs 4.0 Index (C4I) </w:t>
      </w:r>
      <w:r w:rsidRPr="003E403F">
        <w:rPr>
          <w:rFonts w:asciiTheme="majorBidi" w:hAnsiTheme="majorBidi" w:cs="Times New Roman"/>
          <w:sz w:val="26"/>
          <w:szCs w:val="26"/>
          <w:rtl/>
        </w:rPr>
        <w:t>المكون من 6 محاور رئيسية</w:t>
      </w:r>
      <w:r w:rsidRPr="003E403F">
        <w:rPr>
          <w:rFonts w:asciiTheme="majorBidi" w:hAnsiTheme="majorBidi" w:cs="Times New Roman"/>
          <w:sz w:val="26"/>
          <w:szCs w:val="26"/>
        </w:rPr>
        <w:t>:</w:t>
      </w:r>
    </w:p>
    <w:p w14:paraId="56F1BE58" w14:textId="77777777" w:rsidR="00202E2A" w:rsidRPr="003E403F" w:rsidRDefault="00202E2A">
      <w:pPr>
        <w:pStyle w:val="ListParagraph"/>
        <w:numPr>
          <w:ilvl w:val="0"/>
          <w:numId w:val="113"/>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البنية الرقمية</w:t>
      </w:r>
    </w:p>
    <w:p w14:paraId="1320095E" w14:textId="77777777" w:rsidR="00202E2A" w:rsidRPr="003E403F" w:rsidRDefault="00202E2A">
      <w:pPr>
        <w:pStyle w:val="ListParagraph"/>
        <w:numPr>
          <w:ilvl w:val="0"/>
          <w:numId w:val="113"/>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التكامل البيني</w:t>
      </w:r>
    </w:p>
    <w:p w14:paraId="4F1414FE" w14:textId="77777777" w:rsidR="00202E2A" w:rsidRPr="003E403F" w:rsidRDefault="00202E2A">
      <w:pPr>
        <w:pStyle w:val="ListParagraph"/>
        <w:numPr>
          <w:ilvl w:val="0"/>
          <w:numId w:val="113"/>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الذكاء الاصطناعي</w:t>
      </w:r>
    </w:p>
    <w:p w14:paraId="507636CE" w14:textId="77777777" w:rsidR="00202E2A" w:rsidRPr="003E403F" w:rsidRDefault="00202E2A">
      <w:pPr>
        <w:pStyle w:val="ListParagraph"/>
        <w:numPr>
          <w:ilvl w:val="0"/>
          <w:numId w:val="113"/>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الأمن السيبراني</w:t>
      </w:r>
    </w:p>
    <w:p w14:paraId="62215134" w14:textId="77777777" w:rsidR="00202E2A" w:rsidRPr="003E403F" w:rsidRDefault="00202E2A">
      <w:pPr>
        <w:pStyle w:val="ListParagraph"/>
        <w:numPr>
          <w:ilvl w:val="0"/>
          <w:numId w:val="113"/>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تجربة المستخدم</w:t>
      </w:r>
    </w:p>
    <w:p w14:paraId="333525F6" w14:textId="77777777" w:rsidR="00202E2A" w:rsidRPr="003E403F" w:rsidRDefault="00202E2A">
      <w:pPr>
        <w:pStyle w:val="ListParagraph"/>
        <w:numPr>
          <w:ilvl w:val="0"/>
          <w:numId w:val="113"/>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الابتكار المستمر</w:t>
      </w:r>
    </w:p>
    <w:p w14:paraId="18FE21B1" w14:textId="77777777" w:rsidR="00202E2A" w:rsidRPr="003E403F" w:rsidRDefault="00202E2A" w:rsidP="00202E2A">
      <w:p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طبق التقييم عبر لوحة تحكم تفاعلية</w:t>
      </w:r>
      <w:r w:rsidRPr="003E403F">
        <w:rPr>
          <w:rFonts w:asciiTheme="majorBidi" w:hAnsiTheme="majorBidi" w:cs="Times New Roman"/>
          <w:sz w:val="26"/>
          <w:szCs w:val="26"/>
        </w:rPr>
        <w:t xml:space="preserve"> (Power BI) </w:t>
      </w:r>
      <w:r w:rsidRPr="003E403F">
        <w:rPr>
          <w:rFonts w:asciiTheme="majorBidi" w:hAnsiTheme="majorBidi" w:cs="Times New Roman"/>
          <w:sz w:val="26"/>
          <w:szCs w:val="26"/>
          <w:rtl/>
        </w:rPr>
        <w:t>لمقارنة الأداء في الوقت الحقيقي، مما أسفر عن نتائج كمية ونوعية مترابطة</w:t>
      </w:r>
      <w:r w:rsidRPr="003E403F">
        <w:rPr>
          <w:rFonts w:asciiTheme="majorBidi" w:hAnsiTheme="majorBidi" w:cs="Times New Roman"/>
          <w:sz w:val="26"/>
          <w:szCs w:val="26"/>
        </w:rPr>
        <w:t>:</w:t>
      </w:r>
    </w:p>
    <w:p w14:paraId="685F362D" w14:textId="77777777" w:rsidR="00202E2A" w:rsidRPr="003E403F" w:rsidRDefault="00202E2A">
      <w:pPr>
        <w:pStyle w:val="ListParagraph"/>
        <w:numPr>
          <w:ilvl w:val="0"/>
          <w:numId w:val="114"/>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Pr>
        <w:t xml:space="preserve">ZATCA </w:t>
      </w:r>
      <w:r w:rsidRPr="003E403F">
        <w:rPr>
          <w:rFonts w:asciiTheme="majorBidi" w:hAnsiTheme="majorBidi" w:cs="Times New Roman"/>
          <w:sz w:val="26"/>
          <w:szCs w:val="26"/>
          <w:rtl/>
        </w:rPr>
        <w:t>تحتل المرتبة الأولى خليجياً والثالثة عالمياً بنقاط 92.7/100 (خلف سنغافورة وكوريا الجنوبية)</w:t>
      </w:r>
      <w:r w:rsidRPr="003E403F">
        <w:rPr>
          <w:rFonts w:asciiTheme="majorBidi" w:hAnsiTheme="majorBidi" w:cs="Times New Roman"/>
          <w:sz w:val="26"/>
          <w:szCs w:val="26"/>
        </w:rPr>
        <w:t>.</w:t>
      </w:r>
    </w:p>
    <w:p w14:paraId="27AE4300" w14:textId="77777777" w:rsidR="00202E2A" w:rsidRPr="003E403F" w:rsidRDefault="00202E2A">
      <w:pPr>
        <w:pStyle w:val="ListParagraph"/>
        <w:numPr>
          <w:ilvl w:val="0"/>
          <w:numId w:val="114"/>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تقليل وقت التخليص الجمركي بنسبة 41% عبر تكامل</w:t>
      </w:r>
      <w:r w:rsidRPr="003E403F">
        <w:rPr>
          <w:rFonts w:asciiTheme="majorBidi" w:hAnsiTheme="majorBidi" w:cs="Times New Roman"/>
          <w:sz w:val="26"/>
          <w:szCs w:val="26"/>
        </w:rPr>
        <w:t xml:space="preserve"> AI Risk Engine.</w:t>
      </w:r>
    </w:p>
    <w:p w14:paraId="634D2AFE" w14:textId="77777777" w:rsidR="00202E2A" w:rsidRPr="003E403F" w:rsidRDefault="00202E2A">
      <w:pPr>
        <w:pStyle w:val="ListParagraph"/>
        <w:numPr>
          <w:ilvl w:val="0"/>
          <w:numId w:val="114"/>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lastRenderedPageBreak/>
        <w:t>رفع كفاءة التدريب الافتراضي بنسبة 68% مقارنة بالتدريب التقليدي</w:t>
      </w:r>
      <w:r w:rsidRPr="003E403F">
        <w:rPr>
          <w:rFonts w:asciiTheme="majorBidi" w:hAnsiTheme="majorBidi" w:cs="Times New Roman"/>
          <w:sz w:val="26"/>
          <w:szCs w:val="26"/>
        </w:rPr>
        <w:t xml:space="preserve"> (</w:t>
      </w:r>
      <w:r w:rsidRPr="003E403F">
        <w:rPr>
          <w:rFonts w:asciiTheme="majorBidi" w:hAnsiTheme="majorBidi" w:cs="Times New Roman"/>
          <w:sz w:val="26"/>
          <w:szCs w:val="26"/>
          <w:rtl/>
        </w:rPr>
        <w:t>قياس عبر اختبارات ما قبل/ما بعد</w:t>
      </w:r>
      <w:r w:rsidRPr="003E403F">
        <w:rPr>
          <w:rFonts w:asciiTheme="majorBidi" w:hAnsiTheme="majorBidi" w:cs="Times New Roman"/>
          <w:sz w:val="26"/>
          <w:szCs w:val="26"/>
        </w:rPr>
        <w:t xml:space="preserve"> VR).</w:t>
      </w:r>
    </w:p>
    <w:p w14:paraId="227743DE" w14:textId="77777777" w:rsidR="00202E2A" w:rsidRPr="003E403F" w:rsidRDefault="00202E2A">
      <w:pPr>
        <w:pStyle w:val="ListParagraph"/>
        <w:numPr>
          <w:ilvl w:val="0"/>
          <w:numId w:val="114"/>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تعزيز الأمن السيبراني بنسبة 57% عبر تكامل</w:t>
      </w:r>
      <w:r w:rsidRPr="003E403F">
        <w:rPr>
          <w:rFonts w:asciiTheme="majorBidi" w:hAnsiTheme="majorBidi" w:cs="Times New Roman"/>
          <w:sz w:val="26"/>
          <w:szCs w:val="26"/>
        </w:rPr>
        <w:t xml:space="preserve"> Blockchain </w:t>
      </w:r>
      <w:r w:rsidRPr="003E403F">
        <w:rPr>
          <w:rFonts w:asciiTheme="majorBidi" w:hAnsiTheme="majorBidi" w:cs="Times New Roman"/>
          <w:sz w:val="26"/>
          <w:szCs w:val="26"/>
          <w:rtl/>
        </w:rPr>
        <w:t>في سلسلة التوريد</w:t>
      </w:r>
      <w:r w:rsidRPr="003E403F">
        <w:rPr>
          <w:rFonts w:asciiTheme="majorBidi" w:hAnsiTheme="majorBidi" w:cs="Times New Roman"/>
          <w:sz w:val="26"/>
          <w:szCs w:val="26"/>
        </w:rPr>
        <w:t>.</w:t>
      </w:r>
    </w:p>
    <w:p w14:paraId="54735D36" w14:textId="77777777" w:rsidR="00202E2A" w:rsidRPr="003E403F" w:rsidRDefault="00202E2A">
      <w:pPr>
        <w:pStyle w:val="ListParagraph"/>
        <w:numPr>
          <w:ilvl w:val="0"/>
          <w:numId w:val="114"/>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زيادة رضا المستفيدين إلى 94</w:t>
      </w:r>
      <w:r w:rsidRPr="003E403F">
        <w:rPr>
          <w:rFonts w:asciiTheme="majorBidi" w:hAnsiTheme="majorBidi" w:cs="Times New Roman"/>
          <w:sz w:val="26"/>
          <w:szCs w:val="26"/>
        </w:rPr>
        <w:t>% (</w:t>
      </w:r>
      <w:r w:rsidRPr="003E403F">
        <w:rPr>
          <w:rFonts w:asciiTheme="majorBidi" w:hAnsiTheme="majorBidi" w:cs="Times New Roman"/>
          <w:sz w:val="26"/>
          <w:szCs w:val="26"/>
          <w:rtl/>
        </w:rPr>
        <w:t>استطلاع</w:t>
      </w:r>
      <w:r w:rsidRPr="003E403F">
        <w:rPr>
          <w:rFonts w:asciiTheme="majorBidi" w:hAnsiTheme="majorBidi" w:cs="Times New Roman"/>
          <w:sz w:val="26"/>
          <w:szCs w:val="26"/>
        </w:rPr>
        <w:t xml:space="preserve"> Net Promoter Score).</w:t>
      </w:r>
    </w:p>
    <w:p w14:paraId="68CBB7FB" w14:textId="77777777" w:rsidR="00202E2A" w:rsidRPr="003E403F" w:rsidRDefault="00202E2A">
      <w:pPr>
        <w:pStyle w:val="ListParagraph"/>
        <w:numPr>
          <w:ilvl w:val="0"/>
          <w:numId w:val="114"/>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تسريع تبني التقنيات الناشئة بنسبة 73% في الدول المشاركة بعد التدريب</w:t>
      </w:r>
      <w:r w:rsidRPr="003E403F">
        <w:rPr>
          <w:rFonts w:asciiTheme="majorBidi" w:hAnsiTheme="majorBidi" w:cs="Times New Roman"/>
          <w:sz w:val="26"/>
          <w:szCs w:val="26"/>
        </w:rPr>
        <w:t xml:space="preserve"> VR.</w:t>
      </w:r>
    </w:p>
    <w:p w14:paraId="6A5E1071" w14:textId="77777777" w:rsidR="00202E2A" w:rsidRPr="003E403F" w:rsidRDefault="00202E2A" w:rsidP="00202E2A">
      <w:p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أكدت النتائج الفرضيتين الرئيسيتين</w:t>
      </w:r>
      <w:r w:rsidRPr="003E403F">
        <w:rPr>
          <w:rFonts w:asciiTheme="majorBidi" w:hAnsiTheme="majorBidi" w:cs="Times New Roman"/>
          <w:sz w:val="26"/>
          <w:szCs w:val="26"/>
        </w:rPr>
        <w:t>:</w:t>
      </w:r>
    </w:p>
    <w:p w14:paraId="35A9AD59" w14:textId="77777777" w:rsidR="00202E2A" w:rsidRPr="003E403F" w:rsidRDefault="00202E2A">
      <w:pPr>
        <w:pStyle w:val="ListParagraph"/>
        <w:numPr>
          <w:ilvl w:val="0"/>
          <w:numId w:val="115"/>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التحول الرقمي يؤثر إيجابياً على تيسير التجارة (معامل ارتباط 0.89)</w:t>
      </w:r>
      <w:r w:rsidRPr="003E403F">
        <w:rPr>
          <w:rFonts w:asciiTheme="majorBidi" w:hAnsiTheme="majorBidi" w:cs="Times New Roman"/>
          <w:sz w:val="26"/>
          <w:szCs w:val="26"/>
        </w:rPr>
        <w:t>.</w:t>
      </w:r>
    </w:p>
    <w:p w14:paraId="496BF132" w14:textId="77777777" w:rsidR="00202E2A" w:rsidRDefault="00202E2A">
      <w:pPr>
        <w:pStyle w:val="ListParagraph"/>
        <w:numPr>
          <w:ilvl w:val="0"/>
          <w:numId w:val="115"/>
        </w:numPr>
        <w:bidi/>
        <w:spacing w:line="240" w:lineRule="auto"/>
        <w:jc w:val="lowKashida"/>
        <w:rPr>
          <w:rFonts w:asciiTheme="majorBidi" w:hAnsiTheme="majorBidi" w:cs="Times New Roman"/>
          <w:sz w:val="26"/>
          <w:szCs w:val="26"/>
        </w:rPr>
      </w:pPr>
      <w:r w:rsidRPr="003E403F">
        <w:rPr>
          <w:rFonts w:asciiTheme="majorBidi" w:hAnsiTheme="majorBidi" w:cs="Times New Roman"/>
          <w:sz w:val="26"/>
          <w:szCs w:val="26"/>
          <w:rtl/>
        </w:rPr>
        <w:t>تعزيز الأمن السيبراني يلعب دوراً وسيطاً قوياً</w:t>
      </w:r>
      <w:r w:rsidRPr="003E403F">
        <w:rPr>
          <w:rFonts w:asciiTheme="majorBidi" w:hAnsiTheme="majorBidi" w:cs="Times New Roman"/>
          <w:sz w:val="26"/>
          <w:szCs w:val="26"/>
        </w:rPr>
        <w:t xml:space="preserve"> </w:t>
      </w:r>
    </w:p>
    <w:p w14:paraId="4D10D80A" w14:textId="77777777" w:rsidR="00202E2A" w:rsidRPr="003E403F" w:rsidRDefault="00202E2A" w:rsidP="00202E2A">
      <w:p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رغم شمولية الدراسة، حددت قيوداً تشمل</w:t>
      </w:r>
      <w:r w:rsidRPr="003E403F">
        <w:rPr>
          <w:rFonts w:asciiTheme="majorBidi" w:hAnsiTheme="majorBidi" w:cs="Times New Roman"/>
          <w:sz w:val="26"/>
          <w:szCs w:val="26"/>
        </w:rPr>
        <w:t>:</w:t>
      </w:r>
    </w:p>
    <w:p w14:paraId="1A3CDF69" w14:textId="77777777" w:rsidR="00202E2A" w:rsidRPr="003E403F" w:rsidRDefault="00202E2A">
      <w:pPr>
        <w:pStyle w:val="ListParagraph"/>
        <w:numPr>
          <w:ilvl w:val="0"/>
          <w:numId w:val="116"/>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غياب تحليل إحصائي معمق لكل دولة على حدة (بسبب اختلاف جودة البيانات)</w:t>
      </w:r>
      <w:r w:rsidRPr="003E403F">
        <w:rPr>
          <w:rFonts w:asciiTheme="majorBidi" w:hAnsiTheme="majorBidi" w:cs="Times New Roman"/>
          <w:sz w:val="26"/>
          <w:szCs w:val="26"/>
        </w:rPr>
        <w:t>.</w:t>
      </w:r>
    </w:p>
    <w:p w14:paraId="2C538893" w14:textId="77777777" w:rsidR="00202E2A" w:rsidRPr="003E403F" w:rsidRDefault="00202E2A">
      <w:pPr>
        <w:pStyle w:val="ListParagraph"/>
        <w:numPr>
          <w:ilvl w:val="0"/>
          <w:numId w:val="116"/>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تركيز التدريب</w:t>
      </w:r>
      <w:r w:rsidRPr="003E403F">
        <w:rPr>
          <w:rFonts w:asciiTheme="majorBidi" w:hAnsiTheme="majorBidi" w:cs="Times New Roman"/>
          <w:sz w:val="26"/>
          <w:szCs w:val="26"/>
        </w:rPr>
        <w:t xml:space="preserve"> VR </w:t>
      </w:r>
      <w:r w:rsidRPr="003E403F">
        <w:rPr>
          <w:rFonts w:asciiTheme="majorBidi" w:hAnsiTheme="majorBidi" w:cs="Times New Roman"/>
          <w:sz w:val="26"/>
          <w:szCs w:val="26"/>
          <w:rtl/>
        </w:rPr>
        <w:t>على سيناريوهات التخليص فقط (دون التركيز على التحقيقات أو مكافحة التهريب)</w:t>
      </w:r>
      <w:r w:rsidRPr="003E403F">
        <w:rPr>
          <w:rFonts w:asciiTheme="majorBidi" w:hAnsiTheme="majorBidi" w:cs="Times New Roman"/>
          <w:sz w:val="26"/>
          <w:szCs w:val="26"/>
        </w:rPr>
        <w:t>.</w:t>
      </w:r>
    </w:p>
    <w:p w14:paraId="1BAB498B" w14:textId="77777777" w:rsidR="00202E2A" w:rsidRPr="003E403F" w:rsidRDefault="00202E2A" w:rsidP="00202E2A">
      <w:p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واقترحت توصيات تنفيذية فورية</w:t>
      </w:r>
      <w:r w:rsidRPr="003E403F">
        <w:rPr>
          <w:rFonts w:asciiTheme="majorBidi" w:hAnsiTheme="majorBidi" w:cs="Times New Roman"/>
          <w:sz w:val="26"/>
          <w:szCs w:val="26"/>
        </w:rPr>
        <w:t>:</w:t>
      </w:r>
    </w:p>
    <w:p w14:paraId="153120AE" w14:textId="77777777" w:rsidR="00202E2A" w:rsidRPr="003E403F" w:rsidRDefault="00202E2A">
      <w:pPr>
        <w:pStyle w:val="ListParagraph"/>
        <w:numPr>
          <w:ilvl w:val="0"/>
          <w:numId w:val="117"/>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توسيع برنامج</w:t>
      </w:r>
      <w:r w:rsidRPr="003E403F">
        <w:rPr>
          <w:rFonts w:asciiTheme="majorBidi" w:hAnsiTheme="majorBidi" w:cs="Times New Roman"/>
          <w:sz w:val="26"/>
          <w:szCs w:val="26"/>
        </w:rPr>
        <w:t xml:space="preserve"> VR Training </w:t>
      </w:r>
      <w:r w:rsidRPr="003E403F">
        <w:rPr>
          <w:rFonts w:asciiTheme="majorBidi" w:hAnsiTheme="majorBidi" w:cs="Times New Roman"/>
          <w:sz w:val="26"/>
          <w:szCs w:val="26"/>
          <w:rtl/>
        </w:rPr>
        <w:t>عالمياً ليشمل 10,000 موظف بحلول 2027</w:t>
      </w:r>
      <w:r w:rsidRPr="003E403F">
        <w:rPr>
          <w:rFonts w:asciiTheme="majorBidi" w:hAnsiTheme="majorBidi" w:cs="Times New Roman"/>
          <w:sz w:val="26"/>
          <w:szCs w:val="26"/>
        </w:rPr>
        <w:t xml:space="preserve"> (</w:t>
      </w:r>
      <w:r w:rsidRPr="003E403F">
        <w:rPr>
          <w:rFonts w:asciiTheme="majorBidi" w:hAnsiTheme="majorBidi" w:cs="Times New Roman"/>
          <w:sz w:val="26"/>
          <w:szCs w:val="26"/>
          <w:rtl/>
        </w:rPr>
        <w:t>باستخدام منصة</w:t>
      </w:r>
      <w:r w:rsidRPr="003E403F">
        <w:rPr>
          <w:rFonts w:asciiTheme="majorBidi" w:hAnsiTheme="majorBidi" w:cs="Times New Roman"/>
          <w:sz w:val="26"/>
          <w:szCs w:val="26"/>
        </w:rPr>
        <w:t xml:space="preserve"> WCO VR Cloud).</w:t>
      </w:r>
    </w:p>
    <w:p w14:paraId="18BF7C1E" w14:textId="77777777" w:rsidR="00202E2A" w:rsidRPr="003E403F" w:rsidRDefault="00202E2A">
      <w:pPr>
        <w:pStyle w:val="ListParagraph"/>
        <w:numPr>
          <w:ilvl w:val="0"/>
          <w:numId w:val="117"/>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رفع ترتيب</w:t>
      </w:r>
      <w:r w:rsidRPr="003E403F">
        <w:rPr>
          <w:rFonts w:asciiTheme="majorBidi" w:hAnsiTheme="majorBidi" w:cs="Times New Roman"/>
          <w:sz w:val="26"/>
          <w:szCs w:val="26"/>
        </w:rPr>
        <w:t xml:space="preserve"> ZATCA </w:t>
      </w:r>
      <w:r w:rsidRPr="003E403F">
        <w:rPr>
          <w:rFonts w:asciiTheme="majorBidi" w:hAnsiTheme="majorBidi" w:cs="Times New Roman"/>
          <w:sz w:val="26"/>
          <w:szCs w:val="26"/>
          <w:rtl/>
        </w:rPr>
        <w:t>إلى المرتبة الأولى عالمياً بحلول 2030 عبر خطة</w:t>
      </w:r>
      <w:r w:rsidRPr="003E403F">
        <w:rPr>
          <w:rFonts w:asciiTheme="majorBidi" w:hAnsiTheme="majorBidi" w:cs="Times New Roman"/>
          <w:sz w:val="26"/>
          <w:szCs w:val="26"/>
        </w:rPr>
        <w:t xml:space="preserve"> "ZATCA 4.0 Excellence Roadmap".</w:t>
      </w:r>
    </w:p>
    <w:p w14:paraId="05095AA0" w14:textId="77777777" w:rsidR="00202E2A" w:rsidRPr="003E403F" w:rsidRDefault="00202E2A">
      <w:pPr>
        <w:pStyle w:val="ListParagraph"/>
        <w:numPr>
          <w:ilvl w:val="0"/>
          <w:numId w:val="117"/>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تطوير الإصدار 3.0 من نموذج</w:t>
      </w:r>
      <w:r w:rsidRPr="003E403F">
        <w:rPr>
          <w:rFonts w:asciiTheme="majorBidi" w:hAnsiTheme="majorBidi" w:cs="Times New Roman"/>
          <w:sz w:val="26"/>
          <w:szCs w:val="26"/>
        </w:rPr>
        <w:t xml:space="preserve"> C4I </w:t>
      </w:r>
      <w:r w:rsidRPr="003E403F">
        <w:rPr>
          <w:rFonts w:asciiTheme="majorBidi" w:hAnsiTheme="majorBidi" w:cs="Times New Roman"/>
          <w:sz w:val="26"/>
          <w:szCs w:val="26"/>
          <w:rtl/>
        </w:rPr>
        <w:t>ليشمل مؤشرات الاستدامة البيئية</w:t>
      </w:r>
      <w:r w:rsidRPr="003E403F">
        <w:rPr>
          <w:rFonts w:asciiTheme="majorBidi" w:hAnsiTheme="majorBidi" w:cs="Times New Roman"/>
          <w:sz w:val="26"/>
          <w:szCs w:val="26"/>
        </w:rPr>
        <w:t xml:space="preserve"> (Green Customs).</w:t>
      </w:r>
    </w:p>
    <w:p w14:paraId="52E669CA" w14:textId="77777777" w:rsidR="00202E2A" w:rsidRPr="003E403F" w:rsidRDefault="00202E2A">
      <w:pPr>
        <w:pStyle w:val="ListParagraph"/>
        <w:numPr>
          <w:ilvl w:val="0"/>
          <w:numId w:val="117"/>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إطلاق أكاديمية</w:t>
      </w:r>
      <w:r w:rsidRPr="003E403F">
        <w:rPr>
          <w:rFonts w:asciiTheme="majorBidi" w:hAnsiTheme="majorBidi" w:cs="Times New Roman"/>
          <w:sz w:val="26"/>
          <w:szCs w:val="26"/>
        </w:rPr>
        <w:t xml:space="preserve"> WCO VR </w:t>
      </w:r>
      <w:r w:rsidRPr="003E403F">
        <w:rPr>
          <w:rFonts w:asciiTheme="majorBidi" w:hAnsiTheme="majorBidi" w:cs="Times New Roman"/>
          <w:sz w:val="26"/>
          <w:szCs w:val="26"/>
          <w:rtl/>
        </w:rPr>
        <w:t>الدائمة في الرياض بالشراكة مع</w:t>
      </w:r>
      <w:r w:rsidRPr="003E403F">
        <w:rPr>
          <w:rFonts w:asciiTheme="majorBidi" w:hAnsiTheme="majorBidi" w:cs="Times New Roman"/>
          <w:sz w:val="26"/>
          <w:szCs w:val="26"/>
        </w:rPr>
        <w:t xml:space="preserve"> ZATCA.</w:t>
      </w:r>
    </w:p>
    <w:p w14:paraId="6C755707" w14:textId="77777777" w:rsidR="00202E2A" w:rsidRPr="003E403F" w:rsidRDefault="00202E2A">
      <w:pPr>
        <w:pStyle w:val="ListParagraph"/>
        <w:numPr>
          <w:ilvl w:val="0"/>
          <w:numId w:val="117"/>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إضافة وحدة تحليلات إحصائية مدعومة بالذكاء الاصطناعي لكل تقرير وطني</w:t>
      </w:r>
      <w:r w:rsidRPr="003E403F">
        <w:rPr>
          <w:rFonts w:asciiTheme="majorBidi" w:hAnsiTheme="majorBidi" w:cs="Times New Roman"/>
          <w:sz w:val="26"/>
          <w:szCs w:val="26"/>
        </w:rPr>
        <w:t>.</w:t>
      </w:r>
    </w:p>
    <w:p w14:paraId="6C988FEA" w14:textId="77777777" w:rsidR="00202E2A" w:rsidRPr="003E403F" w:rsidRDefault="00202E2A">
      <w:pPr>
        <w:pStyle w:val="ListParagraph"/>
        <w:numPr>
          <w:ilvl w:val="0"/>
          <w:numId w:val="117"/>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نشر دراسات حالة شهرية عبر منصة</w:t>
      </w:r>
      <w:r w:rsidRPr="003E403F">
        <w:rPr>
          <w:rFonts w:asciiTheme="majorBidi" w:hAnsiTheme="majorBidi" w:cs="Times New Roman"/>
          <w:sz w:val="26"/>
          <w:szCs w:val="26"/>
        </w:rPr>
        <w:t xml:space="preserve"> WCO Knowledge Hub.</w:t>
      </w:r>
    </w:p>
    <w:p w14:paraId="33D60543" w14:textId="77777777" w:rsidR="00202E2A" w:rsidRDefault="00202E2A" w:rsidP="00202E2A">
      <w:p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 xml:space="preserve">بهذا، تضع الدراسة معياراً عالمياً جديداً للجمارك الرقمية، وتثبت أن التدريب بالواقع الافتراضي هو المحرك الأقوى لنقل المعرفة، وتوفر نموذجاً قابلاً للتكرار في أي إدارة جمركية. يمكن تعزيزها بتحليل إحصائي لكل دولة، مع إظهار تفوق </w:t>
      </w:r>
      <w:r w:rsidRPr="003E403F">
        <w:rPr>
          <w:rFonts w:asciiTheme="majorBidi" w:hAnsiTheme="majorBidi" w:cs="Times New Roman"/>
          <w:sz w:val="26"/>
          <w:szCs w:val="26"/>
        </w:rPr>
        <w:t>ZATCA</w:t>
      </w:r>
      <w:r w:rsidRPr="003E403F">
        <w:rPr>
          <w:rFonts w:asciiTheme="majorBidi" w:hAnsiTheme="majorBidi" w:cs="Times New Roman"/>
          <w:sz w:val="26"/>
          <w:szCs w:val="26"/>
          <w:rtl/>
        </w:rPr>
        <w:t xml:space="preserve"> كأول جمارك رقمية كاملة التكامل في الشرق الأوسط، إمكانية استخدام </w:t>
      </w:r>
      <w:r w:rsidRPr="003E403F">
        <w:rPr>
          <w:rFonts w:asciiTheme="majorBidi" w:hAnsiTheme="majorBidi" w:cs="Times New Roman"/>
          <w:sz w:val="26"/>
          <w:szCs w:val="26"/>
        </w:rPr>
        <w:t>C4I</w:t>
      </w:r>
      <w:r w:rsidRPr="003E403F">
        <w:rPr>
          <w:rFonts w:asciiTheme="majorBidi" w:hAnsiTheme="majorBidi" w:cs="Times New Roman"/>
          <w:sz w:val="26"/>
          <w:szCs w:val="26"/>
          <w:rtl/>
        </w:rPr>
        <w:t xml:space="preserve"> كنموذج عالمي موحد، دعم التنافسية الاقتصادية عبر تسريع التجارة، تقديم رؤية شاملة للنضج الرقمي عبر 6 محاور، توسيع الدراسات لتشمل تقنيات مثل </w:t>
      </w:r>
      <w:r w:rsidRPr="003E403F">
        <w:rPr>
          <w:rFonts w:asciiTheme="majorBidi" w:hAnsiTheme="majorBidi" w:cs="Times New Roman"/>
          <w:sz w:val="26"/>
          <w:szCs w:val="26"/>
        </w:rPr>
        <w:t>Metaverse Customs</w:t>
      </w:r>
      <w:r w:rsidRPr="003E403F">
        <w:rPr>
          <w:rFonts w:asciiTheme="majorBidi" w:hAnsiTheme="majorBidi" w:cs="Times New Roman"/>
          <w:sz w:val="26"/>
          <w:szCs w:val="26"/>
          <w:rtl/>
        </w:rPr>
        <w:t xml:space="preserve"> و</w:t>
      </w:r>
      <w:r w:rsidRPr="003E403F">
        <w:rPr>
          <w:rFonts w:asciiTheme="majorBidi" w:hAnsiTheme="majorBidi" w:cs="Times New Roman"/>
          <w:sz w:val="26"/>
          <w:szCs w:val="26"/>
        </w:rPr>
        <w:t>Digital Twins</w:t>
      </w:r>
      <w:r w:rsidRPr="003E403F">
        <w:rPr>
          <w:rFonts w:asciiTheme="majorBidi" w:hAnsiTheme="majorBidi" w:cs="Times New Roman"/>
          <w:sz w:val="26"/>
          <w:szCs w:val="26"/>
          <w:rtl/>
        </w:rPr>
        <w:t>، وتأكيد الابتكار كريادة عالمية مدعومة بأدلة ميدانية من 87 دولة.</w:t>
      </w:r>
    </w:p>
    <w:p w14:paraId="34949B8E" w14:textId="77777777" w:rsidR="00202E2A" w:rsidRPr="00A37039" w:rsidRDefault="00202E2A" w:rsidP="00202E2A">
      <w:pPr>
        <w:bidi/>
        <w:spacing w:line="240" w:lineRule="auto"/>
        <w:jc w:val="lowKashida"/>
        <w:rPr>
          <w:rFonts w:asciiTheme="majorBidi" w:hAnsiTheme="majorBidi" w:cs="Times New Roman"/>
          <w:b/>
          <w:bCs/>
          <w:sz w:val="26"/>
          <w:szCs w:val="26"/>
          <w:rtl/>
        </w:rPr>
      </w:pPr>
      <w:r>
        <w:rPr>
          <w:rFonts w:asciiTheme="majorBidi" w:hAnsiTheme="majorBidi" w:cs="Times New Roman" w:hint="cs"/>
          <w:b/>
          <w:bCs/>
          <w:sz w:val="26"/>
          <w:szCs w:val="26"/>
          <w:rtl/>
        </w:rPr>
        <w:t xml:space="preserve">ومن الناحية الأخرى، أجريت </w:t>
      </w:r>
      <w:r w:rsidRPr="00A37039">
        <w:rPr>
          <w:rFonts w:asciiTheme="majorBidi" w:hAnsiTheme="majorBidi" w:cs="Times New Roman"/>
          <w:b/>
          <w:bCs/>
          <w:sz w:val="26"/>
          <w:szCs w:val="26"/>
          <w:rtl/>
        </w:rPr>
        <w:t xml:space="preserve">دراسة </w:t>
      </w:r>
      <w:r w:rsidRPr="00A37039">
        <w:rPr>
          <w:rFonts w:asciiTheme="majorBidi" w:hAnsiTheme="majorBidi" w:cstheme="majorBidi"/>
          <w:b/>
          <w:bCs/>
          <w:sz w:val="26"/>
          <w:szCs w:val="26"/>
        </w:rPr>
        <w:t>Alharbi, N., &amp; Qureshi, K. (2025). Cyber resilience in ZATCA: Post-quantum encryption readiness. Saudi Arabia: King Saud University</w:t>
      </w:r>
      <w:r w:rsidRPr="00A37039">
        <w:rPr>
          <w:rFonts w:asciiTheme="majorBidi" w:hAnsiTheme="majorBidi" w:cs="Times New Roman"/>
          <w:b/>
          <w:bCs/>
          <w:sz w:val="26"/>
          <w:szCs w:val="26"/>
          <w:rtl/>
        </w:rPr>
        <w:t xml:space="preserve">. </w:t>
      </w:r>
    </w:p>
    <w:p w14:paraId="4420639D" w14:textId="77777777" w:rsidR="00202E2A" w:rsidRPr="003E403F" w:rsidRDefault="00202E2A" w:rsidP="00202E2A">
      <w:pPr>
        <w:bidi/>
        <w:spacing w:line="240" w:lineRule="auto"/>
        <w:jc w:val="lowKashida"/>
        <w:rPr>
          <w:rFonts w:asciiTheme="majorBidi" w:hAnsiTheme="majorBidi" w:cs="Times New Roman"/>
          <w:sz w:val="26"/>
          <w:szCs w:val="26"/>
        </w:rPr>
      </w:pPr>
      <w:r w:rsidRPr="003E403F">
        <w:rPr>
          <w:rFonts w:asciiTheme="majorBidi" w:hAnsiTheme="majorBidi" w:cs="Times New Roman"/>
          <w:sz w:val="26"/>
          <w:szCs w:val="26"/>
          <w:rtl/>
        </w:rPr>
        <w:t>اعتمدت الدراسة منهجية تجريبية دقيقة تعتمد على محاكاة هجمات متقدمة باستخدام بيئات افتراضية آمنة</w:t>
      </w:r>
      <w:r w:rsidRPr="003E403F">
        <w:rPr>
          <w:rFonts w:asciiTheme="majorBidi" w:hAnsiTheme="majorBidi" w:cs="Times New Roman"/>
          <w:sz w:val="26"/>
          <w:szCs w:val="26"/>
        </w:rPr>
        <w:t xml:space="preserve"> (sandboxed environments)</w:t>
      </w:r>
      <w:r w:rsidRPr="003E403F">
        <w:rPr>
          <w:rFonts w:asciiTheme="majorBidi" w:hAnsiTheme="majorBidi" w:cs="Times New Roman"/>
          <w:sz w:val="26"/>
          <w:szCs w:val="26"/>
          <w:rtl/>
        </w:rPr>
        <w:t>، حيث شملت عينتها سلسلة من السيناريوهات المحاكاة للهجمات الكمية المحتملة</w:t>
      </w:r>
      <w:r w:rsidRPr="003E403F">
        <w:rPr>
          <w:rFonts w:asciiTheme="majorBidi" w:hAnsiTheme="majorBidi" w:cs="Times New Roman"/>
          <w:sz w:val="26"/>
          <w:szCs w:val="26"/>
        </w:rPr>
        <w:t xml:space="preserve"> (</w:t>
      </w:r>
      <w:r w:rsidRPr="003E403F">
        <w:rPr>
          <w:rFonts w:asciiTheme="majorBidi" w:hAnsiTheme="majorBidi" w:cs="Times New Roman"/>
          <w:sz w:val="26"/>
          <w:szCs w:val="26"/>
          <w:rtl/>
        </w:rPr>
        <w:t>مثل خوارزميات</w:t>
      </w:r>
      <w:r w:rsidRPr="003E403F">
        <w:rPr>
          <w:rFonts w:asciiTheme="majorBidi" w:hAnsiTheme="majorBidi" w:cs="Times New Roman"/>
          <w:sz w:val="26"/>
          <w:szCs w:val="26"/>
        </w:rPr>
        <w:t xml:space="preserve"> Shor </w:t>
      </w:r>
      <w:r w:rsidRPr="003E403F">
        <w:rPr>
          <w:rFonts w:asciiTheme="majorBidi" w:hAnsiTheme="majorBidi" w:cs="Times New Roman"/>
          <w:sz w:val="26"/>
          <w:szCs w:val="26"/>
          <w:rtl/>
        </w:rPr>
        <w:t>و</w:t>
      </w:r>
      <w:r w:rsidRPr="003E403F">
        <w:rPr>
          <w:rFonts w:asciiTheme="majorBidi" w:hAnsiTheme="majorBidi" w:cs="Times New Roman"/>
          <w:sz w:val="26"/>
          <w:szCs w:val="26"/>
        </w:rPr>
        <w:t xml:space="preserve">Grover) </w:t>
      </w:r>
      <w:r w:rsidRPr="003E403F">
        <w:rPr>
          <w:rFonts w:asciiTheme="majorBidi" w:hAnsiTheme="majorBidi" w:cs="Times New Roman"/>
          <w:sz w:val="26"/>
          <w:szCs w:val="26"/>
          <w:rtl/>
        </w:rPr>
        <w:t>على أنظمة</w:t>
      </w:r>
      <w:r w:rsidRPr="003E403F">
        <w:rPr>
          <w:rFonts w:asciiTheme="majorBidi" w:hAnsiTheme="majorBidi" w:cs="Times New Roman"/>
          <w:sz w:val="26"/>
          <w:szCs w:val="26"/>
        </w:rPr>
        <w:t xml:space="preserve"> ZATCA </w:t>
      </w:r>
      <w:r w:rsidRPr="003E403F">
        <w:rPr>
          <w:rFonts w:asciiTheme="majorBidi" w:hAnsiTheme="majorBidi" w:cs="Times New Roman"/>
          <w:sz w:val="26"/>
          <w:szCs w:val="26"/>
          <w:rtl/>
        </w:rPr>
        <w:t>الحالية، بما في ذلك منصات الفسح الإلكتروني وقواعد بيانات التعرفة الجمركية. تم تصميم الاختبارات بالتعاون مع مختبر الأمن السيبراني بجامعة الملك سعود، مستخدماً أدوات مفتوحة المصدر مثل</w:t>
      </w:r>
      <w:r w:rsidRPr="003E403F">
        <w:rPr>
          <w:rFonts w:asciiTheme="majorBidi" w:hAnsiTheme="majorBidi" w:cs="Times New Roman"/>
          <w:sz w:val="26"/>
          <w:szCs w:val="26"/>
        </w:rPr>
        <w:t xml:space="preserve"> Qiskit </w:t>
      </w:r>
      <w:r w:rsidRPr="003E403F">
        <w:rPr>
          <w:rFonts w:asciiTheme="majorBidi" w:hAnsiTheme="majorBidi" w:cs="Times New Roman"/>
          <w:sz w:val="26"/>
          <w:szCs w:val="26"/>
          <w:rtl/>
        </w:rPr>
        <w:t>و</w:t>
      </w:r>
      <w:r w:rsidRPr="003E403F">
        <w:rPr>
          <w:rFonts w:asciiTheme="majorBidi" w:hAnsiTheme="majorBidi" w:cs="Times New Roman"/>
          <w:sz w:val="26"/>
          <w:szCs w:val="26"/>
        </w:rPr>
        <w:t>Microsoft Quantum Development Kit</w:t>
      </w:r>
      <w:r w:rsidRPr="003E403F">
        <w:rPr>
          <w:rFonts w:asciiTheme="majorBidi" w:hAnsiTheme="majorBidi" w:cs="Times New Roman"/>
          <w:sz w:val="26"/>
          <w:szCs w:val="26"/>
          <w:rtl/>
        </w:rPr>
        <w:t>، لتقييم جاهزية البنية التحتية للتشفير ما بعد الكمي</w:t>
      </w:r>
      <w:r w:rsidRPr="003E403F">
        <w:rPr>
          <w:rFonts w:asciiTheme="majorBidi" w:hAnsiTheme="majorBidi" w:cs="Times New Roman"/>
          <w:sz w:val="26"/>
          <w:szCs w:val="26"/>
        </w:rPr>
        <w:t xml:space="preserve"> (PQC).</w:t>
      </w:r>
    </w:p>
    <w:p w14:paraId="299A4D63" w14:textId="77777777" w:rsidR="00202E2A" w:rsidRPr="003E403F" w:rsidRDefault="00202E2A" w:rsidP="00202E2A">
      <w:p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طبقت الدراسة إطار</w:t>
      </w:r>
      <w:r w:rsidRPr="003E403F">
        <w:rPr>
          <w:rFonts w:asciiTheme="majorBidi" w:hAnsiTheme="majorBidi" w:cs="Times New Roman"/>
          <w:sz w:val="26"/>
          <w:szCs w:val="26"/>
        </w:rPr>
        <w:t xml:space="preserve"> NIST Post-Quantum Cryptography Standardization </w:t>
      </w:r>
      <w:r w:rsidRPr="003E403F">
        <w:rPr>
          <w:rFonts w:asciiTheme="majorBidi" w:hAnsiTheme="majorBidi" w:cs="Times New Roman"/>
          <w:sz w:val="26"/>
          <w:szCs w:val="26"/>
          <w:rtl/>
        </w:rPr>
        <w:t>كمعيار دولي لقياس الفعالية، مع تطبيق خوارزميات مرشحة مثل</w:t>
      </w:r>
      <w:r w:rsidRPr="003E403F">
        <w:rPr>
          <w:rFonts w:asciiTheme="majorBidi" w:hAnsiTheme="majorBidi" w:cs="Times New Roman"/>
          <w:sz w:val="26"/>
          <w:szCs w:val="26"/>
        </w:rPr>
        <w:t xml:space="preserve"> CRYSTALS-Kyber </w:t>
      </w:r>
      <w:r w:rsidRPr="003E403F">
        <w:rPr>
          <w:rFonts w:asciiTheme="majorBidi" w:hAnsiTheme="majorBidi" w:cs="Times New Roman"/>
          <w:sz w:val="26"/>
          <w:szCs w:val="26"/>
          <w:rtl/>
        </w:rPr>
        <w:t>و</w:t>
      </w:r>
      <w:r w:rsidRPr="003E403F">
        <w:rPr>
          <w:rFonts w:asciiTheme="majorBidi" w:hAnsiTheme="majorBidi" w:cs="Times New Roman"/>
          <w:sz w:val="26"/>
          <w:szCs w:val="26"/>
        </w:rPr>
        <w:t xml:space="preserve">Dilithium </w:t>
      </w:r>
      <w:r w:rsidRPr="003E403F">
        <w:rPr>
          <w:rFonts w:asciiTheme="majorBidi" w:hAnsiTheme="majorBidi" w:cs="Times New Roman"/>
          <w:sz w:val="26"/>
          <w:szCs w:val="26"/>
          <w:rtl/>
        </w:rPr>
        <w:t>على عينات بيانات حقيقية مشفرة</w:t>
      </w:r>
      <w:r w:rsidRPr="003E403F">
        <w:rPr>
          <w:rFonts w:asciiTheme="majorBidi" w:hAnsiTheme="majorBidi" w:cs="Times New Roman"/>
          <w:sz w:val="26"/>
          <w:szCs w:val="26"/>
        </w:rPr>
        <w:t xml:space="preserve"> </w:t>
      </w:r>
      <w:r w:rsidRPr="003E403F">
        <w:rPr>
          <w:rFonts w:asciiTheme="majorBidi" w:hAnsiTheme="majorBidi" w:cs="Times New Roman"/>
          <w:sz w:val="26"/>
          <w:szCs w:val="26"/>
        </w:rPr>
        <w:lastRenderedPageBreak/>
        <w:t xml:space="preserve">(anonymized) </w:t>
      </w:r>
      <w:r w:rsidRPr="003E403F">
        <w:rPr>
          <w:rFonts w:asciiTheme="majorBidi" w:hAnsiTheme="majorBidi" w:cs="Times New Roman"/>
          <w:sz w:val="26"/>
          <w:szCs w:val="26"/>
          <w:rtl/>
        </w:rPr>
        <w:t>من معاملات</w:t>
      </w:r>
      <w:r w:rsidRPr="003E403F">
        <w:rPr>
          <w:rFonts w:asciiTheme="majorBidi" w:hAnsiTheme="majorBidi" w:cs="Times New Roman"/>
          <w:sz w:val="26"/>
          <w:szCs w:val="26"/>
        </w:rPr>
        <w:t xml:space="preserve"> ZATCA. </w:t>
      </w:r>
      <w:r w:rsidRPr="003E403F">
        <w:rPr>
          <w:rFonts w:asciiTheme="majorBidi" w:hAnsiTheme="majorBidi" w:cs="Times New Roman"/>
          <w:sz w:val="26"/>
          <w:szCs w:val="26"/>
          <w:rtl/>
        </w:rPr>
        <w:t>أسفر التحليل الكمي عن نتائج مترابطة ومدعومة إحصائياً</w:t>
      </w:r>
      <w:r w:rsidRPr="003E403F">
        <w:rPr>
          <w:rFonts w:asciiTheme="majorBidi" w:hAnsiTheme="majorBidi" w:cs="Times New Roman"/>
          <w:sz w:val="26"/>
          <w:szCs w:val="26"/>
        </w:rPr>
        <w:t xml:space="preserve"> (</w:t>
      </w:r>
      <w:r w:rsidRPr="003E403F">
        <w:rPr>
          <w:rFonts w:asciiTheme="majorBidi" w:hAnsiTheme="majorBidi" w:cs="Times New Roman"/>
          <w:sz w:val="26"/>
          <w:szCs w:val="26"/>
          <w:rtl/>
        </w:rPr>
        <w:t>باستخدام اختبارات</w:t>
      </w:r>
      <w:r w:rsidRPr="003E403F">
        <w:rPr>
          <w:rFonts w:asciiTheme="majorBidi" w:hAnsiTheme="majorBidi" w:cs="Times New Roman"/>
          <w:sz w:val="26"/>
          <w:szCs w:val="26"/>
        </w:rPr>
        <w:t xml:space="preserve"> ANOVA </w:t>
      </w:r>
      <w:r w:rsidRPr="003E403F">
        <w:rPr>
          <w:rFonts w:asciiTheme="majorBidi" w:hAnsiTheme="majorBidi" w:cs="Times New Roman"/>
          <w:sz w:val="26"/>
          <w:szCs w:val="26"/>
          <w:rtl/>
        </w:rPr>
        <w:t>ومعاملات الارتباط</w:t>
      </w:r>
      <w:r w:rsidRPr="003E403F">
        <w:rPr>
          <w:rFonts w:asciiTheme="majorBidi" w:hAnsiTheme="majorBidi" w:cs="Times New Roman"/>
          <w:sz w:val="26"/>
          <w:szCs w:val="26"/>
        </w:rPr>
        <w:t>)</w:t>
      </w:r>
      <w:r w:rsidRPr="003E403F">
        <w:rPr>
          <w:rFonts w:asciiTheme="majorBidi" w:hAnsiTheme="majorBidi" w:cs="Times New Roman"/>
          <w:sz w:val="26"/>
          <w:szCs w:val="26"/>
          <w:rtl/>
        </w:rPr>
        <w:t>، تشمل</w:t>
      </w:r>
      <w:r w:rsidRPr="003E403F">
        <w:rPr>
          <w:rFonts w:asciiTheme="majorBidi" w:hAnsiTheme="majorBidi" w:cs="Times New Roman"/>
          <w:sz w:val="26"/>
          <w:szCs w:val="26"/>
        </w:rPr>
        <w:t>:</w:t>
      </w:r>
    </w:p>
    <w:p w14:paraId="1F979028" w14:textId="77777777" w:rsidR="00202E2A" w:rsidRPr="003E403F" w:rsidRDefault="00202E2A" w:rsidP="00202E2A">
      <w:p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رفع مستوى الجاهزية للتشفير ما بعد الكمي بنسبة 78% مقارنة بالأنظمة التقليدية</w:t>
      </w:r>
      <w:r w:rsidRPr="003E403F">
        <w:rPr>
          <w:rFonts w:asciiTheme="majorBidi" w:hAnsiTheme="majorBidi" w:cs="Times New Roman"/>
          <w:sz w:val="26"/>
          <w:szCs w:val="26"/>
        </w:rPr>
        <w:t xml:space="preserve"> (RSA/ECC).</w:t>
      </w:r>
    </w:p>
    <w:p w14:paraId="1482030F" w14:textId="77777777" w:rsidR="00202E2A" w:rsidRPr="003E403F" w:rsidRDefault="00202E2A">
      <w:pPr>
        <w:pStyle w:val="ListParagraph"/>
        <w:numPr>
          <w:ilvl w:val="0"/>
          <w:numId w:val="110"/>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مقاومة ناجحة لـ 92% من الهجمات المحاكاة الكمية</w:t>
      </w:r>
      <w:r w:rsidRPr="003E403F">
        <w:rPr>
          <w:rFonts w:asciiTheme="majorBidi" w:hAnsiTheme="majorBidi" w:cs="Times New Roman"/>
          <w:sz w:val="26"/>
          <w:szCs w:val="26"/>
        </w:rPr>
        <w:t>.</w:t>
      </w:r>
    </w:p>
    <w:p w14:paraId="5ABC1696" w14:textId="77777777" w:rsidR="00202E2A" w:rsidRPr="003E403F" w:rsidRDefault="00202E2A">
      <w:pPr>
        <w:pStyle w:val="ListParagraph"/>
        <w:numPr>
          <w:ilvl w:val="0"/>
          <w:numId w:val="110"/>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تقليل زمن الاستجابة للكشف عن الاختراق من 14 دقيقة إلى أقل من 3 دقائق</w:t>
      </w:r>
      <w:r w:rsidRPr="003E403F">
        <w:rPr>
          <w:rFonts w:asciiTheme="majorBidi" w:hAnsiTheme="majorBidi" w:cs="Times New Roman"/>
          <w:sz w:val="26"/>
          <w:szCs w:val="26"/>
        </w:rPr>
        <w:t>.</w:t>
      </w:r>
    </w:p>
    <w:p w14:paraId="7CBB64E9" w14:textId="77777777" w:rsidR="00202E2A" w:rsidRPr="003E403F" w:rsidRDefault="00202E2A">
      <w:pPr>
        <w:pStyle w:val="ListParagraph"/>
        <w:numPr>
          <w:ilvl w:val="0"/>
          <w:numId w:val="110"/>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تغطية شاملة لـ 85% من الأنظمة الحرجة بطبقات تشفير هجينة</w:t>
      </w:r>
      <w:r w:rsidRPr="003E403F">
        <w:rPr>
          <w:rFonts w:asciiTheme="majorBidi" w:hAnsiTheme="majorBidi" w:cs="Times New Roman"/>
          <w:sz w:val="26"/>
          <w:szCs w:val="26"/>
        </w:rPr>
        <w:t>.</w:t>
      </w:r>
    </w:p>
    <w:p w14:paraId="3C1B387A" w14:textId="77777777" w:rsidR="00202E2A" w:rsidRPr="003E403F" w:rsidRDefault="00202E2A">
      <w:pPr>
        <w:pStyle w:val="ListParagraph"/>
        <w:numPr>
          <w:ilvl w:val="0"/>
          <w:numId w:val="110"/>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خفض المخاطر المحتملة بنسبة 64% وفق نموذج</w:t>
      </w:r>
      <w:r w:rsidRPr="003E403F">
        <w:rPr>
          <w:rFonts w:asciiTheme="majorBidi" w:hAnsiTheme="majorBidi" w:cs="Times New Roman"/>
          <w:sz w:val="26"/>
          <w:szCs w:val="26"/>
        </w:rPr>
        <w:t xml:space="preserve"> CVSS </w:t>
      </w:r>
      <w:r w:rsidRPr="003E403F">
        <w:rPr>
          <w:rFonts w:asciiTheme="majorBidi" w:hAnsiTheme="majorBidi" w:cs="Times New Roman"/>
          <w:sz w:val="26"/>
          <w:szCs w:val="26"/>
          <w:rtl/>
        </w:rPr>
        <w:t>المعدل</w:t>
      </w:r>
      <w:r w:rsidRPr="003E403F">
        <w:rPr>
          <w:rFonts w:asciiTheme="majorBidi" w:hAnsiTheme="majorBidi" w:cs="Times New Roman"/>
          <w:sz w:val="26"/>
          <w:szCs w:val="26"/>
        </w:rPr>
        <w:t>.</w:t>
      </w:r>
    </w:p>
    <w:p w14:paraId="7B5287A5" w14:textId="77777777" w:rsidR="00202E2A" w:rsidRPr="003E403F" w:rsidRDefault="00202E2A">
      <w:pPr>
        <w:pStyle w:val="ListParagraph"/>
        <w:numPr>
          <w:ilvl w:val="0"/>
          <w:numId w:val="110"/>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دقة التشفير تصل إلى 99.7% في اختبارات التحقق من السلامة</w:t>
      </w:r>
      <w:r w:rsidRPr="003E403F">
        <w:rPr>
          <w:rFonts w:asciiTheme="majorBidi" w:hAnsiTheme="majorBidi" w:cs="Times New Roman"/>
          <w:sz w:val="26"/>
          <w:szCs w:val="26"/>
        </w:rPr>
        <w:t>.</w:t>
      </w:r>
    </w:p>
    <w:p w14:paraId="282AB14A" w14:textId="77777777" w:rsidR="00202E2A" w:rsidRPr="003E403F" w:rsidRDefault="00202E2A" w:rsidP="00202E2A">
      <w:p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دعمت النتائج الفرضية الرئيسية بأن التحول الرقمي الاستباقي يعزز الأمن السيبراني بشكل كبير، خاصة في مواجهة التهديدات الكمية المستقبلية، مع دور محوري للاستعداد المبكر في الحفاظ على استمرارية الأعمال</w:t>
      </w:r>
      <w:r w:rsidRPr="003E403F">
        <w:rPr>
          <w:rFonts w:asciiTheme="majorBidi" w:hAnsiTheme="majorBidi" w:cs="Times New Roman"/>
          <w:sz w:val="26"/>
          <w:szCs w:val="26"/>
        </w:rPr>
        <w:t>.</w:t>
      </w:r>
    </w:p>
    <w:p w14:paraId="08E0308A" w14:textId="77777777" w:rsidR="00202E2A" w:rsidRPr="003E403F" w:rsidRDefault="00202E2A" w:rsidP="00202E2A">
      <w:p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رغم قوة المنهجية التجريبية، حددت الدراسة قيوداً تشمل حجم العينة المحدود (ناتج عن طبيعة البيانات الحساسة) وتركيز الاختبار على أنظمة</w:t>
      </w:r>
      <w:r w:rsidRPr="003E403F">
        <w:rPr>
          <w:rFonts w:asciiTheme="majorBidi" w:hAnsiTheme="majorBidi" w:cs="Times New Roman"/>
          <w:sz w:val="26"/>
          <w:szCs w:val="26"/>
        </w:rPr>
        <w:t xml:space="preserve"> ZATCA </w:t>
      </w:r>
      <w:r w:rsidRPr="003E403F">
        <w:rPr>
          <w:rFonts w:asciiTheme="majorBidi" w:hAnsiTheme="majorBidi" w:cs="Times New Roman"/>
          <w:sz w:val="26"/>
          <w:szCs w:val="26"/>
          <w:rtl/>
        </w:rPr>
        <w:t>فقط، مما قد يقلل من إمكانية التعميم. واقترحت توصيات تنفيذية قابلة للتطبيق فوراً</w:t>
      </w:r>
      <w:r w:rsidRPr="003E403F">
        <w:rPr>
          <w:rFonts w:asciiTheme="majorBidi" w:hAnsiTheme="majorBidi" w:cs="Times New Roman"/>
          <w:sz w:val="26"/>
          <w:szCs w:val="26"/>
        </w:rPr>
        <w:t>:</w:t>
      </w:r>
    </w:p>
    <w:p w14:paraId="1BB2CAA5" w14:textId="77777777" w:rsidR="00202E2A" w:rsidRPr="003E403F" w:rsidRDefault="00202E2A">
      <w:pPr>
        <w:pStyle w:val="ListParagraph"/>
        <w:numPr>
          <w:ilvl w:val="0"/>
          <w:numId w:val="111"/>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توسيع نطاق المحاكاة ليشمل جميع الجهات الحكومية ضمن منظومة الحكومة الرقمية</w:t>
      </w:r>
      <w:r w:rsidRPr="003E403F">
        <w:rPr>
          <w:rFonts w:asciiTheme="majorBidi" w:hAnsiTheme="majorBidi" w:cs="Times New Roman"/>
          <w:sz w:val="26"/>
          <w:szCs w:val="26"/>
        </w:rPr>
        <w:t>.</w:t>
      </w:r>
    </w:p>
    <w:p w14:paraId="3514CB5F" w14:textId="77777777" w:rsidR="00202E2A" w:rsidRPr="003E403F" w:rsidRDefault="00202E2A">
      <w:pPr>
        <w:pStyle w:val="ListParagraph"/>
        <w:numPr>
          <w:ilvl w:val="0"/>
          <w:numId w:val="111"/>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تطبيق التشفير ما بعد الكمي تدريجياً في جميع الأنظمة الحيوية بحلول 2028</w:t>
      </w:r>
      <w:r w:rsidRPr="003E403F">
        <w:rPr>
          <w:rFonts w:asciiTheme="majorBidi" w:hAnsiTheme="majorBidi" w:cs="Times New Roman"/>
          <w:sz w:val="26"/>
          <w:szCs w:val="26"/>
        </w:rPr>
        <w:t>.</w:t>
      </w:r>
    </w:p>
    <w:p w14:paraId="79CAD486" w14:textId="77777777" w:rsidR="00202E2A" w:rsidRPr="003E403F" w:rsidRDefault="00202E2A">
      <w:pPr>
        <w:pStyle w:val="ListParagraph"/>
        <w:numPr>
          <w:ilvl w:val="0"/>
          <w:numId w:val="111"/>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إطلاق برنامج تدريبي متخصص لـ 500 خبير أمني سنوياً بالتعاون مع</w:t>
      </w:r>
      <w:r w:rsidRPr="003E403F">
        <w:rPr>
          <w:rFonts w:asciiTheme="majorBidi" w:hAnsiTheme="majorBidi" w:cs="Times New Roman"/>
          <w:sz w:val="26"/>
          <w:szCs w:val="26"/>
        </w:rPr>
        <w:t xml:space="preserve"> DGA.</w:t>
      </w:r>
    </w:p>
    <w:p w14:paraId="754810C9" w14:textId="77777777" w:rsidR="00202E2A" w:rsidRPr="003E403F" w:rsidRDefault="00202E2A">
      <w:pPr>
        <w:pStyle w:val="ListParagraph"/>
        <w:numPr>
          <w:ilvl w:val="0"/>
          <w:numId w:val="111"/>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تعزيز التعاون الدولي مع</w:t>
      </w:r>
      <w:r w:rsidRPr="003E403F">
        <w:rPr>
          <w:rFonts w:asciiTheme="majorBidi" w:hAnsiTheme="majorBidi" w:cs="Times New Roman"/>
          <w:sz w:val="26"/>
          <w:szCs w:val="26"/>
        </w:rPr>
        <w:t xml:space="preserve"> NIST </w:t>
      </w:r>
      <w:r w:rsidRPr="003E403F">
        <w:rPr>
          <w:rFonts w:asciiTheme="majorBidi" w:hAnsiTheme="majorBidi" w:cs="Times New Roman"/>
          <w:sz w:val="26"/>
          <w:szCs w:val="26"/>
          <w:rtl/>
        </w:rPr>
        <w:t>و</w:t>
      </w:r>
      <w:r w:rsidRPr="003E403F">
        <w:rPr>
          <w:rFonts w:asciiTheme="majorBidi" w:hAnsiTheme="majorBidi" w:cs="Times New Roman"/>
          <w:sz w:val="26"/>
          <w:szCs w:val="26"/>
        </w:rPr>
        <w:t xml:space="preserve">ENISA </w:t>
      </w:r>
      <w:r w:rsidRPr="003E403F">
        <w:rPr>
          <w:rFonts w:asciiTheme="majorBidi" w:hAnsiTheme="majorBidi" w:cs="Times New Roman"/>
          <w:sz w:val="26"/>
          <w:szCs w:val="26"/>
          <w:rtl/>
        </w:rPr>
        <w:t>لتبادل التهديدات والحلول</w:t>
      </w:r>
      <w:r w:rsidRPr="003E403F">
        <w:rPr>
          <w:rFonts w:asciiTheme="majorBidi" w:hAnsiTheme="majorBidi" w:cs="Times New Roman"/>
          <w:sz w:val="26"/>
          <w:szCs w:val="26"/>
        </w:rPr>
        <w:t>.</w:t>
      </w:r>
    </w:p>
    <w:p w14:paraId="68B8F5D0" w14:textId="77777777" w:rsidR="00202E2A" w:rsidRPr="003E403F" w:rsidRDefault="00202E2A">
      <w:pPr>
        <w:pStyle w:val="ListParagraph"/>
        <w:numPr>
          <w:ilvl w:val="0"/>
          <w:numId w:val="111"/>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إصدار تقرير سنوي عن "مؤشر الجاهزية الكمية" للقطاع العام</w:t>
      </w:r>
      <w:r w:rsidRPr="003E403F">
        <w:rPr>
          <w:rFonts w:asciiTheme="majorBidi" w:hAnsiTheme="majorBidi" w:cs="Times New Roman"/>
          <w:sz w:val="26"/>
          <w:szCs w:val="26"/>
        </w:rPr>
        <w:t>.</w:t>
      </w:r>
    </w:p>
    <w:p w14:paraId="1ABB2413" w14:textId="77777777" w:rsidR="00202E2A" w:rsidRPr="003E403F" w:rsidRDefault="00202E2A">
      <w:pPr>
        <w:pStyle w:val="ListParagraph"/>
        <w:numPr>
          <w:ilvl w:val="0"/>
          <w:numId w:val="111"/>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إجراء اختبارات ميدانية</w:t>
      </w:r>
      <w:r w:rsidRPr="003E403F">
        <w:rPr>
          <w:rFonts w:asciiTheme="majorBidi" w:hAnsiTheme="majorBidi" w:cs="Times New Roman"/>
          <w:sz w:val="26"/>
          <w:szCs w:val="26"/>
        </w:rPr>
        <w:t xml:space="preserve"> (live-fire exercises) </w:t>
      </w:r>
      <w:r w:rsidRPr="003E403F">
        <w:rPr>
          <w:rFonts w:asciiTheme="majorBidi" w:hAnsiTheme="majorBidi" w:cs="Times New Roman"/>
          <w:sz w:val="26"/>
          <w:szCs w:val="26"/>
          <w:rtl/>
        </w:rPr>
        <w:t>في بيئات إنتاج تجريبية</w:t>
      </w:r>
      <w:r w:rsidRPr="003E403F">
        <w:rPr>
          <w:rFonts w:asciiTheme="majorBidi" w:hAnsiTheme="majorBidi" w:cs="Times New Roman"/>
          <w:sz w:val="26"/>
          <w:szCs w:val="26"/>
        </w:rPr>
        <w:t>.</w:t>
      </w:r>
    </w:p>
    <w:p w14:paraId="1863BBE1" w14:textId="77777777" w:rsidR="00202E2A" w:rsidRDefault="00202E2A" w:rsidP="00202E2A">
      <w:p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 xml:space="preserve">بهذا، تُعد الدراسة رائدة عالمياً في تطبيق الأمن ما بعد الكمي على الجمارك الرقمية، وتحمي البنية التحتية الوطنية من مخاطر الحوسبة الكمية الوشيكة، وتوفر إطاراً علمياً قابلاً للتكرار في أبحاث لاحقة. يمكن تعزيزها بتكامل بيانات من دول أخرى، مع إظهار تقدم </w:t>
      </w:r>
      <w:r w:rsidRPr="003E403F">
        <w:rPr>
          <w:rFonts w:asciiTheme="majorBidi" w:hAnsiTheme="majorBidi" w:cs="Times New Roman"/>
          <w:sz w:val="26"/>
          <w:szCs w:val="26"/>
        </w:rPr>
        <w:t>ZATCA</w:t>
      </w:r>
      <w:r w:rsidRPr="003E403F">
        <w:rPr>
          <w:rFonts w:asciiTheme="majorBidi" w:hAnsiTheme="majorBidi" w:cs="Times New Roman"/>
          <w:sz w:val="26"/>
          <w:szCs w:val="26"/>
          <w:rtl/>
        </w:rPr>
        <w:t xml:space="preserve"> كأول جهة جمركية خليجية تختبر </w:t>
      </w:r>
      <w:r w:rsidRPr="003E403F">
        <w:rPr>
          <w:rFonts w:asciiTheme="majorBidi" w:hAnsiTheme="majorBidi" w:cs="Times New Roman"/>
          <w:sz w:val="26"/>
          <w:szCs w:val="26"/>
        </w:rPr>
        <w:t>PQC</w:t>
      </w:r>
      <w:r w:rsidRPr="003E403F">
        <w:rPr>
          <w:rFonts w:asciiTheme="majorBidi" w:hAnsiTheme="majorBidi" w:cs="Times New Roman"/>
          <w:sz w:val="26"/>
          <w:szCs w:val="26"/>
          <w:rtl/>
        </w:rPr>
        <w:t xml:space="preserve"> عملياً، تفوق مقارن على نماذج الاتحاد الأوروبي، دعم السياسات الوطنية للأمن السيبراني 2030، تقديم رؤية استشرافية لعقد قادم، توسيع الاختبارات لتشمل تقنيات ناشئة مثل </w:t>
      </w:r>
      <w:r w:rsidRPr="003E403F">
        <w:rPr>
          <w:rFonts w:asciiTheme="majorBidi" w:hAnsiTheme="majorBidi" w:cs="Times New Roman"/>
          <w:sz w:val="26"/>
          <w:szCs w:val="26"/>
        </w:rPr>
        <w:t>Homomorphic Encryption</w:t>
      </w:r>
      <w:r w:rsidRPr="003E403F">
        <w:rPr>
          <w:rFonts w:asciiTheme="majorBidi" w:hAnsiTheme="majorBidi" w:cs="Times New Roman"/>
          <w:sz w:val="26"/>
          <w:szCs w:val="26"/>
          <w:rtl/>
        </w:rPr>
        <w:t>، وتأكيد جاهزية عالية مدعومة بأدلة تجريبية صلبة.</w:t>
      </w:r>
    </w:p>
    <w:p w14:paraId="452B6B73" w14:textId="77777777" w:rsidR="00202E2A" w:rsidRPr="004D67F5" w:rsidRDefault="00202E2A" w:rsidP="00202E2A">
      <w:pPr>
        <w:bidi/>
        <w:spacing w:line="240" w:lineRule="auto"/>
        <w:jc w:val="lowKashida"/>
        <w:rPr>
          <w:rFonts w:asciiTheme="majorBidi" w:hAnsiTheme="majorBidi" w:cs="Times New Roman"/>
          <w:b/>
          <w:bCs/>
          <w:sz w:val="26"/>
          <w:szCs w:val="26"/>
          <w:rtl/>
        </w:rPr>
      </w:pPr>
      <w:r w:rsidRPr="004D67F5">
        <w:rPr>
          <w:rFonts w:asciiTheme="majorBidi" w:hAnsiTheme="majorBidi" w:cs="Times New Roman"/>
          <w:b/>
          <w:bCs/>
          <w:sz w:val="26"/>
          <w:szCs w:val="26"/>
          <w:rtl/>
        </w:rPr>
        <w:t xml:space="preserve">دراسة </w:t>
      </w:r>
      <w:r w:rsidRPr="004D67F5">
        <w:rPr>
          <w:rFonts w:asciiTheme="majorBidi" w:hAnsiTheme="majorBidi" w:cstheme="majorBidi"/>
          <w:b/>
          <w:bCs/>
          <w:sz w:val="26"/>
          <w:szCs w:val="26"/>
        </w:rPr>
        <w:t>Alharbi, T. D. (2025). The role of digital government in supporting entities in adopting emerging technologies: A case study of the Digital Government Authority with reference to ZATCA. Saudi Arabia: DGA &amp; ZATCA</w:t>
      </w:r>
      <w:r w:rsidRPr="004D67F5">
        <w:rPr>
          <w:rFonts w:asciiTheme="majorBidi" w:hAnsiTheme="majorBidi" w:cs="Times New Roman"/>
          <w:b/>
          <w:bCs/>
          <w:sz w:val="26"/>
          <w:szCs w:val="26"/>
          <w:rtl/>
        </w:rPr>
        <w:t xml:space="preserve">. </w:t>
      </w:r>
    </w:p>
    <w:p w14:paraId="2DC5E3E9" w14:textId="77777777" w:rsidR="00202E2A" w:rsidRPr="003E403F" w:rsidRDefault="00202E2A" w:rsidP="00202E2A">
      <w:p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اعتمدت الدراسة منهجية دراسة حالة نوعية تركز على تحليل الدعم المؤسسي، حيث شملت عينتها مقابلات معمقة مع خبراء ومسؤولين في هيئة الحكومة الرقمية</w:t>
      </w:r>
      <w:r w:rsidRPr="003E403F">
        <w:rPr>
          <w:rFonts w:asciiTheme="majorBidi" w:hAnsiTheme="majorBidi" w:cs="Times New Roman"/>
          <w:sz w:val="26"/>
          <w:szCs w:val="26"/>
        </w:rPr>
        <w:t xml:space="preserve"> (DGA) </w:t>
      </w:r>
      <w:r w:rsidRPr="003E403F">
        <w:rPr>
          <w:rFonts w:asciiTheme="majorBidi" w:hAnsiTheme="majorBidi" w:cs="Times New Roman"/>
          <w:sz w:val="26"/>
          <w:szCs w:val="26"/>
          <w:rtl/>
        </w:rPr>
        <w:t>والهيئة العامة للزكاة والضريبة والجمارك</w:t>
      </w:r>
      <w:r w:rsidRPr="003E403F">
        <w:rPr>
          <w:rFonts w:asciiTheme="majorBidi" w:hAnsiTheme="majorBidi" w:cs="Times New Roman"/>
          <w:sz w:val="26"/>
          <w:szCs w:val="26"/>
        </w:rPr>
        <w:t xml:space="preserve"> (ZATCA). </w:t>
      </w:r>
      <w:r w:rsidRPr="003E403F">
        <w:rPr>
          <w:rFonts w:asciiTheme="majorBidi" w:hAnsiTheme="majorBidi" w:cs="Times New Roman"/>
          <w:sz w:val="26"/>
          <w:szCs w:val="26"/>
          <w:rtl/>
        </w:rPr>
        <w:t>أجري تحليل موضوعي للبيانات النوعية لاستخلاص الأنماط الرئيسية، مما كشف عن تأثيرات إيجابية مترابطة تشمل: تسريع عملية تبني التقنيات الناشئة مثل الذكاء الاصطناعي والبلوكشين، تحسين الكفاءة التشغيلية بنسبة ملحوظة، تعزيز الابتكار من خلال البرامج التدريبية، وزيادة رضا المستفيدين عبر آليات الدعم المستمر. أكدت النتائج الفرضيات الرئيسية بأن الدعم الحكومي الرقمي يعزز الأمن السيبراني بشكل مباشر، وأنه يلعب دوراً وسيطاً في تسهيل التجارة الإلكترونية عبر الحدود</w:t>
      </w:r>
      <w:r w:rsidRPr="003E403F">
        <w:rPr>
          <w:rFonts w:asciiTheme="majorBidi" w:hAnsiTheme="majorBidi" w:cs="Times New Roman"/>
          <w:sz w:val="26"/>
          <w:szCs w:val="26"/>
        </w:rPr>
        <w:t>.</w:t>
      </w:r>
    </w:p>
    <w:p w14:paraId="1BC51FEA" w14:textId="77777777" w:rsidR="00202E2A" w:rsidRDefault="00202E2A" w:rsidP="00202E2A">
      <w:p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 xml:space="preserve">رغم تركيزها الرئيسي على آليات الدعم داخل السياق السعودي، أشارت الدراسة إلى قيود مثل محدودية نطاق العينة الجغرافي، واقترحت توصيات عملية تشمل: توسيع برامج الدعم لتشمل الشركات الصغيرة، إنشاء منصة إلكترونية </w:t>
      </w:r>
      <w:r w:rsidRPr="003E403F">
        <w:rPr>
          <w:rFonts w:asciiTheme="majorBidi" w:hAnsiTheme="majorBidi" w:cs="Times New Roman"/>
          <w:sz w:val="26"/>
          <w:szCs w:val="26"/>
          <w:rtl/>
        </w:rPr>
        <w:lastRenderedPageBreak/>
        <w:t xml:space="preserve">مشتركة لتبادل المعرفة، إجراء قياسات سنوية للأثر، تعزيز التعاون الدولي مع منظمات مثل </w:t>
      </w:r>
      <w:r w:rsidRPr="003E403F">
        <w:rPr>
          <w:rFonts w:asciiTheme="majorBidi" w:hAnsiTheme="majorBidi" w:cs="Times New Roman"/>
          <w:sz w:val="26"/>
          <w:szCs w:val="26"/>
        </w:rPr>
        <w:t>WCO</w:t>
      </w:r>
      <w:r w:rsidRPr="003E403F">
        <w:rPr>
          <w:rFonts w:asciiTheme="majorBidi" w:hAnsiTheme="majorBidi" w:cs="Times New Roman"/>
          <w:sz w:val="26"/>
          <w:szCs w:val="26"/>
          <w:rtl/>
        </w:rPr>
        <w:t>، وإصدار دليل إرشادي موحد. بهذا، تبرز الدراسة أهمية الدعم كمحرك أساسي للتحول الرقمي، وتوفر أساساً لتوسيع البحث نحو نماذج كمية، مع إثبات فعالية البرامج الحالية، تحديد فرص التحسين، ودعم الابتكار المستدام من خلال رؤى نوعية عميقة وإمكانية تعميم النتائج على سياقات حكومية مشابهة.</w:t>
      </w:r>
    </w:p>
    <w:p w14:paraId="7466054F" w14:textId="77777777" w:rsidR="00202E2A" w:rsidRPr="00357524" w:rsidRDefault="00202E2A" w:rsidP="00202E2A">
      <w:pPr>
        <w:bidi/>
        <w:spacing w:line="240" w:lineRule="auto"/>
        <w:jc w:val="lowKashida"/>
        <w:rPr>
          <w:rFonts w:asciiTheme="majorBidi" w:hAnsiTheme="majorBidi" w:cs="Times New Roman"/>
          <w:b/>
          <w:bCs/>
          <w:sz w:val="26"/>
          <w:szCs w:val="26"/>
          <w:rtl/>
        </w:rPr>
      </w:pPr>
      <w:r w:rsidRPr="00357524">
        <w:rPr>
          <w:rFonts w:asciiTheme="majorBidi" w:hAnsiTheme="majorBidi" w:cs="Times New Roman"/>
          <w:b/>
          <w:bCs/>
          <w:sz w:val="26"/>
          <w:szCs w:val="26"/>
          <w:rtl/>
        </w:rPr>
        <w:t xml:space="preserve">دراسة </w:t>
      </w:r>
      <w:r w:rsidRPr="00357524">
        <w:rPr>
          <w:rFonts w:asciiTheme="majorBidi" w:hAnsiTheme="majorBidi" w:cstheme="majorBidi"/>
          <w:b/>
          <w:bCs/>
          <w:sz w:val="26"/>
          <w:szCs w:val="26"/>
        </w:rPr>
        <w:t>AJRSP. (2025). Digital transformation as a pathway to achieving an effective government within the targets of Vision 2030 (ZATCA case study). Saudi Arabia: ZATCA</w:t>
      </w:r>
      <w:r w:rsidRPr="00357524">
        <w:rPr>
          <w:rFonts w:asciiTheme="majorBidi" w:hAnsiTheme="majorBidi" w:cs="Times New Roman"/>
          <w:b/>
          <w:bCs/>
          <w:sz w:val="26"/>
          <w:szCs w:val="26"/>
          <w:rtl/>
        </w:rPr>
        <w:t xml:space="preserve">. </w:t>
      </w:r>
    </w:p>
    <w:p w14:paraId="08E69579" w14:textId="77777777" w:rsidR="00202E2A" w:rsidRPr="003E403F" w:rsidRDefault="00202E2A" w:rsidP="00202E2A">
      <w:p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اعتمدت الدراسة منهجية دراسة حالة ميدانية كمية، حيث اعتمدت على استبيانات واسعة النطاق شملت موظفين ومستفيدين في</w:t>
      </w:r>
      <w:r w:rsidRPr="003E403F">
        <w:rPr>
          <w:rFonts w:asciiTheme="majorBidi" w:hAnsiTheme="majorBidi" w:cs="Times New Roman"/>
          <w:sz w:val="26"/>
          <w:szCs w:val="26"/>
        </w:rPr>
        <w:t xml:space="preserve"> ZATCA </w:t>
      </w:r>
      <w:r w:rsidRPr="003E403F">
        <w:rPr>
          <w:rFonts w:asciiTheme="majorBidi" w:hAnsiTheme="majorBidi" w:cs="Times New Roman"/>
          <w:sz w:val="26"/>
          <w:szCs w:val="26"/>
          <w:rtl/>
        </w:rPr>
        <w:t>لقياس مؤشرات التقدم الرقمي. طبق نماذج إحصائية متقدمة مثل التحليل الارتباطي والانحدار المتعدد لفحص العلاقات بين المتغيرات، مما أظهر نتائج قوية تشمل: تحقيق أهداف رؤية 2030 في الكفاءة الحكومية، رفع أداء المنصات الرقمية مثل "فسح"، تعزيز الأمن السيبراني عبر تكامل التقنيات، تقليل وقت الإجراءات الجمركية بنسبة كبيرة، وزيادة رضا المستخدمين من خلال البيانات التجريبية. دعمت النتائج الفرضيات بأن التحول الرقمي يؤثر إيجابياً على تعزيز الأمن وتيسير التجارة، مع دور وسيط للأمن في تعزيز الفعالية العامة</w:t>
      </w:r>
      <w:r w:rsidRPr="003E403F">
        <w:rPr>
          <w:rFonts w:asciiTheme="majorBidi" w:hAnsiTheme="majorBidi" w:cs="Times New Roman"/>
          <w:sz w:val="26"/>
          <w:szCs w:val="26"/>
        </w:rPr>
        <w:t>.</w:t>
      </w:r>
    </w:p>
    <w:p w14:paraId="1100FA7B" w14:textId="77777777" w:rsidR="00202E2A" w:rsidRDefault="00202E2A" w:rsidP="00202E2A">
      <w:p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 xml:space="preserve">رغم قوة البيانات الميدانية، حددت الدراسة قيوداً مثل تركيز العينة على </w:t>
      </w:r>
      <w:r w:rsidRPr="003E403F">
        <w:rPr>
          <w:rFonts w:asciiTheme="majorBidi" w:hAnsiTheme="majorBidi" w:cs="Times New Roman"/>
          <w:sz w:val="26"/>
          <w:szCs w:val="26"/>
        </w:rPr>
        <w:t>ZATCA</w:t>
      </w:r>
      <w:r w:rsidRPr="003E403F">
        <w:rPr>
          <w:rFonts w:asciiTheme="majorBidi" w:hAnsiTheme="majorBidi" w:cs="Times New Roman"/>
          <w:sz w:val="26"/>
          <w:szCs w:val="26"/>
          <w:rtl/>
        </w:rPr>
        <w:t xml:space="preserve"> فقط، واقترحت إجراءات تحسينية تشمل: توسيع الاستبيان ليشمل جهات حكومية أخرى، ربط المؤشرات بأهداف الأداء الرئيسية (</w:t>
      </w:r>
      <w:r w:rsidRPr="003E403F">
        <w:rPr>
          <w:rFonts w:asciiTheme="majorBidi" w:hAnsiTheme="majorBidi" w:cs="Times New Roman"/>
          <w:sz w:val="26"/>
          <w:szCs w:val="26"/>
        </w:rPr>
        <w:t>KPIs</w:t>
      </w:r>
      <w:r w:rsidRPr="003E403F">
        <w:rPr>
          <w:rFonts w:asciiTheme="majorBidi" w:hAnsiTheme="majorBidi" w:cs="Times New Roman"/>
          <w:sz w:val="26"/>
          <w:szCs w:val="26"/>
          <w:rtl/>
        </w:rPr>
        <w:t xml:space="preserve">) في الرؤية، تدريب الباحثين على أدوات التحليل المتقدمة، إجراء دراسات مقارنة مع دول الخليج، نشر تقارير دورية، وتطوير نموذج تنبؤي طويل الأمد. وبالتالي، تربط الدراسة التحول الرقمي مباشرة برؤية 2030، ويمكن تعزيزها ببيانات أوسع، مع إظهار تفوق </w:t>
      </w:r>
      <w:r w:rsidRPr="003E403F">
        <w:rPr>
          <w:rFonts w:asciiTheme="majorBidi" w:hAnsiTheme="majorBidi" w:cs="Times New Roman"/>
          <w:sz w:val="26"/>
          <w:szCs w:val="26"/>
        </w:rPr>
        <w:t>ZATCA</w:t>
      </w:r>
      <w:r w:rsidRPr="003E403F">
        <w:rPr>
          <w:rFonts w:asciiTheme="majorBidi" w:hAnsiTheme="majorBidi" w:cs="Times New Roman"/>
          <w:sz w:val="26"/>
          <w:szCs w:val="26"/>
          <w:rtl/>
        </w:rPr>
        <w:t xml:space="preserve"> إقليمياً، توفير نماذج إحصائية قابلة للتطبيق في أبحاث مستقبلية، دعم السياسات الوطنية، تقديم أدلة تجريبية قوية، توسيع النطاق الجغرافي، وتأكيد القبول المجتمعي من خلال معدلات الرضا العالية.</w:t>
      </w:r>
    </w:p>
    <w:p w14:paraId="6D960B03" w14:textId="77777777" w:rsidR="00202E2A" w:rsidRPr="00357524" w:rsidRDefault="00202E2A" w:rsidP="00202E2A">
      <w:pPr>
        <w:bidi/>
        <w:spacing w:line="240" w:lineRule="auto"/>
        <w:jc w:val="lowKashida"/>
        <w:rPr>
          <w:rFonts w:asciiTheme="majorBidi" w:hAnsiTheme="majorBidi" w:cs="Times New Roman"/>
          <w:b/>
          <w:bCs/>
          <w:sz w:val="26"/>
          <w:szCs w:val="26"/>
          <w:rtl/>
        </w:rPr>
      </w:pPr>
      <w:r w:rsidRPr="00357524">
        <w:rPr>
          <w:rFonts w:asciiTheme="majorBidi" w:hAnsiTheme="majorBidi" w:cs="Times New Roman"/>
          <w:b/>
          <w:bCs/>
          <w:sz w:val="26"/>
          <w:szCs w:val="26"/>
          <w:rtl/>
        </w:rPr>
        <w:t>دراسة</w:t>
      </w:r>
      <w:r w:rsidRPr="00357524">
        <w:rPr>
          <w:rFonts w:asciiTheme="majorBidi" w:hAnsiTheme="majorBidi" w:cs="Times New Roman" w:hint="cs"/>
          <w:b/>
          <w:bCs/>
          <w:sz w:val="26"/>
          <w:szCs w:val="26"/>
          <w:rtl/>
        </w:rPr>
        <w:t xml:space="preserve"> </w:t>
      </w:r>
      <w:r w:rsidRPr="00357524">
        <w:rPr>
          <w:rFonts w:asciiTheme="majorBidi" w:hAnsiTheme="majorBidi" w:cstheme="majorBidi"/>
          <w:b/>
          <w:bCs/>
          <w:sz w:val="26"/>
          <w:szCs w:val="26"/>
        </w:rPr>
        <w:t>Digital Government Authority (DGA). (2025). Digital experience maturity index 2025: ZATCA at 93.25%. Saudi Arabia: ZATCA</w:t>
      </w:r>
      <w:r w:rsidRPr="00357524">
        <w:rPr>
          <w:rFonts w:asciiTheme="majorBidi" w:hAnsiTheme="majorBidi" w:cs="Times New Roman"/>
          <w:b/>
          <w:bCs/>
          <w:sz w:val="26"/>
          <w:szCs w:val="26"/>
          <w:rtl/>
        </w:rPr>
        <w:t xml:space="preserve">. </w:t>
      </w:r>
    </w:p>
    <w:p w14:paraId="30315320" w14:textId="77777777" w:rsidR="00202E2A" w:rsidRPr="00224EF4" w:rsidRDefault="00202E2A" w:rsidP="00202E2A">
      <w:pPr>
        <w:bidi/>
        <w:spacing w:line="240" w:lineRule="auto"/>
        <w:jc w:val="lowKashida"/>
        <w:rPr>
          <w:rFonts w:asciiTheme="majorBidi" w:hAnsiTheme="majorBidi" w:cstheme="majorBidi"/>
          <w:sz w:val="26"/>
          <w:szCs w:val="26"/>
        </w:rPr>
      </w:pPr>
      <w:r w:rsidRPr="00224EF4">
        <w:rPr>
          <w:rFonts w:asciiTheme="majorBidi" w:hAnsiTheme="majorBidi" w:cs="Times New Roman"/>
          <w:sz w:val="26"/>
          <w:szCs w:val="26"/>
          <w:rtl/>
        </w:rPr>
        <w:t xml:space="preserve">اعتمد التقرير تقييماً شاملاً لمنصات حكومية، فشمل عينته معايير متعددة لقياس تجربة المستخدم، مما أتاح رؤية دقيقة للنضج الرقمي. استخدم منهجية متخصصة للتقييم، فكشف عن نتائج مترابطة في تجربة المستخدم، وتعزيز الأمان، وتسريع الخدمات، وتحسين التكامل، لتدعم الفرضية القائلة بأن التحول الرقمي يؤثر إيجابياً في تيسير التجارة. ورغم طبيعته الرسمية، فقد اقترح رفع النسبة، وتقييم منصات إضافية، وتطوير معايير، ونشر دوري، وتدريب على المنهجية، ومقارنات دولية. وهكذا، يضع معياراً وطنياً لتجربة المستخدم، ويمكن توسيعه دولياً، مع إظهار تفوق وطني، وقوة الأمان، وإمكانية استخدام المنهجية في أبحاث لاحقة، ودعم أهداف التجربة، وتقديم تقييم شامل، وتوسيع المعايير، وتأكيد الكفاءة بالتكامل. </w:t>
      </w:r>
    </w:p>
    <w:p w14:paraId="6F4EAECA" w14:textId="77777777" w:rsidR="00202E2A" w:rsidRPr="00C1773D" w:rsidRDefault="00202E2A" w:rsidP="00202E2A">
      <w:pPr>
        <w:bidi/>
        <w:spacing w:line="240" w:lineRule="auto"/>
        <w:jc w:val="lowKashida"/>
        <w:rPr>
          <w:rFonts w:asciiTheme="majorBidi" w:hAnsiTheme="majorBidi" w:cs="PT Bold Heading"/>
          <w:sz w:val="26"/>
          <w:szCs w:val="26"/>
        </w:rPr>
      </w:pPr>
      <w:r w:rsidRPr="00C1773D">
        <w:rPr>
          <w:rFonts w:asciiTheme="majorBidi" w:hAnsiTheme="majorBidi" w:cs="PT Bold Heading" w:hint="cs"/>
          <w:sz w:val="26"/>
          <w:szCs w:val="26"/>
          <w:rtl/>
        </w:rPr>
        <w:t xml:space="preserve">2.8.2 </w:t>
      </w:r>
      <w:r w:rsidRPr="00C1773D">
        <w:rPr>
          <w:rFonts w:asciiTheme="majorBidi" w:hAnsiTheme="majorBidi" w:cs="PT Bold Heading"/>
          <w:sz w:val="26"/>
          <w:szCs w:val="26"/>
          <w:rtl/>
        </w:rPr>
        <w:t xml:space="preserve">التعليق على الدراسات السابقة </w:t>
      </w:r>
    </w:p>
    <w:p w14:paraId="3894761E" w14:textId="77777777" w:rsidR="00202E2A" w:rsidRPr="009C6000" w:rsidRDefault="00202E2A" w:rsidP="00202E2A">
      <w:pPr>
        <w:bidi/>
        <w:spacing w:line="240" w:lineRule="auto"/>
        <w:jc w:val="lowKashida"/>
        <w:rPr>
          <w:rFonts w:asciiTheme="majorBidi" w:hAnsiTheme="majorBidi" w:cstheme="majorBidi"/>
          <w:sz w:val="26"/>
          <w:szCs w:val="26"/>
        </w:rPr>
      </w:pPr>
      <w:r w:rsidRPr="009C6000">
        <w:rPr>
          <w:rFonts w:asciiTheme="majorBidi" w:hAnsiTheme="majorBidi" w:cs="Times New Roman"/>
          <w:sz w:val="26"/>
          <w:szCs w:val="26"/>
          <w:rtl/>
        </w:rPr>
        <w:t>في سياق دراسة تأثير التحول الرقمي على تعزيز الأمن وتيسير التجارة في هيئة الزكاة والضريبة والجمارك (</w:t>
      </w:r>
      <w:r w:rsidRPr="009C6000">
        <w:rPr>
          <w:rFonts w:asciiTheme="majorBidi" w:hAnsiTheme="majorBidi" w:cstheme="majorBidi"/>
          <w:sz w:val="26"/>
          <w:szCs w:val="26"/>
        </w:rPr>
        <w:t>ZATCA</w:t>
      </w:r>
      <w:r w:rsidRPr="009C6000">
        <w:rPr>
          <w:rFonts w:asciiTheme="majorBidi" w:hAnsiTheme="majorBidi" w:cs="Times New Roman"/>
          <w:sz w:val="26"/>
          <w:szCs w:val="26"/>
          <w:rtl/>
        </w:rPr>
        <w:t xml:space="preserve">) ضمن إطار رؤية المملكة 2030، تُظهر الدراسات الحديثة تقارباً ملحوظاً في النتائج الكمية والكيفية، مما يعكس اتجاهاً إقليمياً وعالمياً نحو دمج التقنيات الناشئة في العمليات الجمركية والضريبية. </w:t>
      </w:r>
    </w:p>
    <w:p w14:paraId="328424C1" w14:textId="77777777" w:rsidR="00202E2A" w:rsidRPr="009C6000" w:rsidRDefault="00202E2A" w:rsidP="00202E2A">
      <w:pPr>
        <w:bidi/>
        <w:spacing w:line="240" w:lineRule="auto"/>
        <w:jc w:val="lowKashida"/>
        <w:rPr>
          <w:rFonts w:asciiTheme="majorBidi" w:hAnsiTheme="majorBidi" w:cstheme="majorBidi"/>
          <w:sz w:val="26"/>
          <w:szCs w:val="26"/>
        </w:rPr>
      </w:pPr>
      <w:r w:rsidRPr="00C1773D">
        <w:rPr>
          <w:rFonts w:asciiTheme="majorBidi" w:hAnsiTheme="majorBidi" w:cs="PT Bold Heading" w:hint="cs"/>
          <w:sz w:val="26"/>
          <w:szCs w:val="26"/>
          <w:rtl/>
        </w:rPr>
        <w:t xml:space="preserve">2.8.2.1 </w:t>
      </w:r>
      <w:r w:rsidRPr="00C1773D">
        <w:rPr>
          <w:rFonts w:asciiTheme="majorBidi" w:hAnsiTheme="majorBidi" w:cs="PT Bold Heading"/>
          <w:sz w:val="26"/>
          <w:szCs w:val="26"/>
          <w:rtl/>
        </w:rPr>
        <w:t>أوجه التشابه:</w:t>
      </w:r>
      <w:r w:rsidRPr="009C6000">
        <w:rPr>
          <w:rFonts w:asciiTheme="majorBidi" w:hAnsiTheme="majorBidi" w:cs="Times New Roman"/>
          <w:sz w:val="26"/>
          <w:szCs w:val="26"/>
          <w:rtl/>
        </w:rPr>
        <w:t xml:space="preserve">  </w:t>
      </w:r>
    </w:p>
    <w:p w14:paraId="1282E160" w14:textId="77777777" w:rsidR="00202E2A" w:rsidRPr="009C6000" w:rsidRDefault="00202E2A" w:rsidP="00202E2A">
      <w:pPr>
        <w:bidi/>
        <w:spacing w:line="240" w:lineRule="auto"/>
        <w:jc w:val="lowKashida"/>
        <w:rPr>
          <w:rFonts w:asciiTheme="majorBidi" w:hAnsiTheme="majorBidi" w:cstheme="majorBidi"/>
          <w:sz w:val="26"/>
          <w:szCs w:val="26"/>
        </w:rPr>
      </w:pPr>
      <w:r w:rsidRPr="009C6000">
        <w:rPr>
          <w:rFonts w:asciiTheme="majorBidi" w:hAnsiTheme="majorBidi" w:cs="Times New Roman"/>
          <w:sz w:val="26"/>
          <w:szCs w:val="26"/>
          <w:rtl/>
        </w:rPr>
        <w:t xml:space="preserve">تتفق جميع الدراسات الحديثة، بما في ذلك تقارير </w:t>
      </w:r>
      <w:r w:rsidRPr="009C6000">
        <w:rPr>
          <w:rFonts w:asciiTheme="majorBidi" w:hAnsiTheme="majorBidi" w:cstheme="majorBidi"/>
          <w:sz w:val="26"/>
          <w:szCs w:val="26"/>
        </w:rPr>
        <w:t>EY Saudi Arabia &amp; ZATCA (2025)</w:t>
      </w:r>
      <w:r w:rsidRPr="009C6000">
        <w:rPr>
          <w:rFonts w:asciiTheme="majorBidi" w:hAnsiTheme="majorBidi" w:cs="Times New Roman"/>
          <w:sz w:val="26"/>
          <w:szCs w:val="26"/>
          <w:rtl/>
        </w:rPr>
        <w:t xml:space="preserve">، </w:t>
      </w:r>
      <w:r w:rsidRPr="009C6000">
        <w:rPr>
          <w:rFonts w:asciiTheme="majorBidi" w:hAnsiTheme="majorBidi" w:cstheme="majorBidi"/>
          <w:sz w:val="26"/>
          <w:szCs w:val="26"/>
        </w:rPr>
        <w:t>Pagero &amp; Unified</w:t>
      </w:r>
      <w:r>
        <w:rPr>
          <w:rFonts w:asciiTheme="majorBidi" w:hAnsiTheme="majorBidi" w:cstheme="majorBidi" w:hint="cs"/>
          <w:sz w:val="26"/>
          <w:szCs w:val="26"/>
          <w:rtl/>
        </w:rPr>
        <w:t xml:space="preserve"> </w:t>
      </w:r>
      <w:r w:rsidRPr="009C6000">
        <w:rPr>
          <w:rFonts w:asciiTheme="majorBidi" w:hAnsiTheme="majorBidi" w:cstheme="majorBidi"/>
          <w:sz w:val="26"/>
          <w:szCs w:val="26"/>
        </w:rPr>
        <w:t>Post Group</w:t>
      </w:r>
      <w:r w:rsidRPr="009C6000">
        <w:rPr>
          <w:rFonts w:asciiTheme="majorBidi" w:hAnsiTheme="majorBidi" w:cs="Times New Roman"/>
          <w:sz w:val="26"/>
          <w:szCs w:val="26"/>
          <w:rtl/>
        </w:rPr>
        <w:t xml:space="preserve"> (2025)، و</w:t>
      </w:r>
      <w:r w:rsidRPr="009C6000">
        <w:rPr>
          <w:rFonts w:asciiTheme="majorBidi" w:hAnsiTheme="majorBidi" w:cstheme="majorBidi"/>
          <w:sz w:val="26"/>
          <w:szCs w:val="26"/>
        </w:rPr>
        <w:t>ZATCA Digital Transformation Report</w:t>
      </w:r>
      <w:r w:rsidRPr="009C6000">
        <w:rPr>
          <w:rFonts w:asciiTheme="majorBidi" w:hAnsiTheme="majorBidi" w:cs="Times New Roman"/>
          <w:sz w:val="26"/>
          <w:szCs w:val="26"/>
          <w:rtl/>
        </w:rPr>
        <w:t xml:space="preserve"> (2025)، على أن منصات مثل "فسح" و"فاتورة" الإلكترونية ساهمت في تقليل متوسط وقت التخليص الجمركي بنسب تتراوح بين 70% و85% مقارنة بالأنظمة التقليدية، معتمدةً على نماذج الذكاء الاصطناعي التنبؤي والبلوكشين لضمان الشفافية والتتبع اللحظي. </w:t>
      </w:r>
      <w:r w:rsidRPr="009C6000">
        <w:rPr>
          <w:rFonts w:asciiTheme="majorBidi" w:hAnsiTheme="majorBidi" w:cs="Times New Roman"/>
          <w:sz w:val="26"/>
          <w:szCs w:val="26"/>
          <w:rtl/>
        </w:rPr>
        <w:lastRenderedPageBreak/>
        <w:t>كما أكدت هذه الدراسات زيادة معدلات الكشف عن المخاطر الأمنية (مثل التهريب الرقمي والتهرب الضريبي) بنسب تصل إلى 50-75%، حيث يُعد تعزيز الأمن وسيطاً أساسياً يربط بين التحول الرقمي وتيسير التجارة، مما يدعم أهداف رؤية 2030 في بناء اقتصاد رقمي آمن وفعال. بالإضافة إلى ذلك، يبرز انتشار تقنيات متقدمة مثل التشفير ما بعد الكم (</w:t>
      </w:r>
      <w:r w:rsidRPr="009C6000">
        <w:rPr>
          <w:rFonts w:asciiTheme="majorBidi" w:hAnsiTheme="majorBidi" w:cstheme="majorBidi"/>
          <w:sz w:val="26"/>
          <w:szCs w:val="26"/>
        </w:rPr>
        <w:t>Post-Quantum Encryption</w:t>
      </w:r>
      <w:r w:rsidRPr="009C6000">
        <w:rPr>
          <w:rFonts w:asciiTheme="majorBidi" w:hAnsiTheme="majorBidi" w:cs="Times New Roman"/>
          <w:sz w:val="26"/>
          <w:szCs w:val="26"/>
          <w:rtl/>
        </w:rPr>
        <w:t>) وتدريب الواقع الافتراضي (</w:t>
      </w:r>
      <w:r w:rsidRPr="009C6000">
        <w:rPr>
          <w:rFonts w:asciiTheme="majorBidi" w:hAnsiTheme="majorBidi" w:cstheme="majorBidi"/>
          <w:sz w:val="26"/>
          <w:szCs w:val="26"/>
        </w:rPr>
        <w:t>VR Training</w:t>
      </w:r>
      <w:r w:rsidRPr="009C6000">
        <w:rPr>
          <w:rFonts w:asciiTheme="majorBidi" w:hAnsiTheme="majorBidi" w:cs="Times New Roman"/>
          <w:sz w:val="26"/>
          <w:szCs w:val="26"/>
          <w:rtl/>
        </w:rPr>
        <w:t xml:space="preserve">) في </w:t>
      </w:r>
      <w:r w:rsidRPr="009C6000">
        <w:rPr>
          <w:rFonts w:asciiTheme="majorBidi" w:hAnsiTheme="majorBidi" w:cstheme="majorBidi"/>
          <w:sz w:val="26"/>
          <w:szCs w:val="26"/>
        </w:rPr>
        <w:t>ZATCA</w:t>
      </w:r>
      <w:r w:rsidRPr="009C6000">
        <w:rPr>
          <w:rFonts w:asciiTheme="majorBidi" w:hAnsiTheme="majorBidi" w:cs="Times New Roman"/>
          <w:sz w:val="26"/>
          <w:szCs w:val="26"/>
          <w:rtl/>
        </w:rPr>
        <w:t xml:space="preserve"> كما في تقرير منظمة الجمارك العالمية (</w:t>
      </w:r>
      <w:r w:rsidRPr="009C6000">
        <w:rPr>
          <w:rFonts w:asciiTheme="majorBidi" w:hAnsiTheme="majorBidi" w:cstheme="majorBidi"/>
          <w:sz w:val="26"/>
          <w:szCs w:val="26"/>
        </w:rPr>
        <w:t>WCO, 2025</w:t>
      </w:r>
      <w:r w:rsidRPr="009C6000">
        <w:rPr>
          <w:rFonts w:asciiTheme="majorBidi" w:hAnsiTheme="majorBidi" w:cs="Times New Roman"/>
          <w:sz w:val="26"/>
          <w:szCs w:val="26"/>
          <w:rtl/>
        </w:rPr>
        <w:t>)، مما يعكس انتقالاً جماعياً نحو "الجمارك الذكية" التي تجمع بين الأتمتة والأمان السيبراني لتحقيق التوازن المطلوب بين السرعة والحماية.</w:t>
      </w:r>
    </w:p>
    <w:p w14:paraId="420CCA82" w14:textId="77777777" w:rsidR="00202E2A" w:rsidRPr="00E130B5" w:rsidRDefault="00202E2A" w:rsidP="00202E2A">
      <w:pPr>
        <w:bidi/>
        <w:spacing w:line="240" w:lineRule="auto"/>
        <w:jc w:val="lowKashida"/>
        <w:rPr>
          <w:rFonts w:asciiTheme="majorBidi" w:hAnsiTheme="majorBidi" w:cs="PT Bold Heading"/>
          <w:sz w:val="26"/>
          <w:szCs w:val="26"/>
        </w:rPr>
      </w:pPr>
      <w:r>
        <w:rPr>
          <w:rFonts w:asciiTheme="majorBidi" w:hAnsiTheme="majorBidi" w:cs="PT Bold Heading" w:hint="cs"/>
          <w:sz w:val="26"/>
          <w:szCs w:val="26"/>
          <w:rtl/>
        </w:rPr>
        <w:t xml:space="preserve">2.8.2.2 </w:t>
      </w:r>
      <w:r w:rsidRPr="00E130B5">
        <w:rPr>
          <w:rFonts w:asciiTheme="majorBidi" w:hAnsiTheme="majorBidi" w:cs="PT Bold Heading"/>
          <w:sz w:val="26"/>
          <w:szCs w:val="26"/>
          <w:rtl/>
        </w:rPr>
        <w:t xml:space="preserve">أوجه الاختلاف والمقارنات الدولية المباشرة:  </w:t>
      </w:r>
    </w:p>
    <w:p w14:paraId="7FC1C4A0" w14:textId="77777777" w:rsidR="00202E2A" w:rsidRPr="009C6000" w:rsidRDefault="00202E2A" w:rsidP="00202E2A">
      <w:pPr>
        <w:bidi/>
        <w:spacing w:line="240" w:lineRule="auto"/>
        <w:jc w:val="lowKashida"/>
        <w:rPr>
          <w:rFonts w:asciiTheme="majorBidi" w:hAnsiTheme="majorBidi" w:cstheme="majorBidi"/>
          <w:sz w:val="26"/>
          <w:szCs w:val="26"/>
        </w:rPr>
      </w:pPr>
      <w:r w:rsidRPr="009C6000">
        <w:rPr>
          <w:rFonts w:asciiTheme="majorBidi" w:hAnsiTheme="majorBidi" w:cs="Times New Roman"/>
          <w:sz w:val="26"/>
          <w:szCs w:val="26"/>
          <w:rtl/>
        </w:rPr>
        <w:t xml:space="preserve">رغم التشابهات، تكشف المقارنات الدولية عن فوارق استراتيجية تعكس السياقات الوطنية المختلفة. ففي مقارنة </w:t>
      </w:r>
      <w:r w:rsidRPr="009C6000">
        <w:rPr>
          <w:rFonts w:asciiTheme="majorBidi" w:hAnsiTheme="majorBidi" w:cstheme="majorBidi"/>
          <w:sz w:val="26"/>
          <w:szCs w:val="26"/>
        </w:rPr>
        <w:t>ZATCA</w:t>
      </w:r>
      <w:r w:rsidRPr="009C6000">
        <w:rPr>
          <w:rFonts w:asciiTheme="majorBidi" w:hAnsiTheme="majorBidi" w:cs="Times New Roman"/>
          <w:sz w:val="26"/>
          <w:szCs w:val="26"/>
          <w:rtl/>
        </w:rPr>
        <w:t xml:space="preserve"> مع جمارك سنغافورة، تفوقت </w:t>
      </w:r>
      <w:r w:rsidRPr="009C6000">
        <w:rPr>
          <w:rFonts w:asciiTheme="majorBidi" w:hAnsiTheme="majorBidi" w:cstheme="majorBidi"/>
          <w:sz w:val="26"/>
          <w:szCs w:val="26"/>
        </w:rPr>
        <w:t>ZATCA</w:t>
      </w:r>
      <w:r w:rsidRPr="009C6000">
        <w:rPr>
          <w:rFonts w:asciiTheme="majorBidi" w:hAnsiTheme="majorBidi" w:cs="Times New Roman"/>
          <w:sz w:val="26"/>
          <w:szCs w:val="26"/>
          <w:rtl/>
        </w:rPr>
        <w:t xml:space="preserve"> في نسبة النضج الرقمي الجمركي بنسبة 93.4% (</w:t>
      </w:r>
      <w:r w:rsidRPr="009C6000">
        <w:rPr>
          <w:rFonts w:asciiTheme="majorBidi" w:hAnsiTheme="majorBidi" w:cstheme="majorBidi"/>
          <w:sz w:val="26"/>
          <w:szCs w:val="26"/>
        </w:rPr>
        <w:t>Pagero &amp; UnifiedPost Group, 2025</w:t>
      </w:r>
      <w:r w:rsidRPr="009C6000">
        <w:rPr>
          <w:rFonts w:asciiTheme="majorBidi" w:hAnsiTheme="majorBidi" w:cs="Times New Roman"/>
          <w:sz w:val="26"/>
          <w:szCs w:val="26"/>
          <w:rtl/>
        </w:rPr>
        <w:t xml:space="preserve">)، مما أدى إلى سرعة تخليص أعلى، إلا أن سنغافورة تتفوق في حماية الخصوصية بنسبة 99% مقابل 89% في </w:t>
      </w:r>
      <w:r w:rsidRPr="009C6000">
        <w:rPr>
          <w:rFonts w:asciiTheme="majorBidi" w:hAnsiTheme="majorBidi" w:cstheme="majorBidi"/>
          <w:sz w:val="26"/>
          <w:szCs w:val="26"/>
        </w:rPr>
        <w:t>ZATCA</w:t>
      </w:r>
      <w:r w:rsidRPr="009C6000">
        <w:rPr>
          <w:rFonts w:asciiTheme="majorBidi" w:hAnsiTheme="majorBidi" w:cs="Times New Roman"/>
          <w:sz w:val="26"/>
          <w:szCs w:val="26"/>
          <w:rtl/>
        </w:rPr>
        <w:t>، مما يشير إلى تركيز سنغافوري أكبر على الحوكمة الرقمية طويلة الأمد. أما بالنسبة للإمارات (</w:t>
      </w:r>
      <w:r w:rsidRPr="009C6000">
        <w:rPr>
          <w:rFonts w:asciiTheme="majorBidi" w:hAnsiTheme="majorBidi" w:cstheme="majorBidi"/>
          <w:sz w:val="26"/>
          <w:szCs w:val="26"/>
        </w:rPr>
        <w:t>FTA</w:t>
      </w:r>
      <w:r w:rsidRPr="009C6000">
        <w:rPr>
          <w:rFonts w:asciiTheme="majorBidi" w:hAnsiTheme="majorBidi" w:cs="Times New Roman"/>
          <w:sz w:val="26"/>
          <w:szCs w:val="26"/>
          <w:rtl/>
        </w:rPr>
        <w:t xml:space="preserve">)، فتتفوق في التكامل الجمركي-الضريبي بنسبة 93%، خاصة في مراحل الفوترة الإلكترونية، مقابل 91% في </w:t>
      </w:r>
      <w:r w:rsidRPr="009C6000">
        <w:rPr>
          <w:rFonts w:asciiTheme="majorBidi" w:hAnsiTheme="majorBidi" w:cstheme="majorBidi"/>
          <w:sz w:val="26"/>
          <w:szCs w:val="26"/>
        </w:rPr>
        <w:t>ZATCA</w:t>
      </w:r>
      <w:r w:rsidRPr="009C6000">
        <w:rPr>
          <w:rFonts w:asciiTheme="majorBidi" w:hAnsiTheme="majorBidi" w:cs="Times New Roman"/>
          <w:sz w:val="26"/>
          <w:szCs w:val="26"/>
          <w:rtl/>
        </w:rPr>
        <w:t xml:space="preserve">، مع التركيز على الشراكات مع القطاع الخاص لضمان الامتثال السريع. وفي مواجهة إستونيا – النموذج العالمي في الشفافية الرقمية بنسبة 97.1% – تحتل </w:t>
      </w:r>
      <w:r w:rsidRPr="009C6000">
        <w:rPr>
          <w:rFonts w:asciiTheme="majorBidi" w:hAnsiTheme="majorBidi" w:cstheme="majorBidi"/>
          <w:sz w:val="26"/>
          <w:szCs w:val="26"/>
        </w:rPr>
        <w:t>ZATCA</w:t>
      </w:r>
      <w:r w:rsidRPr="009C6000">
        <w:rPr>
          <w:rFonts w:asciiTheme="majorBidi" w:hAnsiTheme="majorBidi" w:cs="Times New Roman"/>
          <w:sz w:val="26"/>
          <w:szCs w:val="26"/>
          <w:rtl/>
        </w:rPr>
        <w:t xml:space="preserve"> المركز الأول عربياً في السرعة والابتكار من خلال تدريب الواقع الافتراضي، مما يجعلها مرجعاً إقليمياً للدول النامية. أخيراً، مقارنة بكوريا الجنوبية (</w:t>
      </w:r>
      <w:r w:rsidRPr="009C6000">
        <w:rPr>
          <w:rFonts w:asciiTheme="majorBidi" w:hAnsiTheme="majorBidi" w:cstheme="majorBidi"/>
          <w:sz w:val="26"/>
          <w:szCs w:val="26"/>
        </w:rPr>
        <w:t>UNI-PASS 2.0</w:t>
      </w:r>
      <w:r w:rsidRPr="009C6000">
        <w:rPr>
          <w:rFonts w:asciiTheme="majorBidi" w:hAnsiTheme="majorBidi" w:cs="Times New Roman"/>
          <w:sz w:val="26"/>
          <w:szCs w:val="26"/>
          <w:rtl/>
        </w:rPr>
        <w:t xml:space="preserve">)، تتفوق كوريا في دقة الكشف بالذكاء الاصطناعي بنسبة 96.3% مقابل 89% في </w:t>
      </w:r>
      <w:r w:rsidRPr="009C6000">
        <w:rPr>
          <w:rFonts w:asciiTheme="majorBidi" w:hAnsiTheme="majorBidi" w:cstheme="majorBidi"/>
          <w:sz w:val="26"/>
          <w:szCs w:val="26"/>
        </w:rPr>
        <w:t>ZATCA</w:t>
      </w:r>
      <w:r w:rsidRPr="009C6000">
        <w:rPr>
          <w:rFonts w:asciiTheme="majorBidi" w:hAnsiTheme="majorBidi" w:cs="Times New Roman"/>
          <w:sz w:val="26"/>
          <w:szCs w:val="26"/>
          <w:rtl/>
        </w:rPr>
        <w:t xml:space="preserve">، لكن </w:t>
      </w:r>
      <w:r w:rsidRPr="009C6000">
        <w:rPr>
          <w:rFonts w:asciiTheme="majorBidi" w:hAnsiTheme="majorBidi" w:cstheme="majorBidi"/>
          <w:sz w:val="26"/>
          <w:szCs w:val="26"/>
        </w:rPr>
        <w:t>ZATCA</w:t>
      </w:r>
      <w:r w:rsidRPr="009C6000">
        <w:rPr>
          <w:rFonts w:asciiTheme="majorBidi" w:hAnsiTheme="majorBidi" w:cs="Times New Roman"/>
          <w:sz w:val="26"/>
          <w:szCs w:val="26"/>
          <w:rtl/>
        </w:rPr>
        <w:t xml:space="preserve"> تتميز بتكلفتها الأقل وتكاملها العميق مع رؤية 2030، مما يجعل نموذجها أكثر قابلية للتعميم في الاقتصادات الناشئة. هذه المقارنات تؤكد أن التحول الرقمي في </w:t>
      </w:r>
      <w:r w:rsidRPr="009C6000">
        <w:rPr>
          <w:rFonts w:asciiTheme="majorBidi" w:hAnsiTheme="majorBidi" w:cstheme="majorBidi"/>
          <w:sz w:val="26"/>
          <w:szCs w:val="26"/>
        </w:rPr>
        <w:t>ZATCA</w:t>
      </w:r>
      <w:r w:rsidRPr="009C6000">
        <w:rPr>
          <w:rFonts w:asciiTheme="majorBidi" w:hAnsiTheme="majorBidi" w:cs="Times New Roman"/>
          <w:sz w:val="26"/>
          <w:szCs w:val="26"/>
          <w:rtl/>
        </w:rPr>
        <w:t xml:space="preserve"> يركز على العائد الاقتصادي المباشر، بينما تتبنى الدول الأخرى نماذج أكثر تركيزاً على الاستدامة أو الدقة التقنية.</w:t>
      </w:r>
    </w:p>
    <w:p w14:paraId="47A12171" w14:textId="77777777" w:rsidR="00202E2A" w:rsidRPr="00E130B5" w:rsidRDefault="00202E2A" w:rsidP="00202E2A">
      <w:pPr>
        <w:bidi/>
        <w:spacing w:line="240" w:lineRule="auto"/>
        <w:jc w:val="lowKashida"/>
        <w:rPr>
          <w:rFonts w:asciiTheme="majorBidi" w:hAnsiTheme="majorBidi" w:cs="PT Bold Heading"/>
          <w:sz w:val="26"/>
          <w:szCs w:val="26"/>
        </w:rPr>
      </w:pPr>
      <w:r w:rsidRPr="00E130B5">
        <w:rPr>
          <w:rFonts w:asciiTheme="majorBidi" w:hAnsiTheme="majorBidi" w:cs="PT Bold Heading"/>
          <w:sz w:val="26"/>
          <w:szCs w:val="26"/>
          <w:rtl/>
        </w:rPr>
        <w:t>2.8.3 مقارنة بين هيئة الزكاة والضريبة والجمارك بالمملكة العربية السعودية (</w:t>
      </w:r>
      <w:r w:rsidRPr="00E130B5">
        <w:rPr>
          <w:rFonts w:asciiTheme="majorBidi" w:hAnsiTheme="majorBidi" w:cs="PT Bold Heading"/>
          <w:sz w:val="26"/>
          <w:szCs w:val="26"/>
        </w:rPr>
        <w:t>ZATCA</w:t>
      </w:r>
      <w:r w:rsidRPr="00E130B5">
        <w:rPr>
          <w:rFonts w:asciiTheme="majorBidi" w:hAnsiTheme="majorBidi" w:cs="PT Bold Heading"/>
          <w:sz w:val="26"/>
          <w:szCs w:val="26"/>
          <w:rtl/>
        </w:rPr>
        <w:t>) والهيئة الاتحادية للضرائب بالإمارات العربية المتحدة (</w:t>
      </w:r>
      <w:r w:rsidRPr="00E130B5">
        <w:rPr>
          <w:rFonts w:asciiTheme="majorBidi" w:hAnsiTheme="majorBidi" w:cs="PT Bold Heading"/>
          <w:sz w:val="26"/>
          <w:szCs w:val="26"/>
        </w:rPr>
        <w:t>FTA</w:t>
      </w:r>
      <w:r w:rsidRPr="00E130B5">
        <w:rPr>
          <w:rFonts w:asciiTheme="majorBidi" w:hAnsiTheme="majorBidi" w:cs="PT Bold Heading"/>
          <w:sz w:val="26"/>
          <w:szCs w:val="26"/>
          <w:rtl/>
        </w:rPr>
        <w:t>) في تطبيق التحول الرقمي على تعزيز الأمن وتيسير التجارة</w:t>
      </w:r>
    </w:p>
    <w:p w14:paraId="0B8CB483" w14:textId="77777777" w:rsidR="00202E2A" w:rsidRPr="009C6000" w:rsidRDefault="00202E2A" w:rsidP="00202E2A">
      <w:pPr>
        <w:bidi/>
        <w:spacing w:line="240" w:lineRule="auto"/>
        <w:jc w:val="lowKashida"/>
        <w:rPr>
          <w:rFonts w:asciiTheme="majorBidi" w:hAnsiTheme="majorBidi" w:cstheme="majorBidi"/>
          <w:sz w:val="26"/>
          <w:szCs w:val="26"/>
        </w:rPr>
      </w:pPr>
      <w:r w:rsidRPr="009C6000">
        <w:rPr>
          <w:rFonts w:asciiTheme="majorBidi" w:hAnsiTheme="majorBidi" w:cs="Times New Roman"/>
          <w:sz w:val="26"/>
          <w:szCs w:val="26"/>
          <w:rtl/>
        </w:rPr>
        <w:t>تُمثل هيئة الزكاة والضريبة والجمارك (</w:t>
      </w:r>
      <w:r w:rsidRPr="009C6000">
        <w:rPr>
          <w:rFonts w:asciiTheme="majorBidi" w:hAnsiTheme="majorBidi" w:cstheme="majorBidi"/>
          <w:sz w:val="26"/>
          <w:szCs w:val="26"/>
        </w:rPr>
        <w:t>ZATCA</w:t>
      </w:r>
      <w:r w:rsidRPr="009C6000">
        <w:rPr>
          <w:rFonts w:asciiTheme="majorBidi" w:hAnsiTheme="majorBidi" w:cs="Times New Roman"/>
          <w:sz w:val="26"/>
          <w:szCs w:val="26"/>
          <w:rtl/>
        </w:rPr>
        <w:t>) في المملكة العربية السعودية والهيئة الاتحادية للضرائب (</w:t>
      </w:r>
      <w:r w:rsidRPr="009C6000">
        <w:rPr>
          <w:rFonts w:asciiTheme="majorBidi" w:hAnsiTheme="majorBidi" w:cstheme="majorBidi"/>
          <w:sz w:val="26"/>
          <w:szCs w:val="26"/>
        </w:rPr>
        <w:t>FTA</w:t>
      </w:r>
      <w:r w:rsidRPr="009C6000">
        <w:rPr>
          <w:rFonts w:asciiTheme="majorBidi" w:hAnsiTheme="majorBidi" w:cs="Times New Roman"/>
          <w:sz w:val="26"/>
          <w:szCs w:val="26"/>
          <w:rtl/>
        </w:rPr>
        <w:t>) في الإمارات العربية المتحدة نموذجين رائدين خليجياً في توظيف التحول الرقمي كأداة استراتيجية لتحقيق التوازن الدقيق بين تعزيز الأمن (من خلال الكشف الاستباقي عن التهريب والتهرب) وتيسير التجارة (عبر تقليل الوقت والتكاليف وتعزيز الشفافية)، وذلك في إطار رؤية المملكة 2030 واستراتيجية الإمارات الرقمية. وفقاً لأحدث التقارير (</w:t>
      </w:r>
      <w:r w:rsidRPr="009C6000">
        <w:rPr>
          <w:rFonts w:asciiTheme="majorBidi" w:hAnsiTheme="majorBidi" w:cstheme="majorBidi"/>
          <w:sz w:val="26"/>
          <w:szCs w:val="26"/>
        </w:rPr>
        <w:t>Pagero &amp; UnifiedPost Group, 2025; World Customs Organization [WCO], 2025; EY Saudi Arabia &amp; ZATCA, 2025; Digital Government Authority [DGA], 2025</w:t>
      </w:r>
      <w:r w:rsidRPr="009C6000">
        <w:rPr>
          <w:rFonts w:asciiTheme="majorBidi" w:hAnsiTheme="majorBidi" w:cs="Times New Roman"/>
          <w:sz w:val="26"/>
          <w:szCs w:val="26"/>
          <w:rtl/>
        </w:rPr>
        <w:t>)، يتضح الآتي:</w:t>
      </w:r>
    </w:p>
    <w:p w14:paraId="2FF5AB81" w14:textId="77777777" w:rsidR="00202E2A" w:rsidRPr="00CA6580" w:rsidRDefault="00202E2A" w:rsidP="00202E2A">
      <w:pPr>
        <w:bidi/>
        <w:spacing w:line="240" w:lineRule="auto"/>
        <w:jc w:val="lowKashida"/>
        <w:rPr>
          <w:rFonts w:asciiTheme="majorBidi" w:hAnsiTheme="majorBidi" w:cs="PT Bold Heading"/>
          <w:sz w:val="26"/>
          <w:szCs w:val="26"/>
        </w:rPr>
      </w:pPr>
      <w:r>
        <w:rPr>
          <w:rFonts w:asciiTheme="majorBidi" w:hAnsiTheme="majorBidi" w:cs="PT Bold Heading" w:hint="cs"/>
          <w:sz w:val="26"/>
          <w:szCs w:val="26"/>
          <w:rtl/>
          <w:lang w:bidi="ar-EG"/>
        </w:rPr>
        <w:t xml:space="preserve">2.8.3.1 </w:t>
      </w:r>
      <w:r w:rsidRPr="00CA6580">
        <w:rPr>
          <w:rFonts w:asciiTheme="majorBidi" w:hAnsiTheme="majorBidi" w:cs="PT Bold Heading"/>
          <w:sz w:val="26"/>
          <w:szCs w:val="26"/>
          <w:rtl/>
        </w:rPr>
        <w:t xml:space="preserve">التشابهات:  </w:t>
      </w:r>
    </w:p>
    <w:p w14:paraId="7EC14A41" w14:textId="77777777" w:rsidR="00202E2A" w:rsidRPr="009C6000" w:rsidRDefault="00202E2A" w:rsidP="00202E2A">
      <w:pPr>
        <w:bidi/>
        <w:spacing w:line="240" w:lineRule="auto"/>
        <w:jc w:val="lowKashida"/>
        <w:rPr>
          <w:rFonts w:asciiTheme="majorBidi" w:hAnsiTheme="majorBidi" w:cstheme="majorBidi"/>
          <w:sz w:val="26"/>
          <w:szCs w:val="26"/>
        </w:rPr>
      </w:pPr>
      <w:r w:rsidRPr="009C6000">
        <w:rPr>
          <w:rFonts w:asciiTheme="majorBidi" w:hAnsiTheme="majorBidi" w:cs="Times New Roman"/>
          <w:sz w:val="26"/>
          <w:szCs w:val="26"/>
          <w:rtl/>
        </w:rPr>
        <w:t>اعتمدت كلا الهيئتين نموذج الضوابط المعاملاتية المستمرة (</w:t>
      </w:r>
      <w:r w:rsidRPr="009C6000">
        <w:rPr>
          <w:rFonts w:asciiTheme="majorBidi" w:hAnsiTheme="majorBidi" w:cstheme="majorBidi"/>
          <w:sz w:val="26"/>
          <w:szCs w:val="26"/>
        </w:rPr>
        <w:t>Continuous Transaction Controls - CTC</w:t>
      </w:r>
      <w:r w:rsidRPr="009C6000">
        <w:rPr>
          <w:rFonts w:asciiTheme="majorBidi" w:hAnsiTheme="majorBidi" w:cs="Times New Roman"/>
          <w:sz w:val="26"/>
          <w:szCs w:val="26"/>
          <w:rtl/>
        </w:rPr>
        <w:t>) في الفوترة الإلكترونية الإلزامية، مما أدى إلى تقليل التفتيش العشوائي بنسب تتراوح بين 65% و80% وزيادة الكشف عن الأنشطة غير المشروعة بنسب 45-67%، مع دمج الذكاء الاصطناعي التنبؤي والبلوكشين لإدارة المخاطر في الوقت الفعلي. كما التزمتا بمعايير اتفاقية تيسير التجارة العالمية (</w:t>
      </w:r>
      <w:r w:rsidRPr="009C6000">
        <w:rPr>
          <w:rFonts w:asciiTheme="majorBidi" w:hAnsiTheme="majorBidi" w:cstheme="majorBidi"/>
          <w:sz w:val="26"/>
          <w:szCs w:val="26"/>
        </w:rPr>
        <w:t>TFA</w:t>
      </w:r>
      <w:r w:rsidRPr="009C6000">
        <w:rPr>
          <w:rFonts w:asciiTheme="majorBidi" w:hAnsiTheme="majorBidi" w:cs="Times New Roman"/>
          <w:sz w:val="26"/>
          <w:szCs w:val="26"/>
          <w:rtl/>
        </w:rPr>
        <w:t>)، مما عزز التكامل الإقليمي ودعم أهداف التنمية المستدامة.</w:t>
      </w:r>
    </w:p>
    <w:p w14:paraId="584A8A03" w14:textId="77777777" w:rsidR="00202E2A" w:rsidRPr="00CA6580" w:rsidRDefault="00202E2A" w:rsidP="00202E2A">
      <w:pPr>
        <w:bidi/>
        <w:spacing w:line="240" w:lineRule="auto"/>
        <w:jc w:val="lowKashida"/>
        <w:rPr>
          <w:rFonts w:asciiTheme="majorBidi" w:hAnsiTheme="majorBidi" w:cs="PT Bold Heading"/>
          <w:sz w:val="26"/>
          <w:szCs w:val="26"/>
        </w:rPr>
      </w:pPr>
      <w:r>
        <w:rPr>
          <w:rFonts w:asciiTheme="majorBidi" w:hAnsiTheme="majorBidi" w:cs="PT Bold Heading" w:hint="cs"/>
          <w:sz w:val="26"/>
          <w:szCs w:val="26"/>
          <w:rtl/>
        </w:rPr>
        <w:t xml:space="preserve">2.8.3.2 </w:t>
      </w:r>
      <w:r w:rsidRPr="00CA6580">
        <w:rPr>
          <w:rFonts w:asciiTheme="majorBidi" w:hAnsiTheme="majorBidi" w:cs="PT Bold Heading"/>
          <w:sz w:val="26"/>
          <w:szCs w:val="26"/>
          <w:rtl/>
        </w:rPr>
        <w:t xml:space="preserve">الاختلافات في تعزيز الأمن:  </w:t>
      </w:r>
    </w:p>
    <w:p w14:paraId="3E9D6C3B" w14:textId="77777777" w:rsidR="00202E2A" w:rsidRPr="009C6000" w:rsidRDefault="00202E2A" w:rsidP="00202E2A">
      <w:pPr>
        <w:bidi/>
        <w:spacing w:line="240" w:lineRule="auto"/>
        <w:jc w:val="lowKashida"/>
        <w:rPr>
          <w:rFonts w:asciiTheme="majorBidi" w:hAnsiTheme="majorBidi" w:cstheme="majorBidi"/>
          <w:sz w:val="26"/>
          <w:szCs w:val="26"/>
        </w:rPr>
      </w:pPr>
      <w:r w:rsidRPr="009C6000">
        <w:rPr>
          <w:rFonts w:asciiTheme="majorBidi" w:hAnsiTheme="majorBidi" w:cs="Times New Roman"/>
          <w:sz w:val="26"/>
          <w:szCs w:val="26"/>
          <w:rtl/>
        </w:rPr>
        <w:lastRenderedPageBreak/>
        <w:t xml:space="preserve">تتفوق </w:t>
      </w:r>
      <w:r w:rsidRPr="009C6000">
        <w:rPr>
          <w:rFonts w:asciiTheme="majorBidi" w:hAnsiTheme="majorBidi" w:cstheme="majorBidi"/>
          <w:sz w:val="26"/>
          <w:szCs w:val="26"/>
        </w:rPr>
        <w:t>ZATCA</w:t>
      </w:r>
      <w:r w:rsidRPr="009C6000">
        <w:rPr>
          <w:rFonts w:asciiTheme="majorBidi" w:hAnsiTheme="majorBidi" w:cs="Times New Roman"/>
          <w:sz w:val="26"/>
          <w:szCs w:val="26"/>
          <w:rtl/>
        </w:rPr>
        <w:t xml:space="preserve"> في الجاهزية للتشفير ما بعد الكم بنسبة 89% (</w:t>
      </w:r>
      <w:r w:rsidRPr="009C6000">
        <w:rPr>
          <w:rFonts w:asciiTheme="majorBidi" w:hAnsiTheme="majorBidi" w:cstheme="majorBidi"/>
          <w:sz w:val="26"/>
          <w:szCs w:val="26"/>
        </w:rPr>
        <w:t>Alharbi &amp; Qureshi, 2025</w:t>
      </w:r>
      <w:r w:rsidRPr="009C6000">
        <w:rPr>
          <w:rFonts w:asciiTheme="majorBidi" w:hAnsiTheme="majorBidi" w:cs="Times New Roman"/>
          <w:sz w:val="26"/>
          <w:szCs w:val="26"/>
          <w:rtl/>
        </w:rPr>
        <w:t xml:space="preserve">)، مقارنة بـ81% في </w:t>
      </w:r>
      <w:r w:rsidRPr="009C6000">
        <w:rPr>
          <w:rFonts w:asciiTheme="majorBidi" w:hAnsiTheme="majorBidi" w:cstheme="majorBidi"/>
          <w:sz w:val="26"/>
          <w:szCs w:val="26"/>
        </w:rPr>
        <w:t>FTA</w:t>
      </w:r>
      <w:r w:rsidRPr="009C6000">
        <w:rPr>
          <w:rFonts w:asciiTheme="majorBidi" w:hAnsiTheme="majorBidi" w:cs="Times New Roman"/>
          <w:sz w:val="26"/>
          <w:szCs w:val="26"/>
          <w:rtl/>
        </w:rPr>
        <w:t>، مع قدرة يومية على صد 1,842 هجوم سيبراني (</w:t>
      </w:r>
      <w:r w:rsidRPr="009C6000">
        <w:rPr>
          <w:rFonts w:asciiTheme="majorBidi" w:hAnsiTheme="majorBidi" w:cstheme="majorBidi"/>
          <w:sz w:val="26"/>
          <w:szCs w:val="26"/>
        </w:rPr>
        <w:t>EY Saudi Arabia &amp; ZATCA, 2025</w:t>
      </w:r>
      <w:r w:rsidRPr="009C6000">
        <w:rPr>
          <w:rFonts w:asciiTheme="majorBidi" w:hAnsiTheme="majorBidi" w:cs="Times New Roman"/>
          <w:sz w:val="26"/>
          <w:szCs w:val="26"/>
          <w:rtl/>
        </w:rPr>
        <w:t xml:space="preserve">)، مما يجعلها أكثر مرونة أمام التهديدات المستقبلية الناتجة عن الحوسبة الكمية. في المقابل، تبرز </w:t>
      </w:r>
      <w:r w:rsidRPr="009C6000">
        <w:rPr>
          <w:rFonts w:asciiTheme="majorBidi" w:hAnsiTheme="majorBidi" w:cstheme="majorBidi"/>
          <w:sz w:val="26"/>
          <w:szCs w:val="26"/>
        </w:rPr>
        <w:t>FTA</w:t>
      </w:r>
      <w:r w:rsidRPr="009C6000">
        <w:rPr>
          <w:rFonts w:asciiTheme="majorBidi" w:hAnsiTheme="majorBidi" w:cs="Times New Roman"/>
          <w:sz w:val="26"/>
          <w:szCs w:val="26"/>
          <w:rtl/>
        </w:rPr>
        <w:t xml:space="preserve"> في الخصوصية والامتثال لمعايير مشابهة لـ</w:t>
      </w:r>
      <w:r w:rsidRPr="009C6000">
        <w:rPr>
          <w:rFonts w:asciiTheme="majorBidi" w:hAnsiTheme="majorBidi" w:cstheme="majorBidi"/>
          <w:sz w:val="26"/>
          <w:szCs w:val="26"/>
        </w:rPr>
        <w:t>GDPR</w:t>
      </w:r>
      <w:r w:rsidRPr="009C6000">
        <w:rPr>
          <w:rFonts w:asciiTheme="majorBidi" w:hAnsiTheme="majorBidi" w:cs="Times New Roman"/>
          <w:sz w:val="26"/>
          <w:szCs w:val="26"/>
          <w:rtl/>
        </w:rPr>
        <w:t xml:space="preserve"> بنسبة 91.2% نضج رقمي، مع تركيز أعمق على الحوكمة الرقمية من خلال استراتيجية الحكومة الرقمية 2025.</w:t>
      </w:r>
    </w:p>
    <w:p w14:paraId="384DF6CA" w14:textId="77777777" w:rsidR="00202E2A" w:rsidRPr="00CA6580" w:rsidRDefault="00202E2A" w:rsidP="00202E2A">
      <w:pPr>
        <w:bidi/>
        <w:spacing w:line="240" w:lineRule="auto"/>
        <w:jc w:val="lowKashida"/>
        <w:rPr>
          <w:rFonts w:asciiTheme="majorBidi" w:hAnsiTheme="majorBidi" w:cs="PT Bold Heading"/>
          <w:sz w:val="26"/>
          <w:szCs w:val="26"/>
        </w:rPr>
      </w:pPr>
      <w:r>
        <w:rPr>
          <w:rFonts w:asciiTheme="majorBidi" w:hAnsiTheme="majorBidi" w:cs="PT Bold Heading" w:hint="cs"/>
          <w:sz w:val="26"/>
          <w:szCs w:val="26"/>
          <w:rtl/>
        </w:rPr>
        <w:t xml:space="preserve">2.8.3.3 </w:t>
      </w:r>
      <w:r w:rsidRPr="00CA6580">
        <w:rPr>
          <w:rFonts w:asciiTheme="majorBidi" w:hAnsiTheme="majorBidi" w:cs="PT Bold Heading"/>
          <w:sz w:val="26"/>
          <w:szCs w:val="26"/>
          <w:rtl/>
        </w:rPr>
        <w:t xml:space="preserve">الاختلافات في تيسير التجارة:  </w:t>
      </w:r>
    </w:p>
    <w:p w14:paraId="220177AE" w14:textId="77777777" w:rsidR="00202E2A" w:rsidRPr="009C6000" w:rsidRDefault="00202E2A" w:rsidP="00202E2A">
      <w:pPr>
        <w:bidi/>
        <w:spacing w:line="240" w:lineRule="auto"/>
        <w:jc w:val="lowKashida"/>
        <w:rPr>
          <w:rFonts w:asciiTheme="majorBidi" w:hAnsiTheme="majorBidi" w:cstheme="majorBidi"/>
          <w:sz w:val="26"/>
          <w:szCs w:val="26"/>
        </w:rPr>
      </w:pPr>
      <w:r w:rsidRPr="009C6000">
        <w:rPr>
          <w:rFonts w:asciiTheme="majorBidi" w:hAnsiTheme="majorBidi" w:cs="Times New Roman"/>
          <w:sz w:val="26"/>
          <w:szCs w:val="26"/>
          <w:rtl/>
        </w:rPr>
        <w:t xml:space="preserve">تحقق </w:t>
      </w:r>
      <w:r w:rsidRPr="009C6000">
        <w:rPr>
          <w:rFonts w:asciiTheme="majorBidi" w:hAnsiTheme="majorBidi" w:cstheme="majorBidi"/>
          <w:sz w:val="26"/>
          <w:szCs w:val="26"/>
        </w:rPr>
        <w:t>ZATCA</w:t>
      </w:r>
      <w:r w:rsidRPr="009C6000">
        <w:rPr>
          <w:rFonts w:asciiTheme="majorBidi" w:hAnsiTheme="majorBidi" w:cs="Times New Roman"/>
          <w:sz w:val="26"/>
          <w:szCs w:val="26"/>
          <w:rtl/>
        </w:rPr>
        <w:t xml:space="preserve"> سرعة أعلى في التخليص بنسبة نضج 93.4% وتقليل الوقت إلى 4.1 ساعات عبر منصة "فسح"، مع توفير سنوي يبلغ 4.2 مليار ريال، بينما تتفوق </w:t>
      </w:r>
      <w:r w:rsidRPr="009C6000">
        <w:rPr>
          <w:rFonts w:asciiTheme="majorBidi" w:hAnsiTheme="majorBidi" w:cstheme="majorBidi"/>
          <w:sz w:val="26"/>
          <w:szCs w:val="26"/>
        </w:rPr>
        <w:t>FTA</w:t>
      </w:r>
      <w:r w:rsidRPr="009C6000">
        <w:rPr>
          <w:rFonts w:asciiTheme="majorBidi" w:hAnsiTheme="majorBidi" w:cs="Times New Roman"/>
          <w:sz w:val="26"/>
          <w:szCs w:val="26"/>
          <w:rtl/>
        </w:rPr>
        <w:t xml:space="preserve"> في التكامل مع القطاع الخاص (امتثال 78% في موجات الفوترة مقابل 78.3% في </w:t>
      </w:r>
      <w:r w:rsidRPr="009C6000">
        <w:rPr>
          <w:rFonts w:asciiTheme="majorBidi" w:hAnsiTheme="majorBidi" w:cstheme="majorBidi"/>
          <w:sz w:val="26"/>
          <w:szCs w:val="26"/>
        </w:rPr>
        <w:t>ZATCA</w:t>
      </w:r>
      <w:r w:rsidRPr="009C6000">
        <w:rPr>
          <w:rFonts w:asciiTheme="majorBidi" w:hAnsiTheme="majorBidi" w:cs="Times New Roman"/>
          <w:sz w:val="26"/>
          <w:szCs w:val="26"/>
          <w:rtl/>
        </w:rPr>
        <w:t xml:space="preserve">). تحتل </w:t>
      </w:r>
      <w:r w:rsidRPr="009C6000">
        <w:rPr>
          <w:rFonts w:asciiTheme="majorBidi" w:hAnsiTheme="majorBidi" w:cstheme="majorBidi"/>
          <w:sz w:val="26"/>
          <w:szCs w:val="26"/>
        </w:rPr>
        <w:t>ZATCA</w:t>
      </w:r>
      <w:r w:rsidRPr="009C6000">
        <w:rPr>
          <w:rFonts w:asciiTheme="majorBidi" w:hAnsiTheme="majorBidi" w:cs="Times New Roman"/>
          <w:sz w:val="26"/>
          <w:szCs w:val="26"/>
          <w:rtl/>
        </w:rPr>
        <w:t xml:space="preserve"> المرتبة الرابعة عالمياً (</w:t>
      </w:r>
      <w:r w:rsidRPr="009C6000">
        <w:rPr>
          <w:rFonts w:asciiTheme="majorBidi" w:hAnsiTheme="majorBidi" w:cstheme="majorBidi"/>
          <w:sz w:val="26"/>
          <w:szCs w:val="26"/>
        </w:rPr>
        <w:t>WCO, 2025</w:t>
      </w:r>
      <w:r w:rsidRPr="009C6000">
        <w:rPr>
          <w:rFonts w:asciiTheme="majorBidi" w:hAnsiTheme="majorBidi" w:cs="Times New Roman"/>
          <w:sz w:val="26"/>
          <w:szCs w:val="26"/>
          <w:rtl/>
        </w:rPr>
        <w:t>)، مقابل المرتبة السابعة إقليمياً لـ</w:t>
      </w:r>
      <w:r w:rsidRPr="009C6000">
        <w:rPr>
          <w:rFonts w:asciiTheme="majorBidi" w:hAnsiTheme="majorBidi" w:cstheme="majorBidi"/>
          <w:sz w:val="26"/>
          <w:szCs w:val="26"/>
        </w:rPr>
        <w:t>FTA</w:t>
      </w:r>
      <w:r w:rsidRPr="009C6000">
        <w:rPr>
          <w:rFonts w:asciiTheme="majorBidi" w:hAnsiTheme="majorBidi" w:cs="Times New Roman"/>
          <w:sz w:val="26"/>
          <w:szCs w:val="26"/>
          <w:rtl/>
        </w:rPr>
        <w:t>.</w:t>
      </w:r>
    </w:p>
    <w:p w14:paraId="2D590EF3" w14:textId="77777777" w:rsidR="00202E2A" w:rsidRPr="00CA6580" w:rsidRDefault="00202E2A" w:rsidP="00202E2A">
      <w:pPr>
        <w:bidi/>
        <w:spacing w:line="240" w:lineRule="auto"/>
        <w:jc w:val="lowKashida"/>
        <w:rPr>
          <w:rFonts w:asciiTheme="majorBidi" w:hAnsiTheme="majorBidi" w:cs="PT Bold Heading"/>
          <w:sz w:val="26"/>
          <w:szCs w:val="26"/>
        </w:rPr>
      </w:pPr>
      <w:r>
        <w:rPr>
          <w:rFonts w:asciiTheme="majorBidi" w:hAnsiTheme="majorBidi" w:cs="PT Bold Heading" w:hint="cs"/>
          <w:sz w:val="26"/>
          <w:szCs w:val="26"/>
          <w:rtl/>
        </w:rPr>
        <w:t xml:space="preserve">2.8.3.4 </w:t>
      </w:r>
      <w:r w:rsidRPr="00CA6580">
        <w:rPr>
          <w:rFonts w:asciiTheme="majorBidi" w:hAnsiTheme="majorBidi" w:cs="PT Bold Heading"/>
          <w:sz w:val="26"/>
          <w:szCs w:val="26"/>
          <w:rtl/>
        </w:rPr>
        <w:t xml:space="preserve">التقييم العام والمقارنة الاستراتيجية:  </w:t>
      </w:r>
    </w:p>
    <w:p w14:paraId="4C9F57B8" w14:textId="77777777" w:rsidR="00202E2A" w:rsidRPr="009C6000" w:rsidRDefault="00202E2A" w:rsidP="00202E2A">
      <w:pPr>
        <w:bidi/>
        <w:spacing w:line="240" w:lineRule="auto"/>
        <w:jc w:val="lowKashida"/>
        <w:rPr>
          <w:rFonts w:asciiTheme="majorBidi" w:hAnsiTheme="majorBidi" w:cstheme="majorBidi"/>
          <w:sz w:val="26"/>
          <w:szCs w:val="26"/>
        </w:rPr>
      </w:pPr>
      <w:r w:rsidRPr="009C6000">
        <w:rPr>
          <w:rFonts w:asciiTheme="majorBidi" w:hAnsiTheme="majorBidi" w:cs="Times New Roman"/>
          <w:sz w:val="26"/>
          <w:szCs w:val="26"/>
          <w:rtl/>
        </w:rPr>
        <w:t xml:space="preserve">تُعد </w:t>
      </w:r>
      <w:r w:rsidRPr="009C6000">
        <w:rPr>
          <w:rFonts w:asciiTheme="majorBidi" w:hAnsiTheme="majorBidi" w:cstheme="majorBidi"/>
          <w:sz w:val="26"/>
          <w:szCs w:val="26"/>
        </w:rPr>
        <w:t>ZATCA</w:t>
      </w:r>
      <w:r w:rsidRPr="009C6000">
        <w:rPr>
          <w:rFonts w:asciiTheme="majorBidi" w:hAnsiTheme="majorBidi" w:cs="Times New Roman"/>
          <w:sz w:val="26"/>
          <w:szCs w:val="26"/>
          <w:rtl/>
        </w:rPr>
        <w:t xml:space="preserve"> و</w:t>
      </w:r>
      <w:r w:rsidRPr="009C6000">
        <w:rPr>
          <w:rFonts w:asciiTheme="majorBidi" w:hAnsiTheme="majorBidi" w:cstheme="majorBidi"/>
          <w:sz w:val="26"/>
          <w:szCs w:val="26"/>
        </w:rPr>
        <w:t>FTA</w:t>
      </w:r>
      <w:r w:rsidRPr="009C6000">
        <w:rPr>
          <w:rFonts w:asciiTheme="majorBidi" w:hAnsiTheme="majorBidi" w:cs="Times New Roman"/>
          <w:sz w:val="26"/>
          <w:szCs w:val="26"/>
          <w:rtl/>
        </w:rPr>
        <w:t xml:space="preserve"> نموذجين مكملين؛ فـ</w:t>
      </w:r>
      <w:r w:rsidRPr="009C6000">
        <w:rPr>
          <w:rFonts w:asciiTheme="majorBidi" w:hAnsiTheme="majorBidi" w:cstheme="majorBidi"/>
          <w:sz w:val="26"/>
          <w:szCs w:val="26"/>
        </w:rPr>
        <w:t>ZATCA</w:t>
      </w:r>
      <w:r w:rsidRPr="009C6000">
        <w:rPr>
          <w:rFonts w:asciiTheme="majorBidi" w:hAnsiTheme="majorBidi" w:cs="Times New Roman"/>
          <w:sz w:val="26"/>
          <w:szCs w:val="26"/>
          <w:rtl/>
        </w:rPr>
        <w:t xml:space="preserve"> تركز على العائد الاقتصادي المباشر المرتبط برؤية 2030 من خلال السرعة والكفاءة، بينما </w:t>
      </w:r>
      <w:r w:rsidRPr="009C6000">
        <w:rPr>
          <w:rFonts w:asciiTheme="majorBidi" w:hAnsiTheme="majorBidi" w:cstheme="majorBidi"/>
          <w:sz w:val="26"/>
          <w:szCs w:val="26"/>
        </w:rPr>
        <w:t>FTA</w:t>
      </w:r>
      <w:r w:rsidRPr="009C6000">
        <w:rPr>
          <w:rFonts w:asciiTheme="majorBidi" w:hAnsiTheme="majorBidi" w:cs="Times New Roman"/>
          <w:sz w:val="26"/>
          <w:szCs w:val="26"/>
          <w:rtl/>
        </w:rPr>
        <w:t xml:space="preserve"> تبني منظومة شاملة تركز على الاستدامة والثقة الرقمية. </w:t>
      </w:r>
    </w:p>
    <w:p w14:paraId="17F506B6" w14:textId="77777777" w:rsidR="00202E2A" w:rsidRPr="009C6000" w:rsidRDefault="00202E2A" w:rsidP="00202E2A">
      <w:pPr>
        <w:bidi/>
        <w:spacing w:line="240" w:lineRule="auto"/>
        <w:jc w:val="lowKashida"/>
        <w:rPr>
          <w:rFonts w:asciiTheme="majorBidi" w:hAnsiTheme="majorBidi" w:cstheme="majorBidi"/>
          <w:sz w:val="26"/>
          <w:szCs w:val="26"/>
        </w:rPr>
      </w:pPr>
    </w:p>
    <w:p w14:paraId="2E0F37EE" w14:textId="77777777" w:rsidR="00202E2A" w:rsidRPr="00A92155" w:rsidRDefault="00202E2A" w:rsidP="00202E2A">
      <w:pPr>
        <w:bidi/>
        <w:spacing w:line="240" w:lineRule="auto"/>
        <w:jc w:val="center"/>
        <w:rPr>
          <w:rFonts w:asciiTheme="majorBidi" w:hAnsiTheme="majorBidi" w:cs="Times New Roman"/>
          <w:b/>
          <w:bCs/>
          <w:sz w:val="26"/>
          <w:szCs w:val="26"/>
        </w:rPr>
      </w:pPr>
      <w:r w:rsidRPr="00A92155">
        <w:rPr>
          <w:rFonts w:asciiTheme="majorBidi" w:hAnsiTheme="majorBidi" w:cs="Times New Roman"/>
          <w:b/>
          <w:bCs/>
          <w:sz w:val="26"/>
          <w:szCs w:val="26"/>
          <w:rtl/>
        </w:rPr>
        <w:t>جدول المقارنة المباشرة في الأداء الجمركي والضريبي</w:t>
      </w:r>
    </w:p>
    <w:tbl>
      <w:tblPr>
        <w:tblStyle w:val="GridTable5Dark"/>
        <w:tblW w:w="0" w:type="auto"/>
        <w:tblLook w:val="04A0" w:firstRow="1" w:lastRow="0" w:firstColumn="1" w:lastColumn="0" w:noHBand="0" w:noVBand="1"/>
      </w:tblPr>
      <w:tblGrid>
        <w:gridCol w:w="4153"/>
        <w:gridCol w:w="1872"/>
        <w:gridCol w:w="1899"/>
        <w:gridCol w:w="1426"/>
      </w:tblGrid>
      <w:tr w:rsidR="00202E2A" w:rsidRPr="00A92155" w14:paraId="4ADC3654" w14:textId="77777777" w:rsidTr="00A6249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E167B3" w14:textId="77777777" w:rsidR="00202E2A" w:rsidRPr="00A92155" w:rsidRDefault="00202E2A" w:rsidP="00A62496">
            <w:pPr>
              <w:bidi/>
              <w:spacing w:after="160"/>
              <w:jc w:val="center"/>
              <w:rPr>
                <w:rFonts w:ascii="Times New Roman" w:hAnsi="Times New Roman" w:cs="Times New Roman"/>
                <w:sz w:val="26"/>
                <w:szCs w:val="26"/>
              </w:rPr>
            </w:pPr>
            <w:r w:rsidRPr="00A92155">
              <w:rPr>
                <w:rFonts w:ascii="Times New Roman" w:hAnsi="Times New Roman" w:cs="Times New Roman"/>
                <w:sz w:val="26"/>
                <w:szCs w:val="26"/>
                <w:rtl/>
              </w:rPr>
              <w:t>المؤشر الكمي والكيفي</w:t>
            </w:r>
          </w:p>
        </w:tc>
        <w:tc>
          <w:tcPr>
            <w:tcW w:w="0" w:type="auto"/>
            <w:hideMark/>
          </w:tcPr>
          <w:p w14:paraId="1A540763" w14:textId="77777777" w:rsidR="00202E2A" w:rsidRPr="00A92155" w:rsidRDefault="00202E2A" w:rsidP="00A62496">
            <w:pPr>
              <w:bidi/>
              <w:spacing w:after="16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 xml:space="preserve">ZATCA </w:t>
            </w:r>
            <w:r w:rsidRPr="00A92155">
              <w:rPr>
                <w:rFonts w:ascii="Times New Roman" w:hAnsi="Times New Roman" w:cs="Times New Roman"/>
                <w:sz w:val="26"/>
                <w:szCs w:val="26"/>
                <w:rtl/>
              </w:rPr>
              <w:t>السعودية</w:t>
            </w:r>
          </w:p>
        </w:tc>
        <w:tc>
          <w:tcPr>
            <w:tcW w:w="0" w:type="auto"/>
            <w:hideMark/>
          </w:tcPr>
          <w:p w14:paraId="24AC0DC6" w14:textId="77777777" w:rsidR="00202E2A" w:rsidRPr="00A92155" w:rsidRDefault="00202E2A" w:rsidP="00A62496">
            <w:pPr>
              <w:bidi/>
              <w:spacing w:after="16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 xml:space="preserve">FTA </w:t>
            </w:r>
            <w:r w:rsidRPr="00A92155">
              <w:rPr>
                <w:rFonts w:ascii="Times New Roman" w:hAnsi="Times New Roman" w:cs="Times New Roman"/>
                <w:sz w:val="26"/>
                <w:szCs w:val="26"/>
                <w:rtl/>
              </w:rPr>
              <w:t>الإمارات</w:t>
            </w:r>
          </w:p>
        </w:tc>
        <w:tc>
          <w:tcPr>
            <w:tcW w:w="0" w:type="auto"/>
            <w:hideMark/>
          </w:tcPr>
          <w:p w14:paraId="7799303B" w14:textId="77777777" w:rsidR="00202E2A" w:rsidRPr="00A92155" w:rsidRDefault="00202E2A" w:rsidP="00A62496">
            <w:pPr>
              <w:bidi/>
              <w:spacing w:after="16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tl/>
              </w:rPr>
              <w:t>الجهة المتفوقة</w:t>
            </w:r>
          </w:p>
        </w:tc>
      </w:tr>
      <w:tr w:rsidR="00202E2A" w:rsidRPr="00A92155" w14:paraId="0BF66F4E" w14:textId="77777777" w:rsidTr="00A624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1D07C2" w14:textId="77777777" w:rsidR="00202E2A" w:rsidRPr="00A92155" w:rsidRDefault="00202E2A" w:rsidP="00A62496">
            <w:pPr>
              <w:bidi/>
              <w:spacing w:after="160"/>
              <w:jc w:val="center"/>
              <w:rPr>
                <w:rFonts w:ascii="Times New Roman" w:hAnsi="Times New Roman" w:cs="Times New Roman"/>
                <w:sz w:val="26"/>
                <w:szCs w:val="26"/>
              </w:rPr>
            </w:pPr>
            <w:r w:rsidRPr="00A92155">
              <w:rPr>
                <w:rFonts w:ascii="Times New Roman" w:hAnsi="Times New Roman" w:cs="Times New Roman"/>
                <w:sz w:val="26"/>
                <w:szCs w:val="26"/>
                <w:rtl/>
              </w:rPr>
              <w:t>نسبة النضج الرقمي الجمركي</w:t>
            </w:r>
            <w:r w:rsidRPr="00A92155">
              <w:rPr>
                <w:rFonts w:ascii="Times New Roman" w:hAnsi="Times New Roman" w:cs="Times New Roman"/>
                <w:sz w:val="26"/>
                <w:szCs w:val="26"/>
              </w:rPr>
              <w:t xml:space="preserve"> (WCO 2025)</w:t>
            </w:r>
          </w:p>
        </w:tc>
        <w:tc>
          <w:tcPr>
            <w:tcW w:w="0" w:type="auto"/>
            <w:hideMark/>
          </w:tcPr>
          <w:p w14:paraId="5DBF961C" w14:textId="77777777" w:rsidR="00202E2A" w:rsidRPr="00A92155" w:rsidRDefault="00202E2A" w:rsidP="00A62496">
            <w:pPr>
              <w:bidi/>
              <w:spacing w:after="1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93.4%</w:t>
            </w:r>
          </w:p>
        </w:tc>
        <w:tc>
          <w:tcPr>
            <w:tcW w:w="0" w:type="auto"/>
            <w:hideMark/>
          </w:tcPr>
          <w:p w14:paraId="19EE9B19" w14:textId="77777777" w:rsidR="00202E2A" w:rsidRPr="00A92155" w:rsidRDefault="00202E2A" w:rsidP="00A62496">
            <w:pPr>
              <w:bidi/>
              <w:spacing w:after="1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91.2%</w:t>
            </w:r>
          </w:p>
        </w:tc>
        <w:tc>
          <w:tcPr>
            <w:tcW w:w="0" w:type="auto"/>
            <w:hideMark/>
          </w:tcPr>
          <w:p w14:paraId="71C0C946" w14:textId="77777777" w:rsidR="00202E2A" w:rsidRPr="00A92155" w:rsidRDefault="00202E2A" w:rsidP="00A62496">
            <w:pPr>
              <w:bidi/>
              <w:spacing w:after="1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ZATCA</w:t>
            </w:r>
          </w:p>
        </w:tc>
      </w:tr>
      <w:tr w:rsidR="00202E2A" w:rsidRPr="00A92155" w14:paraId="742F467C" w14:textId="77777777" w:rsidTr="00A62496">
        <w:tc>
          <w:tcPr>
            <w:cnfStyle w:val="001000000000" w:firstRow="0" w:lastRow="0" w:firstColumn="1" w:lastColumn="0" w:oddVBand="0" w:evenVBand="0" w:oddHBand="0" w:evenHBand="0" w:firstRowFirstColumn="0" w:firstRowLastColumn="0" w:lastRowFirstColumn="0" w:lastRowLastColumn="0"/>
            <w:tcW w:w="0" w:type="auto"/>
            <w:hideMark/>
          </w:tcPr>
          <w:p w14:paraId="0818B3F8" w14:textId="77777777" w:rsidR="00202E2A" w:rsidRPr="00A92155" w:rsidRDefault="00202E2A" w:rsidP="00A62496">
            <w:pPr>
              <w:bidi/>
              <w:spacing w:after="160"/>
              <w:jc w:val="center"/>
              <w:rPr>
                <w:rFonts w:ascii="Times New Roman" w:hAnsi="Times New Roman" w:cs="Times New Roman"/>
                <w:sz w:val="26"/>
                <w:szCs w:val="26"/>
              </w:rPr>
            </w:pPr>
            <w:r w:rsidRPr="00A92155">
              <w:rPr>
                <w:rFonts w:ascii="Times New Roman" w:hAnsi="Times New Roman" w:cs="Times New Roman"/>
                <w:sz w:val="26"/>
                <w:szCs w:val="26"/>
                <w:rtl/>
              </w:rPr>
              <w:t>متوسط زمن التخليص الجمركي</w:t>
            </w:r>
          </w:p>
        </w:tc>
        <w:tc>
          <w:tcPr>
            <w:tcW w:w="0" w:type="auto"/>
            <w:hideMark/>
          </w:tcPr>
          <w:p w14:paraId="36BCE026" w14:textId="77777777" w:rsidR="00202E2A" w:rsidRPr="00A92155" w:rsidRDefault="00202E2A" w:rsidP="00A62496">
            <w:pPr>
              <w:bidi/>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 xml:space="preserve">4.1 </w:t>
            </w:r>
            <w:r w:rsidRPr="00A92155">
              <w:rPr>
                <w:rFonts w:ascii="Times New Roman" w:hAnsi="Times New Roman" w:cs="Times New Roman"/>
                <w:sz w:val="26"/>
                <w:szCs w:val="26"/>
                <w:rtl/>
              </w:rPr>
              <w:t>ساعات</w:t>
            </w:r>
          </w:p>
        </w:tc>
        <w:tc>
          <w:tcPr>
            <w:tcW w:w="0" w:type="auto"/>
            <w:hideMark/>
          </w:tcPr>
          <w:p w14:paraId="06EFEE58" w14:textId="77777777" w:rsidR="00202E2A" w:rsidRPr="00A92155" w:rsidRDefault="00202E2A" w:rsidP="00A62496">
            <w:pPr>
              <w:bidi/>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 xml:space="preserve">5.8 </w:t>
            </w:r>
            <w:r w:rsidRPr="00A92155">
              <w:rPr>
                <w:rFonts w:ascii="Times New Roman" w:hAnsi="Times New Roman" w:cs="Times New Roman"/>
                <w:sz w:val="26"/>
                <w:szCs w:val="26"/>
                <w:rtl/>
              </w:rPr>
              <w:t>ساعات</w:t>
            </w:r>
          </w:p>
        </w:tc>
        <w:tc>
          <w:tcPr>
            <w:tcW w:w="0" w:type="auto"/>
            <w:hideMark/>
          </w:tcPr>
          <w:p w14:paraId="3D9765F5" w14:textId="77777777" w:rsidR="00202E2A" w:rsidRPr="00A92155" w:rsidRDefault="00202E2A" w:rsidP="00A62496">
            <w:pPr>
              <w:bidi/>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ZATCA</w:t>
            </w:r>
          </w:p>
        </w:tc>
      </w:tr>
      <w:tr w:rsidR="00202E2A" w:rsidRPr="00A92155" w14:paraId="43107DEA" w14:textId="77777777" w:rsidTr="00A624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B0051F" w14:textId="77777777" w:rsidR="00202E2A" w:rsidRPr="00A92155" w:rsidRDefault="00202E2A" w:rsidP="00A62496">
            <w:pPr>
              <w:bidi/>
              <w:spacing w:after="160"/>
              <w:jc w:val="center"/>
              <w:rPr>
                <w:rFonts w:ascii="Times New Roman" w:hAnsi="Times New Roman" w:cs="Times New Roman"/>
                <w:sz w:val="26"/>
                <w:szCs w:val="26"/>
              </w:rPr>
            </w:pPr>
            <w:r w:rsidRPr="00A92155">
              <w:rPr>
                <w:rFonts w:ascii="Times New Roman" w:hAnsi="Times New Roman" w:cs="Times New Roman"/>
                <w:sz w:val="26"/>
                <w:szCs w:val="26"/>
                <w:rtl/>
              </w:rPr>
              <w:t>نسبة كشف التهريب والتهرب الضريبي</w:t>
            </w:r>
          </w:p>
        </w:tc>
        <w:tc>
          <w:tcPr>
            <w:tcW w:w="0" w:type="auto"/>
            <w:hideMark/>
          </w:tcPr>
          <w:p w14:paraId="7FC15CAF" w14:textId="77777777" w:rsidR="00202E2A" w:rsidRPr="00A92155" w:rsidRDefault="00202E2A" w:rsidP="00A62496">
            <w:pPr>
              <w:bidi/>
              <w:spacing w:after="1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tl/>
              </w:rPr>
              <w:t>زيادة 67</w:t>
            </w:r>
            <w:r w:rsidRPr="00A92155">
              <w:rPr>
                <w:rFonts w:ascii="Times New Roman" w:hAnsi="Times New Roman" w:cs="Times New Roman"/>
                <w:sz w:val="26"/>
                <w:szCs w:val="26"/>
              </w:rPr>
              <w:t>%</w:t>
            </w:r>
          </w:p>
        </w:tc>
        <w:tc>
          <w:tcPr>
            <w:tcW w:w="0" w:type="auto"/>
            <w:hideMark/>
          </w:tcPr>
          <w:p w14:paraId="380DB164" w14:textId="77777777" w:rsidR="00202E2A" w:rsidRPr="00A92155" w:rsidRDefault="00202E2A" w:rsidP="00A62496">
            <w:pPr>
              <w:bidi/>
              <w:spacing w:after="1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tl/>
              </w:rPr>
              <w:t>زيادة 52</w:t>
            </w:r>
            <w:r w:rsidRPr="00A92155">
              <w:rPr>
                <w:rFonts w:ascii="Times New Roman" w:hAnsi="Times New Roman" w:cs="Times New Roman"/>
                <w:sz w:val="26"/>
                <w:szCs w:val="26"/>
              </w:rPr>
              <w:t>%</w:t>
            </w:r>
          </w:p>
        </w:tc>
        <w:tc>
          <w:tcPr>
            <w:tcW w:w="0" w:type="auto"/>
            <w:hideMark/>
          </w:tcPr>
          <w:p w14:paraId="005B2113" w14:textId="77777777" w:rsidR="00202E2A" w:rsidRPr="00A92155" w:rsidRDefault="00202E2A" w:rsidP="00A62496">
            <w:pPr>
              <w:bidi/>
              <w:spacing w:after="1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ZATCA</w:t>
            </w:r>
          </w:p>
        </w:tc>
      </w:tr>
      <w:tr w:rsidR="00202E2A" w:rsidRPr="00A92155" w14:paraId="4D9A8A0D" w14:textId="77777777" w:rsidTr="00A62496">
        <w:tc>
          <w:tcPr>
            <w:cnfStyle w:val="001000000000" w:firstRow="0" w:lastRow="0" w:firstColumn="1" w:lastColumn="0" w:oddVBand="0" w:evenVBand="0" w:oddHBand="0" w:evenHBand="0" w:firstRowFirstColumn="0" w:firstRowLastColumn="0" w:lastRowFirstColumn="0" w:lastRowLastColumn="0"/>
            <w:tcW w:w="0" w:type="auto"/>
            <w:hideMark/>
          </w:tcPr>
          <w:p w14:paraId="6ABB53B2" w14:textId="77777777" w:rsidR="00202E2A" w:rsidRPr="00A92155" w:rsidRDefault="00202E2A" w:rsidP="00A62496">
            <w:pPr>
              <w:bidi/>
              <w:spacing w:after="160"/>
              <w:jc w:val="center"/>
              <w:rPr>
                <w:rFonts w:ascii="Times New Roman" w:hAnsi="Times New Roman" w:cs="Times New Roman"/>
                <w:sz w:val="26"/>
                <w:szCs w:val="26"/>
              </w:rPr>
            </w:pPr>
            <w:r w:rsidRPr="00A92155">
              <w:rPr>
                <w:rFonts w:ascii="Times New Roman" w:hAnsi="Times New Roman" w:cs="Times New Roman"/>
                <w:sz w:val="26"/>
                <w:szCs w:val="26"/>
                <w:rtl/>
              </w:rPr>
              <w:t>الزيادة في الإيرادات الضريبية</w:t>
            </w:r>
          </w:p>
        </w:tc>
        <w:tc>
          <w:tcPr>
            <w:tcW w:w="0" w:type="auto"/>
            <w:hideMark/>
          </w:tcPr>
          <w:p w14:paraId="2F86CC26" w14:textId="77777777" w:rsidR="00202E2A" w:rsidRPr="00A92155" w:rsidRDefault="00202E2A" w:rsidP="00A62496">
            <w:pPr>
              <w:bidi/>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+28.7%</w:t>
            </w:r>
          </w:p>
        </w:tc>
        <w:tc>
          <w:tcPr>
            <w:tcW w:w="0" w:type="auto"/>
            <w:hideMark/>
          </w:tcPr>
          <w:p w14:paraId="6152AAA4" w14:textId="77777777" w:rsidR="00202E2A" w:rsidRPr="00A92155" w:rsidRDefault="00202E2A" w:rsidP="00A62496">
            <w:pPr>
              <w:bidi/>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+19.4%</w:t>
            </w:r>
          </w:p>
        </w:tc>
        <w:tc>
          <w:tcPr>
            <w:tcW w:w="0" w:type="auto"/>
            <w:hideMark/>
          </w:tcPr>
          <w:p w14:paraId="3B693171" w14:textId="77777777" w:rsidR="00202E2A" w:rsidRPr="00A92155" w:rsidRDefault="00202E2A" w:rsidP="00A62496">
            <w:pPr>
              <w:bidi/>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ZATCA</w:t>
            </w:r>
          </w:p>
        </w:tc>
      </w:tr>
      <w:tr w:rsidR="00202E2A" w:rsidRPr="00A92155" w14:paraId="5166DDDD" w14:textId="77777777" w:rsidTr="00A624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AEF1EF" w14:textId="77777777" w:rsidR="00202E2A" w:rsidRPr="00A92155" w:rsidRDefault="00202E2A" w:rsidP="00A62496">
            <w:pPr>
              <w:bidi/>
              <w:spacing w:after="160"/>
              <w:jc w:val="center"/>
              <w:rPr>
                <w:rFonts w:ascii="Times New Roman" w:hAnsi="Times New Roman" w:cs="Times New Roman"/>
                <w:sz w:val="26"/>
                <w:szCs w:val="26"/>
              </w:rPr>
            </w:pPr>
            <w:r w:rsidRPr="00A92155">
              <w:rPr>
                <w:rFonts w:ascii="Times New Roman" w:hAnsi="Times New Roman" w:cs="Times New Roman"/>
                <w:sz w:val="26"/>
                <w:szCs w:val="26"/>
                <w:rtl/>
              </w:rPr>
              <w:t>جاهزية التشفير ما بعد الكم</w:t>
            </w:r>
            <w:r w:rsidRPr="00A92155">
              <w:rPr>
                <w:rFonts w:ascii="Times New Roman" w:hAnsi="Times New Roman" w:cs="Times New Roman"/>
                <w:sz w:val="26"/>
                <w:szCs w:val="26"/>
              </w:rPr>
              <w:t xml:space="preserve"> (Post-Quantum)</w:t>
            </w:r>
          </w:p>
        </w:tc>
        <w:tc>
          <w:tcPr>
            <w:tcW w:w="0" w:type="auto"/>
            <w:hideMark/>
          </w:tcPr>
          <w:p w14:paraId="1E84362B" w14:textId="77777777" w:rsidR="00202E2A" w:rsidRPr="00A92155" w:rsidRDefault="00202E2A" w:rsidP="00A62496">
            <w:pPr>
              <w:bidi/>
              <w:spacing w:after="1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89%</w:t>
            </w:r>
          </w:p>
        </w:tc>
        <w:tc>
          <w:tcPr>
            <w:tcW w:w="0" w:type="auto"/>
            <w:hideMark/>
          </w:tcPr>
          <w:p w14:paraId="511EC904" w14:textId="77777777" w:rsidR="00202E2A" w:rsidRPr="00A92155" w:rsidRDefault="00202E2A" w:rsidP="00A62496">
            <w:pPr>
              <w:bidi/>
              <w:spacing w:after="1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81%</w:t>
            </w:r>
          </w:p>
        </w:tc>
        <w:tc>
          <w:tcPr>
            <w:tcW w:w="0" w:type="auto"/>
            <w:hideMark/>
          </w:tcPr>
          <w:p w14:paraId="25127D8A" w14:textId="77777777" w:rsidR="00202E2A" w:rsidRPr="00A92155" w:rsidRDefault="00202E2A" w:rsidP="00A62496">
            <w:pPr>
              <w:bidi/>
              <w:spacing w:after="1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ZATCA</w:t>
            </w:r>
          </w:p>
        </w:tc>
      </w:tr>
      <w:tr w:rsidR="00202E2A" w:rsidRPr="00A92155" w14:paraId="138E162B" w14:textId="77777777" w:rsidTr="00A62496">
        <w:tc>
          <w:tcPr>
            <w:cnfStyle w:val="001000000000" w:firstRow="0" w:lastRow="0" w:firstColumn="1" w:lastColumn="0" w:oddVBand="0" w:evenVBand="0" w:oddHBand="0" w:evenHBand="0" w:firstRowFirstColumn="0" w:firstRowLastColumn="0" w:lastRowFirstColumn="0" w:lastRowLastColumn="0"/>
            <w:tcW w:w="0" w:type="auto"/>
            <w:hideMark/>
          </w:tcPr>
          <w:p w14:paraId="725A531B" w14:textId="77777777" w:rsidR="00202E2A" w:rsidRPr="00A92155" w:rsidRDefault="00202E2A" w:rsidP="00A62496">
            <w:pPr>
              <w:bidi/>
              <w:spacing w:after="160"/>
              <w:jc w:val="center"/>
              <w:rPr>
                <w:rFonts w:ascii="Times New Roman" w:hAnsi="Times New Roman" w:cs="Times New Roman"/>
                <w:sz w:val="26"/>
                <w:szCs w:val="26"/>
              </w:rPr>
            </w:pPr>
            <w:r w:rsidRPr="00A92155">
              <w:rPr>
                <w:rFonts w:ascii="Times New Roman" w:hAnsi="Times New Roman" w:cs="Times New Roman"/>
                <w:sz w:val="26"/>
                <w:szCs w:val="26"/>
                <w:rtl/>
              </w:rPr>
              <w:t>مستوى الثقة الرقمية والخصوصية</w:t>
            </w:r>
          </w:p>
        </w:tc>
        <w:tc>
          <w:tcPr>
            <w:tcW w:w="0" w:type="auto"/>
            <w:hideMark/>
          </w:tcPr>
          <w:p w14:paraId="0E331B43" w14:textId="77777777" w:rsidR="00202E2A" w:rsidRPr="00A92155" w:rsidRDefault="00202E2A" w:rsidP="00A62496">
            <w:pPr>
              <w:bidi/>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89%</w:t>
            </w:r>
          </w:p>
        </w:tc>
        <w:tc>
          <w:tcPr>
            <w:tcW w:w="0" w:type="auto"/>
            <w:hideMark/>
          </w:tcPr>
          <w:p w14:paraId="59A994E8" w14:textId="77777777" w:rsidR="00202E2A" w:rsidRPr="00A92155" w:rsidRDefault="00202E2A" w:rsidP="00A62496">
            <w:pPr>
              <w:bidi/>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96%</w:t>
            </w:r>
          </w:p>
        </w:tc>
        <w:tc>
          <w:tcPr>
            <w:tcW w:w="0" w:type="auto"/>
            <w:hideMark/>
          </w:tcPr>
          <w:p w14:paraId="59C271A1" w14:textId="77777777" w:rsidR="00202E2A" w:rsidRPr="00A92155" w:rsidRDefault="00202E2A" w:rsidP="00A62496">
            <w:pPr>
              <w:bidi/>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FTA</w:t>
            </w:r>
          </w:p>
        </w:tc>
      </w:tr>
      <w:tr w:rsidR="00202E2A" w:rsidRPr="00A92155" w14:paraId="136FECFD" w14:textId="77777777" w:rsidTr="00A624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F51995" w14:textId="77777777" w:rsidR="00202E2A" w:rsidRPr="00A92155" w:rsidRDefault="00202E2A" w:rsidP="00A62496">
            <w:pPr>
              <w:bidi/>
              <w:spacing w:after="160"/>
              <w:jc w:val="center"/>
              <w:rPr>
                <w:rFonts w:ascii="Times New Roman" w:hAnsi="Times New Roman" w:cs="Times New Roman"/>
                <w:sz w:val="26"/>
                <w:szCs w:val="26"/>
              </w:rPr>
            </w:pPr>
            <w:r w:rsidRPr="00A92155">
              <w:rPr>
                <w:rFonts w:ascii="Times New Roman" w:hAnsi="Times New Roman" w:cs="Times New Roman"/>
                <w:sz w:val="26"/>
                <w:szCs w:val="26"/>
                <w:rtl/>
              </w:rPr>
              <w:t>درجة التكامل مع القطاع الخاص</w:t>
            </w:r>
          </w:p>
        </w:tc>
        <w:tc>
          <w:tcPr>
            <w:tcW w:w="0" w:type="auto"/>
            <w:hideMark/>
          </w:tcPr>
          <w:p w14:paraId="71E3382D" w14:textId="77777777" w:rsidR="00202E2A" w:rsidRPr="00A92155" w:rsidRDefault="00202E2A" w:rsidP="00A62496">
            <w:pPr>
              <w:bidi/>
              <w:spacing w:after="1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91%</w:t>
            </w:r>
          </w:p>
        </w:tc>
        <w:tc>
          <w:tcPr>
            <w:tcW w:w="0" w:type="auto"/>
            <w:hideMark/>
          </w:tcPr>
          <w:p w14:paraId="34EF0864" w14:textId="77777777" w:rsidR="00202E2A" w:rsidRPr="00A92155" w:rsidRDefault="00202E2A" w:rsidP="00A62496">
            <w:pPr>
              <w:bidi/>
              <w:spacing w:after="1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94%</w:t>
            </w:r>
          </w:p>
        </w:tc>
        <w:tc>
          <w:tcPr>
            <w:tcW w:w="0" w:type="auto"/>
            <w:hideMark/>
          </w:tcPr>
          <w:p w14:paraId="5121A97C" w14:textId="77777777" w:rsidR="00202E2A" w:rsidRPr="00A92155" w:rsidRDefault="00202E2A" w:rsidP="00A62496">
            <w:pPr>
              <w:bidi/>
              <w:spacing w:after="1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FTA</w:t>
            </w:r>
          </w:p>
        </w:tc>
      </w:tr>
      <w:tr w:rsidR="00202E2A" w:rsidRPr="00A92155" w14:paraId="609C3FAF" w14:textId="77777777" w:rsidTr="00A62496">
        <w:tc>
          <w:tcPr>
            <w:cnfStyle w:val="001000000000" w:firstRow="0" w:lastRow="0" w:firstColumn="1" w:lastColumn="0" w:oddVBand="0" w:evenVBand="0" w:oddHBand="0" w:evenHBand="0" w:firstRowFirstColumn="0" w:firstRowLastColumn="0" w:lastRowFirstColumn="0" w:lastRowLastColumn="0"/>
            <w:tcW w:w="0" w:type="auto"/>
            <w:hideMark/>
          </w:tcPr>
          <w:p w14:paraId="47E371D0" w14:textId="77777777" w:rsidR="00202E2A" w:rsidRPr="00A92155" w:rsidRDefault="00202E2A" w:rsidP="00A62496">
            <w:pPr>
              <w:bidi/>
              <w:spacing w:after="160"/>
              <w:jc w:val="center"/>
              <w:rPr>
                <w:rFonts w:ascii="Times New Roman" w:hAnsi="Times New Roman" w:cs="Times New Roman"/>
                <w:sz w:val="26"/>
                <w:szCs w:val="26"/>
              </w:rPr>
            </w:pPr>
            <w:r w:rsidRPr="00A92155">
              <w:rPr>
                <w:rFonts w:ascii="Times New Roman" w:hAnsi="Times New Roman" w:cs="Times New Roman"/>
                <w:sz w:val="26"/>
                <w:szCs w:val="26"/>
                <w:rtl/>
              </w:rPr>
              <w:t>الترتيب العالمي في تقرير</w:t>
            </w:r>
            <w:r w:rsidRPr="00A92155">
              <w:rPr>
                <w:rFonts w:ascii="Times New Roman" w:hAnsi="Times New Roman" w:cs="Times New Roman"/>
                <w:sz w:val="26"/>
                <w:szCs w:val="26"/>
              </w:rPr>
              <w:t xml:space="preserve"> Customs 4.0</w:t>
            </w:r>
          </w:p>
        </w:tc>
        <w:tc>
          <w:tcPr>
            <w:tcW w:w="0" w:type="auto"/>
            <w:hideMark/>
          </w:tcPr>
          <w:p w14:paraId="7B921279" w14:textId="77777777" w:rsidR="00202E2A" w:rsidRPr="00A92155" w:rsidRDefault="00202E2A" w:rsidP="00A62496">
            <w:pPr>
              <w:bidi/>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tl/>
              </w:rPr>
              <w:t>المرتبة الرابعة</w:t>
            </w:r>
          </w:p>
        </w:tc>
        <w:tc>
          <w:tcPr>
            <w:tcW w:w="0" w:type="auto"/>
            <w:hideMark/>
          </w:tcPr>
          <w:p w14:paraId="2DDBAAF6" w14:textId="77777777" w:rsidR="00202E2A" w:rsidRPr="00A92155" w:rsidRDefault="00202E2A" w:rsidP="00A62496">
            <w:pPr>
              <w:bidi/>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tl/>
              </w:rPr>
              <w:t>المرتبة السابعة إقليمياً</w:t>
            </w:r>
          </w:p>
        </w:tc>
        <w:tc>
          <w:tcPr>
            <w:tcW w:w="0" w:type="auto"/>
            <w:hideMark/>
          </w:tcPr>
          <w:p w14:paraId="5F3A74B5" w14:textId="77777777" w:rsidR="00202E2A" w:rsidRPr="00A92155" w:rsidRDefault="00202E2A" w:rsidP="00A62496">
            <w:pPr>
              <w:bidi/>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ZATCA</w:t>
            </w:r>
          </w:p>
        </w:tc>
      </w:tr>
    </w:tbl>
    <w:p w14:paraId="6544070C" w14:textId="77777777" w:rsidR="00202E2A" w:rsidRPr="009C6000" w:rsidRDefault="00202E2A" w:rsidP="00202E2A">
      <w:pPr>
        <w:bidi/>
        <w:spacing w:line="240" w:lineRule="auto"/>
        <w:jc w:val="lowKashida"/>
        <w:rPr>
          <w:rFonts w:asciiTheme="majorBidi" w:hAnsiTheme="majorBidi" w:cs="Times New Roman"/>
          <w:b/>
          <w:bCs/>
          <w:rtl/>
        </w:rPr>
      </w:pPr>
      <w:r w:rsidRPr="009C6000">
        <w:rPr>
          <w:rFonts w:asciiTheme="majorBidi" w:hAnsiTheme="majorBidi" w:cs="Times New Roman" w:hint="cs"/>
          <w:b/>
          <w:bCs/>
          <w:rtl/>
        </w:rPr>
        <w:t>المصدر: إعداد الباحث وفقاً للتقارير السابق</w:t>
      </w:r>
      <w:r w:rsidRPr="009C6000">
        <w:rPr>
          <w:rFonts w:asciiTheme="majorBidi" w:hAnsiTheme="majorBidi" w:cs="Times New Roman" w:hint="eastAsia"/>
          <w:b/>
          <w:bCs/>
          <w:rtl/>
        </w:rPr>
        <w:t>ة</w:t>
      </w:r>
      <w:r w:rsidRPr="009C6000">
        <w:rPr>
          <w:rFonts w:asciiTheme="majorBidi" w:hAnsiTheme="majorBidi" w:cs="Times New Roman" w:hint="cs"/>
          <w:b/>
          <w:bCs/>
          <w:rtl/>
        </w:rPr>
        <w:t>.</w:t>
      </w:r>
    </w:p>
    <w:p w14:paraId="7DCF3577" w14:textId="77777777" w:rsidR="00202E2A" w:rsidRPr="00CA6580" w:rsidRDefault="00202E2A" w:rsidP="00202E2A">
      <w:pPr>
        <w:bidi/>
        <w:spacing w:line="240" w:lineRule="auto"/>
        <w:jc w:val="lowKashida"/>
        <w:rPr>
          <w:rFonts w:asciiTheme="majorBidi" w:hAnsiTheme="majorBidi" w:cs="PT Bold Heading"/>
          <w:sz w:val="26"/>
          <w:szCs w:val="26"/>
        </w:rPr>
      </w:pPr>
      <w:r>
        <w:rPr>
          <w:rFonts w:asciiTheme="majorBidi" w:hAnsiTheme="majorBidi" w:cs="PT Bold Heading" w:hint="cs"/>
          <w:sz w:val="26"/>
          <w:szCs w:val="26"/>
          <w:rtl/>
        </w:rPr>
        <w:t>التحليل</w:t>
      </w:r>
      <w:r w:rsidRPr="00CA6580">
        <w:rPr>
          <w:rFonts w:asciiTheme="majorBidi" w:hAnsiTheme="majorBidi" w:cs="PT Bold Heading"/>
          <w:sz w:val="26"/>
          <w:szCs w:val="26"/>
          <w:rtl/>
        </w:rPr>
        <w:t xml:space="preserve"> التطبيقي:</w:t>
      </w:r>
    </w:p>
    <w:p w14:paraId="11431BD5" w14:textId="77777777" w:rsidR="00202E2A" w:rsidRPr="009C6000" w:rsidRDefault="00202E2A" w:rsidP="00202E2A">
      <w:pPr>
        <w:bidi/>
        <w:spacing w:line="240" w:lineRule="auto"/>
        <w:jc w:val="lowKashida"/>
        <w:rPr>
          <w:rFonts w:asciiTheme="majorBidi" w:hAnsiTheme="majorBidi" w:cstheme="majorBidi"/>
          <w:sz w:val="26"/>
          <w:szCs w:val="26"/>
        </w:rPr>
      </w:pPr>
      <w:r w:rsidRPr="009C6000">
        <w:rPr>
          <w:rFonts w:asciiTheme="majorBidi" w:hAnsiTheme="majorBidi" w:cs="Times New Roman"/>
          <w:sz w:val="26"/>
          <w:szCs w:val="26"/>
          <w:rtl/>
        </w:rPr>
        <w:t>نجحت هيئة الزكاة والضريبة والجمارك (</w:t>
      </w:r>
      <w:r w:rsidRPr="009C6000">
        <w:rPr>
          <w:rFonts w:asciiTheme="majorBidi" w:hAnsiTheme="majorBidi" w:cstheme="majorBidi"/>
          <w:sz w:val="26"/>
          <w:szCs w:val="26"/>
        </w:rPr>
        <w:t>ZATCA</w:t>
      </w:r>
      <w:r w:rsidRPr="009C6000">
        <w:rPr>
          <w:rFonts w:asciiTheme="majorBidi" w:hAnsiTheme="majorBidi" w:cs="Times New Roman"/>
          <w:sz w:val="26"/>
          <w:szCs w:val="26"/>
          <w:rtl/>
        </w:rPr>
        <w:t xml:space="preserve">) في تحويل التحول الرقمي إلى أداة اقتصادية وطنية فعّالة تُحقق تيسير التجارة عبر تعزيز الأمن الجمركي كوسيط أساسي ضمن رؤية 2030، بينما ركزت الهيئة الاتحادية للضرائب </w:t>
      </w:r>
      <w:r w:rsidRPr="009C6000">
        <w:rPr>
          <w:rFonts w:asciiTheme="majorBidi" w:hAnsiTheme="majorBidi" w:cs="Times New Roman"/>
          <w:sz w:val="26"/>
          <w:szCs w:val="26"/>
          <w:rtl/>
        </w:rPr>
        <w:lastRenderedPageBreak/>
        <w:t>(</w:t>
      </w:r>
      <w:r w:rsidRPr="009C6000">
        <w:rPr>
          <w:rFonts w:asciiTheme="majorBidi" w:hAnsiTheme="majorBidi" w:cstheme="majorBidi"/>
          <w:sz w:val="26"/>
          <w:szCs w:val="26"/>
        </w:rPr>
        <w:t>FTA</w:t>
      </w:r>
      <w:r w:rsidRPr="009C6000">
        <w:rPr>
          <w:rFonts w:asciiTheme="majorBidi" w:hAnsiTheme="majorBidi" w:cs="Times New Roman"/>
          <w:sz w:val="26"/>
          <w:szCs w:val="26"/>
          <w:rtl/>
        </w:rPr>
        <w:t>) على بناء منظومة رقمية شاملة ومبتكرة تضمن استدامة الأمن والتجارة على المدى الطويل، مما يجعل النموذجين السعودي والإماراتي مكملين لبعضهما ومرجعاً عالمياً للدول الطامحة للريادة الرقمية.</w:t>
      </w:r>
    </w:p>
    <w:p w14:paraId="568F68C2" w14:textId="77777777" w:rsidR="00202E2A" w:rsidRPr="00CA6580" w:rsidRDefault="00202E2A" w:rsidP="00202E2A">
      <w:pPr>
        <w:bidi/>
        <w:spacing w:line="240" w:lineRule="auto"/>
        <w:jc w:val="lowKashida"/>
        <w:rPr>
          <w:rFonts w:asciiTheme="majorBidi" w:hAnsiTheme="majorBidi" w:cs="PT Bold Heading"/>
          <w:sz w:val="26"/>
          <w:szCs w:val="26"/>
        </w:rPr>
      </w:pPr>
      <w:r w:rsidRPr="00CA6580">
        <w:rPr>
          <w:rFonts w:asciiTheme="majorBidi" w:hAnsiTheme="majorBidi" w:cs="PT Bold Heading"/>
          <w:sz w:val="26"/>
          <w:szCs w:val="26"/>
          <w:rtl/>
        </w:rPr>
        <w:t>2.8.4 الفجوة البحثية</w:t>
      </w:r>
      <w:r>
        <w:rPr>
          <w:rFonts w:asciiTheme="majorBidi" w:hAnsiTheme="majorBidi" w:cs="PT Bold Heading" w:hint="cs"/>
          <w:sz w:val="26"/>
          <w:szCs w:val="26"/>
          <w:rtl/>
        </w:rPr>
        <w:t>:</w:t>
      </w:r>
    </w:p>
    <w:p w14:paraId="56B2C506" w14:textId="77777777" w:rsidR="00202E2A" w:rsidRPr="00624BF3" w:rsidRDefault="00202E2A" w:rsidP="00202E2A">
      <w:pPr>
        <w:bidi/>
        <w:spacing w:line="240" w:lineRule="auto"/>
        <w:jc w:val="lowKashida"/>
        <w:rPr>
          <w:rFonts w:asciiTheme="majorBidi" w:hAnsiTheme="majorBidi" w:cstheme="majorBidi"/>
          <w:b/>
          <w:bCs/>
          <w:sz w:val="26"/>
          <w:szCs w:val="26"/>
        </w:rPr>
      </w:pPr>
      <w:r w:rsidRPr="00624BF3">
        <w:rPr>
          <w:rFonts w:asciiTheme="majorBidi" w:hAnsiTheme="majorBidi" w:cs="Times New Roman"/>
          <w:b/>
          <w:bCs/>
          <w:sz w:val="26"/>
          <w:szCs w:val="26"/>
          <w:rtl/>
        </w:rPr>
        <w:t>رغم التقدم في الدراسات السعودية والإماراتية 2025:</w:t>
      </w:r>
    </w:p>
    <w:p w14:paraId="233D5C43" w14:textId="77777777" w:rsidR="00202E2A" w:rsidRPr="00624BF3" w:rsidRDefault="00202E2A">
      <w:pPr>
        <w:pStyle w:val="ListParagraph"/>
        <w:numPr>
          <w:ilvl w:val="0"/>
          <w:numId w:val="108"/>
        </w:numPr>
        <w:bidi/>
        <w:spacing w:line="240" w:lineRule="auto"/>
        <w:jc w:val="lowKashida"/>
        <w:rPr>
          <w:rFonts w:asciiTheme="majorBidi" w:hAnsiTheme="majorBidi" w:cstheme="majorBidi"/>
          <w:sz w:val="26"/>
          <w:szCs w:val="26"/>
        </w:rPr>
      </w:pPr>
      <w:r w:rsidRPr="00624BF3">
        <w:rPr>
          <w:rFonts w:asciiTheme="majorBidi" w:hAnsiTheme="majorBidi" w:cs="Times New Roman"/>
          <w:sz w:val="26"/>
          <w:szCs w:val="26"/>
          <w:rtl/>
        </w:rPr>
        <w:t xml:space="preserve">لا توجد دراسة ميدانية سعودية تستخدم لاختبار تعزيز الأمن في </w:t>
      </w:r>
      <w:r w:rsidRPr="00624BF3">
        <w:rPr>
          <w:rFonts w:asciiTheme="majorBidi" w:hAnsiTheme="majorBidi" w:cstheme="majorBidi"/>
          <w:sz w:val="26"/>
          <w:szCs w:val="26"/>
        </w:rPr>
        <w:t>ZATCA</w:t>
      </w:r>
      <w:r w:rsidRPr="00624BF3">
        <w:rPr>
          <w:rFonts w:asciiTheme="majorBidi" w:hAnsiTheme="majorBidi" w:cs="Times New Roman"/>
          <w:sz w:val="26"/>
          <w:szCs w:val="26"/>
          <w:rtl/>
        </w:rPr>
        <w:t xml:space="preserve"> بعد </w:t>
      </w:r>
      <w:r w:rsidRPr="00624BF3">
        <w:rPr>
          <w:rFonts w:asciiTheme="majorBidi" w:hAnsiTheme="majorBidi" w:cstheme="majorBidi"/>
          <w:sz w:val="26"/>
          <w:szCs w:val="26"/>
        </w:rPr>
        <w:t>Wave 23-25</w:t>
      </w:r>
      <w:r w:rsidRPr="00624BF3">
        <w:rPr>
          <w:rFonts w:asciiTheme="majorBidi" w:hAnsiTheme="majorBidi" w:cs="Times New Roman"/>
          <w:sz w:val="26"/>
          <w:szCs w:val="26"/>
          <w:rtl/>
        </w:rPr>
        <w:t xml:space="preserve">، مع مقارنة إحصائية مباشرة بـ </w:t>
      </w:r>
      <w:r w:rsidRPr="00624BF3">
        <w:rPr>
          <w:rFonts w:asciiTheme="majorBidi" w:hAnsiTheme="majorBidi" w:cstheme="majorBidi"/>
          <w:sz w:val="26"/>
          <w:szCs w:val="26"/>
        </w:rPr>
        <w:t>FTA</w:t>
      </w:r>
      <w:r w:rsidRPr="00624BF3">
        <w:rPr>
          <w:rFonts w:asciiTheme="majorBidi" w:hAnsiTheme="majorBidi" w:cs="Times New Roman"/>
          <w:sz w:val="26"/>
          <w:szCs w:val="26"/>
          <w:rtl/>
        </w:rPr>
        <w:t>.</w:t>
      </w:r>
    </w:p>
    <w:p w14:paraId="04092B18" w14:textId="77777777" w:rsidR="00202E2A" w:rsidRPr="00624BF3" w:rsidRDefault="00202E2A">
      <w:pPr>
        <w:pStyle w:val="ListParagraph"/>
        <w:numPr>
          <w:ilvl w:val="0"/>
          <w:numId w:val="108"/>
        </w:numPr>
        <w:bidi/>
        <w:spacing w:line="240" w:lineRule="auto"/>
        <w:jc w:val="lowKashida"/>
        <w:rPr>
          <w:rFonts w:asciiTheme="majorBidi" w:hAnsiTheme="majorBidi" w:cstheme="majorBidi"/>
          <w:sz w:val="26"/>
          <w:szCs w:val="26"/>
        </w:rPr>
      </w:pPr>
      <w:r w:rsidRPr="00624BF3">
        <w:rPr>
          <w:rFonts w:asciiTheme="majorBidi" w:hAnsiTheme="majorBidi" w:cs="Times New Roman"/>
          <w:sz w:val="26"/>
          <w:szCs w:val="26"/>
          <w:rtl/>
        </w:rPr>
        <w:t xml:space="preserve">غياب تحليل كمي لبيانات </w:t>
      </w:r>
      <w:r w:rsidRPr="00624BF3">
        <w:rPr>
          <w:rFonts w:asciiTheme="majorBidi" w:hAnsiTheme="majorBidi" w:cstheme="majorBidi"/>
          <w:sz w:val="26"/>
          <w:szCs w:val="26"/>
        </w:rPr>
        <w:t>Fasah</w:t>
      </w:r>
      <w:r w:rsidRPr="00624BF3">
        <w:rPr>
          <w:rFonts w:asciiTheme="majorBidi" w:hAnsiTheme="majorBidi" w:cs="Times New Roman"/>
          <w:sz w:val="26"/>
          <w:szCs w:val="26"/>
          <w:rtl/>
        </w:rPr>
        <w:t xml:space="preserve"> </w:t>
      </w:r>
      <w:r w:rsidRPr="00624BF3">
        <w:rPr>
          <w:rFonts w:asciiTheme="majorBidi" w:hAnsiTheme="majorBidi" w:cstheme="majorBidi"/>
          <w:sz w:val="26"/>
          <w:szCs w:val="26"/>
        </w:rPr>
        <w:t>Post-Quantum</w:t>
      </w:r>
      <w:r w:rsidRPr="00624BF3">
        <w:rPr>
          <w:rFonts w:asciiTheme="majorBidi" w:hAnsiTheme="majorBidi" w:cs="Times New Roman"/>
          <w:sz w:val="26"/>
          <w:szCs w:val="26"/>
          <w:rtl/>
        </w:rPr>
        <w:t xml:space="preserve"> مقارنة بنظام </w:t>
      </w:r>
      <w:r w:rsidRPr="00624BF3">
        <w:rPr>
          <w:rFonts w:asciiTheme="majorBidi" w:hAnsiTheme="majorBidi" w:cstheme="majorBidi"/>
          <w:sz w:val="26"/>
          <w:szCs w:val="26"/>
        </w:rPr>
        <w:t>FTA</w:t>
      </w:r>
      <w:r w:rsidRPr="00624BF3">
        <w:rPr>
          <w:rFonts w:asciiTheme="majorBidi" w:hAnsiTheme="majorBidi" w:cs="Times New Roman"/>
          <w:sz w:val="26"/>
          <w:szCs w:val="26"/>
          <w:rtl/>
        </w:rPr>
        <w:t>.</w:t>
      </w:r>
    </w:p>
    <w:p w14:paraId="6EC6E666" w14:textId="77777777" w:rsidR="00202E2A" w:rsidRPr="00624BF3" w:rsidRDefault="00202E2A">
      <w:pPr>
        <w:pStyle w:val="ListParagraph"/>
        <w:numPr>
          <w:ilvl w:val="0"/>
          <w:numId w:val="108"/>
        </w:numPr>
        <w:bidi/>
        <w:spacing w:line="240" w:lineRule="auto"/>
        <w:jc w:val="lowKashida"/>
        <w:rPr>
          <w:rFonts w:asciiTheme="majorBidi" w:hAnsiTheme="majorBidi" w:cstheme="majorBidi"/>
          <w:sz w:val="26"/>
          <w:szCs w:val="26"/>
        </w:rPr>
      </w:pPr>
      <w:r w:rsidRPr="00624BF3">
        <w:rPr>
          <w:rFonts w:asciiTheme="majorBidi" w:hAnsiTheme="majorBidi" w:cs="Times New Roman"/>
          <w:sz w:val="26"/>
          <w:szCs w:val="26"/>
          <w:rtl/>
        </w:rPr>
        <w:t xml:space="preserve">قلة المقارنات الإحصائية مع </w:t>
      </w:r>
      <w:r w:rsidRPr="00624BF3">
        <w:rPr>
          <w:rFonts w:asciiTheme="majorBidi" w:hAnsiTheme="majorBidi" w:cstheme="majorBidi"/>
          <w:sz w:val="26"/>
          <w:szCs w:val="26"/>
        </w:rPr>
        <w:t>FTA</w:t>
      </w:r>
      <w:r w:rsidRPr="00624BF3">
        <w:rPr>
          <w:rFonts w:asciiTheme="majorBidi" w:hAnsiTheme="majorBidi" w:cs="Times New Roman"/>
          <w:sz w:val="26"/>
          <w:szCs w:val="26"/>
          <w:rtl/>
        </w:rPr>
        <w:t xml:space="preserve"> في </w:t>
      </w:r>
      <w:r w:rsidRPr="00624BF3">
        <w:rPr>
          <w:rFonts w:asciiTheme="majorBidi" w:hAnsiTheme="majorBidi" w:cstheme="majorBidi"/>
          <w:sz w:val="26"/>
          <w:szCs w:val="26"/>
        </w:rPr>
        <w:t>Digital Trust</w:t>
      </w:r>
      <w:r w:rsidRPr="00624BF3">
        <w:rPr>
          <w:rFonts w:asciiTheme="majorBidi" w:hAnsiTheme="majorBidi" w:cs="Times New Roman"/>
          <w:sz w:val="26"/>
          <w:szCs w:val="26"/>
          <w:rtl/>
        </w:rPr>
        <w:t xml:space="preserve"> بعد </w:t>
      </w:r>
      <w:r w:rsidRPr="00624BF3">
        <w:rPr>
          <w:rFonts w:asciiTheme="majorBidi" w:hAnsiTheme="majorBidi" w:cstheme="majorBidi"/>
          <w:sz w:val="26"/>
          <w:szCs w:val="26"/>
        </w:rPr>
        <w:t>VR Training</w:t>
      </w:r>
      <w:r w:rsidRPr="00624BF3">
        <w:rPr>
          <w:rFonts w:asciiTheme="majorBidi" w:hAnsiTheme="majorBidi" w:cs="Times New Roman"/>
          <w:sz w:val="26"/>
          <w:szCs w:val="26"/>
          <w:rtl/>
        </w:rPr>
        <w:t>.</w:t>
      </w:r>
    </w:p>
    <w:p w14:paraId="5F81B71C" w14:textId="77777777" w:rsidR="00202E2A" w:rsidRPr="00624BF3" w:rsidRDefault="00202E2A">
      <w:pPr>
        <w:pStyle w:val="ListParagraph"/>
        <w:numPr>
          <w:ilvl w:val="0"/>
          <w:numId w:val="108"/>
        </w:numPr>
        <w:bidi/>
        <w:spacing w:line="240" w:lineRule="auto"/>
        <w:jc w:val="lowKashida"/>
        <w:rPr>
          <w:rFonts w:asciiTheme="majorBidi" w:hAnsiTheme="majorBidi" w:cstheme="majorBidi"/>
          <w:sz w:val="26"/>
          <w:szCs w:val="26"/>
        </w:rPr>
      </w:pPr>
      <w:r w:rsidRPr="00624BF3">
        <w:rPr>
          <w:rFonts w:asciiTheme="majorBidi" w:hAnsiTheme="majorBidi" w:cs="Times New Roman"/>
          <w:sz w:val="26"/>
          <w:szCs w:val="26"/>
          <w:rtl/>
        </w:rPr>
        <w:t xml:space="preserve">الدراسات تغطي حتى أكتوبر 2025، بينما البحث الحالي يستخدم بيانات نوفمبر 2025 (بعد </w:t>
      </w:r>
      <w:r w:rsidRPr="00624BF3">
        <w:rPr>
          <w:rFonts w:asciiTheme="majorBidi" w:hAnsiTheme="majorBidi" w:cstheme="majorBidi"/>
          <w:sz w:val="26"/>
          <w:szCs w:val="26"/>
        </w:rPr>
        <w:t>Phase 1 Smart Customs</w:t>
      </w:r>
      <w:r w:rsidRPr="00624BF3">
        <w:rPr>
          <w:rFonts w:asciiTheme="majorBidi" w:hAnsiTheme="majorBidi" w:cs="Times New Roman"/>
          <w:sz w:val="26"/>
          <w:szCs w:val="26"/>
          <w:rtl/>
        </w:rPr>
        <w:t>).</w:t>
      </w:r>
    </w:p>
    <w:p w14:paraId="0E5AA848" w14:textId="77777777" w:rsidR="00202E2A" w:rsidRPr="00624BF3" w:rsidRDefault="00202E2A" w:rsidP="00202E2A">
      <w:pPr>
        <w:bidi/>
        <w:spacing w:line="240" w:lineRule="auto"/>
        <w:jc w:val="lowKashida"/>
        <w:rPr>
          <w:rFonts w:asciiTheme="majorBidi" w:hAnsiTheme="majorBidi" w:cs="Times New Roman"/>
          <w:b/>
          <w:bCs/>
          <w:sz w:val="26"/>
          <w:szCs w:val="26"/>
        </w:rPr>
      </w:pPr>
      <w:r w:rsidRPr="00624BF3">
        <w:rPr>
          <w:rFonts w:asciiTheme="majorBidi" w:hAnsiTheme="majorBidi" w:cs="Times New Roman"/>
          <w:b/>
          <w:bCs/>
          <w:sz w:val="26"/>
          <w:szCs w:val="26"/>
          <w:rtl/>
        </w:rPr>
        <w:t>تسد الدراسة الحالية هذه الفجوات بشكل شامل ومنهجي من خلال:</w:t>
      </w:r>
    </w:p>
    <w:p w14:paraId="46F69657" w14:textId="37943A29" w:rsidR="00202E2A" w:rsidRPr="00624BF3" w:rsidRDefault="00202E2A">
      <w:pPr>
        <w:pStyle w:val="ListParagraph"/>
        <w:numPr>
          <w:ilvl w:val="0"/>
          <w:numId w:val="109"/>
        </w:numPr>
        <w:bidi/>
        <w:spacing w:line="240" w:lineRule="auto"/>
        <w:jc w:val="lowKashida"/>
        <w:rPr>
          <w:rFonts w:asciiTheme="majorBidi" w:hAnsiTheme="majorBidi" w:cs="Times New Roman"/>
          <w:sz w:val="26"/>
          <w:szCs w:val="26"/>
        </w:rPr>
      </w:pPr>
      <w:r w:rsidRPr="00624BF3">
        <w:rPr>
          <w:rFonts w:asciiTheme="majorBidi" w:hAnsiTheme="majorBidi" w:cs="Times New Roman"/>
          <w:sz w:val="26"/>
          <w:szCs w:val="26"/>
          <w:rtl/>
        </w:rPr>
        <w:t xml:space="preserve">جمع عينة بحثية واسعة ومتنوعة تضم </w:t>
      </w:r>
      <w:r w:rsidR="0074696B">
        <w:rPr>
          <w:rFonts w:asciiTheme="majorBidi" w:hAnsiTheme="majorBidi" w:cs="Times New Roman" w:hint="cs"/>
          <w:sz w:val="26"/>
          <w:szCs w:val="26"/>
          <w:rtl/>
        </w:rPr>
        <w:t>400</w:t>
      </w:r>
      <w:r w:rsidRPr="00624BF3">
        <w:rPr>
          <w:rFonts w:asciiTheme="majorBidi" w:hAnsiTheme="majorBidi" w:cs="Times New Roman"/>
          <w:sz w:val="26"/>
          <w:szCs w:val="26"/>
          <w:rtl/>
        </w:rPr>
        <w:t xml:space="preserve"> مشاركاً، تشمل موظفي </w:t>
      </w:r>
      <w:r w:rsidRPr="00624BF3">
        <w:rPr>
          <w:rFonts w:asciiTheme="majorBidi" w:hAnsiTheme="majorBidi" w:cs="Times New Roman"/>
          <w:sz w:val="26"/>
          <w:szCs w:val="26"/>
        </w:rPr>
        <w:t>ZATCA</w:t>
      </w:r>
      <w:r w:rsidRPr="00624BF3">
        <w:rPr>
          <w:rFonts w:asciiTheme="majorBidi" w:hAnsiTheme="majorBidi" w:cs="Times New Roman"/>
          <w:sz w:val="26"/>
          <w:szCs w:val="26"/>
          <w:rtl/>
        </w:rPr>
        <w:t xml:space="preserve"> من مختلف الإدارات (الجمارك، الضرائب، الأمن السيبراني)، وتجاراً من القطاع الخاص (شركات صغيرة وكبرى)، وخبراء أكاديميين واستشاريين في التحول الرقمي، مما يضمن تمثيلاً شاملاً لجميع الأطراف المعنية ويعزز مصداقية النتائج وإمكانية تعميمها على الواقع العملي.</w:t>
      </w:r>
    </w:p>
    <w:p w14:paraId="7CF26CAE" w14:textId="77777777" w:rsidR="00202E2A" w:rsidRPr="00624BF3" w:rsidRDefault="00202E2A">
      <w:pPr>
        <w:pStyle w:val="ListParagraph"/>
        <w:numPr>
          <w:ilvl w:val="0"/>
          <w:numId w:val="109"/>
        </w:numPr>
        <w:bidi/>
        <w:spacing w:line="240" w:lineRule="auto"/>
        <w:jc w:val="lowKashida"/>
        <w:rPr>
          <w:rFonts w:asciiTheme="majorBidi" w:hAnsiTheme="majorBidi" w:cs="Times New Roman"/>
          <w:sz w:val="26"/>
          <w:szCs w:val="26"/>
        </w:rPr>
      </w:pPr>
      <w:r w:rsidRPr="00624BF3">
        <w:rPr>
          <w:rFonts w:asciiTheme="majorBidi" w:hAnsiTheme="majorBidi" w:cs="Times New Roman"/>
          <w:sz w:val="26"/>
          <w:szCs w:val="26"/>
          <w:rtl/>
        </w:rPr>
        <w:t xml:space="preserve">اختبار الفرضيات بدقة علمية عالية باستخدام بيانات حية ومحدثة مباشرة من منصات </w:t>
      </w:r>
      <w:r w:rsidRPr="00624BF3">
        <w:rPr>
          <w:rFonts w:asciiTheme="majorBidi" w:hAnsiTheme="majorBidi" w:cs="Times New Roman"/>
          <w:sz w:val="26"/>
          <w:szCs w:val="26"/>
        </w:rPr>
        <w:t>ZATCA</w:t>
      </w:r>
      <w:r w:rsidRPr="00624BF3">
        <w:rPr>
          <w:rFonts w:asciiTheme="majorBidi" w:hAnsiTheme="majorBidi" w:cs="Times New Roman"/>
          <w:sz w:val="26"/>
          <w:szCs w:val="26"/>
          <w:rtl/>
        </w:rPr>
        <w:t xml:space="preserve"> الرسمية، مثل نظام "فسح" للتخليص الجمركي و"فاتورة" للفوترة الإلكترونية، وذلك بعد إطلاق المرحلة الأولى من مبادرة الجمارك الذكية (</w:t>
      </w:r>
      <w:r w:rsidRPr="00624BF3">
        <w:rPr>
          <w:rFonts w:asciiTheme="majorBidi" w:hAnsiTheme="majorBidi" w:cs="Times New Roman"/>
          <w:sz w:val="26"/>
          <w:szCs w:val="26"/>
        </w:rPr>
        <w:t>Phase 1 Smart Customs</w:t>
      </w:r>
      <w:r w:rsidRPr="00624BF3">
        <w:rPr>
          <w:rFonts w:asciiTheme="majorBidi" w:hAnsiTheme="majorBidi" w:cs="Times New Roman"/>
          <w:sz w:val="26"/>
          <w:szCs w:val="26"/>
          <w:rtl/>
        </w:rPr>
        <w:t>) في نوفمبر 2025، مما يتيح قياس التأثير الفعلي للتحديثات الرقمية الأخيرة على تعزيز الأمن (كشف التهريب، منع الهجمات السيبرانية) وتيسير التجارة (تقليل الوقت، خفض التكاليف، زيادة الامتثال).</w:t>
      </w:r>
    </w:p>
    <w:p w14:paraId="7B4050AF" w14:textId="77777777" w:rsidR="00202E2A" w:rsidRPr="00624BF3" w:rsidRDefault="00202E2A">
      <w:pPr>
        <w:pStyle w:val="ListParagraph"/>
        <w:numPr>
          <w:ilvl w:val="0"/>
          <w:numId w:val="109"/>
        </w:numPr>
        <w:bidi/>
        <w:spacing w:line="240" w:lineRule="auto"/>
        <w:jc w:val="lowKashida"/>
        <w:rPr>
          <w:rFonts w:asciiTheme="majorBidi" w:hAnsiTheme="majorBidi" w:cs="Times New Roman"/>
          <w:sz w:val="26"/>
          <w:szCs w:val="26"/>
        </w:rPr>
      </w:pPr>
      <w:r w:rsidRPr="00624BF3">
        <w:rPr>
          <w:rFonts w:asciiTheme="majorBidi" w:hAnsiTheme="majorBidi" w:cs="Times New Roman"/>
          <w:sz w:val="26"/>
          <w:szCs w:val="26"/>
          <w:rtl/>
        </w:rPr>
        <w:t>إجراء مقارنات إحصائية مباشرة ودقيقة مع الهيئة الاتحادية للضرائب (</w:t>
      </w:r>
      <w:r w:rsidRPr="00624BF3">
        <w:rPr>
          <w:rFonts w:asciiTheme="majorBidi" w:hAnsiTheme="majorBidi" w:cs="Times New Roman"/>
          <w:sz w:val="26"/>
          <w:szCs w:val="26"/>
        </w:rPr>
        <w:t>FTA</w:t>
      </w:r>
      <w:r w:rsidRPr="00624BF3">
        <w:rPr>
          <w:rFonts w:asciiTheme="majorBidi" w:hAnsiTheme="majorBidi" w:cs="Times New Roman"/>
          <w:sz w:val="26"/>
          <w:szCs w:val="26"/>
          <w:rtl/>
        </w:rPr>
        <w:t xml:space="preserve">) في الإمارات، بالإضافة إلى خمس هيئات جمركية و ضريبية دولية رائدة (جمارك سنغافورة، إستونيا، كوريا الجنوبية، الاتحاد الأوروبي عبر النافذة الواحدة، وجمارك دبي)، بحيث تُقارن مؤشرات الأداء الرئيسية مثل: زمن التخليص، نسبة الكشف عن المخاطر، مستوى الثقة الرقمية، جاهزية التشفير ما بعد الكم، ودرجة التكامل مع القطاع الخاص، مما يكشف نقاط القوة في </w:t>
      </w:r>
      <w:r w:rsidRPr="00624BF3">
        <w:rPr>
          <w:rFonts w:asciiTheme="majorBidi" w:hAnsiTheme="majorBidi" w:cs="Times New Roman"/>
          <w:sz w:val="26"/>
          <w:szCs w:val="26"/>
        </w:rPr>
        <w:t>ZATCA</w:t>
      </w:r>
      <w:r w:rsidRPr="00624BF3">
        <w:rPr>
          <w:rFonts w:asciiTheme="majorBidi" w:hAnsiTheme="majorBidi" w:cs="Times New Roman"/>
          <w:sz w:val="26"/>
          <w:szCs w:val="26"/>
          <w:rtl/>
        </w:rPr>
        <w:t xml:space="preserve"> ويحدد مجالات التحسين الممكنة من خلال الاستفادة من التجارب العالمية.</w:t>
      </w:r>
    </w:p>
    <w:p w14:paraId="6D6444FB" w14:textId="77777777" w:rsidR="00202E2A" w:rsidRPr="00624BF3" w:rsidRDefault="00202E2A">
      <w:pPr>
        <w:pStyle w:val="ListParagraph"/>
        <w:numPr>
          <w:ilvl w:val="0"/>
          <w:numId w:val="109"/>
        </w:numPr>
        <w:bidi/>
        <w:spacing w:line="240" w:lineRule="auto"/>
        <w:jc w:val="lowKashida"/>
        <w:rPr>
          <w:rFonts w:asciiTheme="majorBidi" w:hAnsiTheme="majorBidi" w:cs="Times New Roman"/>
          <w:sz w:val="26"/>
          <w:szCs w:val="26"/>
        </w:rPr>
      </w:pPr>
      <w:r w:rsidRPr="00624BF3">
        <w:rPr>
          <w:rFonts w:asciiTheme="majorBidi" w:hAnsiTheme="majorBidi" w:cs="Times New Roman"/>
          <w:sz w:val="26"/>
          <w:szCs w:val="26"/>
          <w:rtl/>
        </w:rPr>
        <w:t>اقتراح نموذج نموذج الأمان بالتصميم (</w:t>
      </w:r>
      <w:r w:rsidRPr="00624BF3">
        <w:rPr>
          <w:rFonts w:asciiTheme="majorBidi" w:hAnsiTheme="majorBidi" w:cs="Times New Roman"/>
          <w:sz w:val="26"/>
          <w:szCs w:val="26"/>
        </w:rPr>
        <w:t>Secure-by-Design Model</w:t>
      </w:r>
      <w:r w:rsidRPr="00624BF3">
        <w:rPr>
          <w:rFonts w:asciiTheme="majorBidi" w:hAnsiTheme="majorBidi" w:cs="Times New Roman"/>
          <w:sz w:val="26"/>
          <w:szCs w:val="26"/>
          <w:rtl/>
        </w:rPr>
        <w:t>) الخليجي المبتكر، وهو إطار عملي متكامل وسهل التطبيق يُصمم فيه الأمن السيبراني والجمركي منذ المرحلة الأولى لأي نظام رقمي (وليس كإضافة لاحقة)، بحيث:</w:t>
      </w:r>
    </w:p>
    <w:p w14:paraId="3AB73151" w14:textId="77777777" w:rsidR="00202E2A" w:rsidRPr="00B77C3A" w:rsidRDefault="00202E2A" w:rsidP="00202E2A">
      <w:pPr>
        <w:bidi/>
        <w:spacing w:line="240" w:lineRule="auto"/>
        <w:ind w:left="1440"/>
        <w:jc w:val="lowKashida"/>
        <w:rPr>
          <w:rFonts w:asciiTheme="majorBidi" w:hAnsiTheme="majorBidi" w:cs="Times New Roman"/>
          <w:sz w:val="26"/>
          <w:szCs w:val="26"/>
        </w:rPr>
      </w:pPr>
      <w:r w:rsidRPr="00B77C3A">
        <w:rPr>
          <w:rFonts w:asciiTheme="majorBidi" w:hAnsiTheme="majorBidi" w:cs="Times New Roman"/>
          <w:sz w:val="26"/>
          <w:szCs w:val="26"/>
          <w:rtl/>
        </w:rPr>
        <w:t xml:space="preserve">  - يجمع أفضل ممارسات </w:t>
      </w:r>
      <w:r w:rsidRPr="00B77C3A">
        <w:rPr>
          <w:rFonts w:asciiTheme="majorBidi" w:hAnsiTheme="majorBidi" w:cs="Times New Roman"/>
          <w:sz w:val="26"/>
          <w:szCs w:val="26"/>
        </w:rPr>
        <w:t>ZATCA</w:t>
      </w:r>
      <w:r w:rsidRPr="00B77C3A">
        <w:rPr>
          <w:rFonts w:asciiTheme="majorBidi" w:hAnsiTheme="majorBidi" w:cs="Times New Roman"/>
          <w:sz w:val="26"/>
          <w:szCs w:val="26"/>
          <w:rtl/>
        </w:rPr>
        <w:t>: السرعة الفائقة في التخليص (4.1 ساعات)، التوفير الاقتصادي الكبير (4.2 مليار ريال سنوياً)، والتكامل العميق مع رؤية 2030 من خلال دعم الاقتصاد الرقمي والإيرادات الضريبية.</w:t>
      </w:r>
    </w:p>
    <w:p w14:paraId="20EBCC11" w14:textId="77777777" w:rsidR="00202E2A" w:rsidRPr="00B77C3A" w:rsidRDefault="00202E2A" w:rsidP="00202E2A">
      <w:pPr>
        <w:bidi/>
        <w:spacing w:line="240" w:lineRule="auto"/>
        <w:ind w:left="1440"/>
        <w:jc w:val="lowKashida"/>
        <w:rPr>
          <w:rFonts w:asciiTheme="majorBidi" w:hAnsiTheme="majorBidi" w:cs="Times New Roman"/>
          <w:sz w:val="26"/>
          <w:szCs w:val="26"/>
        </w:rPr>
      </w:pPr>
      <w:r w:rsidRPr="00B77C3A">
        <w:rPr>
          <w:rFonts w:asciiTheme="majorBidi" w:hAnsiTheme="majorBidi" w:cs="Times New Roman"/>
          <w:sz w:val="26"/>
          <w:szCs w:val="26"/>
          <w:rtl/>
        </w:rPr>
        <w:t xml:space="preserve">    - مع أفضل ممارسات </w:t>
      </w:r>
      <w:r w:rsidRPr="00B77C3A">
        <w:rPr>
          <w:rFonts w:asciiTheme="majorBidi" w:hAnsiTheme="majorBidi" w:cs="Times New Roman"/>
          <w:sz w:val="26"/>
          <w:szCs w:val="26"/>
        </w:rPr>
        <w:t>FTA</w:t>
      </w:r>
      <w:r w:rsidRPr="00B77C3A">
        <w:rPr>
          <w:rFonts w:asciiTheme="majorBidi" w:hAnsiTheme="majorBidi" w:cs="Times New Roman"/>
          <w:sz w:val="26"/>
          <w:szCs w:val="26"/>
          <w:rtl/>
        </w:rPr>
        <w:t xml:space="preserve">: مستوى عالٍ من الثقة الرقمية (96%)، حماية الخصوصية وفق معايير </w:t>
      </w:r>
      <w:r w:rsidRPr="00B77C3A">
        <w:rPr>
          <w:rFonts w:asciiTheme="majorBidi" w:hAnsiTheme="majorBidi" w:cs="Times New Roman"/>
          <w:sz w:val="26"/>
          <w:szCs w:val="26"/>
        </w:rPr>
        <w:t>GDPR</w:t>
      </w:r>
      <w:r w:rsidRPr="00B77C3A">
        <w:rPr>
          <w:rFonts w:asciiTheme="majorBidi" w:hAnsiTheme="majorBidi" w:cs="Times New Roman"/>
          <w:sz w:val="26"/>
          <w:szCs w:val="26"/>
          <w:rtl/>
        </w:rPr>
        <w:t xml:space="preserve">، والاستدامة طويلة الأمد من خلال منصات شاملة مثل </w:t>
      </w:r>
      <w:r w:rsidRPr="00B77C3A">
        <w:rPr>
          <w:rFonts w:asciiTheme="majorBidi" w:hAnsiTheme="majorBidi" w:cs="Times New Roman"/>
          <w:sz w:val="26"/>
          <w:szCs w:val="26"/>
        </w:rPr>
        <w:t>TAMM 4.0</w:t>
      </w:r>
      <w:r w:rsidRPr="00B77C3A">
        <w:rPr>
          <w:rFonts w:asciiTheme="majorBidi" w:hAnsiTheme="majorBidi" w:cs="Times New Roman"/>
          <w:sz w:val="26"/>
          <w:szCs w:val="26"/>
          <w:rtl/>
        </w:rPr>
        <w:t>.</w:t>
      </w:r>
    </w:p>
    <w:p w14:paraId="11006146" w14:textId="77777777" w:rsidR="00202E2A" w:rsidRPr="00B77C3A" w:rsidRDefault="00202E2A" w:rsidP="00202E2A">
      <w:pPr>
        <w:bidi/>
        <w:spacing w:line="240" w:lineRule="auto"/>
        <w:ind w:left="1440"/>
        <w:jc w:val="lowKashida"/>
        <w:rPr>
          <w:rFonts w:asciiTheme="majorBidi" w:hAnsiTheme="majorBidi" w:cs="Times New Roman"/>
          <w:sz w:val="26"/>
          <w:szCs w:val="26"/>
        </w:rPr>
      </w:pPr>
      <w:r w:rsidRPr="00B77C3A">
        <w:rPr>
          <w:rFonts w:asciiTheme="majorBidi" w:hAnsiTheme="majorBidi" w:cs="Times New Roman"/>
          <w:sz w:val="26"/>
          <w:szCs w:val="26"/>
          <w:rtl/>
        </w:rPr>
        <w:t xml:space="preserve">    - يُطبق عبر مراحل واضحة: (1) تقييم المخاطر الأمنية قبل تصميم النظام، (2) دمج التشفير ما بعد الكم والبلوكشين في البنية الأساسية، (3) تدريب مستمر باستخدام الواقع الافتراضي، (4) اختبار دوري للأداء والأمان، (5) تحديث تلقائي بناءً على بيانات حية.</w:t>
      </w:r>
    </w:p>
    <w:p w14:paraId="56A07DA4" w14:textId="77777777" w:rsidR="00202E2A" w:rsidRPr="00A92155" w:rsidRDefault="00202E2A" w:rsidP="00202E2A">
      <w:pPr>
        <w:bidi/>
        <w:spacing w:line="240" w:lineRule="auto"/>
        <w:ind w:left="1440"/>
        <w:jc w:val="lowKashida"/>
        <w:rPr>
          <w:rFonts w:asciiTheme="majorBidi" w:hAnsiTheme="majorBidi" w:cstheme="majorBidi"/>
          <w:sz w:val="26"/>
          <w:szCs w:val="26"/>
          <w:rtl/>
        </w:rPr>
      </w:pPr>
      <w:r w:rsidRPr="00B77C3A">
        <w:rPr>
          <w:rFonts w:asciiTheme="majorBidi" w:hAnsiTheme="majorBidi" w:cs="Times New Roman"/>
          <w:sz w:val="26"/>
          <w:szCs w:val="26"/>
          <w:rtl/>
        </w:rPr>
        <w:lastRenderedPageBreak/>
        <w:t xml:space="preserve">    - يُقدم كدليل عملي قابل للتطبيق فوراً في دول مجلس التعاون الخليجي، وكمرجع عالمي للدول الطامحة لتحقيق الريادة الرقمية ضمن رؤى التنمية الوطنية (مثل رؤية 2030، رؤية الإمارات 2031)، مع إمكانية تخصيصه حسب حجم الاقتصاد واحتياجات السوق المحلية.</w:t>
      </w:r>
    </w:p>
    <w:p w14:paraId="1ACA1184" w14:textId="77777777" w:rsidR="007C0017" w:rsidRDefault="007C0017" w:rsidP="007A0B3B">
      <w:pPr>
        <w:pStyle w:val="BlockText"/>
        <w:spacing w:line="360" w:lineRule="auto"/>
        <w:jc w:val="center"/>
        <w:outlineLvl w:val="0"/>
        <w:rPr>
          <w:rFonts w:cs="Simplified Arabic"/>
          <w:b/>
          <w:bCs/>
          <w:sz w:val="144"/>
          <w:szCs w:val="144"/>
          <w:lang w:bidi="ar-EG"/>
        </w:rPr>
      </w:pPr>
    </w:p>
    <w:p w14:paraId="327F462C" w14:textId="77777777" w:rsidR="007C0017" w:rsidRDefault="007C0017" w:rsidP="007A0B3B">
      <w:pPr>
        <w:pStyle w:val="BlockText"/>
        <w:spacing w:line="360" w:lineRule="auto"/>
        <w:jc w:val="center"/>
        <w:outlineLvl w:val="0"/>
        <w:rPr>
          <w:rFonts w:cs="Simplified Arabic"/>
          <w:b/>
          <w:bCs/>
          <w:sz w:val="144"/>
          <w:szCs w:val="144"/>
          <w:lang w:bidi="ar-EG"/>
        </w:rPr>
      </w:pPr>
    </w:p>
    <w:p w14:paraId="281D702A" w14:textId="77777777" w:rsidR="007C0017" w:rsidRDefault="007C0017" w:rsidP="007A0B3B">
      <w:pPr>
        <w:pStyle w:val="BlockText"/>
        <w:spacing w:line="360" w:lineRule="auto"/>
        <w:jc w:val="center"/>
        <w:outlineLvl w:val="0"/>
        <w:rPr>
          <w:rFonts w:cs="Simplified Arabic"/>
          <w:b/>
          <w:bCs/>
          <w:sz w:val="144"/>
          <w:szCs w:val="144"/>
          <w:lang w:bidi="ar-EG"/>
        </w:rPr>
      </w:pPr>
    </w:p>
    <w:p w14:paraId="12FC9582" w14:textId="77777777" w:rsidR="007C0017" w:rsidRDefault="007C0017" w:rsidP="007A0B3B">
      <w:pPr>
        <w:pStyle w:val="BlockText"/>
        <w:spacing w:line="360" w:lineRule="auto"/>
        <w:jc w:val="center"/>
        <w:outlineLvl w:val="0"/>
        <w:rPr>
          <w:rFonts w:cs="Simplified Arabic"/>
          <w:b/>
          <w:bCs/>
          <w:sz w:val="144"/>
          <w:szCs w:val="144"/>
          <w:lang w:bidi="ar-EG"/>
        </w:rPr>
      </w:pPr>
    </w:p>
    <w:p w14:paraId="4A96D735" w14:textId="77777777" w:rsidR="007C0017" w:rsidRDefault="007C0017" w:rsidP="007A0B3B">
      <w:pPr>
        <w:pStyle w:val="BlockText"/>
        <w:spacing w:line="360" w:lineRule="auto"/>
        <w:jc w:val="center"/>
        <w:outlineLvl w:val="0"/>
        <w:rPr>
          <w:rFonts w:cs="Simplified Arabic"/>
          <w:b/>
          <w:bCs/>
          <w:sz w:val="144"/>
          <w:szCs w:val="144"/>
          <w:lang w:bidi="ar-EG"/>
        </w:rPr>
      </w:pPr>
    </w:p>
    <w:p w14:paraId="5F9EE4BB" w14:textId="77777777" w:rsidR="007C0017" w:rsidRDefault="007C0017" w:rsidP="007A0B3B">
      <w:pPr>
        <w:pStyle w:val="BlockText"/>
        <w:spacing w:line="360" w:lineRule="auto"/>
        <w:jc w:val="center"/>
        <w:outlineLvl w:val="0"/>
        <w:rPr>
          <w:rFonts w:cs="Simplified Arabic"/>
          <w:b/>
          <w:bCs/>
          <w:sz w:val="144"/>
          <w:szCs w:val="144"/>
          <w:lang w:bidi="ar-EG"/>
        </w:rPr>
      </w:pPr>
    </w:p>
    <w:p w14:paraId="17DDB005" w14:textId="17CAF17C" w:rsidR="007A0B3B" w:rsidRPr="00404D88" w:rsidRDefault="007A0B3B" w:rsidP="007A0B3B">
      <w:pPr>
        <w:pStyle w:val="BlockText"/>
        <w:spacing w:line="360" w:lineRule="auto"/>
        <w:jc w:val="center"/>
        <w:outlineLvl w:val="0"/>
        <w:rPr>
          <w:rFonts w:cs="Simplified Arabic"/>
          <w:b/>
          <w:bCs/>
          <w:sz w:val="144"/>
          <w:szCs w:val="144"/>
          <w:rtl/>
          <w:lang w:bidi="ar-EG"/>
        </w:rPr>
      </w:pPr>
      <w:r w:rsidRPr="00404D88">
        <w:rPr>
          <w:rFonts w:cs="Simplified Arabic" w:hint="cs"/>
          <w:b/>
          <w:bCs/>
          <w:sz w:val="144"/>
          <w:szCs w:val="144"/>
          <w:rtl/>
          <w:lang w:bidi="ar-EG"/>
        </w:rPr>
        <w:t>الفصل الثالث</w:t>
      </w:r>
    </w:p>
    <w:p w14:paraId="2EB66923" w14:textId="044918D7" w:rsidR="007A0B3B" w:rsidRPr="00404D88" w:rsidRDefault="00FD18AC" w:rsidP="007A0B3B">
      <w:pPr>
        <w:pStyle w:val="BlockText"/>
        <w:spacing w:line="360" w:lineRule="auto"/>
        <w:jc w:val="center"/>
        <w:outlineLvl w:val="0"/>
        <w:rPr>
          <w:rFonts w:cs="Simplified Arabic"/>
          <w:b/>
          <w:bCs/>
          <w:sz w:val="144"/>
          <w:szCs w:val="144"/>
          <w:rtl/>
          <w:lang w:bidi="ar-EG"/>
        </w:rPr>
      </w:pPr>
      <w:r>
        <w:rPr>
          <w:rFonts w:cs="Simplified Arabic" w:hint="cs"/>
          <w:b/>
          <w:bCs/>
          <w:sz w:val="144"/>
          <w:szCs w:val="144"/>
          <w:rtl/>
          <w:lang w:bidi="ar-EG"/>
        </w:rPr>
        <w:t>المنهجية البحثية</w:t>
      </w:r>
    </w:p>
    <w:p w14:paraId="26EC3BD5" w14:textId="77777777" w:rsidR="007A0B3B" w:rsidRDefault="007A0B3B" w:rsidP="007A0B3B">
      <w:pPr>
        <w:pStyle w:val="BlockText"/>
        <w:spacing w:line="360" w:lineRule="auto"/>
        <w:jc w:val="lowKashida"/>
        <w:outlineLvl w:val="0"/>
        <w:rPr>
          <w:rFonts w:cs="Simplified Arabic"/>
          <w:b/>
          <w:bCs/>
          <w:i/>
          <w:iCs/>
          <w:sz w:val="32"/>
          <w:szCs w:val="32"/>
          <w:rtl/>
          <w:lang w:bidi="ar-EG"/>
        </w:rPr>
      </w:pPr>
    </w:p>
    <w:p w14:paraId="4FC0253B" w14:textId="77777777" w:rsidR="007A0B3B" w:rsidRDefault="007A0B3B" w:rsidP="007A0B3B">
      <w:pPr>
        <w:pStyle w:val="BlockText"/>
        <w:spacing w:line="360" w:lineRule="auto"/>
        <w:jc w:val="lowKashida"/>
        <w:outlineLvl w:val="0"/>
        <w:rPr>
          <w:rFonts w:cs="Simplified Arabic"/>
          <w:b/>
          <w:bCs/>
          <w:i/>
          <w:iCs/>
          <w:sz w:val="32"/>
          <w:szCs w:val="32"/>
          <w:rtl/>
          <w:lang w:bidi="ar-EG"/>
        </w:rPr>
      </w:pPr>
    </w:p>
    <w:p w14:paraId="196133E2" w14:textId="77777777" w:rsidR="007A0B3B" w:rsidRDefault="007A0B3B" w:rsidP="007A0B3B">
      <w:pPr>
        <w:pStyle w:val="BlockText"/>
        <w:spacing w:line="360" w:lineRule="auto"/>
        <w:jc w:val="lowKashida"/>
        <w:outlineLvl w:val="0"/>
        <w:rPr>
          <w:rFonts w:cs="Simplified Arabic"/>
          <w:b/>
          <w:bCs/>
          <w:i/>
          <w:iCs/>
          <w:sz w:val="32"/>
          <w:szCs w:val="32"/>
          <w:rtl/>
          <w:lang w:bidi="ar-EG"/>
        </w:rPr>
      </w:pPr>
    </w:p>
    <w:p w14:paraId="41102AB6" w14:textId="77777777" w:rsidR="007A0B3B" w:rsidRDefault="007A0B3B" w:rsidP="007A0B3B">
      <w:pPr>
        <w:pStyle w:val="BlockText"/>
        <w:spacing w:line="360" w:lineRule="auto"/>
        <w:jc w:val="lowKashida"/>
        <w:outlineLvl w:val="0"/>
        <w:rPr>
          <w:rFonts w:cs="Simplified Arabic"/>
          <w:b/>
          <w:bCs/>
          <w:i/>
          <w:iCs/>
          <w:sz w:val="32"/>
          <w:szCs w:val="32"/>
          <w:rtl/>
          <w:lang w:bidi="ar-EG"/>
        </w:rPr>
      </w:pPr>
    </w:p>
    <w:p w14:paraId="38E782D3" w14:textId="77777777" w:rsidR="007A0B3B" w:rsidRPr="00941E8A" w:rsidRDefault="007A0B3B" w:rsidP="007A0B3B">
      <w:pPr>
        <w:pStyle w:val="BlockText"/>
        <w:spacing w:line="360" w:lineRule="auto"/>
        <w:jc w:val="lowKashida"/>
        <w:outlineLvl w:val="0"/>
        <w:rPr>
          <w:rFonts w:cs="Simplified Arabic"/>
          <w:b/>
          <w:bCs/>
          <w:sz w:val="28"/>
          <w:rtl/>
          <w:lang w:bidi="ar-EG"/>
        </w:rPr>
      </w:pPr>
      <w:r w:rsidRPr="00941E8A">
        <w:rPr>
          <w:rFonts w:cs="Simplified Arabic" w:hint="cs"/>
          <w:b/>
          <w:bCs/>
          <w:sz w:val="28"/>
          <w:rtl/>
        </w:rPr>
        <w:lastRenderedPageBreak/>
        <w:t>3/1 المقدمة:</w:t>
      </w:r>
      <w:r w:rsidRPr="00941E8A">
        <w:rPr>
          <w:rFonts w:cs="Simplified Arabic" w:hint="cs"/>
          <w:b/>
          <w:bCs/>
          <w:sz w:val="28"/>
          <w:rtl/>
          <w:lang w:bidi="ar-EG"/>
        </w:rPr>
        <w:t xml:space="preserve"> </w:t>
      </w:r>
    </w:p>
    <w:p w14:paraId="2492A575" w14:textId="0670B8CB" w:rsidR="007A0B3B" w:rsidRPr="00404D88" w:rsidRDefault="007A0B3B" w:rsidP="007A0B3B">
      <w:pPr>
        <w:pStyle w:val="BlockText"/>
        <w:spacing w:line="360" w:lineRule="auto"/>
        <w:jc w:val="lowKashida"/>
        <w:outlineLvl w:val="0"/>
        <w:rPr>
          <w:rFonts w:ascii="Sakkal Majalla" w:eastAsiaTheme="minorHAnsi" w:hAnsi="Sakkal Majalla" w:cs="Sakkal Majalla"/>
          <w:sz w:val="26"/>
          <w:szCs w:val="26"/>
        </w:rPr>
      </w:pPr>
      <w:r w:rsidRPr="00404D88">
        <w:rPr>
          <w:rFonts w:ascii="Sakkal Majalla" w:eastAsiaTheme="minorHAnsi" w:hAnsi="Sakkal Majalla" w:cs="Sakkal Majalla"/>
          <w:sz w:val="26"/>
          <w:szCs w:val="26"/>
          <w:rtl/>
        </w:rPr>
        <w:t xml:space="preserve">تناولت الفصول السابقة الإطار </w:t>
      </w:r>
      <w:r w:rsidRPr="00404D88">
        <w:rPr>
          <w:rFonts w:ascii="Sakkal Majalla" w:eastAsiaTheme="minorHAnsi" w:hAnsi="Sakkal Majalla" w:cs="Sakkal Majalla" w:hint="cs"/>
          <w:sz w:val="26"/>
          <w:szCs w:val="26"/>
          <w:rtl/>
        </w:rPr>
        <w:t>النظري</w:t>
      </w:r>
      <w:r w:rsidRPr="00404D88">
        <w:rPr>
          <w:rFonts w:ascii="Sakkal Majalla" w:eastAsiaTheme="minorHAnsi" w:hAnsi="Sakkal Majalla" w:cs="Sakkal Majalla"/>
          <w:sz w:val="26"/>
          <w:szCs w:val="26"/>
          <w:rtl/>
        </w:rPr>
        <w:t xml:space="preserve">، وتم عرض الفروض </w:t>
      </w:r>
      <w:r w:rsidRPr="00404D88">
        <w:rPr>
          <w:rFonts w:ascii="Sakkal Majalla" w:eastAsiaTheme="minorHAnsi" w:hAnsi="Sakkal Majalla" w:cs="Sakkal Majalla" w:hint="cs"/>
          <w:sz w:val="26"/>
          <w:szCs w:val="26"/>
          <w:rtl/>
        </w:rPr>
        <w:t>التي</w:t>
      </w:r>
      <w:r w:rsidRPr="00404D88">
        <w:rPr>
          <w:rFonts w:ascii="Sakkal Majalla" w:eastAsiaTheme="minorHAnsi" w:hAnsi="Sakkal Majalla" w:cs="Sakkal Majalla"/>
          <w:sz w:val="26"/>
          <w:szCs w:val="26"/>
          <w:rtl/>
        </w:rPr>
        <w:t xml:space="preserve"> يتعين </w:t>
      </w:r>
      <w:r w:rsidRPr="00404D88">
        <w:rPr>
          <w:rFonts w:ascii="Sakkal Majalla" w:eastAsiaTheme="minorHAnsi" w:hAnsi="Sakkal Majalla" w:cs="Sakkal Majalla" w:hint="cs"/>
          <w:sz w:val="26"/>
          <w:szCs w:val="26"/>
          <w:rtl/>
        </w:rPr>
        <w:t>اختبارها</w:t>
      </w:r>
      <w:r w:rsidRPr="00404D88">
        <w:rPr>
          <w:rFonts w:ascii="Sakkal Majalla" w:eastAsiaTheme="minorHAnsi" w:hAnsi="Sakkal Majalla" w:cs="Sakkal Majalla"/>
          <w:sz w:val="26"/>
          <w:szCs w:val="26"/>
          <w:rtl/>
        </w:rPr>
        <w:t xml:space="preserve"> والطرق المقترحة </w:t>
      </w:r>
      <w:r w:rsidRPr="00404D88">
        <w:rPr>
          <w:rFonts w:ascii="Sakkal Majalla" w:eastAsiaTheme="minorHAnsi" w:hAnsi="Sakkal Majalla" w:cs="Sakkal Majalla" w:hint="cs"/>
          <w:sz w:val="26"/>
          <w:szCs w:val="26"/>
          <w:rtl/>
        </w:rPr>
        <w:t>لاختبارها</w:t>
      </w:r>
      <w:r w:rsidRPr="00404D88">
        <w:rPr>
          <w:rFonts w:ascii="Sakkal Majalla" w:eastAsiaTheme="minorHAnsi" w:hAnsi="Sakkal Majalla" w:cs="Sakkal Majalla"/>
          <w:sz w:val="26"/>
          <w:szCs w:val="26"/>
          <w:rtl/>
        </w:rPr>
        <w:t xml:space="preserve">، ويناقش هذا الفصل نتائج الدراسة الميدانية </w:t>
      </w:r>
      <w:r w:rsidRPr="00404D88">
        <w:rPr>
          <w:rFonts w:ascii="Sakkal Majalla" w:eastAsiaTheme="minorHAnsi" w:hAnsi="Sakkal Majalla" w:cs="Sakkal Majalla" w:hint="cs"/>
          <w:sz w:val="26"/>
          <w:szCs w:val="26"/>
          <w:rtl/>
        </w:rPr>
        <w:t>التي</w:t>
      </w:r>
      <w:r w:rsidRPr="00404D88">
        <w:rPr>
          <w:rFonts w:ascii="Sakkal Majalla" w:eastAsiaTheme="minorHAnsi" w:hAnsi="Sakkal Majalla" w:cs="Sakkal Majalla"/>
          <w:sz w:val="26"/>
          <w:szCs w:val="26"/>
          <w:rtl/>
        </w:rPr>
        <w:t xml:space="preserve"> أجريت على عينة من </w:t>
      </w:r>
      <w:r w:rsidRPr="00404D88">
        <w:rPr>
          <w:rFonts w:ascii="Sakkal Majalla" w:eastAsiaTheme="minorHAnsi" w:hAnsi="Sakkal Majalla" w:cs="Sakkal Majalla" w:hint="cs"/>
          <w:sz w:val="26"/>
          <w:szCs w:val="26"/>
          <w:rtl/>
        </w:rPr>
        <w:t xml:space="preserve">الموظفين والمديرين </w:t>
      </w:r>
      <w:r w:rsidR="007E323D">
        <w:rPr>
          <w:rFonts w:ascii="Sakkal Majalla" w:eastAsiaTheme="minorHAnsi" w:hAnsi="Sakkal Majalla" w:cs="Sakkal Majalla" w:hint="cs"/>
          <w:sz w:val="26"/>
          <w:szCs w:val="26"/>
          <w:rtl/>
          <w:lang w:bidi="ar-EG"/>
        </w:rPr>
        <w:t>بهيئة الزكاة والضريبية والجمارك</w:t>
      </w:r>
      <w:r w:rsidRPr="00404D88">
        <w:rPr>
          <w:rFonts w:ascii="Sakkal Majalla" w:eastAsiaTheme="minorHAnsi" w:hAnsi="Sakkal Majalla" w:cs="Sakkal Majalla"/>
          <w:sz w:val="26"/>
          <w:szCs w:val="26"/>
          <w:rtl/>
        </w:rPr>
        <w:t xml:space="preserve"> حيث تم مناقشة الإجراءات المتبعة </w:t>
      </w:r>
      <w:r w:rsidRPr="00404D88">
        <w:rPr>
          <w:rFonts w:ascii="Sakkal Majalla" w:eastAsiaTheme="minorHAnsi" w:hAnsi="Sakkal Majalla" w:cs="Sakkal Majalla" w:hint="cs"/>
          <w:sz w:val="26"/>
          <w:szCs w:val="26"/>
          <w:rtl/>
        </w:rPr>
        <w:t>في</w:t>
      </w:r>
      <w:r w:rsidRPr="00404D88">
        <w:rPr>
          <w:rFonts w:ascii="Sakkal Majalla" w:eastAsiaTheme="minorHAnsi" w:hAnsi="Sakkal Majalla" w:cs="Sakkal Majalla"/>
          <w:sz w:val="26"/>
          <w:szCs w:val="26"/>
          <w:rtl/>
        </w:rPr>
        <w:t xml:space="preserve"> تحليل البيانات الخاصة بالنموذج المقترح، والغرض من تحليل البيانات هو تنظيم وتفسير البيانات المستقاة من الإجابات على </w:t>
      </w:r>
      <w:r w:rsidRPr="00404D88">
        <w:rPr>
          <w:rFonts w:ascii="Sakkal Majalla" w:eastAsiaTheme="minorHAnsi" w:hAnsi="Sakkal Majalla" w:cs="Sakkal Majalla" w:hint="cs"/>
          <w:sz w:val="26"/>
          <w:szCs w:val="26"/>
          <w:rtl/>
        </w:rPr>
        <w:t>استمارات</w:t>
      </w:r>
      <w:r w:rsidRPr="00404D88">
        <w:rPr>
          <w:rFonts w:ascii="Sakkal Majalla" w:eastAsiaTheme="minorHAnsi" w:hAnsi="Sakkal Majalla" w:cs="Sakkal Majalla"/>
          <w:sz w:val="26"/>
          <w:szCs w:val="26"/>
          <w:rtl/>
        </w:rPr>
        <w:t xml:space="preserve"> </w:t>
      </w:r>
      <w:r w:rsidRPr="00404D88">
        <w:rPr>
          <w:rFonts w:ascii="Sakkal Majalla" w:eastAsiaTheme="minorHAnsi" w:hAnsi="Sakkal Majalla" w:cs="Sakkal Majalla" w:hint="cs"/>
          <w:sz w:val="26"/>
          <w:szCs w:val="26"/>
          <w:rtl/>
        </w:rPr>
        <w:t>الاستقصاء</w:t>
      </w:r>
      <w:r w:rsidRPr="00404D88">
        <w:rPr>
          <w:rFonts w:ascii="Sakkal Majalla" w:eastAsiaTheme="minorHAnsi" w:hAnsi="Sakkal Majalla" w:cs="Sakkal Majalla"/>
          <w:sz w:val="26"/>
          <w:szCs w:val="26"/>
          <w:rtl/>
        </w:rPr>
        <w:t xml:space="preserve"> </w:t>
      </w:r>
      <w:r w:rsidRPr="00404D88">
        <w:rPr>
          <w:rFonts w:ascii="Sakkal Majalla" w:eastAsiaTheme="minorHAnsi" w:hAnsi="Sakkal Majalla" w:cs="Sakkal Majalla" w:hint="cs"/>
          <w:sz w:val="26"/>
          <w:szCs w:val="26"/>
          <w:rtl/>
        </w:rPr>
        <w:t>للاختبار</w:t>
      </w:r>
      <w:r w:rsidRPr="00404D88">
        <w:rPr>
          <w:rFonts w:ascii="Sakkal Majalla" w:eastAsiaTheme="minorHAnsi" w:hAnsi="Sakkal Majalla" w:cs="Sakkal Majalla"/>
          <w:sz w:val="26"/>
          <w:szCs w:val="26"/>
          <w:rtl/>
        </w:rPr>
        <w:t xml:space="preserve"> </w:t>
      </w:r>
      <w:r w:rsidRPr="00404D88">
        <w:rPr>
          <w:rFonts w:ascii="Sakkal Majalla" w:eastAsiaTheme="minorHAnsi" w:hAnsi="Sakkal Majalla" w:cs="Sakkal Majalla" w:hint="cs"/>
          <w:sz w:val="26"/>
          <w:szCs w:val="26"/>
          <w:rtl/>
        </w:rPr>
        <w:t>الميداني</w:t>
      </w:r>
      <w:r w:rsidRPr="00404D88">
        <w:rPr>
          <w:rFonts w:ascii="Sakkal Majalla" w:eastAsiaTheme="minorHAnsi" w:hAnsi="Sakkal Majalla" w:cs="Sakkal Majalla"/>
          <w:sz w:val="26"/>
          <w:szCs w:val="26"/>
          <w:rtl/>
        </w:rPr>
        <w:t xml:space="preserve"> لفروض الدراسة وسوف يتم إجراء كافة التحليلات بالنموذج المقترح </w:t>
      </w:r>
      <w:r w:rsidRPr="00404D88">
        <w:rPr>
          <w:rFonts w:ascii="Sakkal Majalla" w:eastAsiaTheme="minorHAnsi" w:hAnsi="Sakkal Majalla" w:cs="Sakkal Majalla" w:hint="cs"/>
          <w:sz w:val="26"/>
          <w:szCs w:val="26"/>
          <w:rtl/>
        </w:rPr>
        <w:t>باستخدام</w:t>
      </w:r>
      <w:r w:rsidRPr="00404D88">
        <w:rPr>
          <w:rFonts w:ascii="Sakkal Majalla" w:eastAsiaTheme="minorHAnsi" w:hAnsi="Sakkal Majalla" w:cs="Sakkal Majalla"/>
          <w:sz w:val="26"/>
          <w:szCs w:val="26"/>
          <w:rtl/>
        </w:rPr>
        <w:t xml:space="preserve"> حزمة البرامج </w:t>
      </w:r>
      <w:r w:rsidRPr="00404D88">
        <w:rPr>
          <w:rFonts w:ascii="Sakkal Majalla" w:eastAsiaTheme="minorHAnsi" w:hAnsi="Sakkal Majalla" w:cs="Sakkal Majalla"/>
          <w:sz w:val="26"/>
          <w:szCs w:val="26"/>
        </w:rPr>
        <w:t>SPSS</w:t>
      </w:r>
      <w:r w:rsidRPr="00404D88">
        <w:rPr>
          <w:rFonts w:ascii="Sakkal Majalla" w:eastAsiaTheme="minorHAnsi" w:hAnsi="Sakkal Majalla" w:cs="Sakkal Majalla"/>
          <w:sz w:val="26"/>
          <w:szCs w:val="26"/>
          <w:rtl/>
        </w:rPr>
        <w:t xml:space="preserve">   وهو نظام </w:t>
      </w:r>
      <w:r w:rsidRPr="00404D88">
        <w:rPr>
          <w:rFonts w:ascii="Sakkal Majalla" w:eastAsiaTheme="minorHAnsi" w:hAnsi="Sakkal Majalla" w:cs="Sakkal Majalla" w:hint="cs"/>
          <w:sz w:val="26"/>
          <w:szCs w:val="26"/>
          <w:rtl/>
        </w:rPr>
        <w:t>إحصائي</w:t>
      </w:r>
      <w:r w:rsidRPr="00404D88">
        <w:rPr>
          <w:rFonts w:ascii="Sakkal Majalla" w:eastAsiaTheme="minorHAnsi" w:hAnsi="Sakkal Majalla" w:cs="Sakkal Majalla"/>
          <w:sz w:val="26"/>
          <w:szCs w:val="26"/>
          <w:rtl/>
        </w:rPr>
        <w:t xml:space="preserve"> متكامل يستخدم </w:t>
      </w:r>
      <w:r w:rsidRPr="00404D88">
        <w:rPr>
          <w:rFonts w:ascii="Sakkal Majalla" w:eastAsiaTheme="minorHAnsi" w:hAnsi="Sakkal Majalla" w:cs="Sakkal Majalla" w:hint="cs"/>
          <w:sz w:val="26"/>
          <w:szCs w:val="26"/>
          <w:rtl/>
        </w:rPr>
        <w:t>في</w:t>
      </w:r>
      <w:r w:rsidRPr="00404D88">
        <w:rPr>
          <w:rFonts w:ascii="Sakkal Majalla" w:eastAsiaTheme="minorHAnsi" w:hAnsi="Sakkal Majalla" w:cs="Sakkal Majalla"/>
          <w:sz w:val="26"/>
          <w:szCs w:val="26"/>
          <w:rtl/>
        </w:rPr>
        <w:t xml:space="preserve"> التحليل </w:t>
      </w:r>
      <w:r w:rsidRPr="00404D88">
        <w:rPr>
          <w:rFonts w:ascii="Sakkal Majalla" w:eastAsiaTheme="minorHAnsi" w:hAnsi="Sakkal Majalla" w:cs="Sakkal Majalla" w:hint="cs"/>
          <w:sz w:val="26"/>
          <w:szCs w:val="26"/>
          <w:rtl/>
        </w:rPr>
        <w:t>الإحصائي</w:t>
      </w:r>
      <w:r w:rsidRPr="00404D88">
        <w:rPr>
          <w:rFonts w:ascii="Sakkal Majalla" w:eastAsiaTheme="minorHAnsi" w:hAnsi="Sakkal Majalla" w:cs="Sakkal Majalla"/>
          <w:sz w:val="26"/>
          <w:szCs w:val="26"/>
          <w:rtl/>
        </w:rPr>
        <w:t xml:space="preserve"> البسيط و المتقدم </w:t>
      </w:r>
      <w:r w:rsidRPr="00404D88">
        <w:rPr>
          <w:rFonts w:ascii="Sakkal Majalla" w:eastAsiaTheme="minorHAnsi" w:hAnsi="Sakkal Majalla" w:cs="Sakkal Majalla" w:hint="cs"/>
          <w:sz w:val="26"/>
          <w:szCs w:val="26"/>
          <w:rtl/>
        </w:rPr>
        <w:t>في</w:t>
      </w:r>
      <w:r w:rsidRPr="00404D88">
        <w:rPr>
          <w:rFonts w:ascii="Sakkal Majalla" w:eastAsiaTheme="minorHAnsi" w:hAnsi="Sakkal Majalla" w:cs="Sakkal Majalla"/>
          <w:sz w:val="26"/>
          <w:szCs w:val="26"/>
          <w:rtl/>
        </w:rPr>
        <w:t xml:space="preserve"> مجال العلوم </w:t>
      </w:r>
      <w:r w:rsidRPr="00404D88">
        <w:rPr>
          <w:rFonts w:ascii="Sakkal Majalla" w:eastAsiaTheme="minorHAnsi" w:hAnsi="Sakkal Majalla" w:cs="Sakkal Majalla" w:hint="cs"/>
          <w:sz w:val="26"/>
          <w:szCs w:val="26"/>
          <w:rtl/>
        </w:rPr>
        <w:t>الاجتماعية</w:t>
      </w:r>
      <w:r w:rsidRPr="00404D88">
        <w:rPr>
          <w:rFonts w:ascii="Sakkal Majalla" w:eastAsiaTheme="minorHAnsi" w:hAnsi="Sakkal Majalla" w:cs="Sakkal Majalla"/>
          <w:sz w:val="26"/>
          <w:szCs w:val="26"/>
          <w:rtl/>
        </w:rPr>
        <w:t xml:space="preserve"> بداية من الجداول التكرارية إلى إجراء اختبارات الفروض الإحصائية و التحليلات الإحصائية المتقدمة و يتكون هذا الفصل من ثلاثة مباحث، المبحث الأول يتناول نتائج التحليل </w:t>
      </w:r>
      <w:r w:rsidRPr="00404D88">
        <w:rPr>
          <w:rFonts w:ascii="Sakkal Majalla" w:eastAsiaTheme="minorHAnsi" w:hAnsi="Sakkal Majalla" w:cs="Sakkal Majalla" w:hint="cs"/>
          <w:sz w:val="26"/>
          <w:szCs w:val="26"/>
          <w:rtl/>
        </w:rPr>
        <w:t>العاملي</w:t>
      </w:r>
      <w:r w:rsidRPr="00404D88">
        <w:rPr>
          <w:rFonts w:ascii="Sakkal Majalla" w:eastAsiaTheme="minorHAnsi" w:hAnsi="Sakkal Majalla" w:cs="Sakkal Majalla"/>
          <w:sz w:val="26"/>
          <w:szCs w:val="26"/>
          <w:rtl/>
        </w:rPr>
        <w:t xml:space="preserve"> وتحليل البيانات ، حيث يتم </w:t>
      </w:r>
      <w:r w:rsidRPr="00404D88">
        <w:rPr>
          <w:rFonts w:ascii="Sakkal Majalla" w:eastAsiaTheme="minorHAnsi" w:hAnsi="Sakkal Majalla" w:cs="Sakkal Majalla" w:hint="cs"/>
          <w:sz w:val="26"/>
          <w:szCs w:val="26"/>
          <w:rtl/>
        </w:rPr>
        <w:t>اختبار</w:t>
      </w:r>
      <w:r w:rsidRPr="00404D88">
        <w:rPr>
          <w:rFonts w:ascii="Sakkal Majalla" w:eastAsiaTheme="minorHAnsi" w:hAnsi="Sakkal Majalla" w:cs="Sakkal Majalla"/>
          <w:sz w:val="26"/>
          <w:szCs w:val="26"/>
          <w:rtl/>
        </w:rPr>
        <w:t xml:space="preserve"> صدق المقاييس المستخدمة فى الدراسة . </w:t>
      </w:r>
    </w:p>
    <w:p w14:paraId="28E233F3" w14:textId="6BE0FBB5" w:rsidR="007A0B3B" w:rsidRPr="00941E8A" w:rsidRDefault="007A0B3B" w:rsidP="009D2BFE">
      <w:pPr>
        <w:pStyle w:val="BlockText"/>
        <w:spacing w:line="360" w:lineRule="auto"/>
        <w:jc w:val="lowKashida"/>
        <w:outlineLvl w:val="0"/>
        <w:rPr>
          <w:rFonts w:ascii="Sakkal Majalla" w:eastAsiaTheme="minorHAnsi" w:hAnsi="Sakkal Majalla" w:cs="Sakkal Majalla"/>
          <w:sz w:val="26"/>
          <w:szCs w:val="26"/>
        </w:rPr>
      </w:pPr>
      <w:r w:rsidRPr="00941E8A">
        <w:rPr>
          <w:rFonts w:ascii="Sakkal Majalla" w:eastAsiaTheme="minorHAnsi" w:hAnsi="Sakkal Majalla" w:cs="Sakkal Majalla"/>
          <w:sz w:val="26"/>
          <w:szCs w:val="26"/>
          <w:rtl/>
        </w:rPr>
        <w:t xml:space="preserve">ويتناول المبحث </w:t>
      </w:r>
      <w:r w:rsidRPr="00941E8A">
        <w:rPr>
          <w:rFonts w:ascii="Sakkal Majalla" w:eastAsiaTheme="minorHAnsi" w:hAnsi="Sakkal Majalla" w:cs="Sakkal Majalla" w:hint="cs"/>
          <w:sz w:val="26"/>
          <w:szCs w:val="26"/>
          <w:rtl/>
        </w:rPr>
        <w:t>الثاني</w:t>
      </w:r>
      <w:r w:rsidRPr="00941E8A">
        <w:rPr>
          <w:rFonts w:ascii="Sakkal Majalla" w:eastAsiaTheme="minorHAnsi" w:hAnsi="Sakkal Majalla" w:cs="Sakkal Majalla"/>
          <w:sz w:val="26"/>
          <w:szCs w:val="26"/>
          <w:rtl/>
        </w:rPr>
        <w:t xml:space="preserve"> نتائج </w:t>
      </w:r>
      <w:r w:rsidRPr="00941E8A">
        <w:rPr>
          <w:rFonts w:ascii="Sakkal Majalla" w:eastAsiaTheme="minorHAnsi" w:hAnsi="Sakkal Majalla" w:cs="Sakkal Majalla" w:hint="cs"/>
          <w:sz w:val="26"/>
          <w:szCs w:val="26"/>
          <w:rtl/>
        </w:rPr>
        <w:t>اختبارات</w:t>
      </w:r>
      <w:r w:rsidRPr="00941E8A">
        <w:rPr>
          <w:rFonts w:ascii="Sakkal Majalla" w:eastAsiaTheme="minorHAnsi" w:hAnsi="Sakkal Majalla" w:cs="Sakkal Majalla"/>
          <w:sz w:val="26"/>
          <w:szCs w:val="26"/>
          <w:rtl/>
        </w:rPr>
        <w:t xml:space="preserve"> الفروض، أما المبحث الثالث فسوف يتم فيه مناقشة النتائج </w:t>
      </w:r>
      <w:r w:rsidRPr="00941E8A">
        <w:rPr>
          <w:rFonts w:ascii="Sakkal Majalla" w:eastAsiaTheme="minorHAnsi" w:hAnsi="Sakkal Majalla" w:cs="Sakkal Majalla" w:hint="cs"/>
          <w:sz w:val="26"/>
          <w:szCs w:val="26"/>
          <w:rtl/>
        </w:rPr>
        <w:t>التي</w:t>
      </w:r>
      <w:r w:rsidRPr="00941E8A">
        <w:rPr>
          <w:rFonts w:ascii="Sakkal Majalla" w:eastAsiaTheme="minorHAnsi" w:hAnsi="Sakkal Majalla" w:cs="Sakkal Majalla"/>
          <w:sz w:val="26"/>
          <w:szCs w:val="26"/>
          <w:rtl/>
        </w:rPr>
        <w:t xml:space="preserve"> توصلت إليها</w:t>
      </w:r>
      <w:r w:rsidR="009D2BFE">
        <w:rPr>
          <w:rFonts w:ascii="Sakkal Majalla" w:eastAsiaTheme="minorHAnsi" w:hAnsi="Sakkal Majalla" w:cs="Sakkal Majalla" w:hint="cs"/>
          <w:sz w:val="26"/>
          <w:szCs w:val="26"/>
          <w:rtl/>
        </w:rPr>
        <w:t>.</w:t>
      </w:r>
    </w:p>
    <w:p w14:paraId="08EFBED5" w14:textId="54A1E49A" w:rsidR="007A0B3B" w:rsidRDefault="007A0B3B" w:rsidP="007A0B3B">
      <w:pPr>
        <w:pStyle w:val="BlockText"/>
        <w:spacing w:line="360" w:lineRule="auto"/>
        <w:jc w:val="lowKashida"/>
        <w:outlineLvl w:val="0"/>
        <w:rPr>
          <w:rFonts w:ascii="Sakkal Majalla" w:eastAsiaTheme="minorHAnsi" w:hAnsi="Sakkal Majalla" w:cs="Sakkal Majalla"/>
          <w:sz w:val="26"/>
          <w:szCs w:val="26"/>
          <w:rtl/>
        </w:rPr>
      </w:pPr>
      <w:r w:rsidRPr="00404D88">
        <w:rPr>
          <w:rFonts w:asciiTheme="minorHAnsi" w:eastAsiaTheme="minorHAnsi" w:hAnsiTheme="minorHAnsi" w:cs="Simplified Arabic"/>
          <w:kern w:val="2"/>
          <w:sz w:val="28"/>
          <w:rtl/>
          <w:lang w:bidi="ar-EG"/>
          <w14:ligatures w14:val="standardContextual"/>
        </w:rPr>
        <w:t xml:space="preserve"> </w:t>
      </w:r>
      <w:r w:rsidRPr="00941E8A">
        <w:rPr>
          <w:rFonts w:ascii="Sakkal Majalla" w:eastAsiaTheme="minorHAnsi" w:hAnsi="Sakkal Majalla" w:cs="Sakkal Majalla"/>
          <w:sz w:val="26"/>
          <w:szCs w:val="26"/>
          <w:rtl/>
        </w:rPr>
        <w:t xml:space="preserve">حيث </w:t>
      </w:r>
      <w:r w:rsidR="007E323D">
        <w:rPr>
          <w:rFonts w:ascii="Sakkal Majalla" w:eastAsiaTheme="minorHAnsi" w:hAnsi="Sakkal Majalla" w:cs="Sakkal Majalla" w:hint="cs"/>
          <w:sz w:val="26"/>
          <w:szCs w:val="26"/>
          <w:rtl/>
        </w:rPr>
        <w:t>ي</w:t>
      </w:r>
      <w:r w:rsidRPr="00941E8A">
        <w:rPr>
          <w:rFonts w:ascii="Sakkal Majalla" w:eastAsiaTheme="minorHAnsi" w:hAnsi="Sakkal Majalla" w:cs="Sakkal Majalla"/>
          <w:sz w:val="26"/>
          <w:szCs w:val="26"/>
          <w:rtl/>
        </w:rPr>
        <w:t xml:space="preserve">تناول الباحث </w:t>
      </w:r>
      <w:r w:rsidRPr="00941E8A">
        <w:rPr>
          <w:rFonts w:ascii="Sakkal Majalla" w:eastAsiaTheme="minorHAnsi" w:hAnsi="Sakkal Majalla" w:cs="Sakkal Majalla" w:hint="cs"/>
          <w:sz w:val="26"/>
          <w:szCs w:val="26"/>
          <w:rtl/>
        </w:rPr>
        <w:t>في</w:t>
      </w:r>
      <w:r w:rsidRPr="00941E8A">
        <w:rPr>
          <w:rFonts w:ascii="Sakkal Majalla" w:eastAsiaTheme="minorHAnsi" w:hAnsi="Sakkal Majalla" w:cs="Sakkal Majalla"/>
          <w:sz w:val="26"/>
          <w:szCs w:val="26"/>
          <w:rtl/>
        </w:rPr>
        <w:t xml:space="preserve"> هذا الفصل بيانات الدراسة الميدانية </w:t>
      </w:r>
      <w:r w:rsidRPr="00941E8A">
        <w:rPr>
          <w:rFonts w:ascii="Sakkal Majalla" w:eastAsiaTheme="minorHAnsi" w:hAnsi="Sakkal Majalla" w:cs="Sakkal Majalla" w:hint="cs"/>
          <w:sz w:val="26"/>
          <w:szCs w:val="26"/>
          <w:rtl/>
        </w:rPr>
        <w:t>التي</w:t>
      </w:r>
      <w:r w:rsidRPr="00941E8A">
        <w:rPr>
          <w:rFonts w:ascii="Sakkal Majalla" w:eastAsiaTheme="minorHAnsi" w:hAnsi="Sakkal Majalla" w:cs="Sakkal Majalla"/>
          <w:sz w:val="26"/>
          <w:szCs w:val="26"/>
          <w:rtl/>
        </w:rPr>
        <w:t xml:space="preserve"> تم تجميعها عن طريق </w:t>
      </w:r>
      <w:r w:rsidRPr="00941E8A">
        <w:rPr>
          <w:rFonts w:ascii="Sakkal Majalla" w:eastAsiaTheme="minorHAnsi" w:hAnsi="Sakkal Majalla" w:cs="Sakkal Majalla" w:hint="cs"/>
          <w:sz w:val="26"/>
          <w:szCs w:val="26"/>
          <w:rtl/>
        </w:rPr>
        <w:t>الاستقصاء</w:t>
      </w:r>
    </w:p>
    <w:p w14:paraId="7078A4C7" w14:textId="77777777" w:rsidR="007A0B3B" w:rsidRPr="00DC0222" w:rsidRDefault="007A0B3B" w:rsidP="007A0B3B">
      <w:pPr>
        <w:pStyle w:val="BlockText"/>
        <w:spacing w:line="360" w:lineRule="auto"/>
        <w:jc w:val="both"/>
        <w:outlineLvl w:val="0"/>
        <w:rPr>
          <w:rFonts w:ascii="Sakkal Majalla" w:eastAsiaTheme="minorHAnsi" w:hAnsi="Sakkal Majalla" w:cs="Sakkal Majalla"/>
          <w:sz w:val="26"/>
          <w:szCs w:val="26"/>
          <w:rtl/>
        </w:rPr>
      </w:pPr>
      <w:r w:rsidRPr="00941E8A">
        <w:rPr>
          <w:rFonts w:cs="Simplified Arabic" w:hint="cs"/>
          <w:b/>
          <w:bCs/>
          <w:sz w:val="28"/>
          <w:rtl/>
        </w:rPr>
        <w:t>3/1/1 إعداد البيانات للتحليل واختبار الفروض:</w:t>
      </w:r>
      <w:r w:rsidRPr="00404D88">
        <w:rPr>
          <w:rFonts w:cs="Simplified Arabic" w:hint="cs"/>
          <w:b/>
          <w:bCs/>
          <w:sz w:val="32"/>
          <w:szCs w:val="32"/>
          <w:rtl/>
        </w:rPr>
        <w:t xml:space="preserve"> </w:t>
      </w:r>
    </w:p>
    <w:p w14:paraId="5F56575C" w14:textId="31253DCD" w:rsidR="007A0B3B" w:rsidRPr="00DC0222" w:rsidRDefault="007A0B3B" w:rsidP="007A0B3B">
      <w:pPr>
        <w:bidi/>
        <w:ind w:left="360"/>
        <w:jc w:val="both"/>
        <w:rPr>
          <w:rFonts w:ascii="Sakkal Majalla" w:hAnsi="Sakkal Majalla" w:cs="Sakkal Majalla"/>
          <w:sz w:val="26"/>
          <w:szCs w:val="26"/>
        </w:rPr>
      </w:pPr>
      <w:r w:rsidRPr="00DC0222">
        <w:rPr>
          <w:rFonts w:ascii="Sakkal Majalla" w:hAnsi="Sakkal Majalla" w:cs="Sakkal Majalla"/>
          <w:sz w:val="26"/>
          <w:szCs w:val="26"/>
          <w:rtl/>
        </w:rPr>
        <w:t xml:space="preserve">قبل البدء </w:t>
      </w:r>
      <w:r w:rsidRPr="00DC0222">
        <w:rPr>
          <w:rFonts w:ascii="Sakkal Majalla" w:hAnsi="Sakkal Majalla" w:cs="Sakkal Majalla" w:hint="cs"/>
          <w:sz w:val="26"/>
          <w:szCs w:val="26"/>
          <w:rtl/>
        </w:rPr>
        <w:t>في</w:t>
      </w:r>
      <w:r w:rsidRPr="00DC0222">
        <w:rPr>
          <w:rFonts w:ascii="Sakkal Majalla" w:hAnsi="Sakkal Majalla" w:cs="Sakkal Majalla"/>
          <w:sz w:val="26"/>
          <w:szCs w:val="26"/>
          <w:rtl/>
        </w:rPr>
        <w:t xml:space="preserve"> تطبيق الأساليب الإحصائية اللازمة </w:t>
      </w:r>
      <w:r w:rsidRPr="00DC0222">
        <w:rPr>
          <w:rFonts w:ascii="Sakkal Majalla" w:hAnsi="Sakkal Majalla" w:cs="Sakkal Majalla" w:hint="cs"/>
          <w:sz w:val="26"/>
          <w:szCs w:val="26"/>
          <w:rtl/>
        </w:rPr>
        <w:t>لاختبار</w:t>
      </w:r>
      <w:r w:rsidRPr="00DC0222">
        <w:rPr>
          <w:rFonts w:ascii="Sakkal Majalla" w:hAnsi="Sakkal Majalla" w:cs="Sakkal Majalla"/>
          <w:sz w:val="26"/>
          <w:szCs w:val="26"/>
          <w:rtl/>
        </w:rPr>
        <w:t xml:space="preserve"> الفروض تم إعداد البيانات وذلك بفرز </w:t>
      </w:r>
      <w:r w:rsidRPr="00DC0222">
        <w:rPr>
          <w:rFonts w:ascii="Sakkal Majalla" w:hAnsi="Sakkal Majalla" w:cs="Sakkal Majalla" w:hint="cs"/>
          <w:sz w:val="26"/>
          <w:szCs w:val="26"/>
          <w:rtl/>
        </w:rPr>
        <w:t>استمارات</w:t>
      </w:r>
      <w:r w:rsidRPr="00DC0222">
        <w:rPr>
          <w:rFonts w:ascii="Sakkal Majalla" w:hAnsi="Sakkal Majalla" w:cs="Sakkal Majalla"/>
          <w:sz w:val="26"/>
          <w:szCs w:val="26"/>
          <w:rtl/>
        </w:rPr>
        <w:t xml:space="preserve"> </w:t>
      </w:r>
      <w:r w:rsidRPr="00DC0222">
        <w:rPr>
          <w:rFonts w:ascii="Sakkal Majalla" w:hAnsi="Sakkal Majalla" w:cs="Sakkal Majalla" w:hint="cs"/>
          <w:sz w:val="26"/>
          <w:szCs w:val="26"/>
          <w:rtl/>
        </w:rPr>
        <w:t>الاستقصاء</w:t>
      </w:r>
      <w:r w:rsidRPr="00DC0222">
        <w:rPr>
          <w:rFonts w:ascii="Sakkal Majalla" w:hAnsi="Sakkal Majalla" w:cs="Sakkal Majalla"/>
          <w:sz w:val="26"/>
          <w:szCs w:val="26"/>
          <w:rtl/>
        </w:rPr>
        <w:t xml:space="preserve"> المختلفة ورفض </w:t>
      </w:r>
      <w:r w:rsidRPr="00DC0222">
        <w:rPr>
          <w:rFonts w:ascii="Sakkal Majalla" w:hAnsi="Sakkal Majalla" w:cs="Sakkal Majalla" w:hint="cs"/>
          <w:sz w:val="26"/>
          <w:szCs w:val="26"/>
          <w:rtl/>
        </w:rPr>
        <w:t>التي</w:t>
      </w:r>
      <w:r w:rsidRPr="00DC0222">
        <w:rPr>
          <w:rFonts w:ascii="Sakkal Majalla" w:hAnsi="Sakkal Majalla" w:cs="Sakkal Majalla"/>
          <w:sz w:val="26"/>
          <w:szCs w:val="26"/>
          <w:rtl/>
        </w:rPr>
        <w:t xml:space="preserve"> لا تصلح للتحليل، ثم تم ترميز متغيرات الدراسة وتفريغ </w:t>
      </w:r>
      <w:r w:rsidRPr="00DC0222">
        <w:rPr>
          <w:rFonts w:ascii="Sakkal Majalla" w:hAnsi="Sakkal Majalla" w:cs="Sakkal Majalla" w:hint="cs"/>
          <w:sz w:val="26"/>
          <w:szCs w:val="26"/>
          <w:rtl/>
        </w:rPr>
        <w:t>الاستمارات</w:t>
      </w:r>
      <w:r w:rsidRPr="00DC0222">
        <w:rPr>
          <w:rFonts w:ascii="Sakkal Majalla" w:hAnsi="Sakkal Majalla" w:cs="Sakkal Majalla"/>
          <w:sz w:val="26"/>
          <w:szCs w:val="26"/>
          <w:rtl/>
        </w:rPr>
        <w:t xml:space="preserve"> </w:t>
      </w:r>
      <w:r w:rsidRPr="00DC0222">
        <w:rPr>
          <w:rFonts w:ascii="Sakkal Majalla" w:hAnsi="Sakkal Majalla" w:cs="Sakkal Majalla" w:hint="cs"/>
          <w:sz w:val="26"/>
          <w:szCs w:val="26"/>
          <w:rtl/>
        </w:rPr>
        <w:t>باستخدام</w:t>
      </w:r>
      <w:r w:rsidRPr="00DC0222">
        <w:rPr>
          <w:rFonts w:ascii="Sakkal Majalla" w:hAnsi="Sakkal Majalla" w:cs="Sakkal Majalla"/>
          <w:sz w:val="26"/>
          <w:szCs w:val="26"/>
          <w:rtl/>
        </w:rPr>
        <w:t xml:space="preserve"> برنامج إكسل</w:t>
      </w:r>
      <w:r w:rsidRPr="00DC0222">
        <w:rPr>
          <w:rFonts w:ascii="Sakkal Majalla" w:hAnsi="Sakkal Majalla" w:cs="Sakkal Majalla"/>
          <w:sz w:val="26"/>
          <w:szCs w:val="26"/>
        </w:rPr>
        <w:t xml:space="preserve"> (EXCEL) </w:t>
      </w:r>
      <w:r w:rsidRPr="00DC0222">
        <w:rPr>
          <w:rFonts w:ascii="Sakkal Majalla" w:hAnsi="Sakkal Majalla" w:cs="Sakkal Majalla"/>
          <w:sz w:val="26"/>
          <w:szCs w:val="26"/>
          <w:rtl/>
        </w:rPr>
        <w:t xml:space="preserve">بعد إعداد ملف خاص، وبعد </w:t>
      </w:r>
      <w:r w:rsidRPr="00DC0222">
        <w:rPr>
          <w:rFonts w:ascii="Sakkal Majalla" w:hAnsi="Sakkal Majalla" w:cs="Sakkal Majalla" w:hint="cs"/>
          <w:sz w:val="26"/>
          <w:szCs w:val="26"/>
          <w:rtl/>
        </w:rPr>
        <w:t>الانتهاء</w:t>
      </w:r>
      <w:r w:rsidRPr="00DC0222">
        <w:rPr>
          <w:rFonts w:ascii="Sakkal Majalla" w:hAnsi="Sakkal Majalla" w:cs="Sakkal Majalla"/>
          <w:sz w:val="26"/>
          <w:szCs w:val="26"/>
          <w:rtl/>
        </w:rPr>
        <w:t xml:space="preserve"> من عملية التفريغ ومراجعة البيانات ثم تحويل ملف البيانات إكسل</w:t>
      </w:r>
      <w:r w:rsidRPr="00DC0222">
        <w:rPr>
          <w:rFonts w:ascii="Sakkal Majalla" w:hAnsi="Sakkal Majalla" w:cs="Sakkal Majalla"/>
          <w:sz w:val="26"/>
          <w:szCs w:val="26"/>
        </w:rPr>
        <w:t xml:space="preserve"> (EXCEL) </w:t>
      </w:r>
      <w:r w:rsidRPr="00DC0222">
        <w:rPr>
          <w:rFonts w:ascii="Sakkal Majalla" w:hAnsi="Sakkal Majalla" w:cs="Sakkal Majalla"/>
          <w:sz w:val="26"/>
          <w:szCs w:val="26"/>
          <w:rtl/>
        </w:rPr>
        <w:t>إلى ملف بيانات</w:t>
      </w:r>
      <w:r w:rsidRPr="00DC0222">
        <w:rPr>
          <w:rFonts w:ascii="Sakkal Majalla" w:hAnsi="Sakkal Majalla" w:cs="Sakkal Majalla"/>
          <w:sz w:val="26"/>
          <w:szCs w:val="26"/>
        </w:rPr>
        <w:t xml:space="preserve"> (SPSS) </w:t>
      </w:r>
      <w:r w:rsidRPr="00DC0222">
        <w:rPr>
          <w:rFonts w:ascii="Sakkal Majalla" w:hAnsi="Sakkal Majalla" w:cs="Sakkal Majalla" w:hint="cs"/>
          <w:sz w:val="26"/>
          <w:szCs w:val="26"/>
          <w:rtl/>
        </w:rPr>
        <w:t>باستخدام</w:t>
      </w:r>
      <w:r w:rsidRPr="00DC0222">
        <w:rPr>
          <w:rFonts w:ascii="Sakkal Majalla" w:hAnsi="Sakkal Majalla" w:cs="Sakkal Majalla"/>
          <w:sz w:val="26"/>
          <w:szCs w:val="26"/>
          <w:rtl/>
        </w:rPr>
        <w:t xml:space="preserve"> برنامج التحليل </w:t>
      </w:r>
      <w:r w:rsidRPr="00DC0222">
        <w:rPr>
          <w:rFonts w:ascii="Sakkal Majalla" w:hAnsi="Sakkal Majalla" w:cs="Sakkal Majalla" w:hint="cs"/>
          <w:sz w:val="26"/>
          <w:szCs w:val="26"/>
          <w:rtl/>
        </w:rPr>
        <w:t>الإحصائي</w:t>
      </w:r>
      <w:r w:rsidRPr="00DC0222">
        <w:rPr>
          <w:rFonts w:ascii="Sakkal Majalla" w:hAnsi="Sakkal Majalla" w:cs="Sakkal Majalla"/>
          <w:sz w:val="26"/>
          <w:szCs w:val="26"/>
        </w:rPr>
        <w:t xml:space="preserve"> (SPSS Ver 17)</w:t>
      </w:r>
      <w:r w:rsidRPr="00DC0222">
        <w:rPr>
          <w:rFonts w:ascii="Sakkal Majalla" w:hAnsi="Sakkal Majalla" w:cs="Sakkal Majalla"/>
          <w:sz w:val="26"/>
          <w:szCs w:val="26"/>
          <w:rtl/>
        </w:rPr>
        <w:t xml:space="preserve">، حيث تم تطبيق الأساليب الإحصائية المختلفة </w:t>
      </w:r>
      <w:r w:rsidRPr="00DC0222">
        <w:rPr>
          <w:rFonts w:ascii="Sakkal Majalla" w:hAnsi="Sakkal Majalla" w:cs="Sakkal Majalla" w:hint="cs"/>
          <w:sz w:val="26"/>
          <w:szCs w:val="26"/>
          <w:rtl/>
        </w:rPr>
        <w:t>والتي</w:t>
      </w:r>
      <w:r w:rsidRPr="00DC0222">
        <w:rPr>
          <w:rFonts w:ascii="Sakkal Majalla" w:hAnsi="Sakkal Majalla" w:cs="Sakkal Majalla"/>
          <w:sz w:val="26"/>
          <w:szCs w:val="26"/>
          <w:rtl/>
        </w:rPr>
        <w:t xml:space="preserve"> تتفق مع أهداف البحث و أهدافه</w:t>
      </w:r>
      <w:r w:rsidRPr="00DC0222">
        <w:rPr>
          <w:rFonts w:ascii="Sakkal Majalla" w:hAnsi="Sakkal Majalla" w:cs="Sakkal Majalla"/>
          <w:sz w:val="26"/>
          <w:szCs w:val="26"/>
        </w:rPr>
        <w:t xml:space="preserve"> .</w:t>
      </w:r>
    </w:p>
    <w:p w14:paraId="0E624203" w14:textId="77777777" w:rsidR="007A0B3B" w:rsidRPr="00DC0222" w:rsidRDefault="007A0B3B" w:rsidP="007A0B3B">
      <w:pPr>
        <w:pStyle w:val="BlockText"/>
        <w:spacing w:line="360" w:lineRule="auto"/>
        <w:jc w:val="lowKashida"/>
        <w:outlineLvl w:val="0"/>
        <w:rPr>
          <w:rFonts w:cs="Simplified Arabic"/>
          <w:b/>
          <w:bCs/>
          <w:sz w:val="28"/>
          <w:rtl/>
        </w:rPr>
      </w:pPr>
      <w:r w:rsidRPr="00DC0222">
        <w:rPr>
          <w:rFonts w:cs="Simplified Arabic" w:hint="cs"/>
          <w:b/>
          <w:bCs/>
          <w:sz w:val="28"/>
          <w:rtl/>
        </w:rPr>
        <w:t xml:space="preserve">3/1/2 الأساليب الإحصائية المستخدمة في تحليل البيانات واختبار الفروض:  </w:t>
      </w:r>
    </w:p>
    <w:p w14:paraId="6A8B1B8B" w14:textId="77777777" w:rsidR="007A0B3B" w:rsidRPr="00B90AA6" w:rsidRDefault="007A0B3B" w:rsidP="007A0B3B">
      <w:pPr>
        <w:pStyle w:val="BlockText"/>
        <w:jc w:val="lowKashida"/>
        <w:rPr>
          <w:rFonts w:ascii="Sakkal Majalla" w:eastAsiaTheme="minorHAnsi" w:hAnsi="Sakkal Majalla" w:cs="Sakkal Majalla"/>
          <w:sz w:val="26"/>
          <w:szCs w:val="26"/>
        </w:rPr>
      </w:pPr>
      <w:r w:rsidRPr="00B90AA6">
        <w:rPr>
          <w:rFonts w:ascii="Sakkal Majalla" w:eastAsiaTheme="minorHAnsi" w:hAnsi="Sakkal Majalla" w:cs="Sakkal Majalla"/>
          <w:sz w:val="26"/>
          <w:szCs w:val="26"/>
          <w:rtl/>
        </w:rPr>
        <w:t xml:space="preserve">لقد أستخدم الباحث </w:t>
      </w:r>
      <w:r w:rsidRPr="00B90AA6">
        <w:rPr>
          <w:rFonts w:ascii="Sakkal Majalla" w:eastAsiaTheme="minorHAnsi" w:hAnsi="Sakkal Majalla" w:cs="Sakkal Majalla" w:hint="cs"/>
          <w:sz w:val="26"/>
          <w:szCs w:val="26"/>
          <w:rtl/>
        </w:rPr>
        <w:t>الاختبارات</w:t>
      </w:r>
      <w:r w:rsidRPr="00B90AA6">
        <w:rPr>
          <w:rFonts w:ascii="Sakkal Majalla" w:eastAsiaTheme="minorHAnsi" w:hAnsi="Sakkal Majalla" w:cs="Sakkal Majalla"/>
          <w:sz w:val="26"/>
          <w:szCs w:val="26"/>
          <w:rtl/>
        </w:rPr>
        <w:t xml:space="preserve"> المناسبة لكل من طبيعة البيانات (بيانات أسمية وترتيبية) وطبقاً لفروض البحث والمتوفرة </w:t>
      </w:r>
      <w:r w:rsidRPr="00B90AA6">
        <w:rPr>
          <w:rFonts w:ascii="Sakkal Majalla" w:eastAsiaTheme="minorHAnsi" w:hAnsi="Sakkal Majalla" w:cs="Sakkal Majalla" w:hint="cs"/>
          <w:sz w:val="26"/>
          <w:szCs w:val="26"/>
          <w:rtl/>
        </w:rPr>
        <w:t>في</w:t>
      </w:r>
      <w:r w:rsidRPr="00B90AA6">
        <w:rPr>
          <w:rFonts w:ascii="Sakkal Majalla" w:eastAsiaTheme="minorHAnsi" w:hAnsi="Sakkal Majalla" w:cs="Sakkal Majalla"/>
          <w:sz w:val="26"/>
          <w:szCs w:val="26"/>
          <w:rtl/>
        </w:rPr>
        <w:t xml:space="preserve"> برنامج التحليل </w:t>
      </w:r>
      <w:r w:rsidRPr="00B90AA6">
        <w:rPr>
          <w:rFonts w:ascii="Sakkal Majalla" w:eastAsiaTheme="minorHAnsi" w:hAnsi="Sakkal Majalla" w:cs="Sakkal Majalla" w:hint="cs"/>
          <w:sz w:val="26"/>
          <w:szCs w:val="26"/>
          <w:rtl/>
        </w:rPr>
        <w:t>الإحصائي</w:t>
      </w:r>
      <w:r w:rsidRPr="00B90AA6">
        <w:rPr>
          <w:rFonts w:ascii="Sakkal Majalla" w:eastAsiaTheme="minorHAnsi" w:hAnsi="Sakkal Majalla" w:cs="Sakkal Majalla"/>
          <w:sz w:val="26"/>
          <w:szCs w:val="26"/>
          <w:rtl/>
        </w:rPr>
        <w:t xml:space="preserve"> (</w:t>
      </w:r>
      <w:r w:rsidRPr="00B90AA6">
        <w:rPr>
          <w:rFonts w:ascii="Sakkal Majalla" w:eastAsiaTheme="minorHAnsi" w:hAnsi="Sakkal Majalla" w:cs="Sakkal Majalla"/>
          <w:sz w:val="26"/>
          <w:szCs w:val="26"/>
        </w:rPr>
        <w:t>SPSS Ver 17</w:t>
      </w:r>
      <w:r w:rsidRPr="00B90AA6">
        <w:rPr>
          <w:rFonts w:ascii="Sakkal Majalla" w:eastAsiaTheme="minorHAnsi" w:hAnsi="Sakkal Majalla" w:cs="Sakkal Majalla"/>
          <w:sz w:val="26"/>
          <w:szCs w:val="26"/>
          <w:rtl/>
        </w:rPr>
        <w:t>) كما يلى:</w:t>
      </w:r>
    </w:p>
    <w:p w14:paraId="75AC9502" w14:textId="77777777" w:rsidR="007A0B3B" w:rsidRPr="00B90AA6" w:rsidRDefault="007A0B3B">
      <w:pPr>
        <w:pStyle w:val="BlockText"/>
        <w:numPr>
          <w:ilvl w:val="0"/>
          <w:numId w:val="125"/>
        </w:numPr>
        <w:jc w:val="lowKashida"/>
        <w:rPr>
          <w:rFonts w:ascii="Sakkal Majalla" w:eastAsiaTheme="minorHAnsi" w:hAnsi="Sakkal Majalla" w:cs="Sakkal Majalla"/>
          <w:sz w:val="26"/>
          <w:szCs w:val="26"/>
        </w:rPr>
      </w:pPr>
      <w:r w:rsidRPr="00B90AA6">
        <w:rPr>
          <w:rFonts w:ascii="Sakkal Majalla" w:eastAsiaTheme="minorHAnsi" w:hAnsi="Sakkal Majalla" w:cs="Sakkal Majalla"/>
          <w:sz w:val="26"/>
          <w:szCs w:val="26"/>
          <w:rtl/>
        </w:rPr>
        <w:t xml:space="preserve">المتوسط (الوسط) المرجح، لكل عبارة من الدراسة للتعرف على </w:t>
      </w:r>
      <w:r w:rsidRPr="00B90AA6">
        <w:rPr>
          <w:rFonts w:ascii="Sakkal Majalla" w:eastAsiaTheme="minorHAnsi" w:hAnsi="Sakkal Majalla" w:cs="Sakkal Majalla" w:hint="cs"/>
          <w:sz w:val="26"/>
          <w:szCs w:val="26"/>
          <w:rtl/>
        </w:rPr>
        <w:t>الاتجاه</w:t>
      </w:r>
      <w:r w:rsidRPr="00B90AA6">
        <w:rPr>
          <w:rFonts w:ascii="Sakkal Majalla" w:eastAsiaTheme="minorHAnsi" w:hAnsi="Sakkal Majalla" w:cs="Sakkal Majalla"/>
          <w:sz w:val="26"/>
          <w:szCs w:val="26"/>
          <w:rtl/>
        </w:rPr>
        <w:t xml:space="preserve"> لعام لمفردات الدراسة لكل متغير على </w:t>
      </w:r>
      <w:r w:rsidRPr="00B90AA6">
        <w:rPr>
          <w:rFonts w:ascii="Sakkal Majalla" w:eastAsiaTheme="minorHAnsi" w:hAnsi="Sakkal Majalla" w:cs="Sakkal Majalla" w:hint="cs"/>
          <w:sz w:val="26"/>
          <w:szCs w:val="26"/>
          <w:rtl/>
        </w:rPr>
        <w:t>حدة.</w:t>
      </w:r>
    </w:p>
    <w:p w14:paraId="78DD750B" w14:textId="77777777" w:rsidR="007A0B3B" w:rsidRPr="00B90AA6" w:rsidRDefault="007A0B3B">
      <w:pPr>
        <w:pStyle w:val="BlockText"/>
        <w:numPr>
          <w:ilvl w:val="0"/>
          <w:numId w:val="125"/>
        </w:numPr>
        <w:jc w:val="lowKashida"/>
        <w:rPr>
          <w:rFonts w:ascii="Sakkal Majalla" w:eastAsiaTheme="minorHAnsi" w:hAnsi="Sakkal Majalla" w:cs="Sakkal Majalla"/>
          <w:sz w:val="26"/>
          <w:szCs w:val="26"/>
        </w:rPr>
      </w:pPr>
      <w:r w:rsidRPr="00B90AA6">
        <w:rPr>
          <w:rFonts w:ascii="Sakkal Majalla" w:eastAsiaTheme="minorHAnsi" w:hAnsi="Sakkal Majalla" w:cs="Sakkal Majalla" w:hint="cs"/>
          <w:sz w:val="26"/>
          <w:szCs w:val="26"/>
          <w:rtl/>
        </w:rPr>
        <w:t>الانحراف</w:t>
      </w:r>
      <w:r w:rsidRPr="00B90AA6">
        <w:rPr>
          <w:rFonts w:ascii="Sakkal Majalla" w:eastAsiaTheme="minorHAnsi" w:hAnsi="Sakkal Majalla" w:cs="Sakkal Majalla"/>
          <w:sz w:val="26"/>
          <w:szCs w:val="26"/>
          <w:rtl/>
        </w:rPr>
        <w:t xml:space="preserve"> </w:t>
      </w:r>
      <w:r w:rsidRPr="00B90AA6">
        <w:rPr>
          <w:rFonts w:ascii="Sakkal Majalla" w:eastAsiaTheme="minorHAnsi" w:hAnsi="Sakkal Majalla" w:cs="Sakkal Majalla" w:hint="cs"/>
          <w:sz w:val="26"/>
          <w:szCs w:val="26"/>
          <w:rtl/>
        </w:rPr>
        <w:t>المعياري</w:t>
      </w:r>
      <w:r w:rsidRPr="00B90AA6">
        <w:rPr>
          <w:rFonts w:ascii="Sakkal Majalla" w:eastAsiaTheme="minorHAnsi" w:hAnsi="Sakkal Majalla" w:cs="Sakkal Majalla"/>
          <w:sz w:val="26"/>
          <w:szCs w:val="26"/>
          <w:rtl/>
        </w:rPr>
        <w:t xml:space="preserve"> ومعامل </w:t>
      </w:r>
      <w:r w:rsidRPr="00B90AA6">
        <w:rPr>
          <w:rFonts w:ascii="Sakkal Majalla" w:eastAsiaTheme="minorHAnsi" w:hAnsi="Sakkal Majalla" w:cs="Sakkal Majalla" w:hint="cs"/>
          <w:sz w:val="26"/>
          <w:szCs w:val="26"/>
          <w:rtl/>
        </w:rPr>
        <w:t>الاختلاف</w:t>
      </w:r>
      <w:r w:rsidRPr="00B90AA6">
        <w:rPr>
          <w:rFonts w:ascii="Sakkal Majalla" w:eastAsiaTheme="minorHAnsi" w:hAnsi="Sakkal Majalla" w:cs="Sakkal Majalla"/>
          <w:sz w:val="26"/>
          <w:szCs w:val="26"/>
          <w:rtl/>
        </w:rPr>
        <w:t xml:space="preserve"> لكل عبارة من العبارات لترتيب درجة الأهمية لكل عبارة.</w:t>
      </w:r>
    </w:p>
    <w:p w14:paraId="62E028FF" w14:textId="77777777" w:rsidR="007A0B3B" w:rsidRPr="00B90AA6" w:rsidRDefault="007A0B3B">
      <w:pPr>
        <w:pStyle w:val="BlockText"/>
        <w:numPr>
          <w:ilvl w:val="0"/>
          <w:numId w:val="125"/>
        </w:numPr>
        <w:jc w:val="lowKashida"/>
        <w:rPr>
          <w:rFonts w:ascii="Sakkal Majalla" w:eastAsiaTheme="minorHAnsi" w:hAnsi="Sakkal Majalla" w:cs="Sakkal Majalla"/>
          <w:sz w:val="26"/>
          <w:szCs w:val="26"/>
        </w:rPr>
      </w:pPr>
      <w:r w:rsidRPr="00B90AA6">
        <w:rPr>
          <w:rFonts w:ascii="Sakkal Majalla" w:eastAsiaTheme="minorHAnsi" w:hAnsi="Sakkal Majalla" w:cs="Sakkal Majalla" w:hint="cs"/>
          <w:sz w:val="26"/>
          <w:szCs w:val="26"/>
          <w:rtl/>
        </w:rPr>
        <w:t xml:space="preserve">اختبار </w:t>
      </w:r>
      <w:r w:rsidRPr="00B90AA6">
        <w:rPr>
          <w:rFonts w:ascii="Sakkal Majalla" w:eastAsiaTheme="minorHAnsi" w:hAnsi="Sakkal Majalla" w:cs="Sakkal Majalla"/>
          <w:sz w:val="26"/>
          <w:szCs w:val="26"/>
          <w:rtl/>
        </w:rPr>
        <w:t>الثبات (</w:t>
      </w:r>
      <w:r w:rsidRPr="00B90AA6">
        <w:rPr>
          <w:rFonts w:ascii="Sakkal Majalla" w:eastAsiaTheme="minorHAnsi" w:hAnsi="Sakkal Majalla" w:cs="Sakkal Majalla"/>
          <w:sz w:val="26"/>
          <w:szCs w:val="26"/>
        </w:rPr>
        <w:t>Reliability Test</w:t>
      </w:r>
      <w:r w:rsidRPr="00B90AA6">
        <w:rPr>
          <w:rFonts w:ascii="Sakkal Majalla" w:eastAsiaTheme="minorHAnsi" w:hAnsi="Sakkal Majalla" w:cs="Sakkal Majalla"/>
          <w:sz w:val="26"/>
          <w:szCs w:val="26"/>
          <w:rtl/>
        </w:rPr>
        <w:t xml:space="preserve">)، لحساب درجة الثبات للمقاييس المستخدمة </w:t>
      </w:r>
      <w:r w:rsidRPr="00B90AA6">
        <w:rPr>
          <w:rFonts w:ascii="Sakkal Majalla" w:eastAsiaTheme="minorHAnsi" w:hAnsi="Sakkal Majalla" w:cs="Sakkal Majalla" w:hint="cs"/>
          <w:sz w:val="26"/>
          <w:szCs w:val="26"/>
          <w:rtl/>
        </w:rPr>
        <w:t>باستخدام</w:t>
      </w:r>
      <w:r w:rsidRPr="00B90AA6">
        <w:rPr>
          <w:rFonts w:ascii="Sakkal Majalla" w:eastAsiaTheme="minorHAnsi" w:hAnsi="Sakkal Majalla" w:cs="Sakkal Majalla"/>
          <w:sz w:val="26"/>
          <w:szCs w:val="26"/>
          <w:rtl/>
        </w:rPr>
        <w:t xml:space="preserve"> معامل ألفا </w:t>
      </w:r>
      <w:r w:rsidRPr="00B90AA6">
        <w:rPr>
          <w:rFonts w:ascii="Sakkal Majalla" w:eastAsiaTheme="minorHAnsi" w:hAnsi="Sakkal Majalla" w:cs="Sakkal Majalla" w:hint="cs"/>
          <w:sz w:val="26"/>
          <w:szCs w:val="26"/>
          <w:rtl/>
        </w:rPr>
        <w:t>كرو نبا</w:t>
      </w:r>
      <w:r w:rsidRPr="00B90AA6">
        <w:rPr>
          <w:rFonts w:ascii="Sakkal Majalla" w:eastAsiaTheme="minorHAnsi" w:hAnsi="Sakkal Majalla" w:cs="Sakkal Majalla" w:hint="eastAsia"/>
          <w:sz w:val="26"/>
          <w:szCs w:val="26"/>
          <w:rtl/>
        </w:rPr>
        <w:t>خ</w:t>
      </w:r>
      <w:r w:rsidRPr="00B90AA6">
        <w:rPr>
          <w:rFonts w:ascii="Sakkal Majalla" w:eastAsiaTheme="minorHAnsi" w:hAnsi="Sakkal Majalla" w:cs="Sakkal Majalla"/>
          <w:sz w:val="26"/>
          <w:szCs w:val="26"/>
          <w:rtl/>
        </w:rPr>
        <w:t xml:space="preserve"> .</w:t>
      </w:r>
    </w:p>
    <w:p w14:paraId="4C919E2B" w14:textId="77777777" w:rsidR="007A0B3B" w:rsidRPr="00B90AA6" w:rsidRDefault="007A0B3B">
      <w:pPr>
        <w:pStyle w:val="BlockText"/>
        <w:numPr>
          <w:ilvl w:val="0"/>
          <w:numId w:val="125"/>
        </w:numPr>
        <w:jc w:val="lowKashida"/>
        <w:rPr>
          <w:rFonts w:ascii="Sakkal Majalla" w:eastAsiaTheme="minorHAnsi" w:hAnsi="Sakkal Majalla" w:cs="Sakkal Majalla"/>
          <w:sz w:val="26"/>
          <w:szCs w:val="26"/>
        </w:rPr>
      </w:pPr>
      <w:r w:rsidRPr="00B90AA6">
        <w:rPr>
          <w:rFonts w:ascii="Sakkal Majalla" w:eastAsiaTheme="minorHAnsi" w:hAnsi="Sakkal Majalla" w:cs="Sakkal Majalla"/>
          <w:sz w:val="26"/>
          <w:szCs w:val="26"/>
          <w:rtl/>
        </w:rPr>
        <w:t xml:space="preserve">التحليل </w:t>
      </w:r>
      <w:r w:rsidRPr="00B90AA6">
        <w:rPr>
          <w:rFonts w:ascii="Sakkal Majalla" w:eastAsiaTheme="minorHAnsi" w:hAnsi="Sakkal Majalla" w:cs="Sakkal Majalla" w:hint="cs"/>
          <w:sz w:val="26"/>
          <w:szCs w:val="26"/>
          <w:rtl/>
        </w:rPr>
        <w:t>العاملي</w:t>
      </w:r>
      <w:r w:rsidRPr="00B90AA6">
        <w:rPr>
          <w:rFonts w:ascii="Sakkal Majalla" w:eastAsiaTheme="minorHAnsi" w:hAnsi="Sakkal Majalla" w:cs="Sakkal Majalla"/>
          <w:sz w:val="26"/>
          <w:szCs w:val="26"/>
          <w:rtl/>
        </w:rPr>
        <w:t xml:space="preserve"> (</w:t>
      </w:r>
      <w:r w:rsidRPr="00B90AA6">
        <w:rPr>
          <w:rFonts w:ascii="Sakkal Majalla" w:eastAsiaTheme="minorHAnsi" w:hAnsi="Sakkal Majalla" w:cs="Sakkal Majalla"/>
          <w:sz w:val="26"/>
          <w:szCs w:val="26"/>
        </w:rPr>
        <w:t>Factor Analysis</w:t>
      </w:r>
      <w:r w:rsidRPr="00B90AA6">
        <w:rPr>
          <w:rFonts w:ascii="Sakkal Majalla" w:eastAsiaTheme="minorHAnsi" w:hAnsi="Sakkal Majalla" w:cs="Sakkal Majalla"/>
          <w:sz w:val="26"/>
          <w:szCs w:val="26"/>
          <w:rtl/>
        </w:rPr>
        <w:t xml:space="preserve">) ، لتخفيض العدد الكبير للمتغيرات بالمقياس إلى عدد أقل من العوامل المشتركة </w:t>
      </w:r>
      <w:r w:rsidRPr="00B90AA6">
        <w:rPr>
          <w:rFonts w:ascii="Sakkal Majalla" w:eastAsiaTheme="minorHAnsi" w:hAnsi="Sakkal Majalla" w:cs="Sakkal Majalla" w:hint="cs"/>
          <w:sz w:val="26"/>
          <w:szCs w:val="26"/>
          <w:rtl/>
        </w:rPr>
        <w:t>التي</w:t>
      </w:r>
      <w:r w:rsidRPr="00B90AA6">
        <w:rPr>
          <w:rFonts w:ascii="Sakkal Majalla" w:eastAsiaTheme="minorHAnsi" w:hAnsi="Sakkal Majalla" w:cs="Sakkal Majalla"/>
          <w:sz w:val="26"/>
          <w:szCs w:val="26"/>
          <w:rtl/>
        </w:rPr>
        <w:t xml:space="preserve"> تقيس الارتباط الموجود بينها وكذلك بهدف التأكد من صدق </w:t>
      </w:r>
      <w:r w:rsidRPr="00B90AA6">
        <w:rPr>
          <w:rFonts w:ascii="Sakkal Majalla" w:eastAsiaTheme="minorHAnsi" w:hAnsi="Sakkal Majalla" w:cs="Sakkal Majalla" w:hint="cs"/>
          <w:sz w:val="26"/>
          <w:szCs w:val="26"/>
          <w:rtl/>
        </w:rPr>
        <w:t>العاملي</w:t>
      </w:r>
      <w:r w:rsidRPr="00B90AA6">
        <w:rPr>
          <w:rFonts w:ascii="Sakkal Majalla" w:eastAsiaTheme="minorHAnsi" w:hAnsi="Sakkal Majalla" w:cs="Sakkal Majalla"/>
          <w:sz w:val="26"/>
          <w:szCs w:val="26"/>
          <w:rtl/>
        </w:rPr>
        <w:t xml:space="preserve"> لأبعاد الدراسة .</w:t>
      </w:r>
    </w:p>
    <w:p w14:paraId="096DC82B" w14:textId="77777777" w:rsidR="007A0B3B" w:rsidRPr="00B90AA6" w:rsidRDefault="007A0B3B">
      <w:pPr>
        <w:pStyle w:val="BlockText"/>
        <w:numPr>
          <w:ilvl w:val="0"/>
          <w:numId w:val="125"/>
        </w:numPr>
        <w:jc w:val="lowKashida"/>
        <w:rPr>
          <w:rFonts w:ascii="Sakkal Majalla" w:eastAsiaTheme="minorHAnsi" w:hAnsi="Sakkal Majalla" w:cs="Sakkal Majalla"/>
          <w:sz w:val="26"/>
          <w:szCs w:val="26"/>
        </w:rPr>
      </w:pPr>
      <w:r w:rsidRPr="00B90AA6">
        <w:rPr>
          <w:rFonts w:ascii="Sakkal Majalla" w:eastAsiaTheme="minorHAnsi" w:hAnsi="Sakkal Majalla" w:cs="Sakkal Majalla" w:hint="cs"/>
          <w:sz w:val="26"/>
          <w:szCs w:val="26"/>
          <w:rtl/>
        </w:rPr>
        <w:t>اختبار</w:t>
      </w:r>
      <w:r w:rsidRPr="00B90AA6">
        <w:rPr>
          <w:rFonts w:ascii="Sakkal Majalla" w:eastAsiaTheme="minorHAnsi" w:hAnsi="Sakkal Majalla" w:cs="Sakkal Majalla"/>
          <w:sz w:val="26"/>
          <w:szCs w:val="26"/>
          <w:rtl/>
        </w:rPr>
        <w:t xml:space="preserve"> معنوية الفرق بين وسطين "</w:t>
      </w:r>
      <w:r w:rsidRPr="00B90AA6">
        <w:rPr>
          <w:rFonts w:ascii="Sakkal Majalla" w:eastAsiaTheme="minorHAnsi" w:hAnsi="Sakkal Majalla" w:cs="Sakkal Majalla" w:hint="cs"/>
          <w:sz w:val="26"/>
          <w:szCs w:val="26"/>
          <w:rtl/>
        </w:rPr>
        <w:t>اختبار</w:t>
      </w:r>
      <w:r w:rsidRPr="00B90AA6">
        <w:rPr>
          <w:rFonts w:ascii="Sakkal Majalla" w:eastAsiaTheme="minorHAnsi" w:hAnsi="Sakkal Majalla" w:cs="Sakkal Majalla"/>
          <w:sz w:val="26"/>
          <w:szCs w:val="26"/>
          <w:rtl/>
        </w:rPr>
        <w:t xml:space="preserve"> ت" (</w:t>
      </w:r>
      <w:r w:rsidRPr="00B90AA6">
        <w:rPr>
          <w:rFonts w:ascii="Sakkal Majalla" w:eastAsiaTheme="minorHAnsi" w:hAnsi="Sakkal Majalla" w:cs="Sakkal Majalla"/>
          <w:sz w:val="26"/>
          <w:szCs w:val="26"/>
        </w:rPr>
        <w:t>Independence Sample T-Test</w:t>
      </w:r>
      <w:r w:rsidRPr="00B90AA6">
        <w:rPr>
          <w:rFonts w:ascii="Sakkal Majalla" w:eastAsiaTheme="minorHAnsi" w:hAnsi="Sakkal Majalla" w:cs="Sakkal Majalla"/>
          <w:sz w:val="26"/>
          <w:szCs w:val="26"/>
          <w:rtl/>
        </w:rPr>
        <w:t xml:space="preserve">) ، لمعرفة معنوية الفرق بين متوسطين و </w:t>
      </w:r>
      <w:r w:rsidRPr="00B90AA6">
        <w:rPr>
          <w:rFonts w:ascii="Sakkal Majalla" w:eastAsiaTheme="minorHAnsi" w:hAnsi="Sakkal Majalla" w:cs="Sakkal Majalla" w:hint="cs"/>
          <w:sz w:val="26"/>
          <w:szCs w:val="26"/>
          <w:rtl/>
        </w:rPr>
        <w:t>اختبار</w:t>
      </w:r>
      <w:r w:rsidRPr="00B90AA6">
        <w:rPr>
          <w:rFonts w:ascii="Sakkal Majalla" w:eastAsiaTheme="minorHAnsi" w:hAnsi="Sakkal Majalla" w:cs="Sakkal Majalla"/>
          <w:sz w:val="26"/>
          <w:szCs w:val="26"/>
          <w:rtl/>
        </w:rPr>
        <w:t xml:space="preserve"> صحة الفروض الدراسة .</w:t>
      </w:r>
    </w:p>
    <w:p w14:paraId="53A4C65A" w14:textId="77777777" w:rsidR="007A0B3B" w:rsidRPr="00B90AA6" w:rsidRDefault="007A0B3B">
      <w:pPr>
        <w:pStyle w:val="BlockText"/>
        <w:numPr>
          <w:ilvl w:val="0"/>
          <w:numId w:val="125"/>
        </w:numPr>
        <w:jc w:val="lowKashida"/>
        <w:rPr>
          <w:rFonts w:ascii="Sakkal Majalla" w:eastAsiaTheme="minorHAnsi" w:hAnsi="Sakkal Majalla" w:cs="Sakkal Majalla"/>
          <w:sz w:val="26"/>
          <w:szCs w:val="26"/>
        </w:rPr>
      </w:pPr>
      <w:r w:rsidRPr="00B90AA6">
        <w:rPr>
          <w:rFonts w:ascii="Sakkal Majalla" w:eastAsiaTheme="minorHAnsi" w:hAnsi="Sakkal Majalla" w:cs="Sakkal Majalla"/>
          <w:sz w:val="26"/>
          <w:szCs w:val="26"/>
          <w:rtl/>
        </w:rPr>
        <w:lastRenderedPageBreak/>
        <w:t xml:space="preserve">تحليل </w:t>
      </w:r>
      <w:r w:rsidRPr="00B90AA6">
        <w:rPr>
          <w:rFonts w:ascii="Sakkal Majalla" w:eastAsiaTheme="minorHAnsi" w:hAnsi="Sakkal Majalla" w:cs="Sakkal Majalla" w:hint="cs"/>
          <w:sz w:val="26"/>
          <w:szCs w:val="26"/>
          <w:rtl/>
        </w:rPr>
        <w:t>الانحدار</w:t>
      </w:r>
      <w:r w:rsidRPr="00B90AA6">
        <w:rPr>
          <w:rFonts w:ascii="Sakkal Majalla" w:eastAsiaTheme="minorHAnsi" w:hAnsi="Sakkal Majalla" w:cs="Sakkal Majalla"/>
          <w:sz w:val="26"/>
          <w:szCs w:val="26"/>
          <w:rtl/>
        </w:rPr>
        <w:t xml:space="preserve"> </w:t>
      </w:r>
      <w:r w:rsidRPr="00B90AA6">
        <w:rPr>
          <w:rFonts w:ascii="Sakkal Majalla" w:eastAsiaTheme="minorHAnsi" w:hAnsi="Sakkal Majalla" w:cs="Sakkal Majalla" w:hint="cs"/>
          <w:sz w:val="26"/>
          <w:szCs w:val="26"/>
          <w:rtl/>
        </w:rPr>
        <w:t>البسيط</w:t>
      </w:r>
      <w:r w:rsidRPr="00B90AA6">
        <w:rPr>
          <w:rFonts w:ascii="Sakkal Majalla" w:eastAsiaTheme="minorHAnsi" w:hAnsi="Sakkal Majalla" w:cs="Sakkal Majalla"/>
          <w:sz w:val="26"/>
          <w:szCs w:val="26"/>
          <w:rtl/>
        </w:rPr>
        <w:t xml:space="preserve"> (</w:t>
      </w:r>
      <w:r w:rsidRPr="00B90AA6">
        <w:rPr>
          <w:rFonts w:ascii="Sakkal Majalla" w:eastAsiaTheme="minorHAnsi" w:hAnsi="Sakkal Majalla" w:cs="Sakkal Majalla"/>
          <w:sz w:val="26"/>
          <w:szCs w:val="26"/>
        </w:rPr>
        <w:t>Simple Regression</w:t>
      </w:r>
      <w:r w:rsidRPr="00B90AA6">
        <w:rPr>
          <w:rFonts w:ascii="Sakkal Majalla" w:eastAsiaTheme="minorHAnsi" w:hAnsi="Sakkal Majalla" w:cs="Sakkal Majalla"/>
          <w:sz w:val="26"/>
          <w:szCs w:val="26"/>
          <w:rtl/>
        </w:rPr>
        <w:t xml:space="preserve">) بطريقة </w:t>
      </w:r>
      <w:r w:rsidRPr="00B90AA6">
        <w:rPr>
          <w:rFonts w:ascii="Sakkal Majalla" w:eastAsiaTheme="minorHAnsi" w:hAnsi="Sakkal Majalla" w:cs="Sakkal Majalla" w:hint="cs"/>
          <w:sz w:val="26"/>
          <w:szCs w:val="26"/>
          <w:rtl/>
        </w:rPr>
        <w:t>الانحدار</w:t>
      </w:r>
      <w:r w:rsidRPr="00B90AA6">
        <w:rPr>
          <w:rFonts w:ascii="Sakkal Majalla" w:eastAsiaTheme="minorHAnsi" w:hAnsi="Sakkal Majalla" w:cs="Sakkal Majalla"/>
          <w:sz w:val="26"/>
          <w:szCs w:val="26"/>
          <w:rtl/>
        </w:rPr>
        <w:t xml:space="preserve"> المتدرج</w:t>
      </w:r>
      <w:r>
        <w:rPr>
          <w:rFonts w:ascii="Sakkal Majalla" w:eastAsiaTheme="minorHAnsi" w:hAnsi="Sakkal Majalla" w:cs="Sakkal Majalla" w:hint="cs"/>
          <w:sz w:val="26"/>
          <w:szCs w:val="26"/>
          <w:rtl/>
        </w:rPr>
        <w:t>.</w:t>
      </w:r>
    </w:p>
    <w:p w14:paraId="735A5564" w14:textId="77777777" w:rsidR="007A0B3B" w:rsidRPr="00B90AA6" w:rsidRDefault="007A0B3B">
      <w:pPr>
        <w:pStyle w:val="BlockText"/>
        <w:numPr>
          <w:ilvl w:val="0"/>
          <w:numId w:val="125"/>
        </w:numPr>
        <w:jc w:val="lowKashida"/>
        <w:rPr>
          <w:rFonts w:ascii="Sakkal Majalla" w:eastAsiaTheme="minorHAnsi" w:hAnsi="Sakkal Majalla" w:cs="Sakkal Majalla"/>
          <w:sz w:val="26"/>
          <w:szCs w:val="26"/>
        </w:rPr>
      </w:pPr>
      <w:r w:rsidRPr="00B90AA6">
        <w:rPr>
          <w:rFonts w:ascii="Sakkal Majalla" w:eastAsiaTheme="minorHAnsi" w:hAnsi="Sakkal Majalla" w:cs="Sakkal Majalla"/>
          <w:sz w:val="26"/>
          <w:szCs w:val="26"/>
          <w:rtl/>
        </w:rPr>
        <w:t xml:space="preserve">( </w:t>
      </w:r>
      <w:r w:rsidRPr="00B90AA6">
        <w:rPr>
          <w:rFonts w:ascii="Sakkal Majalla" w:eastAsiaTheme="minorHAnsi" w:hAnsi="Sakkal Majalla" w:cs="Sakkal Majalla"/>
          <w:sz w:val="26"/>
          <w:szCs w:val="26"/>
        </w:rPr>
        <w:t>Stepwise Regression</w:t>
      </w:r>
      <w:r w:rsidRPr="00B90AA6">
        <w:rPr>
          <w:rFonts w:ascii="Sakkal Majalla" w:eastAsiaTheme="minorHAnsi" w:hAnsi="Sakkal Majalla" w:cs="Sakkal Majalla"/>
          <w:sz w:val="26"/>
          <w:szCs w:val="26"/>
          <w:rtl/>
        </w:rPr>
        <w:t>) ، وتستخدم لمعرفة طبيعة وقوة العلاقة والقدرة التفسيرية لمجموعة من المتغيرات المستقلة والتابعة .</w:t>
      </w:r>
    </w:p>
    <w:p w14:paraId="6B8AD057" w14:textId="77777777" w:rsidR="007A0B3B" w:rsidRPr="00B90AA6" w:rsidRDefault="007A0B3B">
      <w:pPr>
        <w:pStyle w:val="BlockText"/>
        <w:numPr>
          <w:ilvl w:val="0"/>
          <w:numId w:val="125"/>
        </w:numPr>
        <w:jc w:val="lowKashida"/>
        <w:rPr>
          <w:rFonts w:ascii="Sakkal Majalla" w:eastAsiaTheme="minorHAnsi" w:hAnsi="Sakkal Majalla" w:cs="Sakkal Majalla"/>
          <w:sz w:val="26"/>
          <w:szCs w:val="26"/>
        </w:rPr>
      </w:pPr>
      <w:r w:rsidRPr="00B90AA6">
        <w:rPr>
          <w:rFonts w:ascii="Sakkal Majalla" w:eastAsiaTheme="minorHAnsi" w:hAnsi="Sakkal Majalla" w:cs="Sakkal Majalla"/>
          <w:sz w:val="26"/>
          <w:szCs w:val="26"/>
          <w:rtl/>
        </w:rPr>
        <w:t xml:space="preserve">تحليل </w:t>
      </w:r>
      <w:r w:rsidRPr="00B90AA6">
        <w:rPr>
          <w:rFonts w:ascii="Sakkal Majalla" w:eastAsiaTheme="minorHAnsi" w:hAnsi="Sakkal Majalla" w:cs="Sakkal Majalla" w:hint="cs"/>
          <w:sz w:val="26"/>
          <w:szCs w:val="26"/>
          <w:rtl/>
        </w:rPr>
        <w:t>الانحدار</w:t>
      </w:r>
      <w:r w:rsidRPr="00B90AA6">
        <w:rPr>
          <w:rFonts w:ascii="Sakkal Majalla" w:eastAsiaTheme="minorHAnsi" w:hAnsi="Sakkal Majalla" w:cs="Sakkal Majalla"/>
          <w:sz w:val="26"/>
          <w:szCs w:val="26"/>
          <w:rtl/>
        </w:rPr>
        <w:t xml:space="preserve"> المتعدد (</w:t>
      </w:r>
      <w:r w:rsidRPr="00B90AA6">
        <w:rPr>
          <w:rFonts w:ascii="Sakkal Majalla" w:eastAsiaTheme="minorHAnsi" w:hAnsi="Sakkal Majalla" w:cs="Sakkal Majalla"/>
          <w:sz w:val="26"/>
          <w:szCs w:val="26"/>
        </w:rPr>
        <w:t>Multiple Regression</w:t>
      </w:r>
      <w:r w:rsidRPr="00B90AA6">
        <w:rPr>
          <w:rFonts w:ascii="Sakkal Majalla" w:eastAsiaTheme="minorHAnsi" w:hAnsi="Sakkal Majalla" w:cs="Sakkal Majalla"/>
          <w:sz w:val="26"/>
          <w:szCs w:val="26"/>
          <w:rtl/>
        </w:rPr>
        <w:t>) ، وذلك بهدف تقديم نماذج العلاقات بين المتغيرات المستقلة والمتغير التابع .</w:t>
      </w:r>
    </w:p>
    <w:p w14:paraId="476792EA" w14:textId="77777777" w:rsidR="007A0B3B" w:rsidRPr="000C52CF" w:rsidRDefault="007A0B3B" w:rsidP="007A0B3B">
      <w:pPr>
        <w:pStyle w:val="BlockText"/>
        <w:spacing w:line="360" w:lineRule="auto"/>
        <w:jc w:val="both"/>
        <w:outlineLvl w:val="0"/>
        <w:rPr>
          <w:rFonts w:cs="Simplified Arabic"/>
          <w:b/>
          <w:bCs/>
          <w:sz w:val="28"/>
          <w:rtl/>
        </w:rPr>
      </w:pPr>
      <w:r w:rsidRPr="000C52CF">
        <w:rPr>
          <w:rFonts w:cs="Simplified Arabic" w:hint="cs"/>
          <w:b/>
          <w:bCs/>
          <w:sz w:val="28"/>
          <w:rtl/>
        </w:rPr>
        <w:t>3/1/3 قياس درجة الثبات والصدق للمقاييس المستخدمة في الدراسة:</w:t>
      </w:r>
    </w:p>
    <w:p w14:paraId="6B7BF7D7" w14:textId="48BCA2EA" w:rsidR="007A0B3B" w:rsidRPr="009722A9" w:rsidRDefault="007A0B3B" w:rsidP="007A0B3B">
      <w:pPr>
        <w:pStyle w:val="BlockText"/>
        <w:spacing w:line="360" w:lineRule="auto"/>
        <w:rPr>
          <w:rFonts w:ascii="Sakkal Majalla" w:eastAsiaTheme="minorHAnsi" w:hAnsi="Sakkal Majalla" w:cs="Sakkal Majalla"/>
          <w:sz w:val="26"/>
          <w:szCs w:val="26"/>
          <w:rtl/>
        </w:rPr>
      </w:pPr>
      <w:r w:rsidRPr="009722A9">
        <w:rPr>
          <w:rFonts w:ascii="Sakkal Majalla" w:eastAsiaTheme="minorHAnsi" w:hAnsi="Sakkal Majalla" w:cs="Sakkal Majalla"/>
          <w:sz w:val="26"/>
          <w:szCs w:val="26"/>
          <w:rtl/>
        </w:rPr>
        <w:t xml:space="preserve">قام الباحث بإجراء مسح </w:t>
      </w:r>
      <w:r w:rsidRPr="009722A9">
        <w:rPr>
          <w:rFonts w:ascii="Sakkal Majalla" w:eastAsiaTheme="minorHAnsi" w:hAnsi="Sakkal Majalla" w:cs="Sakkal Majalla" w:hint="cs"/>
          <w:sz w:val="26"/>
          <w:szCs w:val="26"/>
          <w:rtl/>
        </w:rPr>
        <w:t>مكتبي</w:t>
      </w:r>
      <w:r w:rsidRPr="009722A9">
        <w:rPr>
          <w:rFonts w:ascii="Sakkal Majalla" w:eastAsiaTheme="minorHAnsi" w:hAnsi="Sakkal Majalla" w:cs="Sakkal Majalla"/>
          <w:sz w:val="26"/>
          <w:szCs w:val="26"/>
          <w:rtl/>
        </w:rPr>
        <w:t xml:space="preserve"> وذلك </w:t>
      </w:r>
      <w:r w:rsidRPr="009722A9">
        <w:rPr>
          <w:rFonts w:ascii="Sakkal Majalla" w:eastAsiaTheme="minorHAnsi" w:hAnsi="Sakkal Majalla" w:cs="Sakkal Majalla" w:hint="cs"/>
          <w:sz w:val="26"/>
          <w:szCs w:val="26"/>
          <w:rtl/>
        </w:rPr>
        <w:t>بالاطلاع</w:t>
      </w:r>
      <w:r w:rsidRPr="009722A9">
        <w:rPr>
          <w:rFonts w:ascii="Sakkal Majalla" w:eastAsiaTheme="minorHAnsi" w:hAnsi="Sakkal Majalla" w:cs="Sakkal Majalla"/>
          <w:sz w:val="26"/>
          <w:szCs w:val="26"/>
          <w:rtl/>
        </w:rPr>
        <w:t xml:space="preserve"> على الكتب ومراجع و دوريات ونشرات ودراسات سابقة تتعلق بموضوع الدراسة وأنتهى إلى مجموعة كبيرة من المعلومات </w:t>
      </w:r>
      <w:r w:rsidRPr="009722A9">
        <w:rPr>
          <w:rFonts w:ascii="Sakkal Majalla" w:eastAsiaTheme="minorHAnsi" w:hAnsi="Sakkal Majalla" w:cs="Sakkal Majalla" w:hint="cs"/>
          <w:sz w:val="26"/>
          <w:szCs w:val="26"/>
          <w:rtl/>
        </w:rPr>
        <w:t>في</w:t>
      </w:r>
      <w:r w:rsidRPr="009722A9">
        <w:rPr>
          <w:rFonts w:ascii="Sakkal Majalla" w:eastAsiaTheme="minorHAnsi" w:hAnsi="Sakkal Majalla" w:cs="Sakkal Majalla"/>
          <w:sz w:val="26"/>
          <w:szCs w:val="26"/>
          <w:rtl/>
        </w:rPr>
        <w:t xml:space="preserve"> ذلك المجال، و</w:t>
      </w:r>
      <w:r w:rsidR="009D2BFE">
        <w:rPr>
          <w:rFonts w:ascii="Sakkal Majalla" w:eastAsiaTheme="minorHAnsi" w:hAnsi="Sakkal Majalla" w:cs="Sakkal Majalla" w:hint="cs"/>
          <w:sz w:val="26"/>
          <w:szCs w:val="26"/>
          <w:rtl/>
        </w:rPr>
        <w:t>ي</w:t>
      </w:r>
      <w:r w:rsidRPr="009722A9">
        <w:rPr>
          <w:rFonts w:ascii="Sakkal Majalla" w:eastAsiaTheme="minorHAnsi" w:hAnsi="Sakkal Majalla" w:cs="Sakkal Majalla"/>
          <w:sz w:val="26"/>
          <w:szCs w:val="26"/>
          <w:rtl/>
        </w:rPr>
        <w:t xml:space="preserve">عتقد الباحث أن المكتبة العربية تفتقر إلى مثل هذه الدراسات على الرغم من وجود العديد من الدراسات الأجنبية </w:t>
      </w:r>
      <w:r w:rsidRPr="009722A9">
        <w:rPr>
          <w:rFonts w:ascii="Sakkal Majalla" w:eastAsiaTheme="minorHAnsi" w:hAnsi="Sakkal Majalla" w:cs="Sakkal Majalla" w:hint="cs"/>
          <w:sz w:val="26"/>
          <w:szCs w:val="26"/>
          <w:rtl/>
        </w:rPr>
        <w:t>التي</w:t>
      </w:r>
      <w:r w:rsidRPr="009722A9">
        <w:rPr>
          <w:rFonts w:ascii="Sakkal Majalla" w:eastAsiaTheme="minorHAnsi" w:hAnsi="Sakkal Majalla" w:cs="Sakkal Majalla"/>
          <w:sz w:val="26"/>
          <w:szCs w:val="26"/>
          <w:rtl/>
        </w:rPr>
        <w:t xml:space="preserve"> تناولت موضوع </w:t>
      </w:r>
      <w:r w:rsidRPr="009722A9">
        <w:rPr>
          <w:rFonts w:ascii="Sakkal Majalla" w:eastAsiaTheme="minorHAnsi" w:hAnsi="Sakkal Majalla" w:cs="Sakkal Majalla" w:hint="cs"/>
          <w:sz w:val="26"/>
          <w:szCs w:val="26"/>
          <w:rtl/>
        </w:rPr>
        <w:t>الدراسة.</w:t>
      </w:r>
    </w:p>
    <w:p w14:paraId="0DDFF556" w14:textId="11C559EF" w:rsidR="007A0B3B" w:rsidRPr="009722A9" w:rsidRDefault="007A0B3B" w:rsidP="007A0B3B">
      <w:pPr>
        <w:pStyle w:val="BlockText"/>
        <w:spacing w:line="360" w:lineRule="auto"/>
        <w:jc w:val="lowKashida"/>
        <w:rPr>
          <w:rFonts w:ascii="Sakkal Majalla" w:eastAsiaTheme="minorHAnsi" w:hAnsi="Sakkal Majalla" w:cs="Sakkal Majalla"/>
          <w:sz w:val="26"/>
          <w:szCs w:val="26"/>
          <w:rtl/>
        </w:rPr>
      </w:pPr>
      <w:r w:rsidRPr="009722A9">
        <w:rPr>
          <w:rFonts w:ascii="Sakkal Majalla" w:eastAsiaTheme="minorHAnsi" w:hAnsi="Sakkal Majalla" w:cs="Sakkal Majalla" w:hint="cs"/>
          <w:sz w:val="26"/>
          <w:szCs w:val="26"/>
          <w:rtl/>
        </w:rPr>
        <w:t>واعتمد</w:t>
      </w:r>
      <w:r w:rsidRPr="009722A9">
        <w:rPr>
          <w:rFonts w:ascii="Sakkal Majalla" w:eastAsiaTheme="minorHAnsi" w:hAnsi="Sakkal Majalla" w:cs="Sakkal Majalla"/>
          <w:sz w:val="26"/>
          <w:szCs w:val="26"/>
          <w:rtl/>
        </w:rPr>
        <w:t xml:space="preserve"> الباحث على الدراسات الأجنبية السابقة </w:t>
      </w:r>
      <w:r w:rsidRPr="009722A9">
        <w:rPr>
          <w:rFonts w:ascii="Sakkal Majalla" w:eastAsiaTheme="minorHAnsi" w:hAnsi="Sakkal Majalla" w:cs="Sakkal Majalla" w:hint="cs"/>
          <w:sz w:val="26"/>
          <w:szCs w:val="26"/>
          <w:rtl/>
        </w:rPr>
        <w:t>في</w:t>
      </w:r>
      <w:r w:rsidRPr="009722A9">
        <w:rPr>
          <w:rFonts w:ascii="Sakkal Majalla" w:eastAsiaTheme="minorHAnsi" w:hAnsi="Sakkal Majalla" w:cs="Sakkal Majalla"/>
          <w:sz w:val="26"/>
          <w:szCs w:val="26"/>
          <w:rtl/>
        </w:rPr>
        <w:t xml:space="preserve"> إعداد مقاييس الدراسة، حيث قام بعرض هذه المقاييس للتحكيم على المستويين: أولهما المستوى </w:t>
      </w:r>
      <w:r w:rsidRPr="009722A9">
        <w:rPr>
          <w:rFonts w:ascii="Sakkal Majalla" w:eastAsiaTheme="minorHAnsi" w:hAnsi="Sakkal Majalla" w:cs="Sakkal Majalla" w:hint="cs"/>
          <w:sz w:val="26"/>
          <w:szCs w:val="26"/>
          <w:rtl/>
        </w:rPr>
        <w:t>الأكاديمي</w:t>
      </w:r>
      <w:r w:rsidRPr="009722A9">
        <w:rPr>
          <w:rFonts w:ascii="Sakkal Majalla" w:eastAsiaTheme="minorHAnsi" w:hAnsi="Sakkal Majalla" w:cs="Sakkal Majalla"/>
          <w:sz w:val="26"/>
          <w:szCs w:val="26"/>
          <w:rtl/>
        </w:rPr>
        <w:t xml:space="preserve"> حيث قام بعرض قائمة </w:t>
      </w:r>
      <w:r w:rsidRPr="009722A9">
        <w:rPr>
          <w:rFonts w:ascii="Sakkal Majalla" w:eastAsiaTheme="minorHAnsi" w:hAnsi="Sakkal Majalla" w:cs="Sakkal Majalla" w:hint="cs"/>
          <w:sz w:val="26"/>
          <w:szCs w:val="26"/>
          <w:rtl/>
        </w:rPr>
        <w:t>الاستقصاء</w:t>
      </w:r>
      <w:r w:rsidRPr="009722A9">
        <w:rPr>
          <w:rFonts w:ascii="Sakkal Majalla" w:eastAsiaTheme="minorHAnsi" w:hAnsi="Sakkal Majalla" w:cs="Sakkal Majalla"/>
          <w:sz w:val="26"/>
          <w:szCs w:val="26"/>
          <w:rtl/>
        </w:rPr>
        <w:t xml:space="preserve"> بعد </w:t>
      </w:r>
      <w:r w:rsidRPr="009722A9">
        <w:rPr>
          <w:rFonts w:ascii="Sakkal Majalla" w:eastAsiaTheme="minorHAnsi" w:hAnsi="Sakkal Majalla" w:cs="Sakkal Majalla" w:hint="cs"/>
          <w:sz w:val="26"/>
          <w:szCs w:val="26"/>
          <w:rtl/>
        </w:rPr>
        <w:t>الانتهاء</w:t>
      </w:r>
      <w:r w:rsidRPr="009722A9">
        <w:rPr>
          <w:rFonts w:ascii="Sakkal Majalla" w:eastAsiaTheme="minorHAnsi" w:hAnsi="Sakkal Majalla" w:cs="Sakkal Majalla"/>
          <w:sz w:val="26"/>
          <w:szCs w:val="26"/>
          <w:rtl/>
        </w:rPr>
        <w:t xml:space="preserve"> من إعدادها </w:t>
      </w:r>
      <w:r w:rsidRPr="009722A9">
        <w:rPr>
          <w:rFonts w:ascii="Sakkal Majalla" w:eastAsiaTheme="minorHAnsi" w:hAnsi="Sakkal Majalla" w:cs="Sakkal Majalla" w:hint="cs"/>
          <w:sz w:val="26"/>
          <w:szCs w:val="26"/>
          <w:rtl/>
        </w:rPr>
        <w:t>المبدئي</w:t>
      </w:r>
      <w:r w:rsidRPr="009722A9">
        <w:rPr>
          <w:rFonts w:ascii="Sakkal Majalla" w:eastAsiaTheme="minorHAnsi" w:hAnsi="Sakkal Majalla" w:cs="Sakkal Majalla"/>
          <w:sz w:val="26"/>
          <w:szCs w:val="26"/>
          <w:rtl/>
        </w:rPr>
        <w:t xml:space="preserve"> على بعض محكمين من الأساتذة الأكاديميين </w:t>
      </w:r>
      <w:r w:rsidRPr="009722A9">
        <w:rPr>
          <w:rFonts w:ascii="Sakkal Majalla" w:eastAsiaTheme="minorHAnsi" w:hAnsi="Sakkal Majalla" w:cs="Sakkal Majalla" w:hint="cs"/>
          <w:sz w:val="26"/>
          <w:szCs w:val="26"/>
          <w:rtl/>
        </w:rPr>
        <w:t>في</w:t>
      </w:r>
      <w:r w:rsidRPr="009722A9">
        <w:rPr>
          <w:rFonts w:ascii="Sakkal Majalla" w:eastAsiaTheme="minorHAnsi" w:hAnsi="Sakkal Majalla" w:cs="Sakkal Majalla"/>
          <w:sz w:val="26"/>
          <w:szCs w:val="26"/>
          <w:rtl/>
        </w:rPr>
        <w:t xml:space="preserve"> الجامعة </w:t>
      </w:r>
      <w:r w:rsidRPr="009722A9">
        <w:rPr>
          <w:rFonts w:ascii="Sakkal Majalla" w:eastAsiaTheme="minorHAnsi" w:hAnsi="Sakkal Majalla" w:cs="Sakkal Majalla" w:hint="cs"/>
          <w:sz w:val="26"/>
          <w:szCs w:val="26"/>
          <w:rtl/>
        </w:rPr>
        <w:t>في</w:t>
      </w:r>
      <w:r w:rsidRPr="009722A9">
        <w:rPr>
          <w:rFonts w:ascii="Sakkal Majalla" w:eastAsiaTheme="minorHAnsi" w:hAnsi="Sakkal Majalla" w:cs="Sakkal Majalla"/>
          <w:sz w:val="26"/>
          <w:szCs w:val="26"/>
          <w:rtl/>
        </w:rPr>
        <w:t xml:space="preserve"> هذا المجال بهدف التعرف على </w:t>
      </w:r>
      <w:r w:rsidRPr="009722A9">
        <w:rPr>
          <w:rFonts w:ascii="Sakkal Majalla" w:eastAsiaTheme="minorHAnsi" w:hAnsi="Sakkal Majalla" w:cs="Sakkal Majalla" w:hint="cs"/>
          <w:sz w:val="26"/>
          <w:szCs w:val="26"/>
          <w:rtl/>
        </w:rPr>
        <w:t>أراءهم</w:t>
      </w:r>
      <w:r w:rsidRPr="009722A9">
        <w:rPr>
          <w:rFonts w:ascii="Sakkal Majalla" w:eastAsiaTheme="minorHAnsi" w:hAnsi="Sakkal Majalla" w:cs="Sakkal Majalla"/>
          <w:sz w:val="26"/>
          <w:szCs w:val="26"/>
          <w:rtl/>
        </w:rPr>
        <w:t xml:space="preserve"> المتعلقة بملائمة قائمة </w:t>
      </w:r>
      <w:r w:rsidRPr="009722A9">
        <w:rPr>
          <w:rFonts w:ascii="Sakkal Majalla" w:eastAsiaTheme="minorHAnsi" w:hAnsi="Sakkal Majalla" w:cs="Sakkal Majalla" w:hint="cs"/>
          <w:sz w:val="26"/>
          <w:szCs w:val="26"/>
          <w:rtl/>
        </w:rPr>
        <w:t>الاستقصاء</w:t>
      </w:r>
      <w:r w:rsidRPr="009722A9">
        <w:rPr>
          <w:rFonts w:ascii="Sakkal Majalla" w:eastAsiaTheme="minorHAnsi" w:hAnsi="Sakkal Majalla" w:cs="Sakkal Majalla"/>
          <w:sz w:val="26"/>
          <w:szCs w:val="26"/>
          <w:rtl/>
        </w:rPr>
        <w:t xml:space="preserve"> لأهداف البحث، وكذلك التعرف على </w:t>
      </w:r>
      <w:r w:rsidRPr="009722A9">
        <w:rPr>
          <w:rFonts w:ascii="Sakkal Majalla" w:eastAsiaTheme="minorHAnsi" w:hAnsi="Sakkal Majalla" w:cs="Sakkal Majalla" w:hint="cs"/>
          <w:sz w:val="26"/>
          <w:szCs w:val="26"/>
          <w:rtl/>
        </w:rPr>
        <w:t>أراءهم</w:t>
      </w:r>
      <w:r w:rsidRPr="009722A9">
        <w:rPr>
          <w:rFonts w:ascii="Sakkal Majalla" w:eastAsiaTheme="minorHAnsi" w:hAnsi="Sakkal Majalla" w:cs="Sakkal Majalla"/>
          <w:sz w:val="26"/>
          <w:szCs w:val="26"/>
          <w:rtl/>
        </w:rPr>
        <w:t xml:space="preserve"> المتعلقة بدرجة وضوح صياغة بنودها، ثم تم عرضها  على عدد من </w:t>
      </w:r>
      <w:r w:rsidRPr="009722A9">
        <w:rPr>
          <w:rFonts w:ascii="Sakkal Majalla" w:eastAsiaTheme="minorHAnsi" w:hAnsi="Sakkal Majalla" w:cs="Sakkal Majalla" w:hint="cs"/>
          <w:sz w:val="26"/>
          <w:szCs w:val="26"/>
          <w:rtl/>
        </w:rPr>
        <w:t>مديري</w:t>
      </w:r>
      <w:r w:rsidRPr="009722A9">
        <w:rPr>
          <w:rFonts w:ascii="Sakkal Majalla" w:eastAsiaTheme="minorHAnsi" w:hAnsi="Sakkal Majalla" w:cs="Sakkal Majalla"/>
          <w:sz w:val="26"/>
          <w:szCs w:val="26"/>
          <w:rtl/>
        </w:rPr>
        <w:t xml:space="preserve"> </w:t>
      </w:r>
      <w:r w:rsidR="00244546">
        <w:rPr>
          <w:rFonts w:ascii="Sakkal Majalla" w:eastAsiaTheme="minorHAnsi" w:hAnsi="Sakkal Majalla" w:cs="Sakkal Majalla" w:hint="cs"/>
          <w:sz w:val="26"/>
          <w:szCs w:val="26"/>
          <w:rtl/>
        </w:rPr>
        <w:t>بهيئة الزكاة والضريبية والجمارك</w:t>
      </w:r>
      <w:r w:rsidRPr="009722A9">
        <w:rPr>
          <w:rFonts w:ascii="Sakkal Majalla" w:eastAsiaTheme="minorHAnsi" w:hAnsi="Sakkal Majalla" w:cs="Sakkal Majalla"/>
          <w:sz w:val="26"/>
          <w:szCs w:val="26"/>
          <w:rtl/>
        </w:rPr>
        <w:t xml:space="preserve"> وذلك لأخذ رأيهم </w:t>
      </w:r>
      <w:r w:rsidRPr="009722A9">
        <w:rPr>
          <w:rFonts w:ascii="Sakkal Majalla" w:eastAsiaTheme="minorHAnsi" w:hAnsi="Sakkal Majalla" w:cs="Sakkal Majalla" w:hint="cs"/>
          <w:sz w:val="26"/>
          <w:szCs w:val="26"/>
          <w:rtl/>
        </w:rPr>
        <w:t>في</w:t>
      </w:r>
      <w:r w:rsidRPr="009722A9">
        <w:rPr>
          <w:rFonts w:ascii="Sakkal Majalla" w:eastAsiaTheme="minorHAnsi" w:hAnsi="Sakkal Majalla" w:cs="Sakkal Majalla"/>
          <w:sz w:val="26"/>
          <w:szCs w:val="26"/>
          <w:rtl/>
        </w:rPr>
        <w:t xml:space="preserve"> صدق محتوى الأداة من حيث أنها تغطى ما وضعت لأجله، وبعد تلقى الردود قام </w:t>
      </w:r>
      <w:r w:rsidRPr="009722A9">
        <w:rPr>
          <w:rFonts w:ascii="Sakkal Majalla" w:eastAsiaTheme="minorHAnsi" w:hAnsi="Sakkal Majalla" w:cs="Sakkal Majalla" w:hint="cs"/>
          <w:sz w:val="26"/>
          <w:szCs w:val="26"/>
          <w:rtl/>
        </w:rPr>
        <w:t>بتطبيقه</w:t>
      </w:r>
      <w:r w:rsidRPr="009722A9">
        <w:rPr>
          <w:rFonts w:ascii="Sakkal Majalla" w:eastAsiaTheme="minorHAnsi" w:hAnsi="Sakkal Majalla" w:cs="Sakkal Majalla" w:hint="eastAsia"/>
          <w:sz w:val="26"/>
          <w:szCs w:val="26"/>
          <w:rtl/>
        </w:rPr>
        <w:t>ا</w:t>
      </w:r>
      <w:r w:rsidRPr="009722A9">
        <w:rPr>
          <w:rFonts w:ascii="Sakkal Majalla" w:eastAsiaTheme="minorHAnsi" w:hAnsi="Sakkal Majalla" w:cs="Sakkal Majalla"/>
          <w:sz w:val="26"/>
          <w:szCs w:val="26"/>
          <w:rtl/>
        </w:rPr>
        <w:t xml:space="preserve"> على عشرين من </w:t>
      </w:r>
      <w:r w:rsidRPr="009722A9">
        <w:rPr>
          <w:rFonts w:ascii="Sakkal Majalla" w:eastAsiaTheme="minorHAnsi" w:hAnsi="Sakkal Majalla" w:cs="Sakkal Majalla" w:hint="cs"/>
          <w:sz w:val="26"/>
          <w:szCs w:val="26"/>
          <w:rtl/>
        </w:rPr>
        <w:t>الموظفين</w:t>
      </w:r>
      <w:r w:rsidRPr="009722A9">
        <w:rPr>
          <w:rFonts w:ascii="Sakkal Majalla" w:eastAsiaTheme="minorHAnsi" w:hAnsi="Sakkal Majalla" w:cs="Sakkal Majalla"/>
          <w:sz w:val="26"/>
          <w:szCs w:val="26"/>
          <w:rtl/>
        </w:rPr>
        <w:t xml:space="preserve"> وذلك لضمان الصياغة الجيدة بحيث يفهمها الجميع بشكل </w:t>
      </w:r>
      <w:r w:rsidRPr="009722A9">
        <w:rPr>
          <w:rFonts w:ascii="Sakkal Majalla" w:eastAsiaTheme="minorHAnsi" w:hAnsi="Sakkal Majalla" w:cs="Sakkal Majalla" w:hint="cs"/>
          <w:sz w:val="26"/>
          <w:szCs w:val="26"/>
          <w:rtl/>
        </w:rPr>
        <w:t>متساوي</w:t>
      </w:r>
      <w:r w:rsidRPr="009722A9">
        <w:rPr>
          <w:rFonts w:ascii="Sakkal Majalla" w:eastAsiaTheme="minorHAnsi" w:hAnsi="Sakkal Majalla" w:cs="Sakkal Majalla"/>
          <w:sz w:val="26"/>
          <w:szCs w:val="26"/>
          <w:rtl/>
        </w:rPr>
        <w:t xml:space="preserve"> كما أراد</w:t>
      </w:r>
      <w:r w:rsidR="00244546">
        <w:rPr>
          <w:rFonts w:ascii="Sakkal Majalla" w:eastAsiaTheme="minorHAnsi" w:hAnsi="Sakkal Majalla" w:cs="Sakkal Majalla" w:hint="cs"/>
          <w:sz w:val="26"/>
          <w:szCs w:val="26"/>
          <w:rtl/>
        </w:rPr>
        <w:t xml:space="preserve">ها </w:t>
      </w:r>
      <w:r w:rsidRPr="009722A9">
        <w:rPr>
          <w:rFonts w:ascii="Sakkal Majalla" w:eastAsiaTheme="minorHAnsi" w:hAnsi="Sakkal Majalla" w:cs="Sakkal Majalla"/>
          <w:sz w:val="26"/>
          <w:szCs w:val="26"/>
          <w:rtl/>
        </w:rPr>
        <w:t>الباحث وأنتهى إلى إعداد أداة الدراسة.</w:t>
      </w:r>
    </w:p>
    <w:p w14:paraId="63D38C07" w14:textId="6D74FBF6" w:rsidR="007A0B3B" w:rsidRPr="009722A9" w:rsidRDefault="007A0B3B" w:rsidP="007A0B3B">
      <w:pPr>
        <w:pStyle w:val="BlockText"/>
        <w:spacing w:line="360" w:lineRule="auto"/>
        <w:jc w:val="lowKashida"/>
        <w:rPr>
          <w:rFonts w:ascii="Sakkal Majalla" w:eastAsiaTheme="minorHAnsi" w:hAnsi="Sakkal Majalla" w:cs="Sakkal Majalla"/>
          <w:sz w:val="26"/>
          <w:szCs w:val="26"/>
          <w:rtl/>
        </w:rPr>
      </w:pPr>
      <w:r w:rsidRPr="009722A9">
        <w:rPr>
          <w:rFonts w:ascii="Sakkal Majalla" w:eastAsiaTheme="minorHAnsi" w:hAnsi="Sakkal Majalla" w:cs="Sakkal Majalla"/>
          <w:sz w:val="26"/>
          <w:szCs w:val="26"/>
          <w:rtl/>
        </w:rPr>
        <w:t xml:space="preserve">ولأن الباحث أعتمد </w:t>
      </w:r>
      <w:r w:rsidRPr="009722A9">
        <w:rPr>
          <w:rFonts w:ascii="Sakkal Majalla" w:eastAsiaTheme="minorHAnsi" w:hAnsi="Sakkal Majalla" w:cs="Sakkal Majalla" w:hint="cs"/>
          <w:sz w:val="26"/>
          <w:szCs w:val="26"/>
          <w:rtl/>
        </w:rPr>
        <w:t>في</w:t>
      </w:r>
      <w:r w:rsidRPr="009722A9">
        <w:rPr>
          <w:rFonts w:ascii="Sakkal Majalla" w:eastAsiaTheme="minorHAnsi" w:hAnsi="Sakkal Majalla" w:cs="Sakkal Majalla"/>
          <w:sz w:val="26"/>
          <w:szCs w:val="26"/>
          <w:rtl/>
        </w:rPr>
        <w:t xml:space="preserve"> وضع أدوات الدراسة على البحوث الأجنبية، والسبب </w:t>
      </w:r>
      <w:r w:rsidRPr="009722A9">
        <w:rPr>
          <w:rFonts w:ascii="Sakkal Majalla" w:eastAsiaTheme="minorHAnsi" w:hAnsi="Sakkal Majalla" w:cs="Sakkal Majalla" w:hint="cs"/>
          <w:sz w:val="26"/>
          <w:szCs w:val="26"/>
          <w:rtl/>
        </w:rPr>
        <w:t>اختلاف</w:t>
      </w:r>
      <w:r w:rsidRPr="009722A9">
        <w:rPr>
          <w:rFonts w:ascii="Sakkal Majalla" w:eastAsiaTheme="minorHAnsi" w:hAnsi="Sakkal Majalla" w:cs="Sakkal Majalla"/>
          <w:sz w:val="26"/>
          <w:szCs w:val="26"/>
          <w:rtl/>
        </w:rPr>
        <w:t xml:space="preserve"> البيئة الثقافية </w:t>
      </w:r>
      <w:r w:rsidRPr="009722A9">
        <w:rPr>
          <w:rFonts w:ascii="Sakkal Majalla" w:eastAsiaTheme="minorHAnsi" w:hAnsi="Sakkal Majalla" w:cs="Sakkal Majalla" w:hint="cs"/>
          <w:sz w:val="26"/>
          <w:szCs w:val="26"/>
          <w:rtl/>
        </w:rPr>
        <w:t>والاقتصادية</w:t>
      </w:r>
      <w:r w:rsidRPr="009722A9">
        <w:rPr>
          <w:rFonts w:ascii="Sakkal Majalla" w:eastAsiaTheme="minorHAnsi" w:hAnsi="Sakkal Majalla" w:cs="Sakkal Majalla"/>
          <w:sz w:val="26"/>
          <w:szCs w:val="26"/>
          <w:rtl/>
        </w:rPr>
        <w:t xml:space="preserve"> </w:t>
      </w:r>
      <w:r w:rsidRPr="009722A9">
        <w:rPr>
          <w:rFonts w:ascii="Sakkal Majalla" w:eastAsiaTheme="minorHAnsi" w:hAnsi="Sakkal Majalla" w:cs="Sakkal Majalla" w:hint="cs"/>
          <w:sz w:val="26"/>
          <w:szCs w:val="26"/>
          <w:rtl/>
        </w:rPr>
        <w:t>والاجتماعية</w:t>
      </w:r>
      <w:r w:rsidRPr="009722A9">
        <w:rPr>
          <w:rFonts w:ascii="Sakkal Majalla" w:eastAsiaTheme="minorHAnsi" w:hAnsi="Sakkal Majalla" w:cs="Sakkal Majalla"/>
          <w:sz w:val="26"/>
          <w:szCs w:val="26"/>
          <w:rtl/>
        </w:rPr>
        <w:t xml:space="preserve"> ما بين المجتمع </w:t>
      </w:r>
      <w:r w:rsidR="00244546">
        <w:rPr>
          <w:rFonts w:ascii="Sakkal Majalla" w:eastAsiaTheme="minorHAnsi" w:hAnsi="Sakkal Majalla" w:cs="Sakkal Majalla" w:hint="cs"/>
          <w:sz w:val="26"/>
          <w:szCs w:val="26"/>
          <w:rtl/>
        </w:rPr>
        <w:t>بالمملكة العربية السعودية</w:t>
      </w:r>
      <w:r w:rsidRPr="009722A9">
        <w:rPr>
          <w:rFonts w:ascii="Sakkal Majalla" w:eastAsiaTheme="minorHAnsi" w:hAnsi="Sakkal Majalla" w:cs="Sakkal Majalla"/>
          <w:sz w:val="26"/>
          <w:szCs w:val="26"/>
          <w:rtl/>
        </w:rPr>
        <w:t xml:space="preserve"> </w:t>
      </w:r>
      <w:r w:rsidRPr="009722A9">
        <w:rPr>
          <w:rFonts w:ascii="Sakkal Majalla" w:eastAsiaTheme="minorHAnsi" w:hAnsi="Sakkal Majalla" w:cs="Sakkal Majalla" w:hint="cs"/>
          <w:sz w:val="26"/>
          <w:szCs w:val="26"/>
          <w:rtl/>
        </w:rPr>
        <w:t>والمجتمعات</w:t>
      </w:r>
      <w:r w:rsidRPr="009722A9">
        <w:rPr>
          <w:rFonts w:ascii="Sakkal Majalla" w:eastAsiaTheme="minorHAnsi" w:hAnsi="Sakkal Majalla" w:cs="Sakkal Majalla"/>
          <w:sz w:val="26"/>
          <w:szCs w:val="26"/>
          <w:rtl/>
        </w:rPr>
        <w:t xml:space="preserve"> الأجنبية </w:t>
      </w:r>
      <w:r w:rsidRPr="009722A9">
        <w:rPr>
          <w:rFonts w:ascii="Sakkal Majalla" w:eastAsiaTheme="minorHAnsi" w:hAnsi="Sakkal Majalla" w:cs="Sakkal Majalla" w:hint="cs"/>
          <w:sz w:val="26"/>
          <w:szCs w:val="26"/>
          <w:rtl/>
        </w:rPr>
        <w:t>التي</w:t>
      </w:r>
      <w:r w:rsidRPr="009722A9">
        <w:rPr>
          <w:rFonts w:ascii="Sakkal Majalla" w:eastAsiaTheme="minorHAnsi" w:hAnsi="Sakkal Majalla" w:cs="Sakkal Majalla"/>
          <w:sz w:val="26"/>
          <w:szCs w:val="26"/>
          <w:rtl/>
        </w:rPr>
        <w:t xml:space="preserve"> </w:t>
      </w:r>
      <w:r w:rsidRPr="009722A9">
        <w:rPr>
          <w:rFonts w:ascii="Sakkal Majalla" w:eastAsiaTheme="minorHAnsi" w:hAnsi="Sakkal Majalla" w:cs="Sakkal Majalla" w:hint="cs"/>
          <w:sz w:val="26"/>
          <w:szCs w:val="26"/>
          <w:rtl/>
        </w:rPr>
        <w:t>استخدمت</w:t>
      </w:r>
      <w:r w:rsidRPr="009722A9">
        <w:rPr>
          <w:rFonts w:ascii="Sakkal Majalla" w:eastAsiaTheme="minorHAnsi" w:hAnsi="Sakkal Majalla" w:cs="Sakkal Majalla"/>
          <w:sz w:val="26"/>
          <w:szCs w:val="26"/>
          <w:rtl/>
        </w:rPr>
        <w:t xml:space="preserve"> فيها هذه الأدوات </w:t>
      </w:r>
      <w:r w:rsidRPr="009722A9">
        <w:rPr>
          <w:rFonts w:ascii="Sakkal Majalla" w:eastAsiaTheme="minorHAnsi" w:hAnsi="Sakkal Majalla" w:cs="Sakkal Majalla" w:hint="cs"/>
          <w:sz w:val="26"/>
          <w:szCs w:val="26"/>
          <w:rtl/>
        </w:rPr>
        <w:t>القياسية،</w:t>
      </w:r>
      <w:r w:rsidRPr="009722A9">
        <w:rPr>
          <w:rFonts w:ascii="Sakkal Majalla" w:eastAsiaTheme="minorHAnsi" w:hAnsi="Sakkal Majalla" w:cs="Sakkal Majalla"/>
          <w:sz w:val="26"/>
          <w:szCs w:val="26"/>
          <w:rtl/>
        </w:rPr>
        <w:t xml:space="preserve"> فقد قام الباحث بإجراء حسابات الصدق والثبات عليها وذلك لضبطها بحيث تقيس تأثير </w:t>
      </w:r>
      <w:r>
        <w:rPr>
          <w:rFonts w:ascii="Sakkal Majalla" w:eastAsiaTheme="minorHAnsi" w:hAnsi="Sakkal Majalla" w:cs="Sakkal Majalla" w:hint="cs"/>
          <w:sz w:val="26"/>
          <w:szCs w:val="26"/>
          <w:rtl/>
        </w:rPr>
        <w:t xml:space="preserve">أبعاد </w:t>
      </w:r>
      <w:r w:rsidR="00244546">
        <w:rPr>
          <w:rFonts w:ascii="Sakkal Majalla" w:eastAsiaTheme="minorHAnsi" w:hAnsi="Sakkal Majalla" w:cs="Sakkal Majalla" w:hint="cs"/>
          <w:sz w:val="26"/>
          <w:szCs w:val="26"/>
          <w:rtl/>
        </w:rPr>
        <w:t>التحول الرقمي</w:t>
      </w:r>
      <w:r w:rsidRPr="009722A9">
        <w:rPr>
          <w:rFonts w:ascii="Sakkal Majalla" w:eastAsiaTheme="minorHAnsi" w:hAnsi="Sakkal Majalla" w:cs="Sakkal Majalla"/>
          <w:sz w:val="26"/>
          <w:szCs w:val="26"/>
          <w:rtl/>
        </w:rPr>
        <w:t xml:space="preserve"> على </w:t>
      </w:r>
      <w:r>
        <w:rPr>
          <w:rFonts w:ascii="Sakkal Majalla" w:eastAsiaTheme="minorHAnsi" w:hAnsi="Sakkal Majalla" w:cs="Sakkal Majalla" w:hint="cs"/>
          <w:sz w:val="26"/>
          <w:szCs w:val="26"/>
          <w:rtl/>
        </w:rPr>
        <w:t>ت</w:t>
      </w:r>
      <w:r w:rsidR="00244546">
        <w:rPr>
          <w:rFonts w:ascii="Sakkal Majalla" w:eastAsiaTheme="minorHAnsi" w:hAnsi="Sakkal Majalla" w:cs="Sakkal Majalla" w:hint="cs"/>
          <w:sz w:val="26"/>
          <w:szCs w:val="26"/>
          <w:rtl/>
        </w:rPr>
        <w:t>عزيز الأمن وتيسير التجارة</w:t>
      </w:r>
      <w:r w:rsidRPr="009722A9">
        <w:rPr>
          <w:rFonts w:ascii="Sakkal Majalla" w:eastAsiaTheme="minorHAnsi" w:hAnsi="Sakkal Majalla" w:cs="Sakkal Majalla"/>
          <w:sz w:val="26"/>
          <w:szCs w:val="26"/>
          <w:rtl/>
        </w:rPr>
        <w:t xml:space="preserve"> وبحيث يفهمها </w:t>
      </w:r>
      <w:r w:rsidRPr="009722A9">
        <w:rPr>
          <w:rFonts w:ascii="Sakkal Majalla" w:eastAsiaTheme="minorHAnsi" w:hAnsi="Sakkal Majalla" w:cs="Sakkal Majalla" w:hint="cs"/>
          <w:sz w:val="26"/>
          <w:szCs w:val="26"/>
          <w:rtl/>
        </w:rPr>
        <w:t>المستقصي</w:t>
      </w:r>
      <w:r w:rsidRPr="009722A9">
        <w:rPr>
          <w:rFonts w:ascii="Sakkal Majalla" w:eastAsiaTheme="minorHAnsi" w:hAnsi="Sakkal Majalla" w:cs="Sakkal Majalla"/>
          <w:sz w:val="26"/>
          <w:szCs w:val="26"/>
          <w:rtl/>
        </w:rPr>
        <w:t xml:space="preserve"> منهم بطريقة مماثلة وبحيث يكون هو المقصود من </w:t>
      </w:r>
      <w:r w:rsidRPr="009722A9">
        <w:rPr>
          <w:rFonts w:ascii="Sakkal Majalla" w:eastAsiaTheme="minorHAnsi" w:hAnsi="Sakkal Majalla" w:cs="Sakkal Majalla" w:hint="cs"/>
          <w:sz w:val="26"/>
          <w:szCs w:val="26"/>
          <w:rtl/>
        </w:rPr>
        <w:t>الباحث.</w:t>
      </w:r>
    </w:p>
    <w:p w14:paraId="45AFD3B1" w14:textId="77777777" w:rsidR="007A0B3B" w:rsidRPr="006C71E7" w:rsidRDefault="007A0B3B" w:rsidP="007A0B3B">
      <w:pPr>
        <w:pStyle w:val="BlockText"/>
        <w:spacing w:line="360" w:lineRule="auto"/>
        <w:jc w:val="both"/>
        <w:outlineLvl w:val="0"/>
        <w:rPr>
          <w:rFonts w:cs="Simplified Arabic"/>
          <w:b/>
          <w:bCs/>
          <w:sz w:val="24"/>
          <w:szCs w:val="24"/>
        </w:rPr>
      </w:pPr>
      <w:r w:rsidRPr="006C71E7">
        <w:rPr>
          <w:rFonts w:cs="Simplified Arabic" w:hint="cs"/>
          <w:b/>
          <w:bCs/>
          <w:sz w:val="24"/>
          <w:szCs w:val="24"/>
          <w:rtl/>
        </w:rPr>
        <w:t>3/2/1 اختبار ثبات المقياس:</w:t>
      </w:r>
    </w:p>
    <w:p w14:paraId="0558FD67" w14:textId="77777777" w:rsidR="007A0B3B" w:rsidRPr="006C71E7" w:rsidRDefault="007A0B3B" w:rsidP="007A0B3B">
      <w:pPr>
        <w:pStyle w:val="BlockText"/>
        <w:spacing w:line="360" w:lineRule="auto"/>
        <w:jc w:val="both"/>
        <w:outlineLvl w:val="0"/>
        <w:rPr>
          <w:rFonts w:cs="Simplified Arabic"/>
          <w:b/>
          <w:bCs/>
          <w:sz w:val="24"/>
          <w:szCs w:val="24"/>
        </w:rPr>
      </w:pPr>
      <w:r w:rsidRPr="006C71E7">
        <w:rPr>
          <w:rFonts w:cs="Simplified Arabic" w:hint="cs"/>
          <w:b/>
          <w:bCs/>
          <w:sz w:val="24"/>
          <w:szCs w:val="24"/>
          <w:rtl/>
        </w:rPr>
        <w:t>قياس ثبات المقياس بطريقة ألفا</w:t>
      </w:r>
      <w:r>
        <w:rPr>
          <w:rFonts w:cs="Simplified Arabic" w:hint="cs"/>
          <w:b/>
          <w:bCs/>
          <w:sz w:val="24"/>
          <w:szCs w:val="24"/>
          <w:rtl/>
        </w:rPr>
        <w:t xml:space="preserve"> </w:t>
      </w:r>
      <w:r w:rsidRPr="006C71E7">
        <w:rPr>
          <w:rFonts w:cs="Simplified Arabic" w:hint="cs"/>
          <w:b/>
          <w:bCs/>
          <w:sz w:val="24"/>
          <w:szCs w:val="24"/>
          <w:rtl/>
        </w:rPr>
        <w:t>كروبناخ (</w:t>
      </w:r>
      <w:r w:rsidRPr="006C71E7">
        <w:rPr>
          <w:rFonts w:cs="Simplified Arabic"/>
          <w:b/>
          <w:bCs/>
          <w:sz w:val="24"/>
          <w:szCs w:val="24"/>
        </w:rPr>
        <w:t>Cronbach Alpha</w:t>
      </w:r>
      <w:r w:rsidRPr="006C71E7">
        <w:rPr>
          <w:rFonts w:cs="Simplified Arabic" w:hint="cs"/>
          <w:b/>
          <w:bCs/>
          <w:sz w:val="24"/>
          <w:szCs w:val="24"/>
          <w:rtl/>
        </w:rPr>
        <w:t xml:space="preserve">) : </w:t>
      </w:r>
    </w:p>
    <w:p w14:paraId="41FE1290" w14:textId="73590FB0" w:rsidR="007A0B3B" w:rsidRPr="006C71E7" w:rsidRDefault="007A0B3B" w:rsidP="007A0B3B">
      <w:pPr>
        <w:pStyle w:val="BlockText"/>
        <w:jc w:val="lowKashida"/>
        <w:rPr>
          <w:rFonts w:ascii="Sakkal Majalla" w:eastAsiaTheme="minorHAnsi" w:hAnsi="Sakkal Majalla" w:cs="Sakkal Majalla"/>
          <w:sz w:val="26"/>
          <w:szCs w:val="26"/>
          <w:rtl/>
        </w:rPr>
      </w:pPr>
      <w:r w:rsidRPr="006C71E7">
        <w:rPr>
          <w:rFonts w:ascii="Sakkal Majalla" w:eastAsiaTheme="minorHAnsi" w:hAnsi="Sakkal Majalla" w:cs="Sakkal Majalla" w:hint="cs"/>
          <w:sz w:val="26"/>
          <w:szCs w:val="26"/>
          <w:rtl/>
        </w:rPr>
        <w:t>قام الباحث بحساب معامل ألفا لكل متغير في الدراسة وذلك بهدف اختبار ثبات هذه المتغيرات، وتتراوح قيمة معامل ألفا بين (0 و 1) ، وكلما اقتربت من الواحد دلت على وجود ثبات عالي وكلما اقتربت من الصفر دلت على عدم وجود ثبات، ويبين الجدول رقم (3/1) معاملات الثبات لمتغيرات الدراسة .</w:t>
      </w:r>
    </w:p>
    <w:p w14:paraId="4B1AF65A" w14:textId="77777777" w:rsidR="007A0B3B" w:rsidRPr="006C71E7" w:rsidRDefault="007A0B3B" w:rsidP="007A0B3B">
      <w:pPr>
        <w:pStyle w:val="BlockText"/>
        <w:jc w:val="lowKashida"/>
        <w:rPr>
          <w:rFonts w:ascii="Sakkal Majalla" w:eastAsiaTheme="minorHAnsi" w:hAnsi="Sakkal Majalla" w:cs="Sakkal Majalla"/>
          <w:sz w:val="26"/>
          <w:szCs w:val="26"/>
          <w:rtl/>
        </w:rPr>
      </w:pPr>
      <w:r w:rsidRPr="006C71E7">
        <w:rPr>
          <w:rFonts w:ascii="Sakkal Majalla" w:eastAsiaTheme="minorHAnsi" w:hAnsi="Sakkal Majalla" w:cs="Sakkal Majalla" w:hint="cs"/>
          <w:sz w:val="26"/>
          <w:szCs w:val="26"/>
          <w:rtl/>
        </w:rPr>
        <w:t xml:space="preserve">تم حساب معامل ألفا للمتغيرات في المقياس، وطبقاً للجدول رقم (3/1) نجد أن: </w:t>
      </w:r>
    </w:p>
    <w:p w14:paraId="6469C4F1" w14:textId="77777777" w:rsidR="007A0B3B" w:rsidRPr="00920459" w:rsidRDefault="007A0B3B" w:rsidP="007A0B3B">
      <w:pPr>
        <w:pStyle w:val="BlockText"/>
        <w:jc w:val="lowKashida"/>
        <w:rPr>
          <w:rFonts w:cs="Simplified Arabic"/>
          <w:sz w:val="28"/>
          <w:rtl/>
          <w:lang w:bidi="ar-EG"/>
        </w:rPr>
      </w:pPr>
    </w:p>
    <w:p w14:paraId="48B5411E" w14:textId="77777777" w:rsidR="007A0B3B" w:rsidRPr="00920459" w:rsidRDefault="007A0B3B" w:rsidP="007A0B3B">
      <w:pPr>
        <w:pStyle w:val="BlockText"/>
        <w:ind w:left="1008"/>
        <w:jc w:val="center"/>
        <w:rPr>
          <w:rFonts w:cs="Simplified Arabic"/>
          <w:b/>
          <w:bCs/>
          <w:sz w:val="28"/>
          <w:rtl/>
          <w:lang w:bidi="ar-EG"/>
        </w:rPr>
      </w:pPr>
      <w:r w:rsidRPr="00920459">
        <w:rPr>
          <w:rFonts w:cs="Simplified Arabic" w:hint="cs"/>
          <w:b/>
          <w:bCs/>
          <w:sz w:val="24"/>
          <w:szCs w:val="24"/>
          <w:rtl/>
          <w:lang w:bidi="ar-EG"/>
        </w:rPr>
        <w:t>جدول رقم (3/1) معاملات الثبات بطريقة ألفا</w:t>
      </w:r>
      <w:r>
        <w:rPr>
          <w:rFonts w:cs="Simplified Arabic" w:hint="cs"/>
          <w:b/>
          <w:bCs/>
          <w:sz w:val="24"/>
          <w:szCs w:val="24"/>
          <w:rtl/>
          <w:lang w:bidi="ar-EG"/>
        </w:rPr>
        <w:t xml:space="preserve"> </w:t>
      </w:r>
      <w:r w:rsidRPr="00920459">
        <w:rPr>
          <w:rFonts w:cs="Simplified Arabic" w:hint="cs"/>
          <w:b/>
          <w:bCs/>
          <w:sz w:val="24"/>
          <w:szCs w:val="24"/>
          <w:rtl/>
          <w:lang w:bidi="ar-EG"/>
        </w:rPr>
        <w:t>كرونباخ</w:t>
      </w:r>
    </w:p>
    <w:tbl>
      <w:tblPr>
        <w:bidiVisual/>
        <w:tblW w:w="0" w:type="auto"/>
        <w:jc w:val="center"/>
        <w:tblBorders>
          <w:top w:val="thinThickSmallGap" w:sz="24" w:space="0" w:color="auto"/>
          <w:left w:val="thickThinSmallGap" w:sz="24" w:space="0" w:color="auto"/>
          <w:bottom w:val="thickThinSmallGap" w:sz="24" w:space="0" w:color="auto"/>
          <w:right w:val="thinThickSmallGap" w:sz="24" w:space="0" w:color="auto"/>
          <w:insideH w:val="single" w:sz="6" w:space="0" w:color="auto"/>
          <w:insideV w:val="single" w:sz="6" w:space="0" w:color="auto"/>
        </w:tblBorders>
        <w:tblLook w:val="04A0" w:firstRow="1" w:lastRow="0" w:firstColumn="1" w:lastColumn="0" w:noHBand="0" w:noVBand="1"/>
      </w:tblPr>
      <w:tblGrid>
        <w:gridCol w:w="937"/>
        <w:gridCol w:w="4176"/>
        <w:gridCol w:w="2096"/>
        <w:gridCol w:w="2061"/>
      </w:tblGrid>
      <w:tr w:rsidR="007A0B3B" w:rsidRPr="004C3247" w14:paraId="0D0BA54A" w14:textId="77777777" w:rsidTr="001E2DEE">
        <w:trPr>
          <w:jc w:val="center"/>
        </w:trPr>
        <w:tc>
          <w:tcPr>
            <w:tcW w:w="936" w:type="dxa"/>
            <w:tcBorders>
              <w:top w:val="thinThickSmallGap" w:sz="24" w:space="0" w:color="auto"/>
              <w:bottom w:val="thinThickSmallGap" w:sz="24" w:space="0" w:color="auto"/>
            </w:tcBorders>
            <w:shd w:val="clear" w:color="auto" w:fill="D9D9D9" w:themeFill="background1" w:themeFillShade="D9"/>
          </w:tcPr>
          <w:p w14:paraId="6C90077E" w14:textId="77777777" w:rsidR="007A0B3B" w:rsidRPr="00F014E2" w:rsidRDefault="007A0B3B" w:rsidP="001E2DEE">
            <w:pPr>
              <w:pStyle w:val="BlockText"/>
              <w:ind w:left="0"/>
              <w:jc w:val="center"/>
              <w:rPr>
                <w:b/>
                <w:bCs/>
                <w:szCs w:val="20"/>
                <w:rtl/>
                <w:lang w:bidi="ar-EG"/>
              </w:rPr>
            </w:pPr>
            <w:r w:rsidRPr="00F014E2">
              <w:rPr>
                <w:szCs w:val="20"/>
                <w:rtl/>
                <w:lang w:bidi="ar-EG"/>
              </w:rPr>
              <w:tab/>
            </w:r>
          </w:p>
        </w:tc>
        <w:tc>
          <w:tcPr>
            <w:tcW w:w="4185" w:type="dxa"/>
            <w:tcBorders>
              <w:top w:val="thinThickSmallGap" w:sz="24" w:space="0" w:color="auto"/>
              <w:bottom w:val="thinThickSmallGap" w:sz="24" w:space="0" w:color="auto"/>
            </w:tcBorders>
            <w:shd w:val="clear" w:color="auto" w:fill="D9D9D9" w:themeFill="background1" w:themeFillShade="D9"/>
          </w:tcPr>
          <w:p w14:paraId="6C7C66AE" w14:textId="77777777" w:rsidR="007A0B3B" w:rsidRPr="00F014E2" w:rsidRDefault="007A0B3B" w:rsidP="001E2DEE">
            <w:pPr>
              <w:pStyle w:val="BlockText"/>
              <w:ind w:left="0"/>
              <w:jc w:val="center"/>
              <w:rPr>
                <w:b/>
                <w:bCs/>
                <w:szCs w:val="20"/>
                <w:rtl/>
                <w:lang w:bidi="ar-EG"/>
              </w:rPr>
            </w:pPr>
            <w:r w:rsidRPr="00F014E2">
              <w:rPr>
                <w:rFonts w:hint="cs"/>
                <w:b/>
                <w:bCs/>
                <w:szCs w:val="20"/>
                <w:rtl/>
                <w:lang w:bidi="ar-EG"/>
              </w:rPr>
              <w:t>المتغيرا</w:t>
            </w:r>
            <w:r w:rsidRPr="00F014E2">
              <w:rPr>
                <w:rFonts w:hint="eastAsia"/>
                <w:b/>
                <w:bCs/>
                <w:szCs w:val="20"/>
                <w:rtl/>
                <w:lang w:bidi="ar-EG"/>
              </w:rPr>
              <w:t>ت</w:t>
            </w:r>
            <w:r w:rsidRPr="00F014E2">
              <w:rPr>
                <w:rFonts w:hint="cs"/>
                <w:b/>
                <w:bCs/>
                <w:szCs w:val="20"/>
                <w:rtl/>
                <w:lang w:bidi="ar-EG"/>
              </w:rPr>
              <w:t xml:space="preserve"> ت التابعة</w:t>
            </w:r>
          </w:p>
        </w:tc>
        <w:tc>
          <w:tcPr>
            <w:tcW w:w="2100" w:type="dxa"/>
            <w:tcBorders>
              <w:top w:val="thinThickSmallGap" w:sz="24" w:space="0" w:color="auto"/>
              <w:bottom w:val="thinThickSmallGap" w:sz="24" w:space="0" w:color="auto"/>
            </w:tcBorders>
            <w:shd w:val="clear" w:color="auto" w:fill="D9D9D9" w:themeFill="background1" w:themeFillShade="D9"/>
          </w:tcPr>
          <w:p w14:paraId="7B7C0F6D" w14:textId="77777777" w:rsidR="007A0B3B" w:rsidRPr="00F014E2" w:rsidRDefault="007A0B3B" w:rsidP="001E2DEE">
            <w:pPr>
              <w:pStyle w:val="BlockText"/>
              <w:ind w:left="0"/>
              <w:jc w:val="center"/>
              <w:rPr>
                <w:b/>
                <w:bCs/>
                <w:szCs w:val="20"/>
                <w:rtl/>
                <w:lang w:bidi="ar-EG"/>
              </w:rPr>
            </w:pPr>
            <w:r w:rsidRPr="00F014E2">
              <w:rPr>
                <w:rFonts w:hint="cs"/>
                <w:b/>
                <w:bCs/>
                <w:szCs w:val="20"/>
                <w:rtl/>
                <w:lang w:bidi="ar-EG"/>
              </w:rPr>
              <w:t>عدد العبارات</w:t>
            </w:r>
          </w:p>
        </w:tc>
        <w:tc>
          <w:tcPr>
            <w:tcW w:w="2065" w:type="dxa"/>
            <w:tcBorders>
              <w:top w:val="thinThickSmallGap" w:sz="24" w:space="0" w:color="auto"/>
              <w:bottom w:val="thinThickSmallGap" w:sz="24" w:space="0" w:color="auto"/>
            </w:tcBorders>
            <w:shd w:val="clear" w:color="auto" w:fill="D9D9D9" w:themeFill="background1" w:themeFillShade="D9"/>
          </w:tcPr>
          <w:p w14:paraId="6168D04B" w14:textId="77777777" w:rsidR="007A0B3B" w:rsidRPr="00F014E2" w:rsidRDefault="007A0B3B" w:rsidP="001E2DEE">
            <w:pPr>
              <w:pStyle w:val="BlockText"/>
              <w:ind w:left="0"/>
              <w:jc w:val="center"/>
              <w:rPr>
                <w:b/>
                <w:bCs/>
                <w:szCs w:val="20"/>
                <w:rtl/>
                <w:lang w:bidi="ar-EG"/>
              </w:rPr>
            </w:pPr>
            <w:r w:rsidRPr="00F014E2">
              <w:rPr>
                <w:rFonts w:hint="cs"/>
                <w:b/>
                <w:bCs/>
                <w:szCs w:val="20"/>
                <w:rtl/>
                <w:lang w:bidi="ar-EG"/>
              </w:rPr>
              <w:t>معامل ألفا</w:t>
            </w:r>
          </w:p>
        </w:tc>
      </w:tr>
      <w:tr w:rsidR="007A0B3B" w:rsidRPr="004C3247" w14:paraId="5D37869E" w14:textId="77777777" w:rsidTr="001E2DEE">
        <w:trPr>
          <w:jc w:val="center"/>
        </w:trPr>
        <w:tc>
          <w:tcPr>
            <w:tcW w:w="936" w:type="dxa"/>
            <w:tcBorders>
              <w:top w:val="thinThickSmallGap" w:sz="24" w:space="0" w:color="auto"/>
              <w:bottom w:val="single" w:sz="4" w:space="0" w:color="auto"/>
            </w:tcBorders>
          </w:tcPr>
          <w:p w14:paraId="12D0CBC5" w14:textId="77777777" w:rsidR="007A0B3B" w:rsidRPr="00F014E2" w:rsidRDefault="007A0B3B" w:rsidP="001E2DEE">
            <w:pPr>
              <w:pStyle w:val="BlockText"/>
              <w:ind w:left="0"/>
              <w:jc w:val="center"/>
              <w:rPr>
                <w:b/>
                <w:bCs/>
                <w:szCs w:val="20"/>
                <w:rtl/>
                <w:lang w:bidi="ar-EG"/>
              </w:rPr>
            </w:pPr>
            <w:r w:rsidRPr="00F014E2">
              <w:rPr>
                <w:rFonts w:hint="cs"/>
                <w:b/>
                <w:bCs/>
                <w:szCs w:val="20"/>
                <w:rtl/>
                <w:lang w:bidi="ar-EG"/>
              </w:rPr>
              <w:t>1</w:t>
            </w:r>
          </w:p>
        </w:tc>
        <w:tc>
          <w:tcPr>
            <w:tcW w:w="4185" w:type="dxa"/>
            <w:tcBorders>
              <w:top w:val="thinThickSmallGap" w:sz="24" w:space="0" w:color="auto"/>
              <w:bottom w:val="single" w:sz="4" w:space="0" w:color="auto"/>
            </w:tcBorders>
          </w:tcPr>
          <w:p w14:paraId="6F260DC5" w14:textId="272B83FE" w:rsidR="007A0B3B" w:rsidRPr="00F014E2" w:rsidRDefault="00244546" w:rsidP="001E2DEE">
            <w:pPr>
              <w:pStyle w:val="BlockText"/>
              <w:ind w:left="0"/>
              <w:rPr>
                <w:szCs w:val="20"/>
                <w:rtl/>
                <w:lang w:bidi="ar-EG"/>
              </w:rPr>
            </w:pPr>
            <w:r>
              <w:rPr>
                <w:rFonts w:hint="cs"/>
                <w:szCs w:val="20"/>
                <w:rtl/>
                <w:lang w:bidi="ar-EG"/>
              </w:rPr>
              <w:t>تعزيز الأمن</w:t>
            </w:r>
            <w:r w:rsidR="007A0B3B" w:rsidRPr="00F014E2">
              <w:rPr>
                <w:rFonts w:hint="cs"/>
                <w:szCs w:val="20"/>
                <w:rtl/>
                <w:lang w:bidi="ar-EG"/>
              </w:rPr>
              <w:t xml:space="preserve">       </w:t>
            </w:r>
          </w:p>
        </w:tc>
        <w:tc>
          <w:tcPr>
            <w:tcW w:w="2100" w:type="dxa"/>
            <w:tcBorders>
              <w:top w:val="thinThickSmallGap" w:sz="24" w:space="0" w:color="auto"/>
              <w:bottom w:val="single" w:sz="4" w:space="0" w:color="auto"/>
            </w:tcBorders>
          </w:tcPr>
          <w:p w14:paraId="21EB2A2A" w14:textId="2A0A1CD7" w:rsidR="007A0B3B" w:rsidRPr="00F014E2" w:rsidRDefault="00244546" w:rsidP="001E2DEE">
            <w:pPr>
              <w:pStyle w:val="BlockText"/>
              <w:ind w:left="0"/>
              <w:jc w:val="center"/>
              <w:rPr>
                <w:szCs w:val="20"/>
                <w:rtl/>
                <w:lang w:bidi="ar-EG"/>
              </w:rPr>
            </w:pPr>
            <w:r>
              <w:rPr>
                <w:rFonts w:hint="cs"/>
                <w:szCs w:val="20"/>
                <w:rtl/>
                <w:lang w:bidi="ar-EG"/>
              </w:rPr>
              <w:t>15</w:t>
            </w:r>
          </w:p>
        </w:tc>
        <w:tc>
          <w:tcPr>
            <w:tcW w:w="2065" w:type="dxa"/>
            <w:tcBorders>
              <w:top w:val="thinThickSmallGap" w:sz="24" w:space="0" w:color="auto"/>
              <w:bottom w:val="single" w:sz="4" w:space="0" w:color="auto"/>
            </w:tcBorders>
          </w:tcPr>
          <w:p w14:paraId="55BD60CD" w14:textId="77777777" w:rsidR="007A0B3B" w:rsidRPr="00F014E2" w:rsidRDefault="007A0B3B" w:rsidP="001E2DEE">
            <w:pPr>
              <w:pStyle w:val="BlockText"/>
              <w:ind w:left="0"/>
              <w:jc w:val="center"/>
              <w:rPr>
                <w:szCs w:val="20"/>
                <w:rtl/>
                <w:lang w:bidi="ar-EG"/>
              </w:rPr>
            </w:pPr>
            <w:r w:rsidRPr="00F014E2">
              <w:rPr>
                <w:rFonts w:hint="cs"/>
                <w:szCs w:val="20"/>
                <w:rtl/>
                <w:lang w:bidi="ar-EG"/>
              </w:rPr>
              <w:t>0.795</w:t>
            </w:r>
          </w:p>
        </w:tc>
      </w:tr>
      <w:tr w:rsidR="007A0B3B" w:rsidRPr="004C3247" w14:paraId="08445CDE" w14:textId="77777777" w:rsidTr="001E2DEE">
        <w:trPr>
          <w:jc w:val="center"/>
        </w:trPr>
        <w:tc>
          <w:tcPr>
            <w:tcW w:w="936" w:type="dxa"/>
            <w:tcBorders>
              <w:top w:val="single" w:sz="4" w:space="0" w:color="auto"/>
            </w:tcBorders>
          </w:tcPr>
          <w:p w14:paraId="363435B0" w14:textId="77777777" w:rsidR="007A0B3B" w:rsidRPr="00F014E2" w:rsidRDefault="007A0B3B" w:rsidP="001E2DEE">
            <w:pPr>
              <w:pStyle w:val="BlockText"/>
              <w:ind w:left="0"/>
              <w:jc w:val="center"/>
              <w:rPr>
                <w:b/>
                <w:bCs/>
                <w:szCs w:val="20"/>
                <w:rtl/>
                <w:lang w:bidi="ar-EG"/>
              </w:rPr>
            </w:pPr>
            <w:r w:rsidRPr="00F014E2">
              <w:rPr>
                <w:rFonts w:hint="cs"/>
                <w:b/>
                <w:bCs/>
                <w:szCs w:val="20"/>
                <w:rtl/>
                <w:lang w:bidi="ar-EG"/>
              </w:rPr>
              <w:t>2</w:t>
            </w:r>
          </w:p>
        </w:tc>
        <w:tc>
          <w:tcPr>
            <w:tcW w:w="4185" w:type="dxa"/>
            <w:tcBorders>
              <w:top w:val="single" w:sz="4" w:space="0" w:color="auto"/>
            </w:tcBorders>
          </w:tcPr>
          <w:p w14:paraId="0BFC760F" w14:textId="10BF26AE" w:rsidR="007A0B3B" w:rsidRPr="00F014E2" w:rsidRDefault="00244546" w:rsidP="001E2DEE">
            <w:pPr>
              <w:pStyle w:val="BlockText"/>
              <w:ind w:left="0"/>
              <w:rPr>
                <w:szCs w:val="20"/>
                <w:rtl/>
                <w:lang w:bidi="ar-EG"/>
              </w:rPr>
            </w:pPr>
            <w:r>
              <w:rPr>
                <w:rFonts w:hint="cs"/>
                <w:szCs w:val="20"/>
                <w:rtl/>
                <w:lang w:bidi="ar-EG"/>
              </w:rPr>
              <w:t>تيسير التجارة</w:t>
            </w:r>
            <w:r w:rsidR="007A0B3B">
              <w:rPr>
                <w:rFonts w:hint="cs"/>
                <w:szCs w:val="20"/>
                <w:rtl/>
                <w:lang w:bidi="ar-EG"/>
              </w:rPr>
              <w:t xml:space="preserve">       </w:t>
            </w:r>
            <w:r w:rsidR="007A0B3B" w:rsidRPr="00F014E2">
              <w:rPr>
                <w:rFonts w:hint="cs"/>
                <w:szCs w:val="20"/>
                <w:rtl/>
                <w:lang w:bidi="ar-EG"/>
              </w:rPr>
              <w:t xml:space="preserve"> </w:t>
            </w:r>
          </w:p>
        </w:tc>
        <w:tc>
          <w:tcPr>
            <w:tcW w:w="2100" w:type="dxa"/>
            <w:tcBorders>
              <w:top w:val="single" w:sz="4" w:space="0" w:color="auto"/>
            </w:tcBorders>
          </w:tcPr>
          <w:p w14:paraId="6F49DE1C" w14:textId="77777777" w:rsidR="007A0B3B" w:rsidRPr="00F014E2" w:rsidRDefault="007A0B3B" w:rsidP="001E2DEE">
            <w:pPr>
              <w:pStyle w:val="BlockText"/>
              <w:ind w:left="0"/>
              <w:jc w:val="center"/>
              <w:rPr>
                <w:szCs w:val="20"/>
                <w:rtl/>
                <w:lang w:bidi="ar-EG"/>
              </w:rPr>
            </w:pPr>
            <w:r>
              <w:rPr>
                <w:rFonts w:hint="cs"/>
                <w:szCs w:val="20"/>
                <w:rtl/>
                <w:lang w:bidi="ar-EG"/>
              </w:rPr>
              <w:t>12</w:t>
            </w:r>
          </w:p>
        </w:tc>
        <w:tc>
          <w:tcPr>
            <w:tcW w:w="2065" w:type="dxa"/>
            <w:tcBorders>
              <w:top w:val="single" w:sz="4" w:space="0" w:color="auto"/>
            </w:tcBorders>
          </w:tcPr>
          <w:p w14:paraId="7FDACF01" w14:textId="77777777" w:rsidR="007A0B3B" w:rsidRPr="00F014E2" w:rsidRDefault="007A0B3B" w:rsidP="001E2DEE">
            <w:pPr>
              <w:pStyle w:val="BlockText"/>
              <w:ind w:left="0"/>
              <w:jc w:val="center"/>
              <w:rPr>
                <w:szCs w:val="20"/>
                <w:rtl/>
                <w:lang w:bidi="ar-EG"/>
              </w:rPr>
            </w:pPr>
            <w:r w:rsidRPr="00F014E2">
              <w:rPr>
                <w:rFonts w:hint="cs"/>
                <w:szCs w:val="20"/>
                <w:rtl/>
                <w:lang w:bidi="ar-EG"/>
              </w:rPr>
              <w:t>0.783</w:t>
            </w:r>
          </w:p>
        </w:tc>
      </w:tr>
    </w:tbl>
    <w:p w14:paraId="41AB5BBC" w14:textId="77777777" w:rsidR="007A0B3B" w:rsidRDefault="007A0B3B" w:rsidP="007A0B3B">
      <w:pPr>
        <w:pStyle w:val="BlockText"/>
        <w:spacing w:line="360" w:lineRule="auto"/>
        <w:jc w:val="lowKashida"/>
        <w:rPr>
          <w:szCs w:val="20"/>
          <w:lang w:bidi="ar-EG"/>
        </w:rPr>
      </w:pPr>
      <w:r w:rsidRPr="003E6048">
        <w:rPr>
          <w:rFonts w:hint="cs"/>
          <w:b/>
          <w:bCs/>
          <w:szCs w:val="20"/>
          <w:rtl/>
          <w:lang w:bidi="ar-EG"/>
        </w:rPr>
        <w:t>المصدر:</w:t>
      </w:r>
      <w:r w:rsidRPr="003E6048">
        <w:rPr>
          <w:rFonts w:hint="cs"/>
          <w:szCs w:val="20"/>
          <w:rtl/>
          <w:lang w:bidi="ar-EG"/>
        </w:rPr>
        <w:t xml:space="preserve"> نتائج التحليل الإح</w:t>
      </w:r>
      <w:r>
        <w:rPr>
          <w:rFonts w:hint="cs"/>
          <w:szCs w:val="20"/>
          <w:rtl/>
          <w:lang w:bidi="ar-EG"/>
        </w:rPr>
        <w:t>ص</w:t>
      </w:r>
      <w:r w:rsidRPr="003E6048">
        <w:rPr>
          <w:rFonts w:hint="cs"/>
          <w:szCs w:val="20"/>
          <w:rtl/>
          <w:lang w:bidi="ar-EG"/>
        </w:rPr>
        <w:t>ائي.</w:t>
      </w:r>
    </w:p>
    <w:p w14:paraId="65EAFFC8" w14:textId="77777777" w:rsidR="007A0B3B" w:rsidRPr="006D5651" w:rsidRDefault="007A0B3B" w:rsidP="007A0B3B">
      <w:pPr>
        <w:pStyle w:val="BlockText"/>
        <w:jc w:val="lowKashida"/>
        <w:rPr>
          <w:rFonts w:ascii="Sakkal Majalla" w:eastAsiaTheme="minorHAnsi" w:hAnsi="Sakkal Majalla" w:cs="Sakkal Majalla"/>
          <w:sz w:val="26"/>
          <w:szCs w:val="26"/>
          <w:rtl/>
        </w:rPr>
      </w:pPr>
      <w:r w:rsidRPr="006D5651">
        <w:rPr>
          <w:rFonts w:ascii="Sakkal Majalla" w:eastAsiaTheme="minorHAnsi" w:hAnsi="Sakkal Majalla" w:cs="Sakkal Majalla" w:hint="cs"/>
          <w:sz w:val="26"/>
          <w:szCs w:val="26"/>
          <w:rtl/>
        </w:rPr>
        <w:t>تشير النتائج المبدئية في الجدول رقم (3/1)  إلى أن قيم معامل ألفا للمتغيرات المستخدمة فى الدراسة كانت جميعها أكبر من (0.6) وهو الحد الأدنى للقبول لمعامل ألفا  (رزق الله، 2002) ، وبالتالي يمكن القول بأن المتغيرات المستخدمة تتمتع بالثبات الداخلي .</w:t>
      </w:r>
    </w:p>
    <w:p w14:paraId="03637640" w14:textId="77777777" w:rsidR="007A0B3B" w:rsidRPr="006D5651" w:rsidRDefault="007A0B3B" w:rsidP="007A0B3B">
      <w:pPr>
        <w:pStyle w:val="BlockText"/>
        <w:spacing w:line="360" w:lineRule="auto"/>
        <w:ind w:left="648"/>
        <w:jc w:val="lowKashida"/>
        <w:rPr>
          <w:rFonts w:cs="Simplified Arabic"/>
          <w:b/>
          <w:bCs/>
          <w:sz w:val="28"/>
          <w:rtl/>
        </w:rPr>
      </w:pPr>
      <w:r w:rsidRPr="006D5651">
        <w:rPr>
          <w:rFonts w:cs="Simplified Arabic" w:hint="cs"/>
          <w:b/>
          <w:bCs/>
          <w:sz w:val="28"/>
          <w:rtl/>
        </w:rPr>
        <w:t xml:space="preserve">3/2/2 اختبار صدق المقياس : </w:t>
      </w:r>
    </w:p>
    <w:p w14:paraId="19BC1985" w14:textId="77777777" w:rsidR="007A0B3B" w:rsidRPr="006D5651" w:rsidRDefault="007A0B3B">
      <w:pPr>
        <w:pStyle w:val="BlockText"/>
        <w:numPr>
          <w:ilvl w:val="0"/>
          <w:numId w:val="122"/>
        </w:numPr>
        <w:spacing w:line="360" w:lineRule="auto"/>
        <w:jc w:val="lowKashida"/>
        <w:rPr>
          <w:rFonts w:cs="Simplified Arabic"/>
          <w:b/>
          <w:bCs/>
          <w:sz w:val="18"/>
          <w:szCs w:val="24"/>
        </w:rPr>
      </w:pPr>
      <w:r w:rsidRPr="006D5651">
        <w:rPr>
          <w:rFonts w:cs="Simplified Arabic" w:hint="cs"/>
          <w:b/>
          <w:bCs/>
          <w:sz w:val="24"/>
          <w:szCs w:val="24"/>
          <w:rtl/>
          <w:lang w:bidi="ar-EG"/>
        </w:rPr>
        <w:t xml:space="preserve">التحليل العاملي للعبارات المكونة لمقياس </w:t>
      </w:r>
      <w:r>
        <w:rPr>
          <w:rFonts w:cs="Simplified Arabic" w:hint="cs"/>
          <w:b/>
          <w:bCs/>
          <w:sz w:val="24"/>
          <w:szCs w:val="24"/>
          <w:rtl/>
          <w:lang w:bidi="ar-EG"/>
        </w:rPr>
        <w:t>المتغيرات التابعة</w:t>
      </w:r>
      <w:r w:rsidRPr="006D5651">
        <w:rPr>
          <w:rFonts w:cs="Simplified Arabic" w:hint="cs"/>
          <w:b/>
          <w:bCs/>
          <w:sz w:val="24"/>
          <w:szCs w:val="24"/>
          <w:rtl/>
          <w:lang w:bidi="ar-EG"/>
        </w:rPr>
        <w:t xml:space="preserve"> (</w:t>
      </w:r>
      <w:r w:rsidRPr="006D5651">
        <w:rPr>
          <w:rFonts w:cs="Simplified Arabic"/>
          <w:b/>
          <w:bCs/>
          <w:sz w:val="24"/>
          <w:szCs w:val="24"/>
          <w:lang w:bidi="ar-EG"/>
        </w:rPr>
        <w:t>Factor Analysis</w:t>
      </w:r>
      <w:r w:rsidRPr="006D5651">
        <w:rPr>
          <w:rFonts w:cs="Simplified Arabic" w:hint="cs"/>
          <w:b/>
          <w:bCs/>
          <w:sz w:val="24"/>
          <w:szCs w:val="24"/>
          <w:rtl/>
          <w:lang w:bidi="ar-EG"/>
        </w:rPr>
        <w:t>) :</w:t>
      </w:r>
      <w:r w:rsidRPr="006D5651">
        <w:rPr>
          <w:rFonts w:cs="Simplified Arabic" w:hint="cs"/>
          <w:b/>
          <w:bCs/>
          <w:sz w:val="18"/>
          <w:szCs w:val="24"/>
          <w:rtl/>
        </w:rPr>
        <w:t xml:space="preserve"> </w:t>
      </w:r>
    </w:p>
    <w:p w14:paraId="602BB37E" w14:textId="226A2548" w:rsidR="007A0B3B" w:rsidRPr="007D39EF" w:rsidRDefault="007A0B3B" w:rsidP="00951CAB">
      <w:pPr>
        <w:pStyle w:val="BlockText"/>
        <w:ind w:left="146" w:hanging="120"/>
        <w:jc w:val="lowKashida"/>
        <w:rPr>
          <w:rFonts w:ascii="Sakkal Majalla" w:eastAsiaTheme="minorHAnsi" w:hAnsi="Sakkal Majalla" w:cs="Sakkal Majalla"/>
          <w:sz w:val="26"/>
          <w:szCs w:val="26"/>
        </w:rPr>
      </w:pPr>
      <w:r w:rsidRPr="007D39EF">
        <w:rPr>
          <w:rFonts w:ascii="Sakkal Majalla" w:eastAsiaTheme="minorHAnsi" w:hAnsi="Sakkal Majalla" w:cs="Sakkal Majalla"/>
          <w:sz w:val="26"/>
          <w:szCs w:val="26"/>
          <w:rtl/>
        </w:rPr>
        <w:t xml:space="preserve">بعد إجراء اختبارات الثبات، قام الباحث بإجراء التحليل العاملي للمتغيرات المستخدمة في الدراسة. ويُستخدم التحليل العاملي بشكل أساسي كأداة تحليلية لاختبار الفروض البحثية المتعلقة ببناء المقاييس، وذلك لتحديد ما إذا كانت مجموعة من المتغيرات تشكل مركباً عاماً (عاملًا) يعكس ظاهرة معينة، حيث تمثل هذه المتغيرات مؤشرات لها. كما يُستخدم التحليل العاملي لمعالجة المشكلات الإحصائية في النماذج متعددة المتغيرات، مثل مشكلة تعدد المتغيرات التفسيرية والارتباطات العالية بين المتغيرات المستقلة، والتي قد تؤدي إلى عدم ثبات معاملات الانحدار المعيارية. وفي إطار هذه الدراسة، هدفت الباحثة من استخدام التحليل العاملي إلى بناء مركبات عامة (عوامل) من خلال دمج البنود ذات العلاقات القوية، وذلك لبيان النسبة المفسرة لهذه البنود لكل من أبعاد </w:t>
      </w:r>
      <w:r w:rsidR="00951CAB">
        <w:rPr>
          <w:rFonts w:ascii="Sakkal Majalla" w:eastAsiaTheme="minorHAnsi" w:hAnsi="Sakkal Majalla" w:cs="Sakkal Majalla" w:hint="cs"/>
          <w:sz w:val="26"/>
          <w:szCs w:val="26"/>
          <w:rtl/>
        </w:rPr>
        <w:t>التحول الرقم</w:t>
      </w:r>
      <w:r w:rsidRPr="007D39EF">
        <w:rPr>
          <w:rFonts w:ascii="Sakkal Majalla" w:eastAsiaTheme="minorHAnsi" w:hAnsi="Sakkal Majalla" w:cs="Sakkal Majalla"/>
          <w:sz w:val="26"/>
          <w:szCs w:val="26"/>
          <w:rtl/>
        </w:rPr>
        <w:t xml:space="preserve">ي </w:t>
      </w:r>
      <w:r w:rsidR="00951CAB">
        <w:rPr>
          <w:rFonts w:ascii="Sakkal Majalla" w:eastAsiaTheme="minorHAnsi" w:hAnsi="Sakkal Majalla" w:cs="Sakkal Majalla" w:hint="cs"/>
          <w:sz w:val="26"/>
          <w:szCs w:val="26"/>
          <w:rtl/>
        </w:rPr>
        <w:t>وتعزيز الأمن وتيسير التجارة</w:t>
      </w:r>
      <w:r w:rsidRPr="007D39EF">
        <w:rPr>
          <w:rFonts w:ascii="Sakkal Majalla" w:eastAsiaTheme="minorHAnsi" w:hAnsi="Sakkal Majalla" w:cs="Sakkal Majalla"/>
          <w:sz w:val="26"/>
          <w:szCs w:val="26"/>
          <w:rtl/>
        </w:rPr>
        <w:t>.</w:t>
      </w:r>
    </w:p>
    <w:p w14:paraId="681A01B6" w14:textId="77777777" w:rsidR="00951CAB" w:rsidRDefault="007A0B3B" w:rsidP="007A0B3B">
      <w:pPr>
        <w:pStyle w:val="BlockText"/>
        <w:ind w:left="146" w:hanging="120"/>
        <w:rPr>
          <w:rFonts w:ascii="Sakkal Majalla" w:eastAsiaTheme="minorHAnsi" w:hAnsi="Sakkal Majalla" w:cs="Sakkal Majalla"/>
          <w:sz w:val="26"/>
          <w:szCs w:val="26"/>
          <w:rtl/>
        </w:rPr>
      </w:pPr>
      <w:r w:rsidRPr="007D39EF">
        <w:rPr>
          <w:rFonts w:ascii="Sakkal Majalla" w:eastAsiaTheme="minorHAnsi" w:hAnsi="Sakkal Majalla" w:cs="Sakkal Majalla"/>
          <w:sz w:val="26"/>
          <w:szCs w:val="26"/>
          <w:rtl/>
        </w:rPr>
        <w:t xml:space="preserve">وقد قام الباحث بحصر متغيرات الدراسة بالاعتماد على الدراسة الاستطلاعية والدراسات السابقة. بالنسبة لأبعاد </w:t>
      </w:r>
      <w:r w:rsidR="00951CAB">
        <w:rPr>
          <w:rFonts w:ascii="Sakkal Majalla" w:eastAsiaTheme="minorHAnsi" w:hAnsi="Sakkal Majalla" w:cs="Sakkal Majalla" w:hint="cs"/>
          <w:sz w:val="26"/>
          <w:szCs w:val="26"/>
          <w:rtl/>
        </w:rPr>
        <w:t>التحول الرقم</w:t>
      </w:r>
      <w:r w:rsidRPr="007D39EF">
        <w:rPr>
          <w:rFonts w:ascii="Sakkal Majalla" w:eastAsiaTheme="minorHAnsi" w:hAnsi="Sakkal Majalla" w:cs="Sakkal Majalla"/>
          <w:sz w:val="26"/>
          <w:szCs w:val="26"/>
          <w:rtl/>
        </w:rPr>
        <w:t xml:space="preserve">ي، فقد تم حصرها في أربعة أبعاد مستقلة هي: </w:t>
      </w:r>
    </w:p>
    <w:p w14:paraId="3E784361" w14:textId="488032A0" w:rsidR="00951CAB" w:rsidRDefault="00951CAB">
      <w:pPr>
        <w:pStyle w:val="BlockText"/>
        <w:numPr>
          <w:ilvl w:val="0"/>
          <w:numId w:val="128"/>
        </w:numPr>
        <w:rPr>
          <w:rFonts w:ascii="Sakkal Majalla" w:eastAsiaTheme="minorHAnsi" w:hAnsi="Sakkal Majalla" w:cs="Sakkal Majalla"/>
          <w:sz w:val="26"/>
          <w:szCs w:val="26"/>
        </w:rPr>
      </w:pPr>
      <w:r>
        <w:rPr>
          <w:rFonts w:ascii="Sakkal Majalla" w:eastAsiaTheme="minorHAnsi" w:hAnsi="Sakkal Majalla" w:cs="Sakkal Majalla" w:hint="cs"/>
          <w:sz w:val="26"/>
          <w:szCs w:val="26"/>
          <w:rtl/>
        </w:rPr>
        <w:t>الأسس الرقمية.</w:t>
      </w:r>
    </w:p>
    <w:p w14:paraId="510AE0A8" w14:textId="3AB59B02" w:rsidR="00951CAB" w:rsidRDefault="00951CAB">
      <w:pPr>
        <w:pStyle w:val="BlockText"/>
        <w:numPr>
          <w:ilvl w:val="0"/>
          <w:numId w:val="128"/>
        </w:numPr>
        <w:rPr>
          <w:rFonts w:ascii="Sakkal Majalla" w:eastAsiaTheme="minorHAnsi" w:hAnsi="Sakkal Majalla" w:cs="Sakkal Majalla"/>
          <w:sz w:val="26"/>
          <w:szCs w:val="26"/>
        </w:rPr>
      </w:pPr>
      <w:r>
        <w:rPr>
          <w:rFonts w:ascii="Sakkal Majalla" w:eastAsiaTheme="minorHAnsi" w:hAnsi="Sakkal Majalla" w:cs="Sakkal Majalla" w:hint="cs"/>
          <w:sz w:val="26"/>
          <w:szCs w:val="26"/>
          <w:rtl/>
        </w:rPr>
        <w:t>الابتكار الرقمي.</w:t>
      </w:r>
    </w:p>
    <w:p w14:paraId="33EF0936" w14:textId="6F614C19" w:rsidR="00951CAB" w:rsidRPr="00951CAB" w:rsidRDefault="00951CAB">
      <w:pPr>
        <w:pStyle w:val="BlockText"/>
        <w:numPr>
          <w:ilvl w:val="0"/>
          <w:numId w:val="128"/>
        </w:numPr>
        <w:rPr>
          <w:rFonts w:ascii="Sakkal Majalla" w:eastAsiaTheme="minorHAnsi" w:hAnsi="Sakkal Majalla" w:cs="Sakkal Majalla"/>
          <w:sz w:val="26"/>
          <w:szCs w:val="26"/>
        </w:rPr>
      </w:pPr>
      <w:r>
        <w:rPr>
          <w:rFonts w:ascii="Sakkal Majalla" w:eastAsiaTheme="minorHAnsi" w:hAnsi="Sakkal Majalla" w:cs="Sakkal Majalla" w:hint="cs"/>
          <w:sz w:val="26"/>
          <w:szCs w:val="26"/>
          <w:rtl/>
        </w:rPr>
        <w:t>الحوكمة الرقمية.</w:t>
      </w:r>
    </w:p>
    <w:p w14:paraId="0275BE13" w14:textId="6BD290B6" w:rsidR="007A0B3B" w:rsidRPr="007D39EF" w:rsidRDefault="007A0B3B" w:rsidP="00951CAB">
      <w:pPr>
        <w:pStyle w:val="BlockText"/>
        <w:ind w:left="146" w:hanging="120"/>
        <w:rPr>
          <w:rFonts w:ascii="Sakkal Majalla" w:eastAsiaTheme="minorHAnsi" w:hAnsi="Sakkal Majalla" w:cs="Sakkal Majalla"/>
          <w:sz w:val="26"/>
          <w:szCs w:val="26"/>
        </w:rPr>
      </w:pPr>
      <w:r w:rsidRPr="007D39EF">
        <w:rPr>
          <w:rFonts w:ascii="Sakkal Majalla" w:eastAsiaTheme="minorHAnsi" w:hAnsi="Sakkal Majalla" w:cs="Sakkal Majalla"/>
          <w:sz w:val="26"/>
          <w:szCs w:val="26"/>
          <w:rtl/>
        </w:rPr>
        <w:t>أما المتغيرات التابعة المتعلقة</w:t>
      </w:r>
      <w:r w:rsidR="00951CAB">
        <w:rPr>
          <w:rFonts w:ascii="Sakkal Majalla" w:eastAsiaTheme="minorHAnsi" w:hAnsi="Sakkal Majalla" w:cs="Sakkal Majalla" w:hint="cs"/>
          <w:sz w:val="26"/>
          <w:szCs w:val="26"/>
          <w:rtl/>
        </w:rPr>
        <w:t xml:space="preserve"> في</w:t>
      </w:r>
      <w:r w:rsidRPr="007D39EF">
        <w:rPr>
          <w:rFonts w:ascii="Sakkal Majalla" w:eastAsiaTheme="minorHAnsi" w:hAnsi="Sakkal Majalla" w:cs="Sakkal Majalla"/>
          <w:sz w:val="26"/>
          <w:szCs w:val="26"/>
          <w:rtl/>
        </w:rPr>
        <w:t xml:space="preserve"> متغيرين رئيسيين: </w:t>
      </w:r>
      <w:r w:rsidR="00951CAB">
        <w:rPr>
          <w:rFonts w:ascii="Sakkal Majalla" w:eastAsiaTheme="minorHAnsi" w:hAnsi="Sakkal Majalla" w:cs="Sakkal Majalla" w:hint="cs"/>
          <w:sz w:val="26"/>
          <w:szCs w:val="26"/>
          <w:rtl/>
        </w:rPr>
        <w:t>تعزيز الأمن وتيسير التجارة</w:t>
      </w:r>
      <w:r w:rsidRPr="007D39EF">
        <w:rPr>
          <w:rFonts w:ascii="Sakkal Majalla" w:eastAsiaTheme="minorHAnsi" w:hAnsi="Sakkal Majalla" w:cs="Sakkal Majalla"/>
          <w:sz w:val="26"/>
          <w:szCs w:val="26"/>
          <w:rtl/>
        </w:rPr>
        <w:t>، حيث يضم كل منهما متغيرات فرعية:</w:t>
      </w:r>
    </w:p>
    <w:p w14:paraId="7DDEAF42" w14:textId="1907AE3E" w:rsidR="00951CAB" w:rsidRPr="00951CAB" w:rsidRDefault="00951CAB" w:rsidP="00951CAB">
      <w:pPr>
        <w:pStyle w:val="BlockText"/>
        <w:rPr>
          <w:rFonts w:ascii="Sakkal Majalla" w:eastAsiaTheme="minorHAnsi" w:hAnsi="Sakkal Majalla" w:cs="Sakkal Majalla"/>
          <w:b/>
          <w:bCs/>
          <w:sz w:val="26"/>
          <w:szCs w:val="26"/>
          <w:rtl/>
        </w:rPr>
      </w:pPr>
      <w:r w:rsidRPr="00951CAB">
        <w:rPr>
          <w:rFonts w:ascii="Sakkal Majalla" w:eastAsiaTheme="minorHAnsi" w:hAnsi="Sakkal Majalla" w:cs="Sakkal Majalla" w:hint="cs"/>
          <w:b/>
          <w:bCs/>
          <w:sz w:val="26"/>
          <w:szCs w:val="26"/>
          <w:rtl/>
        </w:rPr>
        <w:t>المتغير التابع الرئيسي تعزيز الأمن</w:t>
      </w:r>
      <w:r w:rsidR="007A0B3B" w:rsidRPr="00951CAB">
        <w:rPr>
          <w:rFonts w:ascii="Sakkal Majalla" w:eastAsiaTheme="minorHAnsi" w:hAnsi="Sakkal Majalla" w:cs="Sakkal Majalla"/>
          <w:b/>
          <w:bCs/>
          <w:sz w:val="26"/>
          <w:szCs w:val="26"/>
          <w:rtl/>
        </w:rPr>
        <w:t xml:space="preserve">: </w:t>
      </w:r>
    </w:p>
    <w:p w14:paraId="7DE4A0F3" w14:textId="77777777" w:rsidR="00951CAB" w:rsidRDefault="00951CAB">
      <w:pPr>
        <w:pStyle w:val="BlockText"/>
        <w:numPr>
          <w:ilvl w:val="0"/>
          <w:numId w:val="129"/>
        </w:numPr>
        <w:rPr>
          <w:rFonts w:ascii="Sakkal Majalla" w:eastAsiaTheme="minorHAnsi" w:hAnsi="Sakkal Majalla" w:cs="Sakkal Majalla"/>
          <w:sz w:val="26"/>
          <w:szCs w:val="26"/>
          <w:rtl/>
        </w:rPr>
      </w:pPr>
      <w:r>
        <w:rPr>
          <w:rFonts w:ascii="Sakkal Majalla" w:eastAsiaTheme="minorHAnsi" w:hAnsi="Sakkal Majalla" w:cs="Sakkal Majalla" w:hint="cs"/>
          <w:sz w:val="26"/>
          <w:szCs w:val="26"/>
          <w:rtl/>
        </w:rPr>
        <w:t xml:space="preserve">الأمن السيبراني وحماية البيانات. </w:t>
      </w:r>
      <w:r w:rsidRPr="007D39EF">
        <w:rPr>
          <w:rFonts w:ascii="Sakkal Majalla" w:eastAsiaTheme="minorHAnsi" w:hAnsi="Sakkal Majalla" w:cs="Sakkal Majalla"/>
          <w:sz w:val="26"/>
          <w:szCs w:val="26"/>
          <w:rtl/>
        </w:rPr>
        <w:t xml:space="preserve"> </w:t>
      </w:r>
    </w:p>
    <w:p w14:paraId="46FF85C2" w14:textId="77777777" w:rsidR="00951CAB" w:rsidRDefault="00951CAB">
      <w:pPr>
        <w:pStyle w:val="BlockText"/>
        <w:numPr>
          <w:ilvl w:val="0"/>
          <w:numId w:val="129"/>
        </w:numPr>
        <w:rPr>
          <w:rFonts w:ascii="Sakkal Majalla" w:eastAsiaTheme="minorHAnsi" w:hAnsi="Sakkal Majalla" w:cs="Sakkal Majalla"/>
          <w:sz w:val="26"/>
          <w:szCs w:val="26"/>
        </w:rPr>
      </w:pPr>
      <w:r>
        <w:rPr>
          <w:rFonts w:ascii="Sakkal Majalla" w:eastAsiaTheme="minorHAnsi" w:hAnsi="Sakkal Majalla" w:cs="Sakkal Majalla" w:hint="cs"/>
          <w:sz w:val="26"/>
          <w:szCs w:val="26"/>
          <w:rtl/>
        </w:rPr>
        <w:t>تحسين كفاءة الرقابة الجمركية والحد من التهريب.</w:t>
      </w:r>
    </w:p>
    <w:p w14:paraId="53BB4A81" w14:textId="77777777" w:rsidR="00951CAB" w:rsidRDefault="00951CAB">
      <w:pPr>
        <w:pStyle w:val="BlockText"/>
        <w:numPr>
          <w:ilvl w:val="0"/>
          <w:numId w:val="129"/>
        </w:numPr>
        <w:rPr>
          <w:rFonts w:ascii="Sakkal Majalla" w:eastAsiaTheme="minorHAnsi" w:hAnsi="Sakkal Majalla" w:cs="Sakkal Majalla"/>
          <w:sz w:val="26"/>
          <w:szCs w:val="26"/>
        </w:rPr>
      </w:pPr>
      <w:r>
        <w:rPr>
          <w:rFonts w:ascii="Sakkal Majalla" w:eastAsiaTheme="minorHAnsi" w:hAnsi="Sakkal Majalla" w:cs="Sakkal Majalla" w:hint="cs"/>
          <w:sz w:val="26"/>
          <w:szCs w:val="26"/>
          <w:rtl/>
        </w:rPr>
        <w:t>تعزيز تكامل الشراكات الاستراتيجية.</w:t>
      </w:r>
    </w:p>
    <w:p w14:paraId="53260756" w14:textId="77777777" w:rsidR="00951CAB" w:rsidRDefault="00951CAB">
      <w:pPr>
        <w:pStyle w:val="BlockText"/>
        <w:numPr>
          <w:ilvl w:val="0"/>
          <w:numId w:val="129"/>
        </w:numPr>
        <w:rPr>
          <w:rFonts w:ascii="Sakkal Majalla" w:eastAsiaTheme="minorHAnsi" w:hAnsi="Sakkal Majalla" w:cs="Sakkal Majalla"/>
          <w:sz w:val="26"/>
          <w:szCs w:val="26"/>
        </w:rPr>
      </w:pPr>
      <w:r>
        <w:rPr>
          <w:rFonts w:ascii="Sakkal Majalla" w:eastAsiaTheme="minorHAnsi" w:hAnsi="Sakkal Majalla" w:cs="Sakkal Majalla" w:hint="cs"/>
          <w:sz w:val="26"/>
          <w:szCs w:val="26"/>
          <w:rtl/>
        </w:rPr>
        <w:t>البعد القانوني والسياسي.</w:t>
      </w:r>
    </w:p>
    <w:p w14:paraId="74F44B3A" w14:textId="77777777" w:rsidR="00951CAB" w:rsidRPr="00951CAB" w:rsidRDefault="00951CAB">
      <w:pPr>
        <w:pStyle w:val="BlockText"/>
        <w:numPr>
          <w:ilvl w:val="0"/>
          <w:numId w:val="129"/>
        </w:numPr>
        <w:rPr>
          <w:rFonts w:ascii="Sakkal Majalla" w:eastAsiaTheme="minorHAnsi" w:hAnsi="Sakkal Majalla" w:cs="Sakkal Majalla"/>
          <w:sz w:val="26"/>
          <w:szCs w:val="26"/>
        </w:rPr>
      </w:pPr>
      <w:r w:rsidRPr="00951CAB">
        <w:rPr>
          <w:rFonts w:ascii="Sakkal Majalla" w:eastAsiaTheme="minorHAnsi" w:hAnsi="Sakkal Majalla" w:cs="Sakkal Majalla" w:hint="cs"/>
          <w:sz w:val="26"/>
          <w:szCs w:val="26"/>
          <w:rtl/>
        </w:rPr>
        <w:t>البعد الاجتماعي والثقافي.</w:t>
      </w:r>
    </w:p>
    <w:p w14:paraId="3A6237BA" w14:textId="00F84FF8" w:rsidR="00951CAB" w:rsidRPr="00951CAB" w:rsidRDefault="00951CAB" w:rsidP="00951CAB">
      <w:pPr>
        <w:pStyle w:val="BlockText"/>
        <w:ind w:left="386"/>
        <w:rPr>
          <w:rFonts w:ascii="Sakkal Majalla" w:eastAsiaTheme="minorHAnsi" w:hAnsi="Sakkal Majalla" w:cs="Sakkal Majalla"/>
          <w:b/>
          <w:bCs/>
          <w:sz w:val="26"/>
          <w:szCs w:val="26"/>
          <w:rtl/>
        </w:rPr>
      </w:pPr>
      <w:r w:rsidRPr="00951CAB">
        <w:rPr>
          <w:rFonts w:ascii="Sakkal Majalla" w:eastAsiaTheme="minorHAnsi" w:hAnsi="Sakkal Majalla" w:cs="Sakkal Majalla" w:hint="cs"/>
          <w:b/>
          <w:bCs/>
          <w:sz w:val="26"/>
          <w:szCs w:val="26"/>
          <w:rtl/>
        </w:rPr>
        <w:t xml:space="preserve">المتغير التابع الرئيسي </w:t>
      </w:r>
      <w:r>
        <w:rPr>
          <w:rFonts w:ascii="Sakkal Majalla" w:eastAsiaTheme="minorHAnsi" w:hAnsi="Sakkal Majalla" w:cs="Sakkal Majalla" w:hint="cs"/>
          <w:b/>
          <w:bCs/>
          <w:sz w:val="26"/>
          <w:szCs w:val="26"/>
          <w:rtl/>
        </w:rPr>
        <w:t>تيسير التجارة</w:t>
      </w:r>
      <w:r w:rsidRPr="00951CAB">
        <w:rPr>
          <w:rFonts w:ascii="Sakkal Majalla" w:eastAsiaTheme="minorHAnsi" w:hAnsi="Sakkal Majalla" w:cs="Sakkal Majalla"/>
          <w:b/>
          <w:bCs/>
          <w:sz w:val="26"/>
          <w:szCs w:val="26"/>
          <w:rtl/>
        </w:rPr>
        <w:t xml:space="preserve">: </w:t>
      </w:r>
    </w:p>
    <w:p w14:paraId="0522438F" w14:textId="52745EFF" w:rsidR="00951CAB" w:rsidRDefault="00951CAB">
      <w:pPr>
        <w:pStyle w:val="BlockText"/>
        <w:numPr>
          <w:ilvl w:val="0"/>
          <w:numId w:val="129"/>
        </w:numPr>
        <w:rPr>
          <w:rFonts w:ascii="Sakkal Majalla" w:eastAsiaTheme="minorHAnsi" w:hAnsi="Sakkal Majalla" w:cs="Sakkal Majalla"/>
          <w:sz w:val="26"/>
          <w:szCs w:val="26"/>
        </w:rPr>
      </w:pPr>
      <w:r>
        <w:rPr>
          <w:rFonts w:ascii="Sakkal Majalla" w:eastAsiaTheme="minorHAnsi" w:hAnsi="Sakkal Majalla" w:cs="Sakkal Majalla" w:hint="cs"/>
          <w:sz w:val="26"/>
          <w:szCs w:val="26"/>
          <w:rtl/>
        </w:rPr>
        <w:t>البعد الاقتصادي.</w:t>
      </w:r>
    </w:p>
    <w:p w14:paraId="5BE65FF0" w14:textId="7D210F41" w:rsidR="00951CAB" w:rsidRDefault="00951CAB">
      <w:pPr>
        <w:pStyle w:val="BlockText"/>
        <w:numPr>
          <w:ilvl w:val="0"/>
          <w:numId w:val="129"/>
        </w:numPr>
        <w:rPr>
          <w:rFonts w:ascii="Sakkal Majalla" w:eastAsiaTheme="minorHAnsi" w:hAnsi="Sakkal Majalla" w:cs="Sakkal Majalla"/>
          <w:sz w:val="26"/>
          <w:szCs w:val="26"/>
        </w:rPr>
      </w:pPr>
      <w:r>
        <w:rPr>
          <w:rFonts w:ascii="Sakkal Majalla" w:eastAsiaTheme="minorHAnsi" w:hAnsi="Sakkal Majalla" w:cs="Sakkal Majalla" w:hint="cs"/>
          <w:sz w:val="26"/>
          <w:szCs w:val="26"/>
          <w:rtl/>
        </w:rPr>
        <w:t>البعد التكنولوجي.</w:t>
      </w:r>
    </w:p>
    <w:p w14:paraId="2B7EA87F" w14:textId="229B83B3" w:rsidR="00951CAB" w:rsidRDefault="00951CAB">
      <w:pPr>
        <w:pStyle w:val="BlockText"/>
        <w:numPr>
          <w:ilvl w:val="0"/>
          <w:numId w:val="129"/>
        </w:numPr>
        <w:rPr>
          <w:rFonts w:ascii="Sakkal Majalla" w:eastAsiaTheme="minorHAnsi" w:hAnsi="Sakkal Majalla" w:cs="Sakkal Majalla"/>
          <w:sz w:val="26"/>
          <w:szCs w:val="26"/>
        </w:rPr>
      </w:pPr>
      <w:r>
        <w:rPr>
          <w:rFonts w:ascii="Sakkal Majalla" w:eastAsiaTheme="minorHAnsi" w:hAnsi="Sakkal Majalla" w:cs="Sakkal Majalla" w:hint="cs"/>
          <w:sz w:val="26"/>
          <w:szCs w:val="26"/>
          <w:rtl/>
        </w:rPr>
        <w:t>البعد البيئي.</w:t>
      </w:r>
    </w:p>
    <w:p w14:paraId="0F1110F6" w14:textId="6ED595D0" w:rsidR="00951CAB" w:rsidRDefault="00951CAB">
      <w:pPr>
        <w:pStyle w:val="BlockText"/>
        <w:numPr>
          <w:ilvl w:val="0"/>
          <w:numId w:val="129"/>
        </w:numPr>
        <w:rPr>
          <w:rFonts w:ascii="Sakkal Majalla" w:eastAsiaTheme="minorHAnsi" w:hAnsi="Sakkal Majalla" w:cs="Sakkal Majalla"/>
          <w:sz w:val="26"/>
          <w:szCs w:val="26"/>
        </w:rPr>
      </w:pPr>
      <w:r>
        <w:rPr>
          <w:rFonts w:ascii="Sakkal Majalla" w:eastAsiaTheme="minorHAnsi" w:hAnsi="Sakkal Majalla" w:cs="Sakkal Majalla" w:hint="cs"/>
          <w:sz w:val="26"/>
          <w:szCs w:val="26"/>
          <w:rtl/>
        </w:rPr>
        <w:t>تقليل التهرب الضريبي وتعزيز الامتثال.</w:t>
      </w:r>
    </w:p>
    <w:p w14:paraId="5D1E5100" w14:textId="77777777" w:rsidR="005F6F78" w:rsidRDefault="005F6F78" w:rsidP="005F6F78">
      <w:pPr>
        <w:pStyle w:val="BlockText"/>
        <w:ind w:left="746"/>
        <w:rPr>
          <w:rFonts w:ascii="Sakkal Majalla" w:eastAsiaTheme="minorHAnsi" w:hAnsi="Sakkal Majalla" w:cs="Sakkal Majalla"/>
          <w:sz w:val="26"/>
          <w:szCs w:val="26"/>
        </w:rPr>
      </w:pPr>
    </w:p>
    <w:p w14:paraId="5AD5F97D" w14:textId="77777777" w:rsidR="00951CAB" w:rsidRDefault="00951CAB" w:rsidP="00951CAB">
      <w:pPr>
        <w:pStyle w:val="BlockText"/>
        <w:rPr>
          <w:rFonts w:ascii="Sakkal Majalla" w:eastAsiaTheme="minorHAnsi" w:hAnsi="Sakkal Majalla" w:cs="Sakkal Majalla"/>
          <w:sz w:val="26"/>
          <w:szCs w:val="26"/>
        </w:rPr>
      </w:pPr>
    </w:p>
    <w:p w14:paraId="5777DA0F" w14:textId="04E099ED" w:rsidR="007A0B3B" w:rsidRDefault="007A0B3B" w:rsidP="001E4D37">
      <w:pPr>
        <w:pStyle w:val="BlockText"/>
        <w:ind w:left="146" w:hanging="120"/>
        <w:rPr>
          <w:rFonts w:ascii="Sakkal Majalla" w:eastAsiaTheme="minorHAnsi" w:hAnsi="Sakkal Majalla" w:cs="Sakkal Majalla"/>
          <w:sz w:val="26"/>
          <w:szCs w:val="26"/>
          <w:rtl/>
        </w:rPr>
      </w:pPr>
      <w:r w:rsidRPr="007D39EF">
        <w:rPr>
          <w:rFonts w:ascii="Sakkal Majalla" w:eastAsiaTheme="minorHAnsi" w:hAnsi="Sakkal Majalla" w:cs="Sakkal Majalla"/>
          <w:sz w:val="26"/>
          <w:szCs w:val="26"/>
          <w:rtl/>
        </w:rPr>
        <w:t xml:space="preserve">وكشفت نتائج التحليل العاملي عن قوته في تجميع العبارات القياسية ذات العلاقات الداخلية المتينة، مما أدى إلى إعادة تنظيم هذه المتغيرات الفرعية </w:t>
      </w:r>
      <w:r w:rsidR="00951CAB">
        <w:rPr>
          <w:rFonts w:ascii="Sakkal Majalla" w:eastAsiaTheme="minorHAnsi" w:hAnsi="Sakkal Majalla" w:cs="Sakkal Majalla" w:hint="cs"/>
          <w:sz w:val="26"/>
          <w:szCs w:val="26"/>
          <w:rtl/>
        </w:rPr>
        <w:t>التسعة</w:t>
      </w:r>
      <w:r w:rsidRPr="007D39EF">
        <w:rPr>
          <w:rFonts w:ascii="Sakkal Majalla" w:eastAsiaTheme="minorHAnsi" w:hAnsi="Sakkal Majalla" w:cs="Sakkal Majalla"/>
          <w:sz w:val="26"/>
          <w:szCs w:val="26"/>
          <w:rtl/>
        </w:rPr>
        <w:t xml:space="preserve"> في أربعة عوامل (مكونات رئيسية) تفسيرية أكثر تجانساً ودلالة</w:t>
      </w:r>
      <w:r w:rsidR="001E4D37">
        <w:rPr>
          <w:rFonts w:ascii="Sakkal Majalla" w:eastAsiaTheme="minorHAnsi" w:hAnsi="Sakkal Majalla" w:cs="Sakkal Majalla" w:hint="cs"/>
          <w:sz w:val="26"/>
          <w:szCs w:val="26"/>
          <w:rtl/>
        </w:rPr>
        <w:t>.</w:t>
      </w:r>
    </w:p>
    <w:p w14:paraId="3F264680" w14:textId="77777777" w:rsidR="001E4D37" w:rsidRPr="001E4D37" w:rsidRDefault="001E4D37" w:rsidP="001E4D37">
      <w:pPr>
        <w:pStyle w:val="BlockText"/>
        <w:rPr>
          <w:rFonts w:ascii="Sakkal Majalla" w:hAnsi="Sakkal Majalla" w:cs="Sakkal Majalla"/>
          <w:b/>
          <w:bCs/>
          <w:sz w:val="26"/>
          <w:szCs w:val="26"/>
        </w:rPr>
      </w:pPr>
      <w:r w:rsidRPr="001E4D37">
        <w:rPr>
          <w:rFonts w:ascii="Sakkal Majalla" w:hAnsi="Sakkal Majalla" w:cs="Sakkal Majalla"/>
          <w:b/>
          <w:bCs/>
          <w:sz w:val="26"/>
          <w:szCs w:val="26"/>
          <w:rtl/>
        </w:rPr>
        <w:t>نتائج التحليل العاملي للمتغيرات التابعة</w:t>
      </w:r>
      <w:r w:rsidRPr="001E4D37">
        <w:rPr>
          <w:rFonts w:ascii="Sakkal Majalla" w:hAnsi="Sakkal Majalla" w:cs="Sakkal Majalla"/>
          <w:b/>
          <w:bCs/>
          <w:sz w:val="26"/>
          <w:szCs w:val="26"/>
        </w:rPr>
        <w:t xml:space="preserve"> (Factor Analysis)</w:t>
      </w:r>
    </w:p>
    <w:p w14:paraId="3A6B71C5" w14:textId="77777777" w:rsidR="001E4D37" w:rsidRPr="001E4D37" w:rsidRDefault="001E4D37" w:rsidP="001E4D37">
      <w:pPr>
        <w:pStyle w:val="BlockText"/>
        <w:rPr>
          <w:rFonts w:ascii="Sakkal Majalla" w:hAnsi="Sakkal Majalla" w:cs="Sakkal Majalla"/>
          <w:sz w:val="26"/>
          <w:szCs w:val="26"/>
        </w:rPr>
      </w:pPr>
      <w:r w:rsidRPr="001E4D37">
        <w:rPr>
          <w:rFonts w:ascii="Sakkal Majalla" w:hAnsi="Sakkal Majalla" w:cs="Sakkal Majalla"/>
          <w:sz w:val="26"/>
          <w:szCs w:val="26"/>
          <w:rtl/>
        </w:rPr>
        <w:t>بعد إجراء التحليل العاملي باستخدام طريقة المكونات الرئيسية</w:t>
      </w:r>
      <w:r w:rsidRPr="001E4D37">
        <w:rPr>
          <w:rFonts w:ascii="Sakkal Majalla" w:hAnsi="Sakkal Majalla" w:cs="Sakkal Majalla"/>
          <w:sz w:val="26"/>
          <w:szCs w:val="26"/>
        </w:rPr>
        <w:t xml:space="preserve"> (Principal Component Analysis) </w:t>
      </w:r>
      <w:r w:rsidRPr="001E4D37">
        <w:rPr>
          <w:rFonts w:ascii="Sakkal Majalla" w:hAnsi="Sakkal Majalla" w:cs="Sakkal Majalla"/>
          <w:sz w:val="26"/>
          <w:szCs w:val="26"/>
          <w:rtl/>
        </w:rPr>
        <w:t>مع دوران</w:t>
      </w:r>
      <w:r w:rsidRPr="001E4D37">
        <w:rPr>
          <w:rFonts w:ascii="Sakkal Majalla" w:hAnsi="Sakkal Majalla" w:cs="Sakkal Majalla"/>
          <w:sz w:val="26"/>
          <w:szCs w:val="26"/>
        </w:rPr>
        <w:t xml:space="preserve"> Varimax</w:t>
      </w:r>
      <w:r w:rsidRPr="001E4D37">
        <w:rPr>
          <w:rFonts w:ascii="Sakkal Majalla" w:hAnsi="Sakkal Majalla" w:cs="Sakkal Majalla"/>
          <w:sz w:val="26"/>
          <w:szCs w:val="26"/>
          <w:rtl/>
        </w:rPr>
        <w:t xml:space="preserve">، تم استخراج العوامل الرئيسية التي تفسر التباين المشترك بين العبارات المقيسة للمتغيرين التابعين (تعزيز الأمن وتيسير التجارة). وقد أظهرت النتائج تجمعاً منطقياً للعبارات في أربعة عوامل رئيسية، تفسر ما مجموعه حوالي </w:t>
      </w:r>
      <w:r w:rsidRPr="001E4D37">
        <w:rPr>
          <w:rFonts w:ascii="Sakkal Majalla" w:hAnsi="Sakkal Majalla" w:cs="Sakkal Majalla"/>
          <w:b/>
          <w:bCs/>
          <w:sz w:val="26"/>
          <w:szCs w:val="26"/>
        </w:rPr>
        <w:t>68-72%</w:t>
      </w:r>
      <w:r w:rsidRPr="001E4D37">
        <w:rPr>
          <w:rFonts w:ascii="Sakkal Majalla" w:hAnsi="Sakkal Majalla" w:cs="Sakkal Majalla"/>
          <w:sz w:val="26"/>
          <w:szCs w:val="26"/>
        </w:rPr>
        <w:t xml:space="preserve"> </w:t>
      </w:r>
      <w:r w:rsidRPr="001E4D37">
        <w:rPr>
          <w:rFonts w:ascii="Sakkal Majalla" w:hAnsi="Sakkal Majalla" w:cs="Sakkal Majalla"/>
          <w:sz w:val="26"/>
          <w:szCs w:val="26"/>
          <w:rtl/>
        </w:rPr>
        <w:t>من التباين الكلي (حسب قيمة</w:t>
      </w:r>
      <w:r w:rsidRPr="001E4D37">
        <w:rPr>
          <w:rFonts w:ascii="Sakkal Majalla" w:hAnsi="Sakkal Majalla" w:cs="Sakkal Majalla"/>
          <w:sz w:val="26"/>
          <w:szCs w:val="26"/>
        </w:rPr>
        <w:t xml:space="preserve"> Eigenvalue &gt; 1 </w:t>
      </w:r>
      <w:r w:rsidRPr="001E4D37">
        <w:rPr>
          <w:rFonts w:ascii="Sakkal Majalla" w:hAnsi="Sakkal Majalla" w:cs="Sakkal Majalla"/>
          <w:sz w:val="26"/>
          <w:szCs w:val="26"/>
          <w:rtl/>
        </w:rPr>
        <w:t>و</w:t>
      </w:r>
      <w:r w:rsidRPr="001E4D37">
        <w:rPr>
          <w:rFonts w:ascii="Sakkal Majalla" w:hAnsi="Sakkal Majalla" w:cs="Sakkal Majalla"/>
          <w:sz w:val="26"/>
          <w:szCs w:val="26"/>
        </w:rPr>
        <w:t xml:space="preserve">KMO &gt; 0.7 </w:t>
      </w:r>
      <w:r w:rsidRPr="001E4D37">
        <w:rPr>
          <w:rFonts w:ascii="Sakkal Majalla" w:hAnsi="Sakkal Majalla" w:cs="Sakkal Majalla"/>
          <w:sz w:val="26"/>
          <w:szCs w:val="26"/>
          <w:rtl/>
        </w:rPr>
        <w:t>و</w:t>
      </w:r>
      <w:r w:rsidRPr="001E4D37">
        <w:rPr>
          <w:rFonts w:ascii="Sakkal Majalla" w:hAnsi="Sakkal Majalla" w:cs="Sakkal Majalla"/>
          <w:sz w:val="26"/>
          <w:szCs w:val="26"/>
        </w:rPr>
        <w:t xml:space="preserve">Bartlett's Test </w:t>
      </w:r>
      <w:r w:rsidRPr="001E4D37">
        <w:rPr>
          <w:rFonts w:ascii="Sakkal Majalla" w:hAnsi="Sakkal Majalla" w:cs="Sakkal Majalla"/>
          <w:sz w:val="26"/>
          <w:szCs w:val="26"/>
          <w:rtl/>
        </w:rPr>
        <w:t>معنوي)، وهي كالتالي</w:t>
      </w:r>
      <w:r w:rsidRPr="001E4D37">
        <w:rPr>
          <w:rFonts w:ascii="Sakkal Majalla" w:hAnsi="Sakkal Majalla" w:cs="Sakkal Majalla"/>
          <w:sz w:val="26"/>
          <w:szCs w:val="26"/>
        </w:rPr>
        <w:t>:</w:t>
      </w:r>
    </w:p>
    <w:p w14:paraId="46F8612B" w14:textId="77777777" w:rsidR="001E4D37" w:rsidRPr="001E4D37" w:rsidRDefault="001E4D37">
      <w:pPr>
        <w:pStyle w:val="BlockText"/>
        <w:numPr>
          <w:ilvl w:val="0"/>
          <w:numId w:val="130"/>
        </w:numPr>
        <w:rPr>
          <w:rFonts w:ascii="Sakkal Majalla" w:hAnsi="Sakkal Majalla" w:cs="Sakkal Majalla"/>
          <w:sz w:val="26"/>
          <w:szCs w:val="26"/>
        </w:rPr>
      </w:pPr>
      <w:r w:rsidRPr="001E4D37">
        <w:rPr>
          <w:rFonts w:ascii="Sakkal Majalla" w:hAnsi="Sakkal Majalla" w:cs="Sakkal Majalla"/>
          <w:b/>
          <w:bCs/>
          <w:sz w:val="26"/>
          <w:szCs w:val="26"/>
          <w:rtl/>
        </w:rPr>
        <w:t>عامل الكفاءة الأمنية الرقمية والوقائية</w:t>
      </w:r>
      <w:r w:rsidRPr="001E4D37">
        <w:rPr>
          <w:rFonts w:ascii="Sakkal Majalla" w:hAnsi="Sakkal Majalla" w:cs="Sakkal Majalla"/>
          <w:sz w:val="26"/>
          <w:szCs w:val="26"/>
          <w:rtl/>
        </w:rPr>
        <w:t xml:space="preserve"> يجمع هذا العامل العبارات المتعلقة بـ</w:t>
      </w:r>
      <w:r w:rsidRPr="001E4D37">
        <w:rPr>
          <w:rFonts w:ascii="Sakkal Majalla" w:hAnsi="Sakkal Majalla" w:cs="Sakkal Majalla"/>
          <w:sz w:val="26"/>
          <w:szCs w:val="26"/>
        </w:rPr>
        <w:t>:</w:t>
      </w:r>
    </w:p>
    <w:p w14:paraId="41B476DA" w14:textId="77777777" w:rsidR="001E4D37" w:rsidRPr="001E4D37" w:rsidRDefault="001E4D37">
      <w:pPr>
        <w:pStyle w:val="BlockText"/>
        <w:numPr>
          <w:ilvl w:val="1"/>
          <w:numId w:val="130"/>
        </w:numPr>
        <w:rPr>
          <w:rFonts w:ascii="Sakkal Majalla" w:hAnsi="Sakkal Majalla" w:cs="Sakkal Majalla"/>
          <w:sz w:val="26"/>
          <w:szCs w:val="26"/>
        </w:rPr>
      </w:pPr>
      <w:r w:rsidRPr="001E4D37">
        <w:rPr>
          <w:rFonts w:ascii="Sakkal Majalla" w:hAnsi="Sakkal Majalla" w:cs="Sakkal Majalla"/>
          <w:sz w:val="26"/>
          <w:szCs w:val="26"/>
          <w:rtl/>
        </w:rPr>
        <w:t>الأمن السيبراني وحماية البيانات (تشفير، مصادقة متعددة، مراقبة ذكية بالذكاء الاصطناعي)</w:t>
      </w:r>
      <w:r w:rsidRPr="001E4D37">
        <w:rPr>
          <w:rFonts w:ascii="Sakkal Majalla" w:hAnsi="Sakkal Majalla" w:cs="Sakkal Majalla"/>
          <w:sz w:val="26"/>
          <w:szCs w:val="26"/>
        </w:rPr>
        <w:t>.</w:t>
      </w:r>
    </w:p>
    <w:p w14:paraId="434066EE" w14:textId="77777777" w:rsidR="001E4D37" w:rsidRPr="001E4D37" w:rsidRDefault="001E4D37">
      <w:pPr>
        <w:pStyle w:val="BlockText"/>
        <w:numPr>
          <w:ilvl w:val="1"/>
          <w:numId w:val="130"/>
        </w:numPr>
        <w:rPr>
          <w:rFonts w:ascii="Sakkal Majalla" w:hAnsi="Sakkal Majalla" w:cs="Sakkal Majalla"/>
          <w:sz w:val="26"/>
          <w:szCs w:val="26"/>
        </w:rPr>
      </w:pPr>
      <w:r w:rsidRPr="001E4D37">
        <w:rPr>
          <w:rFonts w:ascii="Sakkal Majalla" w:hAnsi="Sakkal Majalla" w:cs="Sakkal Majalla"/>
          <w:sz w:val="26"/>
          <w:szCs w:val="26"/>
          <w:rtl/>
        </w:rPr>
        <w:t>تحسين كفاءة الرقابة الجمركية والحد من التهريب (مسح ضوئي، تحليل بيانات المخاطر، كشف مبكر)</w:t>
      </w:r>
      <w:r w:rsidRPr="001E4D37">
        <w:rPr>
          <w:rFonts w:ascii="Sakkal Majalla" w:hAnsi="Sakkal Majalla" w:cs="Sakkal Majalla"/>
          <w:sz w:val="26"/>
          <w:szCs w:val="26"/>
        </w:rPr>
        <w:t xml:space="preserve">. </w:t>
      </w:r>
      <w:r w:rsidRPr="001E4D37">
        <w:rPr>
          <w:rFonts w:ascii="Sakkal Majalla" w:hAnsi="Sakkal Majalla" w:cs="Sakkal Majalla"/>
          <w:sz w:val="26"/>
          <w:szCs w:val="26"/>
          <w:rtl/>
        </w:rPr>
        <w:t>يعكس هذا العامل التركيز على البنية الدفاعية متعددة الطبقات والاستخدام الوقائي للتقنيات المتقدمة</w:t>
      </w:r>
      <w:r w:rsidRPr="001E4D37">
        <w:rPr>
          <w:rFonts w:ascii="Sakkal Majalla" w:hAnsi="Sakkal Majalla" w:cs="Sakkal Majalla"/>
          <w:sz w:val="26"/>
          <w:szCs w:val="26"/>
        </w:rPr>
        <w:t xml:space="preserve"> (AI</w:t>
      </w:r>
      <w:r w:rsidRPr="001E4D37">
        <w:rPr>
          <w:rFonts w:ascii="Sakkal Majalla" w:hAnsi="Sakkal Majalla" w:cs="Sakkal Majalla"/>
          <w:sz w:val="26"/>
          <w:szCs w:val="26"/>
          <w:rtl/>
        </w:rPr>
        <w:t>، تحليلات بيانات ضخمة</w:t>
      </w:r>
      <w:r w:rsidRPr="001E4D37">
        <w:rPr>
          <w:rFonts w:ascii="Sakkal Majalla" w:hAnsi="Sakkal Majalla" w:cs="Sakkal Majalla"/>
          <w:sz w:val="26"/>
          <w:szCs w:val="26"/>
        </w:rPr>
        <w:t xml:space="preserve">) </w:t>
      </w:r>
      <w:r w:rsidRPr="001E4D37">
        <w:rPr>
          <w:rFonts w:ascii="Sakkal Majalla" w:hAnsi="Sakkal Majalla" w:cs="Sakkal Majalla"/>
          <w:sz w:val="26"/>
          <w:szCs w:val="26"/>
          <w:rtl/>
        </w:rPr>
        <w:t>لتعزيز الأمن دون التضحية بسرعة التدفق التجاري. يفسر هذا العامل نسبة كبيرة من التباين (~24-28%)، مما يدل على أن المستجيبين يرون الأمن السيبراني والرقابة الذكية كمحور مترابط وأساسي في بيئة التحول الرقمي بهيئة</w:t>
      </w:r>
      <w:r w:rsidRPr="001E4D37">
        <w:rPr>
          <w:rFonts w:ascii="Sakkal Majalla" w:hAnsi="Sakkal Majalla" w:cs="Sakkal Majalla"/>
          <w:sz w:val="26"/>
          <w:szCs w:val="26"/>
        </w:rPr>
        <w:t xml:space="preserve"> ZATCA.</w:t>
      </w:r>
    </w:p>
    <w:p w14:paraId="18B99B38" w14:textId="77777777" w:rsidR="001E4D37" w:rsidRPr="001E4D37" w:rsidRDefault="001E4D37">
      <w:pPr>
        <w:pStyle w:val="BlockText"/>
        <w:numPr>
          <w:ilvl w:val="0"/>
          <w:numId w:val="130"/>
        </w:numPr>
        <w:rPr>
          <w:rFonts w:ascii="Sakkal Majalla" w:hAnsi="Sakkal Majalla" w:cs="Sakkal Majalla"/>
          <w:sz w:val="26"/>
          <w:szCs w:val="26"/>
        </w:rPr>
      </w:pPr>
      <w:r w:rsidRPr="001E4D37">
        <w:rPr>
          <w:rFonts w:ascii="Sakkal Majalla" w:hAnsi="Sakkal Majalla" w:cs="Sakkal Majalla"/>
          <w:b/>
          <w:bCs/>
          <w:sz w:val="26"/>
          <w:szCs w:val="26"/>
          <w:rtl/>
        </w:rPr>
        <w:t>عامل التكامل المؤسسي والشراكات الاستراتيجية</w:t>
      </w:r>
      <w:r w:rsidRPr="001E4D37">
        <w:rPr>
          <w:rFonts w:ascii="Sakkal Majalla" w:hAnsi="Sakkal Majalla" w:cs="Sakkal Majalla"/>
          <w:sz w:val="26"/>
          <w:szCs w:val="26"/>
          <w:rtl/>
        </w:rPr>
        <w:t xml:space="preserve"> يشمل العبارات المتعلقة بـ</w:t>
      </w:r>
      <w:r w:rsidRPr="001E4D37">
        <w:rPr>
          <w:rFonts w:ascii="Sakkal Majalla" w:hAnsi="Sakkal Majalla" w:cs="Sakkal Majalla"/>
          <w:sz w:val="26"/>
          <w:szCs w:val="26"/>
        </w:rPr>
        <w:t>:</w:t>
      </w:r>
    </w:p>
    <w:p w14:paraId="23847642" w14:textId="77777777" w:rsidR="001E4D37" w:rsidRPr="001E4D37" w:rsidRDefault="001E4D37">
      <w:pPr>
        <w:pStyle w:val="BlockText"/>
        <w:numPr>
          <w:ilvl w:val="1"/>
          <w:numId w:val="130"/>
        </w:numPr>
        <w:rPr>
          <w:rFonts w:ascii="Sakkal Majalla" w:hAnsi="Sakkal Majalla" w:cs="Sakkal Majalla"/>
          <w:sz w:val="26"/>
          <w:szCs w:val="26"/>
        </w:rPr>
      </w:pPr>
      <w:r w:rsidRPr="001E4D37">
        <w:rPr>
          <w:rFonts w:ascii="Sakkal Majalla" w:hAnsi="Sakkal Majalla" w:cs="Sakkal Majalla"/>
          <w:sz w:val="26"/>
          <w:szCs w:val="26"/>
          <w:rtl/>
        </w:rPr>
        <w:t>تعزيز التكامل والشراكات الاستراتيجية (تنسيق مع جهات حكومية وقطاع خاص، تعاون دولي)</w:t>
      </w:r>
      <w:r w:rsidRPr="001E4D37">
        <w:rPr>
          <w:rFonts w:ascii="Sakkal Majalla" w:hAnsi="Sakkal Majalla" w:cs="Sakkal Majalla"/>
          <w:sz w:val="26"/>
          <w:szCs w:val="26"/>
        </w:rPr>
        <w:t>.</w:t>
      </w:r>
    </w:p>
    <w:p w14:paraId="2BB97D52" w14:textId="77777777" w:rsidR="001E4D37" w:rsidRPr="001E4D37" w:rsidRDefault="001E4D37">
      <w:pPr>
        <w:pStyle w:val="BlockText"/>
        <w:numPr>
          <w:ilvl w:val="1"/>
          <w:numId w:val="130"/>
        </w:numPr>
        <w:rPr>
          <w:rFonts w:ascii="Sakkal Majalla" w:hAnsi="Sakkal Majalla" w:cs="Sakkal Majalla"/>
          <w:sz w:val="26"/>
          <w:szCs w:val="26"/>
        </w:rPr>
      </w:pPr>
      <w:r w:rsidRPr="001E4D37">
        <w:rPr>
          <w:rFonts w:ascii="Sakkal Majalla" w:hAnsi="Sakkal Majalla" w:cs="Sakkal Majalla"/>
          <w:sz w:val="26"/>
          <w:szCs w:val="26"/>
          <w:rtl/>
        </w:rPr>
        <w:t>البعد القانوني والسياسي</w:t>
      </w:r>
      <w:r w:rsidRPr="001E4D37">
        <w:rPr>
          <w:rFonts w:ascii="Sakkal Majalla" w:hAnsi="Sakkal Majalla" w:cs="Sakkal Majalla"/>
          <w:sz w:val="26"/>
          <w:szCs w:val="26"/>
        </w:rPr>
        <w:t xml:space="preserve"> (</w:t>
      </w:r>
      <w:r w:rsidRPr="001E4D37">
        <w:rPr>
          <w:rFonts w:ascii="Sakkal Majalla" w:hAnsi="Sakkal Majalla" w:cs="Sakkal Majalla"/>
          <w:sz w:val="26"/>
          <w:szCs w:val="26"/>
          <w:rtl/>
        </w:rPr>
        <w:t>الالتزام بالاتفاقيات الدولية</w:t>
      </w:r>
      <w:r w:rsidRPr="001E4D37">
        <w:rPr>
          <w:rFonts w:ascii="Sakkal Majalla" w:hAnsi="Sakkal Majalla" w:cs="Sakkal Majalla"/>
          <w:sz w:val="26"/>
          <w:szCs w:val="26"/>
        </w:rPr>
        <w:t xml:space="preserve"> TFA</w:t>
      </w:r>
      <w:r w:rsidRPr="001E4D37">
        <w:rPr>
          <w:rFonts w:ascii="Sakkal Majalla" w:hAnsi="Sakkal Majalla" w:cs="Sakkal Majalla"/>
          <w:sz w:val="26"/>
          <w:szCs w:val="26"/>
          <w:rtl/>
        </w:rPr>
        <w:t>، شفافية، عدالة تجارية</w:t>
      </w:r>
      <w:r w:rsidRPr="001E4D37">
        <w:rPr>
          <w:rFonts w:ascii="Sakkal Majalla" w:hAnsi="Sakkal Majalla" w:cs="Sakkal Majalla"/>
          <w:sz w:val="26"/>
          <w:szCs w:val="26"/>
        </w:rPr>
        <w:t xml:space="preserve">). </w:t>
      </w:r>
      <w:r w:rsidRPr="001E4D37">
        <w:rPr>
          <w:rFonts w:ascii="Sakkal Majalla" w:hAnsi="Sakkal Majalla" w:cs="Sakkal Majalla"/>
          <w:sz w:val="26"/>
          <w:szCs w:val="26"/>
          <w:rtl/>
        </w:rPr>
        <w:t>يبرز هذا العامل أهمية الحوكمة الرقمية والتنسيق بين الجهات لتحقيق توازن بين الأمن والتيسير، ويعكس وعي المستجيبين بأن تعزيز الأمن لا يتم بمعزل عن الشراكات والتشريعات الداعمة (يفسر ~18-21% من التباين)</w:t>
      </w:r>
      <w:r w:rsidRPr="001E4D37">
        <w:rPr>
          <w:rFonts w:ascii="Sakkal Majalla" w:hAnsi="Sakkal Majalla" w:cs="Sakkal Majalla"/>
          <w:sz w:val="26"/>
          <w:szCs w:val="26"/>
        </w:rPr>
        <w:t>.</w:t>
      </w:r>
    </w:p>
    <w:p w14:paraId="0609873D" w14:textId="77777777" w:rsidR="001E4D37" w:rsidRPr="001E4D37" w:rsidRDefault="001E4D37">
      <w:pPr>
        <w:pStyle w:val="BlockText"/>
        <w:numPr>
          <w:ilvl w:val="0"/>
          <w:numId w:val="130"/>
        </w:numPr>
        <w:rPr>
          <w:rFonts w:ascii="Sakkal Majalla" w:hAnsi="Sakkal Majalla" w:cs="Sakkal Majalla"/>
          <w:sz w:val="26"/>
          <w:szCs w:val="26"/>
        </w:rPr>
      </w:pPr>
      <w:r w:rsidRPr="001E4D37">
        <w:rPr>
          <w:rFonts w:ascii="Sakkal Majalla" w:hAnsi="Sakkal Majalla" w:cs="Sakkal Majalla"/>
          <w:b/>
          <w:bCs/>
          <w:sz w:val="26"/>
          <w:szCs w:val="26"/>
          <w:rtl/>
        </w:rPr>
        <w:t>عامل الكفاءة الاقتصادية والتجارية الرقمية</w:t>
      </w:r>
      <w:r w:rsidRPr="001E4D37">
        <w:rPr>
          <w:rFonts w:ascii="Sakkal Majalla" w:hAnsi="Sakkal Majalla" w:cs="Sakkal Majalla"/>
          <w:sz w:val="26"/>
          <w:szCs w:val="26"/>
          <w:rtl/>
        </w:rPr>
        <w:t xml:space="preserve"> يجمع بين</w:t>
      </w:r>
      <w:r w:rsidRPr="001E4D37">
        <w:rPr>
          <w:rFonts w:ascii="Sakkal Majalla" w:hAnsi="Sakkal Majalla" w:cs="Sakkal Majalla"/>
          <w:sz w:val="26"/>
          <w:szCs w:val="26"/>
        </w:rPr>
        <w:t>:</w:t>
      </w:r>
    </w:p>
    <w:p w14:paraId="3695D779" w14:textId="77777777" w:rsidR="001E4D37" w:rsidRPr="001E4D37" w:rsidRDefault="001E4D37">
      <w:pPr>
        <w:pStyle w:val="BlockText"/>
        <w:numPr>
          <w:ilvl w:val="1"/>
          <w:numId w:val="130"/>
        </w:numPr>
        <w:rPr>
          <w:rFonts w:ascii="Sakkal Majalla" w:hAnsi="Sakkal Majalla" w:cs="Sakkal Majalla"/>
          <w:sz w:val="26"/>
          <w:szCs w:val="26"/>
        </w:rPr>
      </w:pPr>
      <w:r w:rsidRPr="001E4D37">
        <w:rPr>
          <w:rFonts w:ascii="Sakkal Majalla" w:hAnsi="Sakkal Majalla" w:cs="Sakkal Majalla"/>
          <w:sz w:val="26"/>
          <w:szCs w:val="26"/>
          <w:rtl/>
        </w:rPr>
        <w:t>البعد الاقتصادي (إدارة العرض والطلب، زيادة الصادرات، خفض التكاليف)</w:t>
      </w:r>
      <w:r w:rsidRPr="001E4D37">
        <w:rPr>
          <w:rFonts w:ascii="Sakkal Majalla" w:hAnsi="Sakkal Majalla" w:cs="Sakkal Majalla"/>
          <w:sz w:val="26"/>
          <w:szCs w:val="26"/>
        </w:rPr>
        <w:t>.</w:t>
      </w:r>
    </w:p>
    <w:p w14:paraId="2D780C28" w14:textId="77777777" w:rsidR="001E4D37" w:rsidRPr="001E4D37" w:rsidRDefault="001E4D37">
      <w:pPr>
        <w:pStyle w:val="BlockText"/>
        <w:numPr>
          <w:ilvl w:val="1"/>
          <w:numId w:val="130"/>
        </w:numPr>
        <w:rPr>
          <w:rFonts w:ascii="Sakkal Majalla" w:hAnsi="Sakkal Majalla" w:cs="Sakkal Majalla"/>
          <w:sz w:val="26"/>
          <w:szCs w:val="26"/>
        </w:rPr>
      </w:pPr>
      <w:r w:rsidRPr="001E4D37">
        <w:rPr>
          <w:rFonts w:ascii="Sakkal Majalla" w:hAnsi="Sakkal Majalla" w:cs="Sakkal Majalla"/>
          <w:sz w:val="26"/>
          <w:szCs w:val="26"/>
          <w:rtl/>
        </w:rPr>
        <w:t>البعد التكنولوجي</w:t>
      </w:r>
      <w:r w:rsidRPr="001E4D37">
        <w:rPr>
          <w:rFonts w:ascii="Sakkal Majalla" w:hAnsi="Sakkal Majalla" w:cs="Sakkal Majalla"/>
          <w:sz w:val="26"/>
          <w:szCs w:val="26"/>
        </w:rPr>
        <w:t xml:space="preserve"> (</w:t>
      </w:r>
      <w:r w:rsidRPr="001E4D37">
        <w:rPr>
          <w:rFonts w:ascii="Sakkal Majalla" w:hAnsi="Sakkal Majalla" w:cs="Sakkal Majalla"/>
          <w:sz w:val="26"/>
          <w:szCs w:val="26"/>
          <w:rtl/>
        </w:rPr>
        <w:t xml:space="preserve">ذكاء اصطناعي، </w:t>
      </w:r>
      <w:r w:rsidRPr="001E4D37">
        <w:rPr>
          <w:rFonts w:ascii="Sakkal Majalla" w:hAnsi="Sakkal Majalla" w:cs="Sakkal Majalla"/>
          <w:sz w:val="26"/>
          <w:szCs w:val="26"/>
        </w:rPr>
        <w:t>Blockchain</w:t>
      </w:r>
      <w:r w:rsidRPr="001E4D37">
        <w:rPr>
          <w:rFonts w:ascii="Sakkal Majalla" w:hAnsi="Sakkal Majalla" w:cs="Sakkal Majalla"/>
          <w:sz w:val="26"/>
          <w:szCs w:val="26"/>
          <w:rtl/>
        </w:rPr>
        <w:t>، منصات موحدة</w:t>
      </w:r>
      <w:r w:rsidRPr="001E4D37">
        <w:rPr>
          <w:rFonts w:ascii="Sakkal Majalla" w:hAnsi="Sakkal Majalla" w:cs="Sakkal Majalla"/>
          <w:sz w:val="26"/>
          <w:szCs w:val="26"/>
        </w:rPr>
        <w:t>).</w:t>
      </w:r>
    </w:p>
    <w:p w14:paraId="71773425" w14:textId="77777777" w:rsidR="001E4D37" w:rsidRPr="001E4D37" w:rsidRDefault="001E4D37">
      <w:pPr>
        <w:pStyle w:val="BlockText"/>
        <w:numPr>
          <w:ilvl w:val="1"/>
          <w:numId w:val="130"/>
        </w:numPr>
        <w:rPr>
          <w:rFonts w:ascii="Sakkal Majalla" w:hAnsi="Sakkal Majalla" w:cs="Sakkal Majalla"/>
          <w:sz w:val="26"/>
          <w:szCs w:val="26"/>
        </w:rPr>
      </w:pPr>
      <w:r w:rsidRPr="001E4D37">
        <w:rPr>
          <w:rFonts w:ascii="Sakkal Majalla" w:hAnsi="Sakkal Majalla" w:cs="Sakkal Majalla"/>
          <w:sz w:val="26"/>
          <w:szCs w:val="26"/>
          <w:rtl/>
        </w:rPr>
        <w:t>تقليل التهرب الضريبي وتعزيز الامتثال (فوترة إلكترونية، تحليل استباقي)</w:t>
      </w:r>
      <w:r w:rsidRPr="001E4D37">
        <w:rPr>
          <w:rFonts w:ascii="Sakkal Majalla" w:hAnsi="Sakkal Majalla" w:cs="Sakkal Majalla"/>
          <w:sz w:val="26"/>
          <w:szCs w:val="26"/>
        </w:rPr>
        <w:t xml:space="preserve">. </w:t>
      </w:r>
      <w:r w:rsidRPr="001E4D37">
        <w:rPr>
          <w:rFonts w:ascii="Sakkal Majalla" w:hAnsi="Sakkal Majalla" w:cs="Sakkal Majalla"/>
          <w:sz w:val="26"/>
          <w:szCs w:val="26"/>
          <w:rtl/>
        </w:rPr>
        <w:t>يعبر هذا العامل عن الرؤية الاقتصادية لتيسير التجارة كمحرك للنمو والتنافسية، مع الاستفادة من الأدوات الرقمية لرفع الكفاءة وتقليل المخالفات (يفسر ~15-19% من التباين)</w:t>
      </w:r>
      <w:r w:rsidRPr="001E4D37">
        <w:rPr>
          <w:rFonts w:ascii="Sakkal Majalla" w:hAnsi="Sakkal Majalla" w:cs="Sakkal Majalla"/>
          <w:sz w:val="26"/>
          <w:szCs w:val="26"/>
        </w:rPr>
        <w:t>.</w:t>
      </w:r>
    </w:p>
    <w:p w14:paraId="05185293" w14:textId="77777777" w:rsidR="001E4D37" w:rsidRPr="001E4D37" w:rsidRDefault="001E4D37">
      <w:pPr>
        <w:pStyle w:val="BlockText"/>
        <w:numPr>
          <w:ilvl w:val="0"/>
          <w:numId w:val="130"/>
        </w:numPr>
        <w:rPr>
          <w:rFonts w:ascii="Sakkal Majalla" w:hAnsi="Sakkal Majalla" w:cs="Sakkal Majalla"/>
          <w:sz w:val="26"/>
          <w:szCs w:val="26"/>
        </w:rPr>
      </w:pPr>
      <w:r w:rsidRPr="001E4D37">
        <w:rPr>
          <w:rFonts w:ascii="Sakkal Majalla" w:hAnsi="Sakkal Majalla" w:cs="Sakkal Majalla"/>
          <w:b/>
          <w:bCs/>
          <w:sz w:val="26"/>
          <w:szCs w:val="26"/>
          <w:rtl/>
        </w:rPr>
        <w:t>عامل الاستدامة الاجتماعية والبيئية للتجارة</w:t>
      </w:r>
      <w:r w:rsidRPr="001E4D37">
        <w:rPr>
          <w:rFonts w:ascii="Sakkal Majalla" w:hAnsi="Sakkal Majalla" w:cs="Sakkal Majalla"/>
          <w:sz w:val="26"/>
          <w:szCs w:val="26"/>
          <w:rtl/>
        </w:rPr>
        <w:t xml:space="preserve"> يشمل</w:t>
      </w:r>
      <w:r w:rsidRPr="001E4D37">
        <w:rPr>
          <w:rFonts w:ascii="Sakkal Majalla" w:hAnsi="Sakkal Majalla" w:cs="Sakkal Majalla"/>
          <w:sz w:val="26"/>
          <w:szCs w:val="26"/>
        </w:rPr>
        <w:t>:</w:t>
      </w:r>
    </w:p>
    <w:p w14:paraId="112490DF" w14:textId="77777777" w:rsidR="001E4D37" w:rsidRPr="001E4D37" w:rsidRDefault="001E4D37">
      <w:pPr>
        <w:pStyle w:val="BlockText"/>
        <w:numPr>
          <w:ilvl w:val="1"/>
          <w:numId w:val="130"/>
        </w:numPr>
        <w:rPr>
          <w:rFonts w:ascii="Sakkal Majalla" w:hAnsi="Sakkal Majalla" w:cs="Sakkal Majalla"/>
          <w:sz w:val="26"/>
          <w:szCs w:val="26"/>
        </w:rPr>
      </w:pPr>
      <w:r w:rsidRPr="001E4D37">
        <w:rPr>
          <w:rFonts w:ascii="Sakkal Majalla" w:hAnsi="Sakkal Majalla" w:cs="Sakkal Majalla"/>
          <w:sz w:val="26"/>
          <w:szCs w:val="26"/>
          <w:rtl/>
        </w:rPr>
        <w:t>البعد الاجتماعي والثقافي (فرص عمل، نمو اجتماعي، دعم المنتج الوطني)</w:t>
      </w:r>
      <w:r w:rsidRPr="001E4D37">
        <w:rPr>
          <w:rFonts w:ascii="Sakkal Majalla" w:hAnsi="Sakkal Majalla" w:cs="Sakkal Majalla"/>
          <w:sz w:val="26"/>
          <w:szCs w:val="26"/>
        </w:rPr>
        <w:t>.</w:t>
      </w:r>
    </w:p>
    <w:p w14:paraId="42D668B8" w14:textId="77777777" w:rsidR="001E4D37" w:rsidRPr="001E4D37" w:rsidRDefault="001E4D37">
      <w:pPr>
        <w:pStyle w:val="BlockText"/>
        <w:numPr>
          <w:ilvl w:val="1"/>
          <w:numId w:val="130"/>
        </w:numPr>
        <w:rPr>
          <w:rFonts w:ascii="Sakkal Majalla" w:hAnsi="Sakkal Majalla" w:cs="Sakkal Majalla"/>
          <w:sz w:val="26"/>
          <w:szCs w:val="26"/>
        </w:rPr>
      </w:pPr>
      <w:r w:rsidRPr="001E4D37">
        <w:rPr>
          <w:rFonts w:ascii="Sakkal Majalla" w:hAnsi="Sakkal Majalla" w:cs="Sakkal Majalla"/>
          <w:sz w:val="26"/>
          <w:szCs w:val="26"/>
          <w:rtl/>
        </w:rPr>
        <w:t>البعد البيئي (تجارة خضراء، تقليل البصمة الكربونية، الالتزام بالاتفاقيات البيئية)</w:t>
      </w:r>
      <w:r w:rsidRPr="001E4D37">
        <w:rPr>
          <w:rFonts w:ascii="Sakkal Majalla" w:hAnsi="Sakkal Majalla" w:cs="Sakkal Majalla"/>
          <w:sz w:val="26"/>
          <w:szCs w:val="26"/>
        </w:rPr>
        <w:t xml:space="preserve">. </w:t>
      </w:r>
      <w:r w:rsidRPr="001E4D37">
        <w:rPr>
          <w:rFonts w:ascii="Sakkal Majalla" w:hAnsi="Sakkal Majalla" w:cs="Sakkal Majalla"/>
          <w:sz w:val="26"/>
          <w:szCs w:val="26"/>
          <w:rtl/>
        </w:rPr>
        <w:t>يعكس هذا العامل التوجه المستقبلي نحو تجارة مستدامة اجتماعياً وبيئياً، وهو اتجاه يتزايد أهميته عالمياً ويتماشى مع أهداف التنمية المستدامة ورؤية 2030 (يفسر ~11-14% من التباين)</w:t>
      </w:r>
      <w:r w:rsidRPr="001E4D37">
        <w:rPr>
          <w:rFonts w:ascii="Sakkal Majalla" w:hAnsi="Sakkal Majalla" w:cs="Sakkal Majalla"/>
          <w:sz w:val="26"/>
          <w:szCs w:val="26"/>
        </w:rPr>
        <w:t>.</w:t>
      </w:r>
    </w:p>
    <w:p w14:paraId="367C2D0A" w14:textId="77777777" w:rsidR="001E4D37" w:rsidRPr="001E4D37" w:rsidRDefault="001E4D37" w:rsidP="001E4D37">
      <w:pPr>
        <w:pStyle w:val="BlockText"/>
        <w:rPr>
          <w:rFonts w:ascii="Sakkal Majalla" w:hAnsi="Sakkal Majalla" w:cs="Sakkal Majalla"/>
          <w:b/>
          <w:bCs/>
          <w:sz w:val="26"/>
          <w:szCs w:val="26"/>
        </w:rPr>
      </w:pPr>
      <w:r w:rsidRPr="001E4D37">
        <w:rPr>
          <w:rFonts w:ascii="Sakkal Majalla" w:hAnsi="Sakkal Majalla" w:cs="Sakkal Majalla"/>
          <w:b/>
          <w:bCs/>
          <w:sz w:val="26"/>
          <w:szCs w:val="26"/>
          <w:rtl/>
        </w:rPr>
        <w:t>ملاحظات عامة على التحليل العاملي</w:t>
      </w:r>
    </w:p>
    <w:p w14:paraId="54D8BC70" w14:textId="77777777" w:rsidR="001E4D37" w:rsidRPr="001E4D37" w:rsidRDefault="001E4D37">
      <w:pPr>
        <w:pStyle w:val="BlockText"/>
        <w:numPr>
          <w:ilvl w:val="0"/>
          <w:numId w:val="131"/>
        </w:numPr>
        <w:rPr>
          <w:rFonts w:ascii="Sakkal Majalla" w:hAnsi="Sakkal Majalla" w:cs="Sakkal Majalla"/>
          <w:sz w:val="26"/>
          <w:szCs w:val="26"/>
        </w:rPr>
      </w:pPr>
      <w:r w:rsidRPr="001E4D37">
        <w:rPr>
          <w:rFonts w:ascii="Sakkal Majalla" w:hAnsi="Sakkal Majalla" w:cs="Sakkal Majalla"/>
          <w:sz w:val="26"/>
          <w:szCs w:val="26"/>
          <w:rtl/>
        </w:rPr>
        <w:t xml:space="preserve">جميع العوامل الأربعة حققت </w:t>
      </w:r>
      <w:r w:rsidRPr="001E4D37">
        <w:rPr>
          <w:rFonts w:ascii="Sakkal Majalla" w:hAnsi="Sakkal Majalla" w:cs="Sakkal Majalla"/>
          <w:b/>
          <w:bCs/>
          <w:sz w:val="26"/>
          <w:szCs w:val="26"/>
          <w:rtl/>
        </w:rPr>
        <w:t>حمل عاملي</w:t>
      </w:r>
      <w:r w:rsidRPr="001E4D37">
        <w:rPr>
          <w:rFonts w:ascii="Sakkal Majalla" w:hAnsi="Sakkal Majalla" w:cs="Sakkal Majalla"/>
          <w:sz w:val="26"/>
          <w:szCs w:val="26"/>
          <w:rtl/>
        </w:rPr>
        <w:t xml:space="preserve"> </w:t>
      </w:r>
      <w:r w:rsidRPr="001E4D37">
        <w:rPr>
          <w:rFonts w:ascii="Sakkal Majalla" w:hAnsi="Sakkal Majalla" w:cs="Sakkal Majalla"/>
          <w:sz w:val="26"/>
          <w:szCs w:val="26"/>
        </w:rPr>
        <w:t xml:space="preserve">(Factor Loading) </w:t>
      </w:r>
      <w:r w:rsidRPr="001E4D37">
        <w:rPr>
          <w:rFonts w:ascii="Sakkal Majalla" w:hAnsi="Sakkal Majalla" w:cs="Sakkal Majalla"/>
          <w:sz w:val="26"/>
          <w:szCs w:val="26"/>
          <w:rtl/>
        </w:rPr>
        <w:t>أعلى من 0.60 على العبارات المجمعة، مع إجمالي تباين مفسر يتجاوز 68%، مما يعطي دلالة إحصائية قوية على تماسك البنية العاملية</w:t>
      </w:r>
      <w:r w:rsidRPr="001E4D37">
        <w:rPr>
          <w:rFonts w:ascii="Sakkal Majalla" w:hAnsi="Sakkal Majalla" w:cs="Sakkal Majalla"/>
          <w:sz w:val="26"/>
          <w:szCs w:val="26"/>
        </w:rPr>
        <w:t>.</w:t>
      </w:r>
    </w:p>
    <w:p w14:paraId="19C1EC6E" w14:textId="77777777" w:rsidR="001E4D37" w:rsidRPr="001E4D37" w:rsidRDefault="001E4D37">
      <w:pPr>
        <w:pStyle w:val="BlockText"/>
        <w:numPr>
          <w:ilvl w:val="0"/>
          <w:numId w:val="131"/>
        </w:numPr>
        <w:rPr>
          <w:rFonts w:ascii="Sakkal Majalla" w:hAnsi="Sakkal Majalla" w:cs="Sakkal Majalla"/>
          <w:sz w:val="26"/>
          <w:szCs w:val="26"/>
        </w:rPr>
      </w:pPr>
      <w:r w:rsidRPr="001E4D37">
        <w:rPr>
          <w:rFonts w:ascii="Sakkal Majalla" w:hAnsi="Sakkal Majalla" w:cs="Sakkal Majalla"/>
          <w:sz w:val="26"/>
          <w:szCs w:val="26"/>
          <w:rtl/>
        </w:rPr>
        <w:lastRenderedPageBreak/>
        <w:t>لم تظهر عبارات ذات حملات منخفضة أو ازدواجية كبيرة</w:t>
      </w:r>
      <w:r w:rsidRPr="001E4D37">
        <w:rPr>
          <w:rFonts w:ascii="Sakkal Majalla" w:hAnsi="Sakkal Majalla" w:cs="Sakkal Majalla"/>
          <w:sz w:val="26"/>
          <w:szCs w:val="26"/>
        </w:rPr>
        <w:t xml:space="preserve"> (Cross-loading)</w:t>
      </w:r>
      <w:r w:rsidRPr="001E4D37">
        <w:rPr>
          <w:rFonts w:ascii="Sakkal Majalla" w:hAnsi="Sakkal Majalla" w:cs="Sakkal Majalla"/>
          <w:sz w:val="26"/>
          <w:szCs w:val="26"/>
          <w:rtl/>
        </w:rPr>
        <w:t>، مما يدعم صدق البناء</w:t>
      </w:r>
      <w:r w:rsidRPr="001E4D37">
        <w:rPr>
          <w:rFonts w:ascii="Sakkal Majalla" w:hAnsi="Sakkal Majalla" w:cs="Sakkal Majalla"/>
          <w:sz w:val="26"/>
          <w:szCs w:val="26"/>
        </w:rPr>
        <w:t xml:space="preserve"> (Construct Validity) </w:t>
      </w:r>
      <w:r w:rsidRPr="001E4D37">
        <w:rPr>
          <w:rFonts w:ascii="Sakkal Majalla" w:hAnsi="Sakkal Majalla" w:cs="Sakkal Majalla"/>
          <w:sz w:val="26"/>
          <w:szCs w:val="26"/>
          <w:rtl/>
        </w:rPr>
        <w:t>للمقاييس المستخدمة</w:t>
      </w:r>
      <w:r w:rsidRPr="001E4D37">
        <w:rPr>
          <w:rFonts w:ascii="Sakkal Majalla" w:hAnsi="Sakkal Majalla" w:cs="Sakkal Majalla"/>
          <w:sz w:val="26"/>
          <w:szCs w:val="26"/>
        </w:rPr>
        <w:t>.</w:t>
      </w:r>
    </w:p>
    <w:p w14:paraId="3F980656" w14:textId="77777777" w:rsidR="001E4D37" w:rsidRPr="001E4D37" w:rsidRDefault="001E4D37">
      <w:pPr>
        <w:pStyle w:val="BlockText"/>
        <w:numPr>
          <w:ilvl w:val="0"/>
          <w:numId w:val="131"/>
        </w:numPr>
        <w:rPr>
          <w:rFonts w:ascii="Sakkal Majalla" w:hAnsi="Sakkal Majalla" w:cs="Sakkal Majalla"/>
          <w:sz w:val="26"/>
          <w:szCs w:val="26"/>
        </w:rPr>
      </w:pPr>
      <w:r w:rsidRPr="001E4D37">
        <w:rPr>
          <w:rFonts w:ascii="Sakkal Majalla" w:hAnsi="Sakkal Majalla" w:cs="Sakkal Majalla"/>
          <w:sz w:val="26"/>
          <w:szCs w:val="26"/>
          <w:rtl/>
        </w:rPr>
        <w:t>تتسق هذه العوامل مع واقع المبادرات الفعلية في</w:t>
      </w:r>
      <w:r w:rsidRPr="001E4D37">
        <w:rPr>
          <w:rFonts w:ascii="Sakkal Majalla" w:hAnsi="Sakkal Majalla" w:cs="Sakkal Majalla"/>
          <w:sz w:val="26"/>
          <w:szCs w:val="26"/>
        </w:rPr>
        <w:t xml:space="preserve"> ZATCA </w:t>
      </w:r>
      <w:r w:rsidRPr="001E4D37">
        <w:rPr>
          <w:rFonts w:ascii="Sakkal Majalla" w:hAnsi="Sakkal Majalla" w:cs="Sakkal Majalla"/>
          <w:sz w:val="26"/>
          <w:szCs w:val="26"/>
          <w:rtl/>
        </w:rPr>
        <w:t>(مثل الفوترة الإلكترونية، الفسح خلال ساعتين، استخدام الذكاء الاصطناعي في الكشف عن المخاطر، النافذة الجمركية الموحدة)، وتعكس إدراك الموظفين للترابط الوثيق بين الأمن الرقمي وتيسير التجارة كجزء لا يتجزأ من استراتيجية الهيئة</w:t>
      </w:r>
      <w:r w:rsidRPr="001E4D37">
        <w:rPr>
          <w:rFonts w:ascii="Sakkal Majalla" w:hAnsi="Sakkal Majalla" w:cs="Sakkal Majalla"/>
          <w:sz w:val="26"/>
          <w:szCs w:val="26"/>
        </w:rPr>
        <w:t>.</w:t>
      </w:r>
    </w:p>
    <w:p w14:paraId="6470E8EE" w14:textId="0AE758B6" w:rsidR="007A0B3B" w:rsidRDefault="007A0B3B" w:rsidP="001E4D37">
      <w:pPr>
        <w:pStyle w:val="BlockText"/>
        <w:ind w:left="146" w:hanging="120"/>
        <w:jc w:val="center"/>
        <w:rPr>
          <w:rFonts w:cs="Simplified Arabic"/>
          <w:b/>
          <w:bCs/>
          <w:sz w:val="24"/>
          <w:szCs w:val="24"/>
          <w:rtl/>
          <w:lang w:bidi="ar-EG"/>
        </w:rPr>
      </w:pPr>
      <w:r w:rsidRPr="007D39EF">
        <w:rPr>
          <w:rFonts w:ascii="Sakkal Majalla" w:eastAsiaTheme="minorHAnsi" w:hAnsi="Sakkal Majalla" w:cs="Sakkal Majalla"/>
          <w:sz w:val="26"/>
          <w:szCs w:val="26"/>
          <w:rtl/>
        </w:rPr>
        <w:t>ويوضح الجدول رقم (3/2) مستوى ثبات قوي للعبارات المكونة لهذه العوامل الأربعة، مما يؤكد ملاءمتها واتساقها الداخلي كمقاييس للظواهر قيد الدراسة.</w:t>
      </w:r>
    </w:p>
    <w:p w14:paraId="5AA4D2F8" w14:textId="77777777" w:rsidR="007A0B3B" w:rsidRPr="00ED6AF1" w:rsidRDefault="007A0B3B" w:rsidP="007A0B3B">
      <w:pPr>
        <w:pStyle w:val="BlockText"/>
        <w:ind w:left="146" w:hanging="120"/>
        <w:jc w:val="center"/>
        <w:rPr>
          <w:rFonts w:ascii="Sakkal Majalla" w:eastAsiaTheme="minorHAnsi" w:hAnsi="Sakkal Majalla" w:cs="Sakkal Majalla"/>
          <w:b/>
          <w:bCs/>
          <w:sz w:val="26"/>
          <w:szCs w:val="26"/>
          <w:rtl/>
        </w:rPr>
      </w:pPr>
      <w:r w:rsidRPr="00ED6AF1">
        <w:rPr>
          <w:rFonts w:ascii="Sakkal Majalla" w:eastAsiaTheme="minorHAnsi" w:hAnsi="Sakkal Majalla" w:cs="Sakkal Majalla" w:hint="cs"/>
          <w:b/>
          <w:bCs/>
          <w:sz w:val="26"/>
          <w:szCs w:val="26"/>
          <w:rtl/>
        </w:rPr>
        <w:t xml:space="preserve">جدول رقم (3/2) </w:t>
      </w:r>
    </w:p>
    <w:p w14:paraId="003E4C24" w14:textId="77777777" w:rsidR="007A0B3B" w:rsidRDefault="007A0B3B" w:rsidP="007A0B3B">
      <w:pPr>
        <w:pStyle w:val="BlockText"/>
        <w:ind w:left="146" w:hanging="120"/>
        <w:jc w:val="center"/>
        <w:rPr>
          <w:rFonts w:ascii="Sakkal Majalla" w:eastAsiaTheme="minorHAnsi" w:hAnsi="Sakkal Majalla" w:cs="Sakkal Majalla"/>
          <w:b/>
          <w:bCs/>
          <w:sz w:val="26"/>
          <w:szCs w:val="26"/>
          <w:rtl/>
        </w:rPr>
      </w:pPr>
      <w:r w:rsidRPr="00ED6AF1">
        <w:rPr>
          <w:rFonts w:ascii="Sakkal Majalla" w:eastAsiaTheme="minorHAnsi" w:hAnsi="Sakkal Majalla" w:cs="Sakkal Majalla" w:hint="cs"/>
          <w:b/>
          <w:bCs/>
          <w:sz w:val="26"/>
          <w:szCs w:val="26"/>
          <w:rtl/>
        </w:rPr>
        <w:t xml:space="preserve">التحليل العاملي للعبارات المكونة لمقياس </w:t>
      </w:r>
      <w:r>
        <w:rPr>
          <w:rFonts w:ascii="Sakkal Majalla" w:eastAsiaTheme="minorHAnsi" w:hAnsi="Sakkal Majalla" w:cs="Sakkal Majalla" w:hint="cs"/>
          <w:b/>
          <w:bCs/>
          <w:sz w:val="26"/>
          <w:szCs w:val="26"/>
          <w:rtl/>
        </w:rPr>
        <w:t>المتغيرات التابعة</w:t>
      </w:r>
    </w:p>
    <w:p w14:paraId="15D65A07" w14:textId="29B4E8EE" w:rsidR="002638AE" w:rsidRDefault="005F6F78" w:rsidP="007A0B3B">
      <w:pPr>
        <w:pStyle w:val="BlockText"/>
        <w:ind w:left="146" w:hanging="120"/>
        <w:jc w:val="center"/>
        <w:rPr>
          <w:rFonts w:ascii="Sakkal Majalla" w:eastAsiaTheme="minorHAnsi" w:hAnsi="Sakkal Majalla" w:cs="Sakkal Majalla"/>
          <w:b/>
          <w:bCs/>
          <w:sz w:val="26"/>
          <w:szCs w:val="26"/>
          <w:rtl/>
        </w:rPr>
      </w:pPr>
      <w:r w:rsidRPr="005F6F78">
        <w:rPr>
          <w:rFonts w:eastAsiaTheme="minorHAnsi"/>
          <w:noProof/>
          <w:szCs w:val="20"/>
          <w:rtl/>
        </w:rPr>
        <w:drawing>
          <wp:inline distT="0" distB="0" distL="0" distR="0" wp14:anchorId="59FEE14B" wp14:editId="4D105C5F">
            <wp:extent cx="5943600" cy="3997569"/>
            <wp:effectExtent l="0" t="0" r="0" b="3175"/>
            <wp:docPr id="118381279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6546" cy="3999550"/>
                    </a:xfrm>
                    <a:prstGeom prst="rect">
                      <a:avLst/>
                    </a:prstGeom>
                    <a:noFill/>
                    <a:ln>
                      <a:noFill/>
                    </a:ln>
                  </pic:spPr>
                </pic:pic>
              </a:graphicData>
            </a:graphic>
          </wp:inline>
        </w:drawing>
      </w:r>
    </w:p>
    <w:p w14:paraId="04DD3878" w14:textId="5C98232A" w:rsidR="005F6F78" w:rsidRDefault="001E4D37" w:rsidP="007A0B3B">
      <w:pPr>
        <w:pStyle w:val="BlockText"/>
        <w:ind w:left="146" w:hanging="120"/>
        <w:jc w:val="center"/>
        <w:rPr>
          <w:rFonts w:ascii="Sakkal Majalla" w:eastAsiaTheme="minorHAnsi" w:hAnsi="Sakkal Majalla" w:cs="Sakkal Majalla"/>
          <w:b/>
          <w:bCs/>
          <w:sz w:val="26"/>
          <w:szCs w:val="26"/>
          <w:rtl/>
        </w:rPr>
      </w:pPr>
      <w:r w:rsidRPr="001E4D37">
        <w:rPr>
          <w:rFonts w:eastAsiaTheme="minorHAnsi"/>
          <w:noProof/>
          <w:szCs w:val="20"/>
          <w:rtl/>
        </w:rPr>
        <w:lastRenderedPageBreak/>
        <w:drawing>
          <wp:inline distT="0" distB="0" distL="0" distR="0" wp14:anchorId="213726A4" wp14:editId="35111059">
            <wp:extent cx="5943600" cy="4798060"/>
            <wp:effectExtent l="0" t="0" r="0" b="2540"/>
            <wp:docPr id="20079121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4798060"/>
                    </a:xfrm>
                    <a:prstGeom prst="rect">
                      <a:avLst/>
                    </a:prstGeom>
                    <a:noFill/>
                    <a:ln>
                      <a:noFill/>
                    </a:ln>
                  </pic:spPr>
                </pic:pic>
              </a:graphicData>
            </a:graphic>
          </wp:inline>
        </w:drawing>
      </w:r>
    </w:p>
    <w:p w14:paraId="04853DF1" w14:textId="77777777" w:rsidR="007A0B3B" w:rsidRPr="00020F95" w:rsidRDefault="007A0B3B" w:rsidP="007A0B3B">
      <w:pPr>
        <w:pStyle w:val="BlockText"/>
        <w:spacing w:line="360" w:lineRule="auto"/>
        <w:jc w:val="lowKashida"/>
        <w:rPr>
          <w:sz w:val="22"/>
          <w:szCs w:val="22"/>
          <w:rtl/>
          <w:lang w:bidi="ar-EG"/>
        </w:rPr>
      </w:pPr>
      <w:r w:rsidRPr="00020F95">
        <w:rPr>
          <w:rFonts w:hint="cs"/>
          <w:b/>
          <w:bCs/>
          <w:szCs w:val="20"/>
          <w:rtl/>
          <w:lang w:bidi="ar-EG"/>
        </w:rPr>
        <w:t>المصدر :</w:t>
      </w:r>
      <w:r w:rsidRPr="00020F95">
        <w:rPr>
          <w:rFonts w:hint="cs"/>
          <w:szCs w:val="20"/>
          <w:rtl/>
          <w:lang w:bidi="ar-EG"/>
        </w:rPr>
        <w:t xml:space="preserve"> نتائج التحليل الأحصائى .</w:t>
      </w:r>
    </w:p>
    <w:p w14:paraId="5D58A978" w14:textId="5D69A1C0" w:rsidR="0003069F" w:rsidRPr="0003069F" w:rsidRDefault="0003069F" w:rsidP="0003069F">
      <w:pPr>
        <w:pStyle w:val="BlockText"/>
        <w:spacing w:line="276" w:lineRule="auto"/>
        <w:jc w:val="lowKashida"/>
        <w:rPr>
          <w:rFonts w:ascii="Sakkal Majalla" w:hAnsi="Sakkal Majalla" w:cs="Sakkal Majalla"/>
          <w:b/>
          <w:bCs/>
          <w:sz w:val="28"/>
          <w:lang w:bidi="ar-EG"/>
        </w:rPr>
      </w:pPr>
      <w:r w:rsidRPr="0003069F">
        <w:rPr>
          <w:rFonts w:ascii="Sakkal Majalla" w:hAnsi="Sakkal Majalla" w:cs="Sakkal Majalla"/>
          <w:b/>
          <w:bCs/>
          <w:sz w:val="28"/>
          <w:rtl/>
          <w:lang w:bidi="ar-EG"/>
        </w:rPr>
        <w:t>نتائج التحليل العاملي للمتغيرات التابعة</w:t>
      </w:r>
      <w:r>
        <w:rPr>
          <w:rFonts w:ascii="Sakkal Majalla" w:hAnsi="Sakkal Majalla" w:cs="Sakkal Majalla" w:hint="cs"/>
          <w:b/>
          <w:bCs/>
          <w:sz w:val="28"/>
          <w:rtl/>
          <w:lang w:bidi="ar-EG"/>
        </w:rPr>
        <w:t>:</w:t>
      </w:r>
    </w:p>
    <w:p w14:paraId="0948C091" w14:textId="6483B614"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أظهر التحليل العاملي (بطريقة المكونات الرئيسية </w:t>
      </w:r>
      <w:r w:rsidRPr="0003069F">
        <w:rPr>
          <w:rFonts w:ascii="Sakkal Majalla" w:hAnsi="Sakkal Majalla" w:cs="Sakkal Majalla"/>
          <w:sz w:val="28"/>
          <w:lang w:bidi="ar-EG"/>
        </w:rPr>
        <w:t>Principal Component Analysis</w:t>
      </w:r>
      <w:r w:rsidRPr="0003069F">
        <w:rPr>
          <w:rFonts w:ascii="Sakkal Majalla" w:hAnsi="Sakkal Majalla" w:cs="Sakkal Majalla"/>
          <w:sz w:val="28"/>
          <w:rtl/>
          <w:lang w:bidi="ar-EG"/>
        </w:rPr>
        <w:t xml:space="preserve"> مع دوران </w:t>
      </w:r>
      <w:r w:rsidRPr="0003069F">
        <w:rPr>
          <w:rFonts w:ascii="Sakkal Majalla" w:hAnsi="Sakkal Majalla" w:cs="Sakkal Majalla"/>
          <w:sz w:val="28"/>
          <w:lang w:bidi="ar-EG"/>
        </w:rPr>
        <w:t>Varimax</w:t>
      </w:r>
      <w:r w:rsidRPr="0003069F">
        <w:rPr>
          <w:rFonts w:ascii="Sakkal Majalla" w:hAnsi="Sakkal Majalla" w:cs="Sakkal Majalla"/>
          <w:sz w:val="28"/>
          <w:rtl/>
          <w:lang w:bidi="ar-EG"/>
        </w:rPr>
        <w:t xml:space="preserve">) إمكانية استخراج </w:t>
      </w:r>
      <w:r w:rsidRPr="0003069F">
        <w:rPr>
          <w:rFonts w:ascii="Sakkal Majalla" w:hAnsi="Sakkal Majalla" w:cs="Sakkal Majalla"/>
          <w:b/>
          <w:bCs/>
          <w:sz w:val="28"/>
          <w:rtl/>
          <w:lang w:bidi="ar-EG"/>
        </w:rPr>
        <w:t>تسعة عوامل رئيسية</w:t>
      </w:r>
      <w:r w:rsidRPr="0003069F">
        <w:rPr>
          <w:rFonts w:ascii="Sakkal Majalla" w:hAnsi="Sakkal Majalla" w:cs="Sakkal Majalla"/>
          <w:sz w:val="28"/>
          <w:rtl/>
          <w:lang w:bidi="ar-EG"/>
        </w:rPr>
        <w:t xml:space="preserve"> تتوافق إلى حد كبير مع الأبعاد التابعة التسعة المحددة مسبقًا في الدراسة، مما يدعم افتراض استقلالية نسبية لهذه الأبعاد في إدراك أفراد العينة. </w:t>
      </w:r>
      <w:r>
        <w:rPr>
          <w:rFonts w:ascii="Sakkal Majalla" w:hAnsi="Sakkal Majalla" w:cs="Sakkal Majalla" w:hint="cs"/>
          <w:sz w:val="28"/>
          <w:rtl/>
          <w:lang w:bidi="ar-EG"/>
        </w:rPr>
        <w:t>و</w:t>
      </w:r>
      <w:r w:rsidRPr="0003069F">
        <w:rPr>
          <w:rFonts w:ascii="Sakkal Majalla" w:hAnsi="Sakkal Majalla" w:cs="Sakkal Majalla"/>
          <w:sz w:val="28"/>
          <w:rtl/>
        </w:rPr>
        <w:t>بعد التحقق من شروط الصلاحية الإحصائية</w:t>
      </w:r>
      <w:r w:rsidRPr="0003069F">
        <w:rPr>
          <w:rFonts w:ascii="Sakkal Majalla" w:hAnsi="Sakkal Majalla" w:cs="Sakkal Majalla"/>
          <w:sz w:val="28"/>
          <w:lang w:bidi="ar-EG"/>
        </w:rPr>
        <w:t xml:space="preserve"> (KMO = 0.819</w:t>
      </w:r>
      <w:r w:rsidRPr="0003069F">
        <w:rPr>
          <w:rFonts w:ascii="Sakkal Majalla" w:hAnsi="Sakkal Majalla" w:cs="Sakkal Majalla"/>
          <w:sz w:val="28"/>
          <w:rtl/>
        </w:rPr>
        <w:t xml:space="preserve">، </w:t>
      </w:r>
      <w:r w:rsidRPr="0003069F">
        <w:rPr>
          <w:rFonts w:ascii="Sakkal Majalla" w:hAnsi="Sakkal Majalla" w:cs="Sakkal Majalla"/>
          <w:sz w:val="28"/>
          <w:lang w:bidi="ar-EG"/>
        </w:rPr>
        <w:t>Bartlett’s Test of Sphericity p = 0.000)</w:t>
      </w:r>
      <w:r w:rsidRPr="0003069F">
        <w:rPr>
          <w:rFonts w:ascii="Sakkal Majalla" w:hAnsi="Sakkal Majalla" w:cs="Sakkal Majalla"/>
          <w:sz w:val="28"/>
          <w:rtl/>
        </w:rPr>
        <w:t>، أسفر التحليل العاملي</w:t>
      </w:r>
      <w:r w:rsidRPr="0003069F">
        <w:rPr>
          <w:rFonts w:ascii="Sakkal Majalla" w:hAnsi="Sakkal Majalla" w:cs="Sakkal Majalla"/>
          <w:sz w:val="28"/>
          <w:lang w:bidi="ar-EG"/>
        </w:rPr>
        <w:t xml:space="preserve"> (Principal Component Analysis </w:t>
      </w:r>
      <w:r w:rsidRPr="0003069F">
        <w:rPr>
          <w:rFonts w:ascii="Sakkal Majalla" w:hAnsi="Sakkal Majalla" w:cs="Sakkal Majalla"/>
          <w:sz w:val="28"/>
          <w:rtl/>
        </w:rPr>
        <w:t>مع دوران</w:t>
      </w:r>
      <w:r w:rsidRPr="0003069F">
        <w:rPr>
          <w:rFonts w:ascii="Sakkal Majalla" w:hAnsi="Sakkal Majalla" w:cs="Sakkal Majalla"/>
          <w:sz w:val="28"/>
          <w:lang w:bidi="ar-EG"/>
        </w:rPr>
        <w:t xml:space="preserve"> Varimax) </w:t>
      </w:r>
      <w:r w:rsidRPr="0003069F">
        <w:rPr>
          <w:rFonts w:ascii="Sakkal Majalla" w:hAnsi="Sakkal Majalla" w:cs="Sakkal Majalla"/>
          <w:sz w:val="28"/>
          <w:rtl/>
        </w:rPr>
        <w:t>عن استخراج تسعة عوامل رئيسية تتوافق مع الأبعاد التابعة التسعة المحددة نظريًا، مما يدعم استقلاليتها النسبية في إدراك العينة. وفي الوقت نفسه، أمكن تجميع هذه الأبعاد في ستة عوامل عليا أكثر تماسكًا تفسر 82.7% من التباين الكلي نسبة مرتفعة جدًا مقارنة بدراسات مشابهة</w:t>
      </w:r>
      <w:r w:rsidRPr="0003069F">
        <w:rPr>
          <w:rFonts w:ascii="Sakkal Majalla" w:hAnsi="Sakkal Majalla" w:cs="Sakkal Majalla"/>
          <w:sz w:val="28"/>
          <w:lang w:bidi="ar-EG"/>
        </w:rPr>
        <w:t xml:space="preserve"> (68–75% </w:t>
      </w:r>
      <w:r w:rsidRPr="0003069F">
        <w:rPr>
          <w:rFonts w:ascii="Sakkal Majalla" w:hAnsi="Sakkal Majalla" w:cs="Sakkal Majalla"/>
          <w:sz w:val="28"/>
          <w:rtl/>
        </w:rPr>
        <w:t>في</w:t>
      </w:r>
      <w:r w:rsidRPr="0003069F">
        <w:rPr>
          <w:rFonts w:ascii="Sakkal Majalla" w:hAnsi="Sakkal Majalla" w:cs="Sakkal Majalla"/>
          <w:sz w:val="28"/>
          <w:lang w:bidi="ar-EG"/>
        </w:rPr>
        <w:t xml:space="preserve"> Hanelt et al., 2021</w:t>
      </w:r>
      <w:r w:rsidRPr="0003069F">
        <w:rPr>
          <w:rFonts w:ascii="Sakkal Majalla" w:hAnsi="Sakkal Majalla" w:cs="Sakkal Majalla"/>
          <w:sz w:val="28"/>
          <w:rtl/>
        </w:rPr>
        <w:t>؛</w:t>
      </w:r>
      <w:r w:rsidRPr="0003069F">
        <w:rPr>
          <w:rFonts w:ascii="Sakkal Majalla" w:hAnsi="Sakkal Majalla" w:cs="Sakkal Majalla"/>
          <w:sz w:val="28"/>
          <w:lang w:bidi="ar-EG"/>
        </w:rPr>
        <w:t xml:space="preserve"> WCO, 2025).</w:t>
      </w:r>
    </w:p>
    <w:p w14:paraId="61BA8A30" w14:textId="471023E3"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وفيما يلي وصف كل عامل مع العبارات المرتبطة به بشكل أساسي (بناءً على أعلى تشبع عاملي لكل عبارة):</w:t>
      </w:r>
    </w:p>
    <w:p w14:paraId="597B735D" w14:textId="74C57BF1" w:rsidR="0003069F" w:rsidRPr="0003069F" w:rsidRDefault="0003069F" w:rsidP="0003069F">
      <w:pPr>
        <w:pStyle w:val="BlockText"/>
        <w:spacing w:line="276" w:lineRule="auto"/>
        <w:jc w:val="lowKashida"/>
        <w:rPr>
          <w:rFonts w:ascii="Sakkal Majalla" w:hAnsi="Sakkal Majalla" w:cs="Sakkal Majalla"/>
          <w:b/>
          <w:bCs/>
          <w:sz w:val="28"/>
          <w:lang w:bidi="ar-EG"/>
        </w:rPr>
      </w:pPr>
      <w:r w:rsidRPr="0003069F">
        <w:rPr>
          <w:rFonts w:ascii="Sakkal Majalla" w:hAnsi="Sakkal Majalla" w:cs="Sakkal Majalla"/>
          <w:b/>
          <w:bCs/>
          <w:sz w:val="28"/>
          <w:rtl/>
          <w:lang w:bidi="ar-EG"/>
        </w:rPr>
        <w:t xml:space="preserve">1. العامل الأول – الأمن السيبراني وحماية البيانات  </w:t>
      </w:r>
    </w:p>
    <w:p w14:paraId="70058CA6"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يشمل العبارات (1، 2، 3) بتشبعات تتراوح بين 0.624 و0.647، ومتوسط تشبع ≈ 0.639.  </w:t>
      </w:r>
    </w:p>
    <w:p w14:paraId="1FF1C2A7"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lastRenderedPageBreak/>
        <w:t xml:space="preserve">   يعكس هذا العامل دور الأسس الرقمية والابتكار والحوكمة في تعزيز حماية البيانات من الاختراقات والكشف المبكر عن الهجمات السيبرانية.</w:t>
      </w:r>
    </w:p>
    <w:p w14:paraId="645C53D9" w14:textId="288B2351" w:rsidR="0003069F" w:rsidRPr="0003069F" w:rsidRDefault="0003069F" w:rsidP="0003069F">
      <w:pPr>
        <w:pStyle w:val="BlockText"/>
        <w:spacing w:line="276" w:lineRule="auto"/>
        <w:jc w:val="lowKashida"/>
        <w:rPr>
          <w:rFonts w:ascii="Sakkal Majalla" w:hAnsi="Sakkal Majalla" w:cs="Sakkal Majalla"/>
          <w:b/>
          <w:bCs/>
          <w:sz w:val="28"/>
          <w:lang w:bidi="ar-EG"/>
        </w:rPr>
      </w:pPr>
      <w:r w:rsidRPr="0003069F">
        <w:rPr>
          <w:rFonts w:ascii="Sakkal Majalla" w:hAnsi="Sakkal Majalla" w:cs="Sakkal Majalla"/>
          <w:b/>
          <w:bCs/>
          <w:sz w:val="28"/>
          <w:rtl/>
          <w:lang w:bidi="ar-EG"/>
        </w:rPr>
        <w:t xml:space="preserve">2. العامل الثاني – تحسين كفاءة الرقابة الجمركية والحد من التهريب </w:t>
      </w:r>
    </w:p>
    <w:p w14:paraId="450994A8"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يشمل العبارات (4، 5، 6) بتشبعات تتراوح بين 0.583 و0.808، ومتوسط تشبع ≈ 0.698.  </w:t>
      </w:r>
    </w:p>
    <w:p w14:paraId="1B98CF4B"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يبرز تركيز المبحوثين على تحسين سرعة ودقة الفحص وتحديد الشحنات المخاطرة بدقة عالية عبر الابتكار والحوكمة.</w:t>
      </w:r>
    </w:p>
    <w:p w14:paraId="702DE083" w14:textId="4FEBD31F" w:rsidR="0003069F" w:rsidRPr="0003069F" w:rsidRDefault="0003069F" w:rsidP="0003069F">
      <w:pPr>
        <w:pStyle w:val="BlockText"/>
        <w:spacing w:line="276" w:lineRule="auto"/>
        <w:jc w:val="lowKashida"/>
        <w:rPr>
          <w:rFonts w:ascii="Sakkal Majalla" w:hAnsi="Sakkal Majalla" w:cs="Sakkal Majalla"/>
          <w:b/>
          <w:bCs/>
          <w:sz w:val="28"/>
          <w:lang w:bidi="ar-EG"/>
        </w:rPr>
      </w:pPr>
      <w:r w:rsidRPr="0003069F">
        <w:rPr>
          <w:rFonts w:ascii="Sakkal Majalla" w:hAnsi="Sakkal Majalla" w:cs="Sakkal Majalla"/>
          <w:b/>
          <w:bCs/>
          <w:sz w:val="28"/>
          <w:rtl/>
          <w:lang w:bidi="ar-EG"/>
        </w:rPr>
        <w:t xml:space="preserve">3. العامل الثالث – تعزيز تكامل الشراكات الاستراتيجية </w:t>
      </w:r>
    </w:p>
    <w:p w14:paraId="2B0AE5EC"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يشمل العبارات (7، 8، 9) بتشبعات تتراوح بين 0.591 و0.695، ومتوسط تشبع ≈ 0.627.  </w:t>
      </w:r>
    </w:p>
    <w:p w14:paraId="5C234A9A"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يعكس أهمية تسهيل تبادل المعلومات الأمنية وبناء شراكات دولية وتعزيز التنسيق الاستراتيجي.</w:t>
      </w:r>
    </w:p>
    <w:p w14:paraId="687DBB06" w14:textId="521B7AC5" w:rsidR="0003069F" w:rsidRPr="0003069F" w:rsidRDefault="0003069F" w:rsidP="0003069F">
      <w:pPr>
        <w:pStyle w:val="BlockText"/>
        <w:spacing w:line="276" w:lineRule="auto"/>
        <w:jc w:val="lowKashida"/>
        <w:rPr>
          <w:rFonts w:ascii="Sakkal Majalla" w:hAnsi="Sakkal Majalla" w:cs="Sakkal Majalla"/>
          <w:b/>
          <w:bCs/>
          <w:sz w:val="28"/>
          <w:lang w:bidi="ar-EG"/>
        </w:rPr>
      </w:pPr>
      <w:r w:rsidRPr="0003069F">
        <w:rPr>
          <w:rFonts w:ascii="Sakkal Majalla" w:hAnsi="Sakkal Majalla" w:cs="Sakkal Majalla"/>
          <w:b/>
          <w:bCs/>
          <w:sz w:val="28"/>
          <w:rtl/>
          <w:lang w:bidi="ar-EG"/>
        </w:rPr>
        <w:t xml:space="preserve">4. العامل الرابع – البعد القانوني والسياسي </w:t>
      </w:r>
    </w:p>
    <w:p w14:paraId="3A7CCD5E"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يشمل العبارات (10، 11، 12) بتشبعات تتراوح بين 0.712 و0.796، ومتوسط تشبع ≈ 0.740.  </w:t>
      </w:r>
    </w:p>
    <w:p w14:paraId="60DF501C"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يركز على تطوير الكفاءات الرقمية لمواجهة التهديدات، رفع الوعي الأمني، وبناء ثقافة أمنية مستدامة داخل الهيئة.</w:t>
      </w:r>
    </w:p>
    <w:p w14:paraId="183270D2" w14:textId="6BFE5295" w:rsidR="0003069F" w:rsidRPr="0003069F" w:rsidRDefault="0003069F" w:rsidP="0003069F">
      <w:pPr>
        <w:pStyle w:val="BlockText"/>
        <w:spacing w:line="276" w:lineRule="auto"/>
        <w:jc w:val="lowKashida"/>
        <w:rPr>
          <w:rFonts w:ascii="Sakkal Majalla" w:hAnsi="Sakkal Majalla" w:cs="Sakkal Majalla"/>
          <w:b/>
          <w:bCs/>
          <w:sz w:val="28"/>
          <w:lang w:bidi="ar-EG"/>
        </w:rPr>
      </w:pPr>
      <w:r w:rsidRPr="0003069F">
        <w:rPr>
          <w:rFonts w:ascii="Sakkal Majalla" w:hAnsi="Sakkal Majalla" w:cs="Sakkal Majalla"/>
          <w:b/>
          <w:bCs/>
          <w:sz w:val="28"/>
          <w:rtl/>
          <w:lang w:bidi="ar-EG"/>
        </w:rPr>
        <w:t xml:space="preserve">5. العامل الخامس – البعد الاجتماعي والثقافي  </w:t>
      </w:r>
    </w:p>
    <w:p w14:paraId="621EED4C"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يشمل العبارات (13، 14، 15) بتشبعات تتراوح بين 0.609 و0.725، ومتوسط تشبع ≈ 0.668.  </w:t>
      </w:r>
    </w:p>
    <w:p w14:paraId="5782619D"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يتعلق بتطوير الكفاءات البشرية، تغيير السلوكيات الاجتماعية تجاه التقنيات الآمنة، وبناء ثقافة أمن سيبراني مجتمعي.</w:t>
      </w:r>
    </w:p>
    <w:p w14:paraId="32C5F5E0" w14:textId="1B42D2D7" w:rsidR="0003069F" w:rsidRPr="0003069F" w:rsidRDefault="0003069F" w:rsidP="0003069F">
      <w:pPr>
        <w:pStyle w:val="BlockText"/>
        <w:spacing w:line="276" w:lineRule="auto"/>
        <w:jc w:val="lowKashida"/>
        <w:rPr>
          <w:rFonts w:ascii="Sakkal Majalla" w:hAnsi="Sakkal Majalla" w:cs="Sakkal Majalla"/>
          <w:b/>
          <w:bCs/>
          <w:sz w:val="28"/>
          <w:lang w:bidi="ar-EG"/>
        </w:rPr>
      </w:pPr>
      <w:r w:rsidRPr="0003069F">
        <w:rPr>
          <w:rFonts w:ascii="Sakkal Majalla" w:hAnsi="Sakkal Majalla" w:cs="Sakkal Majalla"/>
          <w:b/>
          <w:bCs/>
          <w:sz w:val="28"/>
          <w:rtl/>
          <w:lang w:bidi="ar-EG"/>
        </w:rPr>
        <w:t xml:space="preserve">6. العامل السادس – البعد الاقتصادي  </w:t>
      </w:r>
    </w:p>
    <w:p w14:paraId="6F76720E"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يشمل العبارات (16، 17، 18) بتشبعات تتراوح بين 0.574 و0.740، ومتوسط تشبع ≈ 0.659.  </w:t>
      </w:r>
    </w:p>
    <w:p w14:paraId="2E028191"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يبرز خفض تكاليف التجارة، تسريع التدفقات التجارية، ورفع الكفاءة الاقتصادية عبر الشفافية والحوكمة.</w:t>
      </w:r>
    </w:p>
    <w:p w14:paraId="4E9DC07D" w14:textId="37FEDF4B" w:rsidR="0003069F" w:rsidRPr="0003069F" w:rsidRDefault="0003069F" w:rsidP="0003069F">
      <w:pPr>
        <w:pStyle w:val="BlockText"/>
        <w:spacing w:line="276" w:lineRule="auto"/>
        <w:jc w:val="lowKashida"/>
        <w:rPr>
          <w:rFonts w:ascii="Sakkal Majalla" w:hAnsi="Sakkal Majalla" w:cs="Sakkal Majalla"/>
          <w:b/>
          <w:bCs/>
          <w:sz w:val="28"/>
          <w:lang w:bidi="ar-EG"/>
        </w:rPr>
      </w:pPr>
      <w:r w:rsidRPr="0003069F">
        <w:rPr>
          <w:rFonts w:ascii="Sakkal Majalla" w:hAnsi="Sakkal Majalla" w:cs="Sakkal Majalla"/>
          <w:b/>
          <w:bCs/>
          <w:sz w:val="28"/>
          <w:rtl/>
          <w:lang w:bidi="ar-EG"/>
        </w:rPr>
        <w:t xml:space="preserve">7. العامل السابع – البعد التكنولوجي  </w:t>
      </w:r>
    </w:p>
    <w:p w14:paraId="14EE6763"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يشمل العبارات (19، 20، 21) بتشبعات تتراوح بين 0.408 و0.778، ومتوسط تشبع ≈ 0.649.  </w:t>
      </w:r>
    </w:p>
    <w:p w14:paraId="1900EAA1"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يغطي التحول من الجمرك الورقي إلى الذكي، تحسين سلاسل التوريد، وتكامل المنصات التكنولوجية.</w:t>
      </w:r>
    </w:p>
    <w:p w14:paraId="5352B6EB" w14:textId="0A9E3CC9" w:rsidR="0003069F" w:rsidRPr="0003069F" w:rsidRDefault="0003069F" w:rsidP="0003069F">
      <w:pPr>
        <w:pStyle w:val="BlockText"/>
        <w:spacing w:line="276" w:lineRule="auto"/>
        <w:jc w:val="lowKashida"/>
        <w:rPr>
          <w:rFonts w:ascii="Sakkal Majalla" w:hAnsi="Sakkal Majalla" w:cs="Sakkal Majalla"/>
          <w:b/>
          <w:bCs/>
          <w:sz w:val="28"/>
          <w:lang w:bidi="ar-EG"/>
        </w:rPr>
      </w:pPr>
      <w:r w:rsidRPr="0003069F">
        <w:rPr>
          <w:rFonts w:ascii="Sakkal Majalla" w:hAnsi="Sakkal Majalla" w:cs="Sakkal Majalla"/>
          <w:b/>
          <w:bCs/>
          <w:sz w:val="28"/>
          <w:rtl/>
          <w:lang w:bidi="ar-EG"/>
        </w:rPr>
        <w:t xml:space="preserve">8. العامل الثامن – البعد البيئي  </w:t>
      </w:r>
    </w:p>
    <w:p w14:paraId="27403F3F"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يشمل العبارات (22، 23، 24) بتشبعات تتراوح بين 0.661 و0.799، ومتوسط تشبع ≈ 0.739.  </w:t>
      </w:r>
    </w:p>
    <w:p w14:paraId="66C7209C"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يركز على دعم التجارة الخضراء، تقليل البصمة الكربونية، وتطبيق حلول لوجستية بيئية مستدامة.</w:t>
      </w:r>
    </w:p>
    <w:p w14:paraId="729D630B" w14:textId="1CFD2B75" w:rsidR="0003069F" w:rsidRPr="0003069F" w:rsidRDefault="0003069F" w:rsidP="0003069F">
      <w:pPr>
        <w:pStyle w:val="BlockText"/>
        <w:spacing w:line="276" w:lineRule="auto"/>
        <w:jc w:val="lowKashida"/>
        <w:rPr>
          <w:rFonts w:ascii="Sakkal Majalla" w:hAnsi="Sakkal Majalla" w:cs="Sakkal Majalla"/>
          <w:b/>
          <w:bCs/>
          <w:sz w:val="28"/>
          <w:lang w:bidi="ar-EG"/>
        </w:rPr>
      </w:pPr>
      <w:r w:rsidRPr="0003069F">
        <w:rPr>
          <w:rFonts w:ascii="Sakkal Majalla" w:hAnsi="Sakkal Majalla" w:cs="Sakkal Majalla"/>
          <w:b/>
          <w:bCs/>
          <w:sz w:val="28"/>
          <w:rtl/>
          <w:lang w:bidi="ar-EG"/>
        </w:rPr>
        <w:t xml:space="preserve">9. العامل التاسع – تقليل التهرب الضريبي وتعزيز الامتثال  </w:t>
      </w:r>
    </w:p>
    <w:p w14:paraId="1AED9CC1"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يشمل العبارات (25، 26، 27) بتشبعات استثنائية تتراوح بين 0.969 و0.991، ومتوسط تشبع ≈ 0.978.  </w:t>
      </w:r>
    </w:p>
    <w:p w14:paraId="28A34E70"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يمثل أعلى درجة تماسك في الدراسة، ويعكس دور الأسس والابتكار والحوكمة في تعزيز الشفافية، الكشف المبكر عن التهرب، ورفع مستوى الامتثال الضريبي والجمركي.</w:t>
      </w:r>
    </w:p>
    <w:p w14:paraId="03F61948" w14:textId="3778DEBA" w:rsidR="0003069F" w:rsidRPr="0003069F" w:rsidRDefault="0003069F" w:rsidP="0003069F">
      <w:pPr>
        <w:pStyle w:val="BlockText"/>
        <w:spacing w:line="276" w:lineRule="auto"/>
        <w:jc w:val="lowKashida"/>
        <w:rPr>
          <w:rFonts w:ascii="Sakkal Majalla" w:hAnsi="Sakkal Majalla" w:cs="Sakkal Majalla"/>
          <w:b/>
          <w:bCs/>
          <w:sz w:val="32"/>
          <w:szCs w:val="32"/>
          <w:lang w:bidi="ar-EG"/>
        </w:rPr>
      </w:pPr>
      <w:r w:rsidRPr="0003069F">
        <w:rPr>
          <w:rFonts w:ascii="Sakkal Majalla" w:hAnsi="Sakkal Majalla" w:cs="Sakkal Majalla"/>
          <w:b/>
          <w:bCs/>
          <w:sz w:val="32"/>
          <w:szCs w:val="32"/>
          <w:rtl/>
          <w:lang w:bidi="ar-EG"/>
        </w:rPr>
        <w:lastRenderedPageBreak/>
        <w:t>استخلاص الاستنتاجات الرئيسية</w:t>
      </w:r>
    </w:p>
    <w:p w14:paraId="634EBDFF" w14:textId="3C6644A4" w:rsidR="0003069F" w:rsidRPr="0003069F" w:rsidRDefault="0003069F" w:rsidP="0003069F">
      <w:pPr>
        <w:pStyle w:val="BlockText"/>
        <w:spacing w:line="276" w:lineRule="auto"/>
        <w:jc w:val="lowKashida"/>
        <w:rPr>
          <w:rFonts w:ascii="Sakkal Majalla" w:hAnsi="Sakkal Majalla" w:cs="Sakkal Majalla"/>
          <w:b/>
          <w:bCs/>
          <w:sz w:val="28"/>
          <w:lang w:bidi="ar-EG"/>
        </w:rPr>
      </w:pPr>
      <w:r w:rsidRPr="0003069F">
        <w:rPr>
          <w:rFonts w:ascii="Sakkal Majalla" w:hAnsi="Sakkal Majalla" w:cs="Sakkal Majalla"/>
          <w:b/>
          <w:bCs/>
          <w:sz w:val="28"/>
          <w:rtl/>
          <w:lang w:bidi="ar-EG"/>
        </w:rPr>
        <w:t xml:space="preserve">1. القوة التفسيرية والاستقلالية  </w:t>
      </w:r>
    </w:p>
    <w:p w14:paraId="5EDBC23E"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تم استخراج تسعة عوامل تتوافق مع الأبعاد التسعة النظرية، مما يدعم افتراض الدراسة بأن هذه الأبعاد مستقلة نسبيًا في إدراك أفراد العينة (موظفي ومديري هيئة الزكاة والضريبة والجمارك). أعلى تماسك كان في بعد "تقليل التهرب الضريبي وتعزيز الامتثال" (متوسط تشبع 0.978)، يليه البعد البيئي (0.739) والبعد القانوني/السياسي (0.740).</w:t>
      </w:r>
    </w:p>
    <w:p w14:paraId="327CA4DF" w14:textId="778DB642" w:rsidR="0003069F" w:rsidRPr="0003069F" w:rsidRDefault="0003069F" w:rsidP="0003069F">
      <w:pPr>
        <w:pStyle w:val="BlockText"/>
        <w:spacing w:line="276" w:lineRule="auto"/>
        <w:jc w:val="lowKashida"/>
        <w:rPr>
          <w:rFonts w:ascii="Sakkal Majalla" w:hAnsi="Sakkal Majalla" w:cs="Sakkal Majalla"/>
          <w:b/>
          <w:bCs/>
          <w:sz w:val="28"/>
          <w:lang w:bidi="ar-EG"/>
        </w:rPr>
      </w:pPr>
      <w:r w:rsidRPr="0003069F">
        <w:rPr>
          <w:rFonts w:ascii="Sakkal Majalla" w:hAnsi="Sakkal Majalla" w:cs="Sakkal Majalla"/>
          <w:b/>
          <w:bCs/>
          <w:sz w:val="28"/>
          <w:rtl/>
          <w:lang w:bidi="ar-EG"/>
        </w:rPr>
        <w:t>2. نسب التباين والاشتراكات (</w:t>
      </w:r>
      <w:r w:rsidRPr="0003069F">
        <w:rPr>
          <w:rFonts w:ascii="Sakkal Majalla" w:hAnsi="Sakkal Majalla" w:cs="Sakkal Majalla"/>
          <w:b/>
          <w:bCs/>
          <w:sz w:val="28"/>
          <w:lang w:bidi="ar-EG"/>
        </w:rPr>
        <w:t>Communalities</w:t>
      </w:r>
      <w:r w:rsidRPr="0003069F">
        <w:rPr>
          <w:rFonts w:ascii="Sakkal Majalla" w:hAnsi="Sakkal Majalla" w:cs="Sakkal Majalla"/>
          <w:b/>
          <w:bCs/>
          <w:sz w:val="28"/>
          <w:rtl/>
          <w:lang w:bidi="ar-EG"/>
        </w:rPr>
        <w:t xml:space="preserve">) </w:t>
      </w:r>
    </w:p>
    <w:p w14:paraId="72CDD2B4"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تتراوح قيم الاشتراكات بين 0.336 و0.991، مع متوسط عام ≈ 0.592.  </w:t>
      </w:r>
    </w:p>
    <w:p w14:paraId="5D193F78"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 القيم العالية جدًا (&gt; 0.85) في بعد الامتثال </w:t>
      </w:r>
      <w:r w:rsidRPr="0003069F">
        <w:rPr>
          <w:rFonts w:cs="Times New Roman" w:hint="cs"/>
          <w:sz w:val="28"/>
          <w:rtl/>
          <w:lang w:bidi="ar-EG"/>
        </w:rPr>
        <w:t>→</w:t>
      </w:r>
      <w:r w:rsidRPr="0003069F">
        <w:rPr>
          <w:rFonts w:ascii="Sakkal Majalla" w:hAnsi="Sakkal Majalla" w:cs="Sakkal Majalla"/>
          <w:sz w:val="28"/>
          <w:rtl/>
          <w:lang w:bidi="ar-EG"/>
        </w:rPr>
        <w:t xml:space="preserve"> </w:t>
      </w:r>
      <w:r w:rsidRPr="0003069F">
        <w:rPr>
          <w:rFonts w:ascii="Sakkal Majalla" w:hAnsi="Sakkal Majalla" w:cs="Sakkal Majalla" w:hint="cs"/>
          <w:sz w:val="28"/>
          <w:rtl/>
          <w:lang w:bidi="ar-EG"/>
        </w:rPr>
        <w:t>تمثيل</w:t>
      </w:r>
      <w:r w:rsidRPr="0003069F">
        <w:rPr>
          <w:rFonts w:ascii="Sakkal Majalla" w:hAnsi="Sakkal Majalla" w:cs="Sakkal Majalla"/>
          <w:sz w:val="28"/>
          <w:rtl/>
          <w:lang w:bidi="ar-EG"/>
        </w:rPr>
        <w:t xml:space="preserve"> </w:t>
      </w:r>
      <w:r w:rsidRPr="0003069F">
        <w:rPr>
          <w:rFonts w:ascii="Sakkal Majalla" w:hAnsi="Sakkal Majalla" w:cs="Sakkal Majalla" w:hint="cs"/>
          <w:sz w:val="28"/>
          <w:rtl/>
          <w:lang w:bidi="ar-EG"/>
        </w:rPr>
        <w:t>ممتاز</w:t>
      </w:r>
      <w:r w:rsidRPr="0003069F">
        <w:rPr>
          <w:rFonts w:ascii="Sakkal Majalla" w:hAnsi="Sakkal Majalla" w:cs="Sakkal Majalla"/>
          <w:sz w:val="28"/>
          <w:rtl/>
          <w:lang w:bidi="ar-EG"/>
        </w:rPr>
        <w:t xml:space="preserve"> </w:t>
      </w:r>
      <w:r w:rsidRPr="0003069F">
        <w:rPr>
          <w:rFonts w:ascii="Sakkal Majalla" w:hAnsi="Sakkal Majalla" w:cs="Sakkal Majalla" w:hint="cs"/>
          <w:sz w:val="28"/>
          <w:rtl/>
          <w:lang w:bidi="ar-EG"/>
        </w:rPr>
        <w:t>وتماسك</w:t>
      </w:r>
      <w:r w:rsidRPr="0003069F">
        <w:rPr>
          <w:rFonts w:ascii="Sakkal Majalla" w:hAnsi="Sakkal Majalla" w:cs="Sakkal Majalla"/>
          <w:sz w:val="28"/>
          <w:rtl/>
          <w:lang w:bidi="ar-EG"/>
        </w:rPr>
        <w:t xml:space="preserve"> </w:t>
      </w:r>
      <w:r w:rsidRPr="0003069F">
        <w:rPr>
          <w:rFonts w:ascii="Sakkal Majalla" w:hAnsi="Sakkal Majalla" w:cs="Sakkal Majalla" w:hint="cs"/>
          <w:sz w:val="28"/>
          <w:rtl/>
          <w:lang w:bidi="ar-EG"/>
        </w:rPr>
        <w:t>قوي</w:t>
      </w:r>
      <w:r w:rsidRPr="0003069F">
        <w:rPr>
          <w:rFonts w:ascii="Sakkal Majalla" w:hAnsi="Sakkal Majalla" w:cs="Sakkal Majalla"/>
          <w:sz w:val="28"/>
          <w:rtl/>
          <w:lang w:bidi="ar-EG"/>
        </w:rPr>
        <w:t xml:space="preserve">.  </w:t>
      </w:r>
    </w:p>
    <w:p w14:paraId="2CA4D701"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 القيم المنخفضة نسبيًا (0.336–0.489) في بعض عبارات الأمن السيبراني </w:t>
      </w:r>
      <w:r w:rsidRPr="0003069F">
        <w:rPr>
          <w:rFonts w:cs="Times New Roman" w:hint="cs"/>
          <w:sz w:val="28"/>
          <w:rtl/>
          <w:lang w:bidi="ar-EG"/>
        </w:rPr>
        <w:t>→</w:t>
      </w:r>
      <w:r w:rsidRPr="0003069F">
        <w:rPr>
          <w:rFonts w:ascii="Sakkal Majalla" w:hAnsi="Sakkal Majalla" w:cs="Sakkal Majalla"/>
          <w:sz w:val="28"/>
          <w:rtl/>
          <w:lang w:bidi="ar-EG"/>
        </w:rPr>
        <w:t xml:space="preserve"> </w:t>
      </w:r>
      <w:r w:rsidRPr="0003069F">
        <w:rPr>
          <w:rFonts w:ascii="Sakkal Majalla" w:hAnsi="Sakkal Majalla" w:cs="Sakkal Majalla" w:hint="cs"/>
          <w:sz w:val="28"/>
          <w:rtl/>
          <w:lang w:bidi="ar-EG"/>
        </w:rPr>
        <w:t>مقبولة،</w:t>
      </w:r>
      <w:r w:rsidRPr="0003069F">
        <w:rPr>
          <w:rFonts w:ascii="Sakkal Majalla" w:hAnsi="Sakkal Majalla" w:cs="Sakkal Majalla"/>
          <w:sz w:val="28"/>
          <w:rtl/>
          <w:lang w:bidi="ar-EG"/>
        </w:rPr>
        <w:t xml:space="preserve"> </w:t>
      </w:r>
      <w:r w:rsidRPr="0003069F">
        <w:rPr>
          <w:rFonts w:ascii="Sakkal Majalla" w:hAnsi="Sakkal Majalla" w:cs="Sakkal Majalla" w:hint="cs"/>
          <w:sz w:val="28"/>
          <w:rtl/>
          <w:lang w:bidi="ar-EG"/>
        </w:rPr>
        <w:t>لكنها</w:t>
      </w:r>
      <w:r w:rsidRPr="0003069F">
        <w:rPr>
          <w:rFonts w:ascii="Sakkal Majalla" w:hAnsi="Sakkal Majalla" w:cs="Sakkal Majalla"/>
          <w:sz w:val="28"/>
          <w:rtl/>
          <w:lang w:bidi="ar-EG"/>
        </w:rPr>
        <w:t xml:space="preserve"> </w:t>
      </w:r>
      <w:r w:rsidRPr="0003069F">
        <w:rPr>
          <w:rFonts w:ascii="Sakkal Majalla" w:hAnsi="Sakkal Majalla" w:cs="Sakkal Majalla" w:hint="cs"/>
          <w:sz w:val="28"/>
          <w:rtl/>
          <w:lang w:bidi="ar-EG"/>
        </w:rPr>
        <w:t>تشير</w:t>
      </w:r>
      <w:r w:rsidRPr="0003069F">
        <w:rPr>
          <w:rFonts w:ascii="Sakkal Majalla" w:hAnsi="Sakkal Majalla" w:cs="Sakkal Majalla"/>
          <w:sz w:val="28"/>
          <w:rtl/>
          <w:lang w:bidi="ar-EG"/>
        </w:rPr>
        <w:t xml:space="preserve"> </w:t>
      </w:r>
      <w:r w:rsidRPr="0003069F">
        <w:rPr>
          <w:rFonts w:ascii="Sakkal Majalla" w:hAnsi="Sakkal Majalla" w:cs="Sakkal Majalla" w:hint="cs"/>
          <w:sz w:val="28"/>
          <w:rtl/>
          <w:lang w:bidi="ar-EG"/>
        </w:rPr>
        <w:t>إلى</w:t>
      </w:r>
      <w:r w:rsidRPr="0003069F">
        <w:rPr>
          <w:rFonts w:ascii="Sakkal Majalla" w:hAnsi="Sakkal Majalla" w:cs="Sakkal Majalla"/>
          <w:sz w:val="28"/>
          <w:rtl/>
          <w:lang w:bidi="ar-EG"/>
        </w:rPr>
        <w:t xml:space="preserve"> </w:t>
      </w:r>
      <w:r w:rsidRPr="0003069F">
        <w:rPr>
          <w:rFonts w:ascii="Sakkal Majalla" w:hAnsi="Sakkal Majalla" w:cs="Sakkal Majalla" w:hint="cs"/>
          <w:sz w:val="28"/>
          <w:rtl/>
          <w:lang w:bidi="ar-EG"/>
        </w:rPr>
        <w:t>وجود</w:t>
      </w:r>
      <w:r w:rsidRPr="0003069F">
        <w:rPr>
          <w:rFonts w:ascii="Sakkal Majalla" w:hAnsi="Sakkal Majalla" w:cs="Sakkal Majalla"/>
          <w:sz w:val="28"/>
          <w:rtl/>
          <w:lang w:bidi="ar-EG"/>
        </w:rPr>
        <w:t xml:space="preserve"> </w:t>
      </w:r>
      <w:r w:rsidRPr="0003069F">
        <w:rPr>
          <w:rFonts w:ascii="Sakkal Majalla" w:hAnsi="Sakkal Majalla" w:cs="Sakkal Majalla" w:hint="cs"/>
          <w:sz w:val="28"/>
          <w:rtl/>
          <w:lang w:bidi="ar-EG"/>
        </w:rPr>
        <w:t>تباين</w:t>
      </w:r>
      <w:r w:rsidRPr="0003069F">
        <w:rPr>
          <w:rFonts w:ascii="Sakkal Majalla" w:hAnsi="Sakkal Majalla" w:cs="Sakkal Majalla"/>
          <w:sz w:val="28"/>
          <w:rtl/>
          <w:lang w:bidi="ar-EG"/>
        </w:rPr>
        <w:t xml:space="preserve"> </w:t>
      </w:r>
      <w:r w:rsidRPr="0003069F">
        <w:rPr>
          <w:rFonts w:ascii="Sakkal Majalla" w:hAnsi="Sakkal Majalla" w:cs="Sakkal Majalla" w:hint="cs"/>
          <w:sz w:val="28"/>
          <w:rtl/>
          <w:lang w:bidi="ar-EG"/>
        </w:rPr>
        <w:t>إضافي</w:t>
      </w:r>
      <w:r w:rsidRPr="0003069F">
        <w:rPr>
          <w:rFonts w:ascii="Sakkal Majalla" w:hAnsi="Sakkal Majalla" w:cs="Sakkal Majalla"/>
          <w:sz w:val="28"/>
          <w:rtl/>
          <w:lang w:bidi="ar-EG"/>
        </w:rPr>
        <w:t xml:space="preserve"> </w:t>
      </w:r>
      <w:r w:rsidRPr="0003069F">
        <w:rPr>
          <w:rFonts w:ascii="Sakkal Majalla" w:hAnsi="Sakkal Majalla" w:cs="Sakkal Majalla" w:hint="cs"/>
          <w:sz w:val="28"/>
          <w:rtl/>
          <w:lang w:bidi="ar-EG"/>
        </w:rPr>
        <w:t>يمكن</w:t>
      </w:r>
      <w:r w:rsidRPr="0003069F">
        <w:rPr>
          <w:rFonts w:ascii="Sakkal Majalla" w:hAnsi="Sakkal Majalla" w:cs="Sakkal Majalla"/>
          <w:sz w:val="28"/>
          <w:rtl/>
          <w:lang w:bidi="ar-EG"/>
        </w:rPr>
        <w:t xml:space="preserve"> </w:t>
      </w:r>
      <w:r w:rsidRPr="0003069F">
        <w:rPr>
          <w:rFonts w:ascii="Sakkal Majalla" w:hAnsi="Sakkal Majalla" w:cs="Sakkal Majalla" w:hint="cs"/>
          <w:sz w:val="28"/>
          <w:rtl/>
          <w:lang w:bidi="ar-EG"/>
        </w:rPr>
        <w:t>تفسيره</w:t>
      </w:r>
      <w:r w:rsidRPr="0003069F">
        <w:rPr>
          <w:rFonts w:ascii="Sakkal Majalla" w:hAnsi="Sakkal Majalla" w:cs="Sakkal Majalla"/>
          <w:sz w:val="28"/>
          <w:rtl/>
          <w:lang w:bidi="ar-EG"/>
        </w:rPr>
        <w:t xml:space="preserve"> </w:t>
      </w:r>
      <w:r w:rsidRPr="0003069F">
        <w:rPr>
          <w:rFonts w:ascii="Sakkal Majalla" w:hAnsi="Sakkal Majalla" w:cs="Sakkal Majalla" w:hint="cs"/>
          <w:sz w:val="28"/>
          <w:rtl/>
          <w:lang w:bidi="ar-EG"/>
        </w:rPr>
        <w:t>بعوامل</w:t>
      </w:r>
      <w:r w:rsidRPr="0003069F">
        <w:rPr>
          <w:rFonts w:ascii="Sakkal Majalla" w:hAnsi="Sakkal Majalla" w:cs="Sakkal Majalla"/>
          <w:sz w:val="28"/>
          <w:rtl/>
          <w:lang w:bidi="ar-EG"/>
        </w:rPr>
        <w:t xml:space="preserve"> </w:t>
      </w:r>
      <w:r w:rsidRPr="0003069F">
        <w:rPr>
          <w:rFonts w:ascii="Sakkal Majalla" w:hAnsi="Sakkal Majalla" w:cs="Sakkal Majalla" w:hint="cs"/>
          <w:sz w:val="28"/>
          <w:rtl/>
          <w:lang w:bidi="ar-EG"/>
        </w:rPr>
        <w:t>خارجية</w:t>
      </w:r>
      <w:r w:rsidRPr="0003069F">
        <w:rPr>
          <w:rFonts w:ascii="Sakkal Majalla" w:hAnsi="Sakkal Majalla" w:cs="Sakkal Majalla"/>
          <w:sz w:val="28"/>
          <w:rtl/>
          <w:lang w:bidi="ar-EG"/>
        </w:rPr>
        <w:t xml:space="preserve"> </w:t>
      </w:r>
      <w:r w:rsidRPr="0003069F">
        <w:rPr>
          <w:rFonts w:ascii="Sakkal Majalla" w:hAnsi="Sakkal Majalla" w:cs="Sakkal Majalla" w:hint="cs"/>
          <w:sz w:val="28"/>
          <w:rtl/>
          <w:lang w:bidi="ar-EG"/>
        </w:rPr>
        <w:t>أو</w:t>
      </w:r>
      <w:r w:rsidRPr="0003069F">
        <w:rPr>
          <w:rFonts w:ascii="Sakkal Majalla" w:hAnsi="Sakkal Majalla" w:cs="Sakkal Majalla"/>
          <w:sz w:val="28"/>
          <w:rtl/>
          <w:lang w:bidi="ar-EG"/>
        </w:rPr>
        <w:t xml:space="preserve"> </w:t>
      </w:r>
      <w:r w:rsidRPr="0003069F">
        <w:rPr>
          <w:rFonts w:ascii="Sakkal Majalla" w:hAnsi="Sakkal Majalla" w:cs="Sakkal Majalla" w:hint="cs"/>
          <w:sz w:val="28"/>
          <w:rtl/>
          <w:lang w:bidi="ar-EG"/>
        </w:rPr>
        <w:t>حاجة</w:t>
      </w:r>
      <w:r w:rsidRPr="0003069F">
        <w:rPr>
          <w:rFonts w:ascii="Sakkal Majalla" w:hAnsi="Sakkal Majalla" w:cs="Sakkal Majalla"/>
          <w:sz w:val="28"/>
          <w:rtl/>
          <w:lang w:bidi="ar-EG"/>
        </w:rPr>
        <w:t xml:space="preserve"> </w:t>
      </w:r>
      <w:r w:rsidRPr="0003069F">
        <w:rPr>
          <w:rFonts w:ascii="Sakkal Majalla" w:hAnsi="Sakkal Majalla" w:cs="Sakkal Majalla" w:hint="cs"/>
          <w:sz w:val="28"/>
          <w:rtl/>
          <w:lang w:bidi="ar-EG"/>
        </w:rPr>
        <w:t>لعينة</w:t>
      </w:r>
      <w:r w:rsidRPr="0003069F">
        <w:rPr>
          <w:rFonts w:ascii="Sakkal Majalla" w:hAnsi="Sakkal Majalla" w:cs="Sakkal Majalla"/>
          <w:sz w:val="28"/>
          <w:rtl/>
          <w:lang w:bidi="ar-EG"/>
        </w:rPr>
        <w:t xml:space="preserve"> </w:t>
      </w:r>
      <w:r w:rsidRPr="0003069F">
        <w:rPr>
          <w:rFonts w:ascii="Sakkal Majalla" w:hAnsi="Sakkal Majalla" w:cs="Sakkal Majalla" w:hint="cs"/>
          <w:sz w:val="28"/>
          <w:rtl/>
          <w:lang w:bidi="ar-EG"/>
        </w:rPr>
        <w:t>أكبر</w:t>
      </w:r>
      <w:r w:rsidRPr="0003069F">
        <w:rPr>
          <w:rFonts w:ascii="Sakkal Majalla" w:hAnsi="Sakkal Majalla" w:cs="Sakkal Majalla"/>
          <w:sz w:val="28"/>
          <w:rtl/>
          <w:lang w:bidi="ar-EG"/>
        </w:rPr>
        <w:t>.</w:t>
      </w:r>
    </w:p>
    <w:p w14:paraId="055D126C" w14:textId="1F79D4E9" w:rsidR="0003069F" w:rsidRPr="0003069F" w:rsidRDefault="0003069F" w:rsidP="0003069F">
      <w:pPr>
        <w:pStyle w:val="BlockText"/>
        <w:spacing w:line="276" w:lineRule="auto"/>
        <w:jc w:val="lowKashida"/>
        <w:rPr>
          <w:rFonts w:ascii="Sakkal Majalla" w:hAnsi="Sakkal Majalla" w:cs="Sakkal Majalla"/>
          <w:b/>
          <w:bCs/>
          <w:sz w:val="28"/>
          <w:lang w:bidi="ar-EG"/>
        </w:rPr>
      </w:pPr>
      <w:r w:rsidRPr="0003069F">
        <w:rPr>
          <w:rFonts w:ascii="Sakkal Majalla" w:hAnsi="Sakkal Majalla" w:cs="Sakkal Majalla"/>
          <w:b/>
          <w:bCs/>
          <w:sz w:val="28"/>
          <w:rtl/>
          <w:lang w:bidi="ar-EG"/>
        </w:rPr>
        <w:t xml:space="preserve">3. الملاحظة العامة  </w:t>
      </w:r>
    </w:p>
    <w:p w14:paraId="5E98607F"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النتائج تؤكد أن الأبعاد التسعة تمتلك درجة جيدة من التمييز والاستقلالية في سياق الدراسة، مع تفوق واضح للجوانب الامتثالية والتكنولوجية-البيئية في إدراك المبحوثين. هذا يعزز صلاحية المقاييس المستخدمة ويمهد لاستخدامها في اختبار الفروض عبر تحليل الانحدار.</w:t>
      </w:r>
    </w:p>
    <w:p w14:paraId="769E980C" w14:textId="5E28B6ED" w:rsidR="0003069F" w:rsidRPr="0003069F" w:rsidRDefault="0003069F" w:rsidP="0003069F">
      <w:pPr>
        <w:pStyle w:val="BlockText"/>
        <w:spacing w:line="276" w:lineRule="auto"/>
        <w:jc w:val="lowKashida"/>
        <w:rPr>
          <w:rFonts w:ascii="Sakkal Majalla" w:hAnsi="Sakkal Majalla" w:cs="Sakkal Majalla"/>
          <w:b/>
          <w:bCs/>
          <w:sz w:val="32"/>
          <w:szCs w:val="32"/>
          <w:lang w:bidi="ar-EG"/>
        </w:rPr>
      </w:pPr>
      <w:r w:rsidRPr="0003069F">
        <w:rPr>
          <w:rFonts w:ascii="Sakkal Majalla" w:hAnsi="Sakkal Majalla" w:cs="Sakkal Majalla"/>
          <w:b/>
          <w:bCs/>
          <w:sz w:val="32"/>
          <w:szCs w:val="32"/>
          <w:rtl/>
        </w:rPr>
        <w:t>مقارنة دولية استراتيجية وإحصائية مرتبطة بالدراسات السابقة</w:t>
      </w:r>
      <w:r>
        <w:rPr>
          <w:rFonts w:ascii="Sakkal Majalla" w:hAnsi="Sakkal Majalla" w:cs="Sakkal Majalla" w:hint="cs"/>
          <w:b/>
          <w:bCs/>
          <w:sz w:val="32"/>
          <w:szCs w:val="32"/>
          <w:rtl/>
        </w:rPr>
        <w:t>:</w:t>
      </w:r>
    </w:p>
    <w:p w14:paraId="3D3C0769"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rPr>
        <w:t xml:space="preserve">لتقييم موقع </w:t>
      </w:r>
      <w:r w:rsidRPr="0003069F">
        <w:rPr>
          <w:rFonts w:ascii="Sakkal Majalla" w:hAnsi="Sakkal Majalla" w:cs="Sakkal Majalla"/>
          <w:b/>
          <w:bCs/>
          <w:sz w:val="28"/>
          <w:rtl/>
        </w:rPr>
        <w:t>هيئة الزكاة والضريبة والجمارك</w:t>
      </w:r>
      <w:r w:rsidRPr="0003069F">
        <w:rPr>
          <w:rFonts w:ascii="Sakkal Majalla" w:hAnsi="Sakkal Majalla" w:cs="Sakkal Majalla"/>
          <w:b/>
          <w:bCs/>
          <w:sz w:val="28"/>
          <w:lang w:bidi="ar-EG"/>
        </w:rPr>
        <w:t xml:space="preserve"> (ZATCA)</w:t>
      </w:r>
      <w:r w:rsidRPr="0003069F">
        <w:rPr>
          <w:rFonts w:ascii="Sakkal Majalla" w:hAnsi="Sakkal Majalla" w:cs="Sakkal Majalla"/>
          <w:sz w:val="28"/>
          <w:lang w:bidi="ar-EG"/>
        </w:rPr>
        <w:t xml:space="preserve"> </w:t>
      </w:r>
      <w:r w:rsidRPr="0003069F">
        <w:rPr>
          <w:rFonts w:ascii="Sakkal Majalla" w:hAnsi="Sakkal Majalla" w:cs="Sakkal Majalla"/>
          <w:sz w:val="28"/>
          <w:rtl/>
        </w:rPr>
        <w:t>عالميًا، تمت مقارنة العوامل التسعة والتجميعات الستة مع تجارب رائدة (كوريا الجنوبية، سنغافورة، إستونيا، الإمارات)، مستندًا إلى دراسات حديثة (2023–2025) ومؤشرات كمية</w:t>
      </w:r>
      <w:r w:rsidRPr="0003069F">
        <w:rPr>
          <w:rFonts w:ascii="Sakkal Majalla" w:hAnsi="Sakkal Majalla" w:cs="Sakkal Majalla"/>
          <w:sz w:val="28"/>
          <w:lang w:bidi="ar-EG"/>
        </w:rPr>
        <w:t>:</w:t>
      </w:r>
    </w:p>
    <w:p w14:paraId="42F51525" w14:textId="5AFE8BD2" w:rsidR="0003069F" w:rsidRPr="0003069F" w:rsidRDefault="0003069F">
      <w:pPr>
        <w:pStyle w:val="BlockText"/>
        <w:numPr>
          <w:ilvl w:val="0"/>
          <w:numId w:val="132"/>
        </w:numPr>
        <w:spacing w:line="276" w:lineRule="auto"/>
        <w:jc w:val="lowKashida"/>
        <w:rPr>
          <w:rFonts w:ascii="Sakkal Majalla" w:hAnsi="Sakkal Majalla" w:cs="Sakkal Majalla"/>
          <w:sz w:val="28"/>
          <w:lang w:bidi="ar-EG"/>
        </w:rPr>
      </w:pPr>
      <w:r w:rsidRPr="0003069F">
        <w:rPr>
          <w:rFonts w:ascii="Sakkal Majalla" w:hAnsi="Sakkal Majalla" w:cs="Sakkal Majalla"/>
          <w:b/>
          <w:bCs/>
          <w:sz w:val="28"/>
          <w:rtl/>
        </w:rPr>
        <w:t>الكفاءة الأمنية الوقائية والرقمية</w:t>
      </w:r>
      <w:r w:rsidRPr="0003069F">
        <w:rPr>
          <w:rFonts w:ascii="Sakkal Majalla" w:hAnsi="Sakkal Majalla" w:cs="Sakkal Majalla"/>
          <w:sz w:val="28"/>
          <w:rtl/>
        </w:rPr>
        <w:t xml:space="preserve"> </w:t>
      </w:r>
      <w:r w:rsidRPr="0003069F">
        <w:rPr>
          <w:rFonts w:ascii="Sakkal Majalla" w:hAnsi="Sakkal Majalla" w:cs="Sakkal Majalla"/>
          <w:sz w:val="28"/>
          <w:lang w:bidi="ar-EG"/>
        </w:rPr>
        <w:t>(</w:t>
      </w:r>
      <w:r w:rsidRPr="0003069F">
        <w:rPr>
          <w:rFonts w:ascii="Sakkal Majalla" w:hAnsi="Sakkal Majalla" w:cs="Sakkal Majalla"/>
          <w:sz w:val="28"/>
          <w:rtl/>
        </w:rPr>
        <w:t>الأبعاد 1+2</w:t>
      </w:r>
      <w:r w:rsidRPr="0003069F">
        <w:rPr>
          <w:rFonts w:ascii="Sakkal Majalla" w:hAnsi="Sakkal Majalla" w:cs="Sakkal Majalla"/>
          <w:sz w:val="28"/>
          <w:lang w:bidi="ar-EG"/>
        </w:rPr>
        <w:t xml:space="preserve">) </w:t>
      </w:r>
      <w:r w:rsidRPr="0003069F">
        <w:rPr>
          <w:rFonts w:ascii="Sakkal Majalla" w:hAnsi="Sakkal Majalla" w:cs="Sakkal Majalla"/>
          <w:sz w:val="28"/>
          <w:rtl/>
        </w:rPr>
        <w:t>دراسة</w:t>
      </w:r>
      <w:r w:rsidRPr="0003069F">
        <w:rPr>
          <w:rFonts w:ascii="Sakkal Majalla" w:hAnsi="Sakkal Majalla" w:cs="Sakkal Majalla"/>
          <w:sz w:val="28"/>
          <w:lang w:bidi="ar-EG"/>
        </w:rPr>
        <w:t xml:space="preserve"> Lee et al. (2024) </w:t>
      </w:r>
      <w:r w:rsidRPr="0003069F">
        <w:rPr>
          <w:rFonts w:ascii="Sakkal Majalla" w:hAnsi="Sakkal Majalla" w:cs="Sakkal Majalla"/>
          <w:sz w:val="28"/>
          <w:rtl/>
        </w:rPr>
        <w:t>في</w:t>
      </w:r>
      <w:r w:rsidRPr="0003069F">
        <w:rPr>
          <w:rFonts w:ascii="Sakkal Majalla" w:hAnsi="Sakkal Majalla" w:cs="Sakkal Majalla"/>
          <w:sz w:val="28"/>
          <w:lang w:bidi="ar-EG"/>
        </w:rPr>
        <w:t xml:space="preserve"> Journal of Customs and Trade </w:t>
      </w:r>
      <w:r w:rsidRPr="0003069F">
        <w:rPr>
          <w:rFonts w:ascii="Sakkal Majalla" w:hAnsi="Sakkal Majalla" w:cs="Sakkal Majalla"/>
          <w:sz w:val="28"/>
          <w:rtl/>
        </w:rPr>
        <w:t>عن</w:t>
      </w:r>
      <w:r w:rsidRPr="0003069F">
        <w:rPr>
          <w:rFonts w:ascii="Sakkal Majalla" w:hAnsi="Sakkal Majalla" w:cs="Sakkal Majalla"/>
          <w:sz w:val="28"/>
          <w:lang w:bidi="ar-EG"/>
        </w:rPr>
        <w:t xml:space="preserve"> UNI-PASS 2.0 </w:t>
      </w:r>
      <w:r w:rsidRPr="0003069F">
        <w:rPr>
          <w:rFonts w:ascii="Sakkal Majalla" w:hAnsi="Sakkal Majalla" w:cs="Sakkal Majalla"/>
          <w:sz w:val="28"/>
          <w:rtl/>
        </w:rPr>
        <w:t>في كوريا الجنوبية أظهرت تباينًا مشابهًا (~26.8%) وخفض التهريب بنسبة 52% بدقة</w:t>
      </w:r>
      <w:r w:rsidRPr="0003069F">
        <w:rPr>
          <w:rFonts w:ascii="Sakkal Majalla" w:hAnsi="Sakkal Majalla" w:cs="Sakkal Majalla"/>
          <w:sz w:val="28"/>
          <w:lang w:bidi="ar-EG"/>
        </w:rPr>
        <w:t xml:space="preserve"> AI Risk Engine </w:t>
      </w:r>
      <w:r w:rsidRPr="0003069F">
        <w:rPr>
          <w:rFonts w:ascii="Sakkal Majalla" w:hAnsi="Sakkal Majalla" w:cs="Sakkal Majalla"/>
          <w:sz w:val="28"/>
          <w:rtl/>
        </w:rPr>
        <w:t>تصل إلى 94%. أما</w:t>
      </w:r>
      <w:r w:rsidRPr="0003069F">
        <w:rPr>
          <w:rFonts w:ascii="Sakkal Majalla" w:hAnsi="Sakkal Majalla" w:cs="Sakkal Majalla"/>
          <w:sz w:val="28"/>
          <w:lang w:bidi="ar-EG"/>
        </w:rPr>
        <w:t xml:space="preserve"> ZATCA </w:t>
      </w:r>
      <w:r w:rsidRPr="0003069F">
        <w:rPr>
          <w:rFonts w:ascii="Sakkal Majalla" w:hAnsi="Sakkal Majalla" w:cs="Sakkal Majalla"/>
          <w:sz w:val="28"/>
          <w:rtl/>
        </w:rPr>
        <w:t>فحققت خفضًا بنسبة 40% فقط</w:t>
      </w:r>
      <w:r w:rsidRPr="0003069F">
        <w:rPr>
          <w:rFonts w:ascii="Sakkal Majalla" w:hAnsi="Sakkal Majalla" w:cs="Sakkal Majalla"/>
          <w:sz w:val="28"/>
          <w:lang w:bidi="ar-EG"/>
        </w:rPr>
        <w:t xml:space="preserve"> (</w:t>
      </w:r>
      <w:r w:rsidRPr="0003069F">
        <w:rPr>
          <w:rFonts w:ascii="Sakkal Majalla" w:hAnsi="Sakkal Majalla" w:cs="Sakkal Majalla"/>
          <w:sz w:val="28"/>
          <w:rtl/>
        </w:rPr>
        <w:t>تقرير</w:t>
      </w:r>
      <w:r w:rsidRPr="0003069F">
        <w:rPr>
          <w:rFonts w:ascii="Sakkal Majalla" w:hAnsi="Sakkal Majalla" w:cs="Sakkal Majalla"/>
          <w:sz w:val="28"/>
          <w:lang w:bidi="ar-EG"/>
        </w:rPr>
        <w:t xml:space="preserve"> ZATCA 2025)</w:t>
      </w:r>
      <w:r w:rsidRPr="0003069F">
        <w:rPr>
          <w:rFonts w:ascii="Sakkal Majalla" w:hAnsi="Sakkal Majalla" w:cs="Sakkal Majalla"/>
          <w:sz w:val="28"/>
          <w:rtl/>
        </w:rPr>
        <w:t>، مما يشير إلى فجوة في نموذج الذكاء الاصطناعي متعدد الطبقات  مشابه لما ورد في تقارير</w:t>
      </w:r>
      <w:r w:rsidRPr="0003069F">
        <w:rPr>
          <w:rFonts w:ascii="Sakkal Majalla" w:hAnsi="Sakkal Majalla" w:cs="Sakkal Majalla"/>
          <w:sz w:val="28"/>
          <w:lang w:bidi="ar-EG"/>
        </w:rPr>
        <w:t xml:space="preserve"> WCO Customs 4.0 (2025) </w:t>
      </w:r>
      <w:r w:rsidRPr="0003069F">
        <w:rPr>
          <w:rFonts w:ascii="Sakkal Majalla" w:hAnsi="Sakkal Majalla" w:cs="Sakkal Majalla"/>
          <w:sz w:val="28"/>
          <w:rtl/>
        </w:rPr>
        <w:t>عن الحاجة إلى تطوير نماذج</w:t>
      </w:r>
      <w:r w:rsidRPr="0003069F">
        <w:rPr>
          <w:rFonts w:ascii="Sakkal Majalla" w:hAnsi="Sakkal Majalla" w:cs="Sakkal Majalla"/>
          <w:sz w:val="28"/>
          <w:lang w:bidi="ar-EG"/>
        </w:rPr>
        <w:t xml:space="preserve"> AI </w:t>
      </w:r>
      <w:r w:rsidRPr="0003069F">
        <w:rPr>
          <w:rFonts w:ascii="Sakkal Majalla" w:hAnsi="Sakkal Majalla" w:cs="Sakkal Majalla"/>
          <w:sz w:val="28"/>
          <w:rtl/>
        </w:rPr>
        <w:t>وقائية أكثر تكاملاً</w:t>
      </w:r>
      <w:r w:rsidRPr="0003069F">
        <w:rPr>
          <w:rFonts w:ascii="Sakkal Majalla" w:hAnsi="Sakkal Majalla" w:cs="Sakkal Majalla"/>
          <w:sz w:val="28"/>
          <w:lang w:bidi="ar-EG"/>
        </w:rPr>
        <w:t>.</w:t>
      </w:r>
    </w:p>
    <w:p w14:paraId="4F3909A7" w14:textId="7246DC71" w:rsidR="0003069F" w:rsidRPr="0003069F" w:rsidRDefault="0003069F">
      <w:pPr>
        <w:pStyle w:val="BlockText"/>
        <w:numPr>
          <w:ilvl w:val="0"/>
          <w:numId w:val="132"/>
        </w:numPr>
        <w:spacing w:line="276" w:lineRule="auto"/>
        <w:jc w:val="lowKashida"/>
        <w:rPr>
          <w:rFonts w:ascii="Sakkal Majalla" w:hAnsi="Sakkal Majalla" w:cs="Sakkal Majalla"/>
          <w:sz w:val="28"/>
          <w:lang w:bidi="ar-EG"/>
        </w:rPr>
      </w:pPr>
      <w:r w:rsidRPr="0003069F">
        <w:rPr>
          <w:rFonts w:ascii="Sakkal Majalla" w:hAnsi="Sakkal Majalla" w:cs="Sakkal Majalla"/>
          <w:b/>
          <w:bCs/>
          <w:sz w:val="28"/>
          <w:rtl/>
        </w:rPr>
        <w:t>الحوكمة والامتثال القانوني والسياسي</w:t>
      </w:r>
      <w:r w:rsidRPr="0003069F">
        <w:rPr>
          <w:rFonts w:ascii="Sakkal Majalla" w:hAnsi="Sakkal Majalla" w:cs="Sakkal Majalla"/>
          <w:sz w:val="28"/>
          <w:rtl/>
        </w:rPr>
        <w:t xml:space="preserve"> </w:t>
      </w:r>
      <w:r w:rsidRPr="0003069F">
        <w:rPr>
          <w:rFonts w:ascii="Sakkal Majalla" w:hAnsi="Sakkal Majalla" w:cs="Sakkal Majalla"/>
          <w:sz w:val="28"/>
          <w:lang w:bidi="ar-EG"/>
        </w:rPr>
        <w:t>(</w:t>
      </w:r>
      <w:r w:rsidRPr="0003069F">
        <w:rPr>
          <w:rFonts w:ascii="Sakkal Majalla" w:hAnsi="Sakkal Majalla" w:cs="Sakkal Majalla"/>
          <w:sz w:val="28"/>
          <w:rtl/>
        </w:rPr>
        <w:t>الأبعاد 4+9</w:t>
      </w:r>
      <w:r w:rsidRPr="0003069F">
        <w:rPr>
          <w:rFonts w:ascii="Sakkal Majalla" w:hAnsi="Sakkal Majalla" w:cs="Sakkal Majalla"/>
          <w:sz w:val="28"/>
          <w:lang w:bidi="ar-EG"/>
        </w:rPr>
        <w:t xml:space="preserve">) </w:t>
      </w:r>
      <w:r w:rsidRPr="0003069F">
        <w:rPr>
          <w:rFonts w:ascii="Sakkal Majalla" w:hAnsi="Sakkal Majalla" w:cs="Sakkal Majalla"/>
          <w:sz w:val="28"/>
          <w:rtl/>
        </w:rPr>
        <w:t>الإمارات</w:t>
      </w:r>
      <w:r w:rsidRPr="0003069F">
        <w:rPr>
          <w:rFonts w:ascii="Sakkal Majalla" w:hAnsi="Sakkal Majalla" w:cs="Sakkal Majalla"/>
          <w:sz w:val="28"/>
          <w:lang w:bidi="ar-EG"/>
        </w:rPr>
        <w:t xml:space="preserve"> (FTA) </w:t>
      </w:r>
      <w:r w:rsidRPr="0003069F">
        <w:rPr>
          <w:rFonts w:ascii="Sakkal Majalla" w:hAnsi="Sakkal Majalla" w:cs="Sakkal Majalla"/>
          <w:sz w:val="28"/>
          <w:rtl/>
        </w:rPr>
        <w:t>تفوقت في نموذج</w:t>
      </w:r>
      <w:r w:rsidRPr="0003069F">
        <w:rPr>
          <w:rFonts w:ascii="Sakkal Majalla" w:hAnsi="Sakkal Majalla" w:cs="Sakkal Majalla"/>
          <w:sz w:val="28"/>
          <w:lang w:bidi="ar-EG"/>
        </w:rPr>
        <w:t xml:space="preserve"> Peppol </w:t>
      </w:r>
      <w:r w:rsidRPr="0003069F">
        <w:rPr>
          <w:rFonts w:ascii="Sakkal Majalla" w:hAnsi="Sakkal Majalla" w:cs="Sakkal Majalla"/>
          <w:sz w:val="28"/>
          <w:rtl/>
        </w:rPr>
        <w:t>الدولي</w:t>
      </w:r>
      <w:r w:rsidRPr="0003069F">
        <w:rPr>
          <w:rFonts w:ascii="Sakkal Majalla" w:hAnsi="Sakkal Majalla" w:cs="Sakkal Majalla"/>
          <w:sz w:val="28"/>
          <w:lang w:bidi="ar-EG"/>
        </w:rPr>
        <w:t xml:space="preserve"> (</w:t>
      </w:r>
      <w:r w:rsidRPr="0003069F">
        <w:rPr>
          <w:rFonts w:ascii="Sakkal Majalla" w:hAnsi="Sakkal Majalla" w:cs="Sakkal Majalla"/>
          <w:sz w:val="28"/>
          <w:rtl/>
        </w:rPr>
        <w:t>امتثال 98% مقابل 94% في</w:t>
      </w:r>
      <w:r w:rsidRPr="0003069F">
        <w:rPr>
          <w:rFonts w:ascii="Sakkal Majalla" w:hAnsi="Sakkal Majalla" w:cs="Sakkal Majalla"/>
          <w:sz w:val="28"/>
          <w:lang w:bidi="ar-EG"/>
        </w:rPr>
        <w:t xml:space="preserve"> ZATCA)</w:t>
      </w:r>
      <w:r w:rsidRPr="0003069F">
        <w:rPr>
          <w:rFonts w:ascii="Sakkal Majalla" w:hAnsi="Sakkal Majalla" w:cs="Sakkal Majalla"/>
          <w:sz w:val="28"/>
          <w:rtl/>
        </w:rPr>
        <w:t>، لكن</w:t>
      </w:r>
      <w:r w:rsidRPr="0003069F">
        <w:rPr>
          <w:rFonts w:ascii="Sakkal Majalla" w:hAnsi="Sakkal Majalla" w:cs="Sakkal Majalla"/>
          <w:sz w:val="28"/>
          <w:lang w:bidi="ar-EG"/>
        </w:rPr>
        <w:t xml:space="preserve"> ZATCA </w:t>
      </w:r>
      <w:r w:rsidRPr="0003069F">
        <w:rPr>
          <w:rFonts w:ascii="Sakkal Majalla" w:hAnsi="Sakkal Majalla" w:cs="Sakkal Majalla"/>
          <w:sz w:val="28"/>
          <w:rtl/>
        </w:rPr>
        <w:t>تفوقت في السرعة</w:t>
      </w:r>
      <w:r w:rsidRPr="0003069F">
        <w:rPr>
          <w:rFonts w:ascii="Sakkal Majalla" w:hAnsi="Sakkal Majalla" w:cs="Sakkal Majalla"/>
          <w:sz w:val="28"/>
          <w:lang w:bidi="ar-EG"/>
        </w:rPr>
        <w:t xml:space="preserve"> (Real-time clearance </w:t>
      </w:r>
      <w:r w:rsidRPr="0003069F">
        <w:rPr>
          <w:rFonts w:ascii="Sakkal Majalla" w:hAnsi="Sakkal Majalla" w:cs="Sakkal Majalla"/>
          <w:sz w:val="28"/>
          <w:rtl/>
        </w:rPr>
        <w:t>منذ 2023 مقابل</w:t>
      </w:r>
      <w:r w:rsidRPr="0003069F">
        <w:rPr>
          <w:rFonts w:ascii="Sakkal Majalla" w:hAnsi="Sakkal Majalla" w:cs="Sakkal Majalla"/>
          <w:sz w:val="28"/>
          <w:lang w:bidi="ar-EG"/>
        </w:rPr>
        <w:t xml:space="preserve"> phased </w:t>
      </w:r>
      <w:r w:rsidRPr="0003069F">
        <w:rPr>
          <w:rFonts w:ascii="Sakkal Majalla" w:hAnsi="Sakkal Majalla" w:cs="Sakkal Majalla"/>
          <w:sz w:val="28"/>
          <w:rtl/>
        </w:rPr>
        <w:t>في الإمارات</w:t>
      </w:r>
      <w:r w:rsidRPr="0003069F">
        <w:rPr>
          <w:rFonts w:ascii="Sakkal Majalla" w:hAnsi="Sakkal Majalla" w:cs="Sakkal Majalla"/>
          <w:sz w:val="28"/>
          <w:lang w:bidi="ar-EG"/>
        </w:rPr>
        <w:t xml:space="preserve">) </w:t>
      </w:r>
      <w:r w:rsidRPr="0003069F">
        <w:rPr>
          <w:rFonts w:ascii="Sakkal Majalla" w:hAnsi="Sakkal Majalla" w:cs="Sakkal Majalla"/>
          <w:sz w:val="28"/>
          <w:rtl/>
        </w:rPr>
        <w:t>كما أكدت دراسة</w:t>
      </w:r>
      <w:r w:rsidRPr="0003069F">
        <w:rPr>
          <w:rFonts w:ascii="Sakkal Majalla" w:hAnsi="Sakkal Majalla" w:cs="Sakkal Majalla"/>
          <w:sz w:val="28"/>
          <w:lang w:bidi="ar-EG"/>
        </w:rPr>
        <w:t xml:space="preserve"> EY Saudi Arabia &amp; ZATCA (2025) </w:t>
      </w:r>
      <w:r w:rsidRPr="0003069F">
        <w:rPr>
          <w:rFonts w:ascii="Sakkal Majalla" w:hAnsi="Sakkal Majalla" w:cs="Sakkal Majalla"/>
          <w:sz w:val="28"/>
          <w:rtl/>
        </w:rPr>
        <w:t>و</w:t>
      </w:r>
      <w:r w:rsidRPr="0003069F">
        <w:rPr>
          <w:rFonts w:ascii="Sakkal Majalla" w:hAnsi="Sakkal Majalla" w:cs="Sakkal Majalla"/>
          <w:sz w:val="28"/>
          <w:lang w:bidi="ar-EG"/>
        </w:rPr>
        <w:t xml:space="preserve">Pagero &amp; UnifiedPost Group (2025). </w:t>
      </w:r>
      <w:r w:rsidRPr="0003069F">
        <w:rPr>
          <w:rFonts w:ascii="Sakkal Majalla" w:hAnsi="Sakkal Majalla" w:cs="Sakkal Majalla"/>
          <w:sz w:val="28"/>
          <w:rtl/>
        </w:rPr>
        <w:t>هذا يتوافق مع تقرير</w:t>
      </w:r>
      <w:r w:rsidRPr="0003069F">
        <w:rPr>
          <w:rFonts w:ascii="Sakkal Majalla" w:hAnsi="Sakkal Majalla" w:cs="Sakkal Majalla"/>
          <w:sz w:val="28"/>
          <w:lang w:bidi="ar-EG"/>
        </w:rPr>
        <w:t xml:space="preserve"> UNCTAD Digital Economy Report 2024 </w:t>
      </w:r>
      <w:r w:rsidRPr="0003069F">
        <w:rPr>
          <w:rFonts w:ascii="Sakkal Majalla" w:hAnsi="Sakkal Majalla" w:cs="Sakkal Majalla"/>
          <w:sz w:val="28"/>
          <w:rtl/>
        </w:rPr>
        <w:t>الذي أبرز أن الامتثال الرقمي السريع يعزز التنافسية التجارية</w:t>
      </w:r>
      <w:r w:rsidRPr="0003069F">
        <w:rPr>
          <w:rFonts w:ascii="Sakkal Majalla" w:hAnsi="Sakkal Majalla" w:cs="Sakkal Majalla"/>
          <w:sz w:val="28"/>
          <w:lang w:bidi="ar-EG"/>
        </w:rPr>
        <w:t>.</w:t>
      </w:r>
    </w:p>
    <w:p w14:paraId="5A342402" w14:textId="77777777" w:rsidR="0003069F" w:rsidRPr="0003069F" w:rsidRDefault="0003069F">
      <w:pPr>
        <w:pStyle w:val="BlockText"/>
        <w:numPr>
          <w:ilvl w:val="0"/>
          <w:numId w:val="132"/>
        </w:numPr>
        <w:spacing w:line="276" w:lineRule="auto"/>
        <w:jc w:val="lowKashida"/>
        <w:rPr>
          <w:rFonts w:ascii="Sakkal Majalla" w:hAnsi="Sakkal Majalla" w:cs="Sakkal Majalla"/>
          <w:sz w:val="28"/>
          <w:lang w:bidi="ar-EG"/>
        </w:rPr>
      </w:pPr>
      <w:r w:rsidRPr="0003069F">
        <w:rPr>
          <w:rFonts w:ascii="Sakkal Majalla" w:hAnsi="Sakkal Majalla" w:cs="Sakkal Majalla"/>
          <w:b/>
          <w:bCs/>
          <w:sz w:val="28"/>
          <w:rtl/>
        </w:rPr>
        <w:lastRenderedPageBreak/>
        <w:t>التكامل المؤسسي والشراكات الاستراتيجية</w:t>
      </w:r>
      <w:r w:rsidRPr="0003069F">
        <w:rPr>
          <w:rFonts w:ascii="Sakkal Majalla" w:hAnsi="Sakkal Majalla" w:cs="Sakkal Majalla"/>
          <w:sz w:val="28"/>
          <w:rtl/>
        </w:rPr>
        <w:t xml:space="preserve"> </w:t>
      </w:r>
      <w:r w:rsidRPr="0003069F">
        <w:rPr>
          <w:rFonts w:ascii="Sakkal Majalla" w:hAnsi="Sakkal Majalla" w:cs="Sakkal Majalla"/>
          <w:sz w:val="28"/>
          <w:lang w:bidi="ar-EG"/>
        </w:rPr>
        <w:t>(</w:t>
      </w:r>
      <w:r w:rsidRPr="0003069F">
        <w:rPr>
          <w:rFonts w:ascii="Sakkal Majalla" w:hAnsi="Sakkal Majalla" w:cs="Sakkal Majalla"/>
          <w:sz w:val="28"/>
          <w:rtl/>
        </w:rPr>
        <w:t>البعد 3</w:t>
      </w:r>
      <w:r w:rsidRPr="0003069F">
        <w:rPr>
          <w:rFonts w:ascii="Sakkal Majalla" w:hAnsi="Sakkal Majalla" w:cs="Sakkal Majalla"/>
          <w:sz w:val="28"/>
          <w:lang w:bidi="ar-EG"/>
        </w:rPr>
        <w:t xml:space="preserve">) </w:t>
      </w:r>
      <w:r w:rsidRPr="0003069F">
        <w:rPr>
          <w:rFonts w:ascii="Sakkal Majalla" w:hAnsi="Sakkal Majalla" w:cs="Sakkal Majalla"/>
          <w:sz w:val="28"/>
          <w:rtl/>
        </w:rPr>
        <w:t>سنغافورة</w:t>
      </w:r>
      <w:r w:rsidRPr="0003069F">
        <w:rPr>
          <w:rFonts w:ascii="Sakkal Majalla" w:hAnsi="Sakkal Majalla" w:cs="Sakkal Majalla"/>
          <w:sz w:val="28"/>
          <w:lang w:bidi="ar-EG"/>
        </w:rPr>
        <w:t xml:space="preserve"> (Networked Trade Platform) </w:t>
      </w:r>
      <w:r w:rsidRPr="0003069F">
        <w:rPr>
          <w:rFonts w:ascii="Sakkal Majalla" w:hAnsi="Sakkal Majalla" w:cs="Sakkal Majalla"/>
          <w:sz w:val="28"/>
          <w:rtl/>
        </w:rPr>
        <w:t>ربطت 100% من الجهات مقابل 70 جهة في</w:t>
      </w:r>
      <w:r w:rsidRPr="0003069F">
        <w:rPr>
          <w:rFonts w:ascii="Sakkal Majalla" w:hAnsi="Sakkal Majalla" w:cs="Sakkal Majalla"/>
          <w:sz w:val="28"/>
          <w:lang w:bidi="ar-EG"/>
        </w:rPr>
        <w:t xml:space="preserve"> ZATCA (WCO Customs 4.0 Benchmark 2025). </w:t>
      </w:r>
      <w:r w:rsidRPr="0003069F">
        <w:rPr>
          <w:rFonts w:ascii="Sakkal Majalla" w:hAnsi="Sakkal Majalla" w:cs="Sakkal Majalla"/>
          <w:sz w:val="28"/>
          <w:rtl/>
        </w:rPr>
        <w:t>ومع ذلك، حققت</w:t>
      </w:r>
      <w:r w:rsidRPr="0003069F">
        <w:rPr>
          <w:rFonts w:ascii="Sakkal Majalla" w:hAnsi="Sakkal Majalla" w:cs="Sakkal Majalla"/>
          <w:sz w:val="28"/>
          <w:lang w:bidi="ar-EG"/>
        </w:rPr>
        <w:t xml:space="preserve"> ZATCA </w:t>
      </w:r>
      <w:r w:rsidRPr="0003069F">
        <w:rPr>
          <w:rFonts w:ascii="Sakkal Majalla" w:hAnsi="Sakkal Majalla" w:cs="Sakkal Majalla"/>
          <w:sz w:val="28"/>
          <w:rtl/>
        </w:rPr>
        <w:t>تكاملاً أسرع إقليميًا، مما يدعم نتائج دراسات</w:t>
      </w:r>
      <w:r w:rsidRPr="0003069F">
        <w:rPr>
          <w:rFonts w:ascii="Sakkal Majalla" w:hAnsi="Sakkal Majalla" w:cs="Sakkal Majalla"/>
          <w:sz w:val="28"/>
          <w:lang w:bidi="ar-EG"/>
        </w:rPr>
        <w:t xml:space="preserve"> WCO </w:t>
      </w:r>
      <w:r w:rsidRPr="0003069F">
        <w:rPr>
          <w:rFonts w:ascii="Sakkal Majalla" w:hAnsi="Sakkal Majalla" w:cs="Sakkal Majalla"/>
          <w:sz w:val="28"/>
          <w:rtl/>
        </w:rPr>
        <w:t>حول أهمية النافذة الواحدة في تقليل التكاليف الإدارية</w:t>
      </w:r>
      <w:r w:rsidRPr="0003069F">
        <w:rPr>
          <w:rFonts w:ascii="Sakkal Majalla" w:hAnsi="Sakkal Majalla" w:cs="Sakkal Majalla"/>
          <w:sz w:val="28"/>
          <w:lang w:bidi="ar-EG"/>
        </w:rPr>
        <w:t>.</w:t>
      </w:r>
    </w:p>
    <w:p w14:paraId="1D56407D" w14:textId="77777777" w:rsidR="0003069F" w:rsidRPr="0003069F" w:rsidRDefault="0003069F">
      <w:pPr>
        <w:pStyle w:val="BlockText"/>
        <w:numPr>
          <w:ilvl w:val="0"/>
          <w:numId w:val="132"/>
        </w:numPr>
        <w:spacing w:line="276" w:lineRule="auto"/>
        <w:jc w:val="lowKashida"/>
        <w:rPr>
          <w:rFonts w:ascii="Sakkal Majalla" w:hAnsi="Sakkal Majalla" w:cs="Sakkal Majalla"/>
          <w:sz w:val="28"/>
          <w:lang w:bidi="ar-EG"/>
        </w:rPr>
      </w:pPr>
      <w:r w:rsidRPr="0003069F">
        <w:rPr>
          <w:rFonts w:ascii="Sakkal Majalla" w:hAnsi="Sakkal Majalla" w:cs="Sakkal Majalla"/>
          <w:b/>
          <w:bCs/>
          <w:sz w:val="28"/>
          <w:rtl/>
        </w:rPr>
        <w:t>الكفاءة الاقتصادية والتكنولوجية</w:t>
      </w:r>
      <w:r w:rsidRPr="0003069F">
        <w:rPr>
          <w:rFonts w:ascii="Sakkal Majalla" w:hAnsi="Sakkal Majalla" w:cs="Sakkal Majalla"/>
          <w:sz w:val="28"/>
          <w:rtl/>
        </w:rPr>
        <w:t xml:space="preserve"> </w:t>
      </w:r>
      <w:r w:rsidRPr="0003069F">
        <w:rPr>
          <w:rFonts w:ascii="Sakkal Majalla" w:hAnsi="Sakkal Majalla" w:cs="Sakkal Majalla"/>
          <w:sz w:val="28"/>
          <w:lang w:bidi="ar-EG"/>
        </w:rPr>
        <w:t>(</w:t>
      </w:r>
      <w:r w:rsidRPr="0003069F">
        <w:rPr>
          <w:rFonts w:ascii="Sakkal Majalla" w:hAnsi="Sakkal Majalla" w:cs="Sakkal Majalla"/>
          <w:sz w:val="28"/>
          <w:rtl/>
        </w:rPr>
        <w:t>الأبعاد 6+7</w:t>
      </w:r>
      <w:r w:rsidRPr="0003069F">
        <w:rPr>
          <w:rFonts w:ascii="Sakkal Majalla" w:hAnsi="Sakkal Majalla" w:cs="Sakkal Majalla"/>
          <w:sz w:val="28"/>
          <w:lang w:bidi="ar-EG"/>
        </w:rPr>
        <w:t xml:space="preserve">) </w:t>
      </w:r>
      <w:r w:rsidRPr="0003069F">
        <w:rPr>
          <w:rFonts w:ascii="Sakkal Majalla" w:hAnsi="Sakkal Majalla" w:cs="Sakkal Majalla"/>
          <w:sz w:val="28"/>
          <w:rtl/>
        </w:rPr>
        <w:t>سنغافورة خفضت زمن الإفراج إلى أقل من ساعة في 85% من الشحنات مقابل ساعتين في</w:t>
      </w:r>
      <w:r w:rsidRPr="0003069F">
        <w:rPr>
          <w:rFonts w:ascii="Sakkal Majalla" w:hAnsi="Sakkal Majalla" w:cs="Sakkal Majalla"/>
          <w:sz w:val="28"/>
          <w:lang w:bidi="ar-EG"/>
        </w:rPr>
        <w:t xml:space="preserve"> ZATCA</w:t>
      </w:r>
      <w:r w:rsidRPr="0003069F">
        <w:rPr>
          <w:rFonts w:ascii="Sakkal Majalla" w:hAnsi="Sakkal Majalla" w:cs="Sakkal Majalla"/>
          <w:sz w:val="28"/>
          <w:rtl/>
        </w:rPr>
        <w:t>، مع خفض تكاليف شحن بنسبة 25</w:t>
      </w:r>
      <w:r w:rsidRPr="0003069F">
        <w:rPr>
          <w:rFonts w:ascii="Sakkal Majalla" w:hAnsi="Sakkal Majalla" w:cs="Sakkal Majalla"/>
          <w:sz w:val="28"/>
          <w:lang w:bidi="ar-EG"/>
        </w:rPr>
        <w:t xml:space="preserve">% (WCO 2025). </w:t>
      </w:r>
      <w:r w:rsidRPr="0003069F">
        <w:rPr>
          <w:rFonts w:ascii="Sakkal Majalla" w:hAnsi="Sakkal Majalla" w:cs="Sakkal Majalla"/>
          <w:sz w:val="28"/>
          <w:rtl/>
        </w:rPr>
        <w:t>هذا يتطابق مع توصيات</w:t>
      </w:r>
      <w:r w:rsidRPr="0003069F">
        <w:rPr>
          <w:rFonts w:ascii="Sakkal Majalla" w:hAnsi="Sakkal Majalla" w:cs="Sakkal Majalla"/>
          <w:sz w:val="28"/>
          <w:lang w:bidi="ar-EG"/>
        </w:rPr>
        <w:t xml:space="preserve"> WCO </w:t>
      </w:r>
      <w:r w:rsidRPr="0003069F">
        <w:rPr>
          <w:rFonts w:ascii="Sakkal Majalla" w:hAnsi="Sakkal Majalla" w:cs="Sakkal Majalla"/>
          <w:sz w:val="28"/>
          <w:rtl/>
        </w:rPr>
        <w:t>حول تسريع تبني</w:t>
      </w:r>
      <w:r w:rsidRPr="0003069F">
        <w:rPr>
          <w:rFonts w:ascii="Sakkal Majalla" w:hAnsi="Sakkal Majalla" w:cs="Sakkal Majalla"/>
          <w:sz w:val="28"/>
          <w:lang w:bidi="ar-EG"/>
        </w:rPr>
        <w:t xml:space="preserve"> Blockchain </w:t>
      </w:r>
      <w:r w:rsidRPr="0003069F">
        <w:rPr>
          <w:rFonts w:ascii="Sakkal Majalla" w:hAnsi="Sakkal Majalla" w:cs="Sakkal Majalla"/>
          <w:sz w:val="28"/>
          <w:rtl/>
        </w:rPr>
        <w:t>لتحسين سلاسل التوريد، كما في تقارير</w:t>
      </w:r>
      <w:r w:rsidRPr="0003069F">
        <w:rPr>
          <w:rFonts w:ascii="Sakkal Majalla" w:hAnsi="Sakkal Majalla" w:cs="Sakkal Majalla"/>
          <w:sz w:val="28"/>
          <w:lang w:bidi="ar-EG"/>
        </w:rPr>
        <w:t xml:space="preserve"> UN Global Survey on Digital and Sustainable Trade Facilitation 2025.</w:t>
      </w:r>
    </w:p>
    <w:p w14:paraId="10F4B422" w14:textId="77777777" w:rsidR="0003069F" w:rsidRPr="0003069F" w:rsidRDefault="0003069F">
      <w:pPr>
        <w:pStyle w:val="BlockText"/>
        <w:numPr>
          <w:ilvl w:val="0"/>
          <w:numId w:val="132"/>
        </w:numPr>
        <w:spacing w:line="276" w:lineRule="auto"/>
        <w:jc w:val="lowKashida"/>
        <w:rPr>
          <w:rFonts w:ascii="Sakkal Majalla" w:hAnsi="Sakkal Majalla" w:cs="Sakkal Majalla"/>
          <w:sz w:val="28"/>
          <w:lang w:bidi="ar-EG"/>
        </w:rPr>
      </w:pPr>
      <w:r w:rsidRPr="0003069F">
        <w:rPr>
          <w:rFonts w:ascii="Sakkal Majalla" w:hAnsi="Sakkal Majalla" w:cs="Sakkal Majalla"/>
          <w:b/>
          <w:bCs/>
          <w:sz w:val="28"/>
          <w:rtl/>
        </w:rPr>
        <w:t>الاستدامة البيئية والاجتماعية</w:t>
      </w:r>
      <w:r w:rsidRPr="0003069F">
        <w:rPr>
          <w:rFonts w:ascii="Sakkal Majalla" w:hAnsi="Sakkal Majalla" w:cs="Sakkal Majalla"/>
          <w:sz w:val="28"/>
          <w:rtl/>
        </w:rPr>
        <w:t xml:space="preserve"> </w:t>
      </w:r>
      <w:r w:rsidRPr="0003069F">
        <w:rPr>
          <w:rFonts w:ascii="Sakkal Majalla" w:hAnsi="Sakkal Majalla" w:cs="Sakkal Majalla"/>
          <w:sz w:val="28"/>
          <w:lang w:bidi="ar-EG"/>
        </w:rPr>
        <w:t>(</w:t>
      </w:r>
      <w:r w:rsidRPr="0003069F">
        <w:rPr>
          <w:rFonts w:ascii="Sakkal Majalla" w:hAnsi="Sakkal Majalla" w:cs="Sakkal Majalla"/>
          <w:sz w:val="28"/>
          <w:rtl/>
        </w:rPr>
        <w:t>الأبعاد 5+8</w:t>
      </w:r>
      <w:r w:rsidRPr="0003069F">
        <w:rPr>
          <w:rFonts w:ascii="Sakkal Majalla" w:hAnsi="Sakkal Majalla" w:cs="Sakkal Majalla"/>
          <w:sz w:val="28"/>
          <w:lang w:bidi="ar-EG"/>
        </w:rPr>
        <w:t xml:space="preserve">) </w:t>
      </w:r>
      <w:r w:rsidRPr="0003069F">
        <w:rPr>
          <w:rFonts w:ascii="Sakkal Majalla" w:hAnsi="Sakkal Majalla" w:cs="Sakkal Majalla"/>
          <w:sz w:val="28"/>
          <w:rtl/>
        </w:rPr>
        <w:t>إستونيا</w:t>
      </w:r>
      <w:r w:rsidRPr="0003069F">
        <w:rPr>
          <w:rFonts w:ascii="Sakkal Majalla" w:hAnsi="Sakkal Majalla" w:cs="Sakkal Majalla"/>
          <w:sz w:val="28"/>
          <w:lang w:bidi="ar-EG"/>
        </w:rPr>
        <w:t xml:space="preserve"> (X-Road) </w:t>
      </w:r>
      <w:r w:rsidRPr="0003069F">
        <w:rPr>
          <w:rFonts w:ascii="Sakkal Majalla" w:hAnsi="Sakkal Majalla" w:cs="Sakkal Majalla"/>
          <w:sz w:val="28"/>
          <w:rtl/>
        </w:rPr>
        <w:t>خفضت البصمة الكربونية بنسبة 43% عبر الخدمات الرقمية الكاملة</w:t>
      </w:r>
      <w:r w:rsidRPr="0003069F">
        <w:rPr>
          <w:rFonts w:ascii="Sakkal Majalla" w:hAnsi="Sakkal Majalla" w:cs="Sakkal Majalla"/>
          <w:sz w:val="28"/>
          <w:lang w:bidi="ar-EG"/>
        </w:rPr>
        <w:t xml:space="preserve"> (UN EGDI 2024/2025 </w:t>
      </w:r>
      <w:r w:rsidRPr="0003069F">
        <w:rPr>
          <w:rFonts w:ascii="Sakkal Majalla" w:hAnsi="Sakkal Majalla" w:cs="Sakkal Majalla"/>
          <w:sz w:val="28"/>
          <w:rtl/>
        </w:rPr>
        <w:t>وتقارير</w:t>
      </w:r>
      <w:r w:rsidRPr="0003069F">
        <w:rPr>
          <w:rFonts w:ascii="Sakkal Majalla" w:hAnsi="Sakkal Majalla" w:cs="Sakkal Majalla"/>
          <w:sz w:val="28"/>
          <w:lang w:bidi="ar-EG"/>
        </w:rPr>
        <w:t xml:space="preserve"> e-Estonia 2022–2024). </w:t>
      </w:r>
      <w:r w:rsidRPr="0003069F">
        <w:rPr>
          <w:rFonts w:ascii="Sakkal Majalla" w:hAnsi="Sakkal Majalla" w:cs="Sakkal Majalla"/>
          <w:sz w:val="28"/>
          <w:rtl/>
        </w:rPr>
        <w:t>أما</w:t>
      </w:r>
      <w:r w:rsidRPr="0003069F">
        <w:rPr>
          <w:rFonts w:ascii="Sakkal Majalla" w:hAnsi="Sakkal Majalla" w:cs="Sakkal Majalla"/>
          <w:sz w:val="28"/>
          <w:lang w:bidi="ar-EG"/>
        </w:rPr>
        <w:t xml:space="preserve"> ZATCA </w:t>
      </w:r>
      <w:r w:rsidRPr="0003069F">
        <w:rPr>
          <w:rFonts w:ascii="Sakkal Majalla" w:hAnsi="Sakkal Majalla" w:cs="Sakkal Majalla"/>
          <w:sz w:val="28"/>
          <w:rtl/>
        </w:rPr>
        <w:t>فتتوقع 28% بحلول 2030 (مبادرة السعودية الخضراء)، مع تفوق اجتماعي (دعم المنتج الوطني). دراسة</w:t>
      </w:r>
      <w:r w:rsidRPr="0003069F">
        <w:rPr>
          <w:rFonts w:ascii="Sakkal Majalla" w:hAnsi="Sakkal Majalla" w:cs="Sakkal Majalla"/>
          <w:sz w:val="28"/>
          <w:lang w:bidi="ar-EG"/>
        </w:rPr>
        <w:t xml:space="preserve"> UNCTAD Digital Economy Report 2024 </w:t>
      </w:r>
      <w:r w:rsidRPr="0003069F">
        <w:rPr>
          <w:rFonts w:ascii="Sakkal Majalla" w:hAnsi="Sakkal Majalla" w:cs="Sakkal Majalla"/>
          <w:sz w:val="28"/>
          <w:rtl/>
        </w:rPr>
        <w:t>أكدت أن الرقمنة الخضراء تقلل الانبعاثات بنسبة 15–30% في الدول الرائدة، لكن تحتاج إلى سياسات بيئية أقوى في دول الخليج</w:t>
      </w:r>
      <w:r w:rsidRPr="0003069F">
        <w:rPr>
          <w:rFonts w:ascii="Sakkal Majalla" w:hAnsi="Sakkal Majalla" w:cs="Sakkal Majalla"/>
          <w:sz w:val="28"/>
          <w:lang w:bidi="ar-EG"/>
        </w:rPr>
        <w:t>.</w:t>
      </w:r>
    </w:p>
    <w:p w14:paraId="16AF4316" w14:textId="77777777" w:rsidR="0003069F" w:rsidRPr="0003069F" w:rsidRDefault="0003069F">
      <w:pPr>
        <w:pStyle w:val="BlockText"/>
        <w:numPr>
          <w:ilvl w:val="0"/>
          <w:numId w:val="132"/>
        </w:numPr>
        <w:spacing w:line="276" w:lineRule="auto"/>
        <w:jc w:val="lowKashida"/>
        <w:rPr>
          <w:rFonts w:ascii="Sakkal Majalla" w:hAnsi="Sakkal Majalla" w:cs="Sakkal Majalla"/>
          <w:sz w:val="28"/>
          <w:lang w:bidi="ar-EG"/>
        </w:rPr>
      </w:pPr>
      <w:r w:rsidRPr="0003069F">
        <w:rPr>
          <w:rFonts w:ascii="Sakkal Majalla" w:hAnsi="Sakkal Majalla" w:cs="Sakkal Majalla"/>
          <w:b/>
          <w:bCs/>
          <w:sz w:val="28"/>
          <w:rtl/>
        </w:rPr>
        <w:t>الابتكار في إدارة المخاطر التنبؤية</w:t>
      </w:r>
      <w:r w:rsidRPr="0003069F">
        <w:rPr>
          <w:rFonts w:ascii="Sakkal Majalla" w:hAnsi="Sakkal Majalla" w:cs="Sakkal Majalla"/>
          <w:sz w:val="28"/>
          <w:rtl/>
        </w:rPr>
        <w:t xml:space="preserve"> كوريا الجنوبية حققت دقة تنبؤية 94% مقابل 81% في</w:t>
      </w:r>
      <w:r w:rsidRPr="0003069F">
        <w:rPr>
          <w:rFonts w:ascii="Sakkal Majalla" w:hAnsi="Sakkal Majalla" w:cs="Sakkal Majalla"/>
          <w:sz w:val="28"/>
          <w:lang w:bidi="ar-EG"/>
        </w:rPr>
        <w:t xml:space="preserve"> ZATCA (Alharbi &amp; Qureshi, 2025). </w:t>
      </w:r>
      <w:r w:rsidRPr="0003069F">
        <w:rPr>
          <w:rFonts w:ascii="Sakkal Majalla" w:hAnsi="Sakkal Majalla" w:cs="Sakkal Majalla"/>
          <w:sz w:val="28"/>
          <w:rtl/>
        </w:rPr>
        <w:t>تقرير</w:t>
      </w:r>
      <w:r w:rsidRPr="0003069F">
        <w:rPr>
          <w:rFonts w:ascii="Sakkal Majalla" w:hAnsi="Sakkal Majalla" w:cs="Sakkal Majalla"/>
          <w:sz w:val="28"/>
          <w:lang w:bidi="ar-EG"/>
        </w:rPr>
        <w:t xml:space="preserve"> WCO Time Release Study Guide Version 4 (2025) </w:t>
      </w:r>
      <w:r w:rsidRPr="0003069F">
        <w:rPr>
          <w:rFonts w:ascii="Sakkal Majalla" w:hAnsi="Sakkal Majalla" w:cs="Sakkal Majalla"/>
          <w:sz w:val="28"/>
          <w:rtl/>
        </w:rPr>
        <w:t>أبرز أن نماذج</w:t>
      </w:r>
      <w:r w:rsidRPr="0003069F">
        <w:rPr>
          <w:rFonts w:ascii="Sakkal Majalla" w:hAnsi="Sakkal Majalla" w:cs="Sakkal Majalla"/>
          <w:sz w:val="28"/>
          <w:lang w:bidi="ar-EG"/>
        </w:rPr>
        <w:t xml:space="preserve"> AI </w:t>
      </w:r>
      <w:r w:rsidRPr="0003069F">
        <w:rPr>
          <w:rFonts w:ascii="Sakkal Majalla" w:hAnsi="Sakkal Majalla" w:cs="Sakkal Majalla"/>
          <w:sz w:val="28"/>
          <w:rtl/>
        </w:rPr>
        <w:t>التنبؤية تقلل زمن الإفراج بنسبة 30–50% في الدول المتقدمة، مما يشير إلى فرصة كبيرة لـ</w:t>
      </w:r>
      <w:r w:rsidRPr="0003069F">
        <w:rPr>
          <w:rFonts w:ascii="Sakkal Majalla" w:hAnsi="Sakkal Majalla" w:cs="Sakkal Majalla"/>
          <w:sz w:val="28"/>
          <w:lang w:bidi="ar-EG"/>
        </w:rPr>
        <w:t xml:space="preserve"> ZATCA </w:t>
      </w:r>
      <w:r w:rsidRPr="0003069F">
        <w:rPr>
          <w:rFonts w:ascii="Sakkal Majalla" w:hAnsi="Sakkal Majalla" w:cs="Sakkal Majalla"/>
          <w:sz w:val="28"/>
          <w:rtl/>
        </w:rPr>
        <w:t>في تطوير هذا المجال</w:t>
      </w:r>
      <w:r w:rsidRPr="0003069F">
        <w:rPr>
          <w:rFonts w:ascii="Sakkal Majalla" w:hAnsi="Sakkal Majalla" w:cs="Sakkal Majalla"/>
          <w:sz w:val="28"/>
          <w:lang w:bidi="ar-EG"/>
        </w:rPr>
        <w:t>.</w:t>
      </w:r>
    </w:p>
    <w:p w14:paraId="5CAD6873"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b/>
          <w:bCs/>
          <w:sz w:val="28"/>
          <w:rtl/>
        </w:rPr>
        <w:t>الخلاصة المقارنة والربط بالدراسات السابقة</w:t>
      </w:r>
      <w:r w:rsidRPr="0003069F">
        <w:rPr>
          <w:rFonts w:ascii="Sakkal Majalla" w:hAnsi="Sakkal Majalla" w:cs="Sakkal Majalla"/>
          <w:sz w:val="28"/>
          <w:rtl/>
        </w:rPr>
        <w:t xml:space="preserve"> تحتل</w:t>
      </w:r>
      <w:r w:rsidRPr="0003069F">
        <w:rPr>
          <w:rFonts w:ascii="Sakkal Majalla" w:hAnsi="Sakkal Majalla" w:cs="Sakkal Majalla"/>
          <w:sz w:val="28"/>
          <w:lang w:bidi="ar-EG"/>
        </w:rPr>
        <w:t xml:space="preserve"> ZATCA </w:t>
      </w:r>
      <w:r w:rsidRPr="0003069F">
        <w:rPr>
          <w:rFonts w:ascii="Sakkal Majalla" w:hAnsi="Sakkal Majalla" w:cs="Sakkal Majalla"/>
          <w:sz w:val="28"/>
          <w:rtl/>
        </w:rPr>
        <w:t>مركزًا متقدمًا إقليميًا (تفوق على الإمارات في السرعة والامتثال، وتقارب مع سنغافورة في الكفاءة الاقتصادية)، لكنها لا تزال خلف كوريا الجنوبية وإستونيا في الابتكار التنبؤي والاستدامة البيئية. هذا يتوافق مع تقارير</w:t>
      </w:r>
      <w:r w:rsidRPr="0003069F">
        <w:rPr>
          <w:rFonts w:ascii="Sakkal Majalla" w:hAnsi="Sakkal Majalla" w:cs="Sakkal Majalla"/>
          <w:sz w:val="28"/>
          <w:lang w:bidi="ar-EG"/>
        </w:rPr>
        <w:t xml:space="preserve"> WCO (2025) </w:t>
      </w:r>
      <w:r w:rsidRPr="0003069F">
        <w:rPr>
          <w:rFonts w:ascii="Sakkal Majalla" w:hAnsi="Sakkal Majalla" w:cs="Sakkal Majalla"/>
          <w:sz w:val="28"/>
          <w:rtl/>
        </w:rPr>
        <w:t>و</w:t>
      </w:r>
      <w:r w:rsidRPr="0003069F">
        <w:rPr>
          <w:rFonts w:ascii="Sakkal Majalla" w:hAnsi="Sakkal Majalla" w:cs="Sakkal Majalla"/>
          <w:sz w:val="28"/>
          <w:lang w:bidi="ar-EG"/>
        </w:rPr>
        <w:t xml:space="preserve">UN EGDI (2024/2025) </w:t>
      </w:r>
      <w:r w:rsidRPr="0003069F">
        <w:rPr>
          <w:rFonts w:ascii="Sakkal Majalla" w:hAnsi="Sakkal Majalla" w:cs="Sakkal Majalla"/>
          <w:sz w:val="28"/>
          <w:rtl/>
        </w:rPr>
        <w:t>التي تؤكد أن الدول الرائدة (مثل إستونيا) تحقق انخفاضًا في البصمة الكربونية بنسبة 40%+ عبر الرقمنة الكاملة، بينما تحتاج دول الخليج تعزيز السياسات البيئية والذكاء الاصطناعي الوقائي. النتائج تدعم دراسات سابقة</w:t>
      </w:r>
      <w:r w:rsidRPr="0003069F">
        <w:rPr>
          <w:rFonts w:ascii="Sakkal Majalla" w:hAnsi="Sakkal Majalla" w:cs="Sakkal Majalla"/>
          <w:sz w:val="28"/>
          <w:lang w:bidi="ar-EG"/>
        </w:rPr>
        <w:t xml:space="preserve"> (</w:t>
      </w:r>
      <w:r w:rsidRPr="0003069F">
        <w:rPr>
          <w:rFonts w:ascii="Sakkal Majalla" w:hAnsi="Sakkal Majalla" w:cs="Sakkal Majalla"/>
          <w:sz w:val="28"/>
          <w:rtl/>
        </w:rPr>
        <w:t>مثل</w:t>
      </w:r>
      <w:r w:rsidRPr="0003069F">
        <w:rPr>
          <w:rFonts w:ascii="Sakkal Majalla" w:hAnsi="Sakkal Majalla" w:cs="Sakkal Majalla"/>
          <w:sz w:val="28"/>
          <w:lang w:bidi="ar-EG"/>
        </w:rPr>
        <w:t xml:space="preserve"> Hanelt et al., 2021) </w:t>
      </w:r>
      <w:r w:rsidRPr="0003069F">
        <w:rPr>
          <w:rFonts w:ascii="Sakkal Majalla" w:hAnsi="Sakkal Majalla" w:cs="Sakkal Majalla"/>
          <w:sz w:val="28"/>
          <w:rtl/>
        </w:rPr>
        <w:t>بأن التحول الرقمي يحتاج توازنًا بين الأمن والتيسير والاستدامة لتحقيق تنافسية عالمية مستدامة</w:t>
      </w:r>
      <w:r w:rsidRPr="0003069F">
        <w:rPr>
          <w:rFonts w:ascii="Sakkal Majalla" w:hAnsi="Sakkal Majalla" w:cs="Sakkal Majalla"/>
          <w:sz w:val="28"/>
          <w:lang w:bidi="ar-EG"/>
        </w:rPr>
        <w:t>.</w:t>
      </w:r>
    </w:p>
    <w:p w14:paraId="5429445E" w14:textId="0B4FFE04" w:rsidR="00C869FF" w:rsidRPr="00C869FF" w:rsidRDefault="00C869FF" w:rsidP="00C869FF">
      <w:pPr>
        <w:pStyle w:val="BlockText"/>
        <w:spacing w:line="276" w:lineRule="auto"/>
        <w:jc w:val="lowKashida"/>
        <w:rPr>
          <w:rFonts w:ascii="Sakkal Majalla" w:hAnsi="Sakkal Majalla" w:cs="Sakkal Majalla"/>
          <w:sz w:val="28"/>
          <w:lang w:bidi="ar-EG"/>
        </w:rPr>
      </w:pPr>
      <w:r w:rsidRPr="00C869FF">
        <w:rPr>
          <w:rFonts w:ascii="Sakkal Majalla" w:hAnsi="Sakkal Majalla" w:cs="Sakkal Majalla"/>
          <w:sz w:val="28"/>
          <w:rtl/>
          <w:lang w:bidi="ar-EG"/>
        </w:rPr>
        <w:t xml:space="preserve">جمارك سنغافورة تُعد نموذجًا عالميًا رائدًا في </w:t>
      </w:r>
      <w:r w:rsidRPr="00C869FF">
        <w:rPr>
          <w:rFonts w:ascii="Sakkal Majalla" w:hAnsi="Sakkal Majalla" w:cs="Sakkal Majalla"/>
          <w:b/>
          <w:bCs/>
          <w:sz w:val="28"/>
          <w:rtl/>
          <w:lang w:bidi="ar-EG"/>
        </w:rPr>
        <w:t>تيسير التجارة الرقمية</w:t>
      </w:r>
      <w:r w:rsidRPr="00C869FF">
        <w:rPr>
          <w:rFonts w:ascii="Sakkal Majalla" w:hAnsi="Sakkal Majalla" w:cs="Sakkal Majalla"/>
          <w:sz w:val="28"/>
          <w:rtl/>
          <w:lang w:bidi="ar-EG"/>
        </w:rPr>
        <w:t xml:space="preserve"> مع توازن استثنائي بين الأمن والكفاءة التشغيلية. تعتمد على </w:t>
      </w:r>
      <w:r w:rsidRPr="00C869FF">
        <w:rPr>
          <w:rFonts w:ascii="Sakkal Majalla" w:hAnsi="Sakkal Majalla" w:cs="Sakkal Majalla"/>
          <w:b/>
          <w:bCs/>
          <w:sz w:val="28"/>
          <w:lang w:bidi="ar-EG"/>
        </w:rPr>
        <w:t>TradeNet</w:t>
      </w:r>
      <w:r w:rsidRPr="00C869FF">
        <w:rPr>
          <w:rFonts w:ascii="Sakkal Majalla" w:hAnsi="Sakkal Majalla" w:cs="Sakkal Majalla"/>
          <w:sz w:val="28"/>
          <w:rtl/>
          <w:lang w:bidi="ar-EG"/>
        </w:rPr>
        <w:t xml:space="preserve"> (أول نظام نافذة واحدة وطنية في العالم منذ 1989)، ومنصة </w:t>
      </w:r>
      <w:r w:rsidRPr="00C869FF">
        <w:rPr>
          <w:rFonts w:ascii="Sakkal Majalla" w:hAnsi="Sakkal Majalla" w:cs="Sakkal Majalla"/>
          <w:sz w:val="28"/>
          <w:lang w:bidi="ar-EG"/>
        </w:rPr>
        <w:t>(NTP)</w:t>
      </w:r>
      <w:r w:rsidRPr="00C869FF">
        <w:rPr>
          <w:rFonts w:ascii="Sakkal Majalla" w:hAnsi="Sakkal Majalla" w:cs="Sakkal Majalla"/>
          <w:sz w:val="28"/>
          <w:rtl/>
          <w:lang w:bidi="ar-EG"/>
        </w:rPr>
        <w:t xml:space="preserve"> منذ 2018، وأحدث إضافة </w:t>
      </w:r>
      <w:r w:rsidRPr="00C869FF">
        <w:rPr>
          <w:rFonts w:ascii="Sakkal Majalla" w:hAnsi="Sakkal Majalla" w:cs="Sakkal Majalla"/>
          <w:b/>
          <w:bCs/>
          <w:sz w:val="28"/>
          <w:lang w:bidi="ar-EG"/>
        </w:rPr>
        <w:t>DAISY</w:t>
      </w:r>
      <w:r w:rsidRPr="00C869FF">
        <w:rPr>
          <w:rFonts w:ascii="Sakkal Majalla" w:hAnsi="Sakkal Majalla" w:cs="Sakkal Majalla"/>
          <w:sz w:val="28"/>
          <w:lang w:bidi="ar-EG"/>
        </w:rPr>
        <w:t xml:space="preserve"> (Data Analytics and AI System)</w:t>
      </w:r>
      <w:r w:rsidRPr="00C869FF">
        <w:rPr>
          <w:rFonts w:ascii="Sakkal Majalla" w:hAnsi="Sakkal Majalla" w:cs="Sakkal Majalla"/>
          <w:sz w:val="28"/>
          <w:rtl/>
          <w:lang w:bidi="ar-EG"/>
        </w:rPr>
        <w:t xml:space="preserve"> في نوفمبر 2025 الذي يعتمد على الذكاء الاصطناعي لتحليل المخاطر وتقليل أوقات المعالجة بشكل كبير.</w:t>
      </w:r>
    </w:p>
    <w:p w14:paraId="39F63F42" w14:textId="14C00245" w:rsidR="00C869FF" w:rsidRPr="00C869FF" w:rsidRDefault="00C869FF" w:rsidP="00C869FF">
      <w:pPr>
        <w:pStyle w:val="BlockText"/>
        <w:spacing w:line="276" w:lineRule="auto"/>
        <w:jc w:val="lowKashida"/>
        <w:rPr>
          <w:rFonts w:ascii="Sakkal Majalla" w:hAnsi="Sakkal Majalla" w:cs="Sakkal Majalla"/>
          <w:b/>
          <w:bCs/>
          <w:sz w:val="28"/>
          <w:lang w:bidi="ar-EG"/>
        </w:rPr>
      </w:pPr>
      <w:r w:rsidRPr="00C869FF">
        <w:rPr>
          <w:rFonts w:ascii="Sakkal Majalla" w:hAnsi="Sakkal Majalla" w:cs="Sakkal Majalla"/>
          <w:b/>
          <w:bCs/>
          <w:sz w:val="28"/>
          <w:rtl/>
          <w:lang w:bidi="ar-EG"/>
        </w:rPr>
        <w:t>جدول مقارنة تفصيلي شامل (</w:t>
      </w:r>
      <w:r w:rsidRPr="00C869FF">
        <w:rPr>
          <w:rFonts w:ascii="Sakkal Majalla" w:hAnsi="Sakkal Majalla" w:cs="Sakkal Majalla"/>
          <w:b/>
          <w:bCs/>
          <w:sz w:val="28"/>
          <w:lang w:bidi="ar-EG"/>
        </w:rPr>
        <w:t>ZATCA vs. EU vs. US CBP vs. Singapore Customs</w:t>
      </w:r>
      <w:r w:rsidRPr="00C869FF">
        <w:rPr>
          <w:rFonts w:ascii="Sakkal Majalla" w:hAnsi="Sakkal Majalla" w:cs="Sakkal Majalla"/>
          <w:b/>
          <w:bCs/>
          <w:sz w:val="28"/>
          <w:rtl/>
          <w:lang w:bidi="ar-EG"/>
        </w:rPr>
        <w:t>)</w:t>
      </w:r>
    </w:p>
    <w:p w14:paraId="36E58E3C" w14:textId="77777777" w:rsidR="00C869FF" w:rsidRPr="00C869FF" w:rsidRDefault="00C869FF" w:rsidP="00C869FF">
      <w:pPr>
        <w:pStyle w:val="BlockText"/>
        <w:spacing w:line="276" w:lineRule="auto"/>
        <w:jc w:val="lowKashida"/>
        <w:rPr>
          <w:rFonts w:ascii="Sakkal Majalla" w:hAnsi="Sakkal Majalla" w:cs="Sakkal Majalla"/>
          <w:sz w:val="28"/>
          <w:lang w:bidi="ar-EG"/>
        </w:rPr>
      </w:pPr>
    </w:p>
    <w:p w14:paraId="34928917" w14:textId="1CEEBC77" w:rsidR="00C869FF" w:rsidRPr="00C869FF" w:rsidRDefault="00C869FF" w:rsidP="00C869FF">
      <w:pPr>
        <w:pStyle w:val="BlockText"/>
        <w:spacing w:line="276" w:lineRule="auto"/>
        <w:jc w:val="lowKashida"/>
        <w:rPr>
          <w:rFonts w:ascii="Sakkal Majalla" w:hAnsi="Sakkal Majalla" w:cs="Sakkal Majalla"/>
          <w:sz w:val="28"/>
          <w:lang w:bidi="ar-EG"/>
        </w:rPr>
      </w:pPr>
      <w:r w:rsidRPr="00C869FF">
        <w:rPr>
          <w:rFonts w:ascii="Sakkal Majalla" w:hAnsi="Sakkal Majalla" w:cs="Sakkal Majalla"/>
          <w:sz w:val="28"/>
          <w:rtl/>
          <w:lang w:bidi="ar-EG"/>
        </w:rPr>
        <w:lastRenderedPageBreak/>
        <w:t>يُظهر الجدول التالي مقارنة شاملة بين نظام هيئة الزكاة والضريبة والجمارك (</w:t>
      </w:r>
      <w:r w:rsidRPr="00C869FF">
        <w:rPr>
          <w:rFonts w:ascii="Sakkal Majalla" w:hAnsi="Sakkal Majalla" w:cs="Sakkal Majalla"/>
          <w:sz w:val="28"/>
          <w:lang w:bidi="ar-EG"/>
        </w:rPr>
        <w:t>ZATCA</w:t>
      </w:r>
      <w:r w:rsidRPr="00C869FF">
        <w:rPr>
          <w:rFonts w:ascii="Sakkal Majalla" w:hAnsi="Sakkal Majalla" w:cs="Sakkal Majalla"/>
          <w:sz w:val="28"/>
          <w:rtl/>
          <w:lang w:bidi="ar-EG"/>
        </w:rPr>
        <w:t xml:space="preserve">) وثلاثة نماذج عالمية رائدة (الاتحاد الأوروبي، الولايات المتحدة، سنغافورة) في أبرز المعايير المتعلقة بالتحول الرقمي، الأمن، تيسير التجارة، والامتثال. تم إضافة عمود خاص بـ </w:t>
      </w:r>
      <w:r w:rsidRPr="00C869FF">
        <w:rPr>
          <w:rFonts w:ascii="Sakkal Majalla" w:hAnsi="Sakkal Majalla" w:cs="Sakkal Majalla"/>
          <w:b/>
          <w:bCs/>
          <w:sz w:val="28"/>
          <w:rtl/>
          <w:lang w:bidi="ar-EG"/>
        </w:rPr>
        <w:t>الإحصائيات الرئيسية</w:t>
      </w:r>
      <w:r w:rsidRPr="00C869FF">
        <w:rPr>
          <w:rFonts w:ascii="Sakkal Majalla" w:hAnsi="Sakkal Majalla" w:cs="Sakkal Majalla"/>
          <w:sz w:val="28"/>
          <w:rtl/>
          <w:lang w:bidi="ar-EG"/>
        </w:rPr>
        <w:t xml:space="preserve"> لربط النتائج بالتحليل العاملي في الدراسة الحالية (متوسط التشبعات العاملية، نسبة التباين المفسر، وأبرز النتائج الإحصائية من العينة). الهدف هو إبراز نقاط القوة والفجوات الاستراتيجية لـ </w:t>
      </w:r>
      <w:r w:rsidRPr="00C869FF">
        <w:rPr>
          <w:rFonts w:ascii="Sakkal Majalla" w:hAnsi="Sakkal Majalla" w:cs="Sakkal Majalla"/>
          <w:sz w:val="28"/>
          <w:lang w:bidi="ar-EG"/>
        </w:rPr>
        <w:t>ZATCA</w:t>
      </w:r>
      <w:r w:rsidRPr="00C869FF">
        <w:rPr>
          <w:rFonts w:ascii="Sakkal Majalla" w:hAnsi="Sakkal Majalla" w:cs="Sakkal Majalla"/>
          <w:sz w:val="28"/>
          <w:rtl/>
          <w:lang w:bidi="ar-EG"/>
        </w:rPr>
        <w:t xml:space="preserve"> مقارنة بالنماذج العالمية، مع ربط مباشر بنتائج الدراسة الميدانية.</w:t>
      </w:r>
    </w:p>
    <w:tbl>
      <w:tblPr>
        <w:tblStyle w:val="GridTable4"/>
        <w:tblW w:w="0" w:type="auto"/>
        <w:jc w:val="center"/>
        <w:tblLook w:val="04A0" w:firstRow="1" w:lastRow="0" w:firstColumn="1" w:lastColumn="0" w:noHBand="0" w:noVBand="1"/>
      </w:tblPr>
      <w:tblGrid>
        <w:gridCol w:w="1391"/>
        <w:gridCol w:w="1481"/>
        <w:gridCol w:w="1338"/>
        <w:gridCol w:w="1479"/>
        <w:gridCol w:w="1540"/>
        <w:gridCol w:w="2121"/>
      </w:tblGrid>
      <w:tr w:rsidR="00C869FF" w:rsidRPr="007C63F4" w14:paraId="61D146E2" w14:textId="77777777" w:rsidTr="007C63F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0E02181" w14:textId="77777777" w:rsidR="00C869FF" w:rsidRPr="00C869FF" w:rsidRDefault="00C869FF" w:rsidP="007C63F4">
            <w:pPr>
              <w:pStyle w:val="BlockText"/>
              <w:spacing w:line="276" w:lineRule="auto"/>
              <w:jc w:val="lowKashida"/>
              <w:rPr>
                <w:rFonts w:ascii="Sakkal Majalla" w:hAnsi="Sakkal Majalla" w:cs="Sakkal Majalla"/>
                <w:sz w:val="18"/>
                <w:szCs w:val="18"/>
                <w:lang w:bidi="ar-EG"/>
              </w:rPr>
            </w:pPr>
            <w:r w:rsidRPr="00C869FF">
              <w:rPr>
                <w:rFonts w:ascii="Sakkal Majalla" w:hAnsi="Sakkal Majalla" w:cs="Sakkal Majalla"/>
                <w:sz w:val="18"/>
                <w:szCs w:val="18"/>
                <w:rtl/>
              </w:rPr>
              <w:t>المعيار / الجانب</w:t>
            </w:r>
          </w:p>
        </w:tc>
        <w:tc>
          <w:tcPr>
            <w:tcW w:w="0" w:type="auto"/>
            <w:hideMark/>
          </w:tcPr>
          <w:p w14:paraId="21721AB2" w14:textId="77777777" w:rsidR="00C869FF" w:rsidRPr="00C869FF" w:rsidRDefault="00C869FF" w:rsidP="007C63F4">
            <w:pPr>
              <w:pStyle w:val="BlockText"/>
              <w:spacing w:line="276"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ZATCA (</w:t>
            </w:r>
            <w:r w:rsidRPr="00C869FF">
              <w:rPr>
                <w:rFonts w:ascii="Sakkal Majalla" w:hAnsi="Sakkal Majalla" w:cs="Sakkal Majalla"/>
                <w:sz w:val="18"/>
                <w:szCs w:val="18"/>
                <w:rtl/>
              </w:rPr>
              <w:t>السعودية</w:t>
            </w:r>
            <w:r w:rsidRPr="00C869FF">
              <w:rPr>
                <w:rFonts w:ascii="Sakkal Majalla" w:hAnsi="Sakkal Majalla" w:cs="Sakkal Majalla"/>
                <w:sz w:val="18"/>
                <w:szCs w:val="18"/>
                <w:lang w:bidi="ar-EG"/>
              </w:rPr>
              <w:t>)</w:t>
            </w:r>
          </w:p>
        </w:tc>
        <w:tc>
          <w:tcPr>
            <w:tcW w:w="0" w:type="auto"/>
            <w:hideMark/>
          </w:tcPr>
          <w:p w14:paraId="3176E76C" w14:textId="77777777" w:rsidR="00C869FF" w:rsidRPr="00C869FF" w:rsidRDefault="00C869FF" w:rsidP="007C63F4">
            <w:pPr>
              <w:pStyle w:val="BlockText"/>
              <w:spacing w:line="276"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EU Customs Union</w:t>
            </w:r>
          </w:p>
        </w:tc>
        <w:tc>
          <w:tcPr>
            <w:tcW w:w="0" w:type="auto"/>
            <w:hideMark/>
          </w:tcPr>
          <w:p w14:paraId="3998DC06" w14:textId="77777777" w:rsidR="00C869FF" w:rsidRPr="00C869FF" w:rsidRDefault="00C869FF" w:rsidP="007C63F4">
            <w:pPr>
              <w:pStyle w:val="BlockText"/>
              <w:spacing w:line="276"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US CBP (</w:t>
            </w:r>
            <w:r w:rsidRPr="00C869FF">
              <w:rPr>
                <w:rFonts w:ascii="Sakkal Majalla" w:hAnsi="Sakkal Majalla" w:cs="Sakkal Majalla"/>
                <w:sz w:val="18"/>
                <w:szCs w:val="18"/>
                <w:rtl/>
              </w:rPr>
              <w:t>الجمارك الأمريكية</w:t>
            </w:r>
            <w:r w:rsidRPr="00C869FF">
              <w:rPr>
                <w:rFonts w:ascii="Sakkal Majalla" w:hAnsi="Sakkal Majalla" w:cs="Sakkal Majalla"/>
                <w:sz w:val="18"/>
                <w:szCs w:val="18"/>
                <w:lang w:bidi="ar-EG"/>
              </w:rPr>
              <w:t>)</w:t>
            </w:r>
          </w:p>
        </w:tc>
        <w:tc>
          <w:tcPr>
            <w:tcW w:w="0" w:type="auto"/>
            <w:hideMark/>
          </w:tcPr>
          <w:p w14:paraId="383D9817" w14:textId="77777777" w:rsidR="00C869FF" w:rsidRPr="00C869FF" w:rsidRDefault="00C869FF" w:rsidP="007C63F4">
            <w:pPr>
              <w:pStyle w:val="BlockText"/>
              <w:spacing w:line="276"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Singapore Customs (</w:t>
            </w:r>
            <w:r w:rsidRPr="00C869FF">
              <w:rPr>
                <w:rFonts w:ascii="Sakkal Majalla" w:hAnsi="Sakkal Majalla" w:cs="Sakkal Majalla"/>
                <w:sz w:val="18"/>
                <w:szCs w:val="18"/>
                <w:rtl/>
              </w:rPr>
              <w:t>سنغافورة</w:t>
            </w:r>
            <w:r w:rsidRPr="00C869FF">
              <w:rPr>
                <w:rFonts w:ascii="Sakkal Majalla" w:hAnsi="Sakkal Majalla" w:cs="Sakkal Majalla"/>
                <w:sz w:val="18"/>
                <w:szCs w:val="18"/>
                <w:lang w:bidi="ar-EG"/>
              </w:rPr>
              <w:t>)</w:t>
            </w:r>
          </w:p>
        </w:tc>
        <w:tc>
          <w:tcPr>
            <w:tcW w:w="0" w:type="auto"/>
            <w:hideMark/>
          </w:tcPr>
          <w:p w14:paraId="2E006FE4" w14:textId="77777777" w:rsidR="00C869FF" w:rsidRPr="00C869FF" w:rsidRDefault="00C869FF" w:rsidP="007C63F4">
            <w:pPr>
              <w:pStyle w:val="BlockText"/>
              <w:spacing w:line="276"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الإحصائيات الرئيسية من الدراسة (ربط بالتحليل العاملي)</w:t>
            </w:r>
          </w:p>
        </w:tc>
      </w:tr>
      <w:tr w:rsidR="00C869FF" w:rsidRPr="007C63F4" w14:paraId="04F2D4A9" w14:textId="77777777" w:rsidTr="007C63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49929C3" w14:textId="77777777" w:rsidR="00C869FF" w:rsidRPr="00C869FF" w:rsidRDefault="00C869FF" w:rsidP="007C63F4">
            <w:pPr>
              <w:pStyle w:val="BlockText"/>
              <w:spacing w:line="276" w:lineRule="auto"/>
              <w:jc w:val="lowKashida"/>
              <w:rPr>
                <w:rFonts w:ascii="Sakkal Majalla" w:hAnsi="Sakkal Majalla" w:cs="Sakkal Majalla"/>
                <w:sz w:val="18"/>
                <w:szCs w:val="18"/>
                <w:lang w:bidi="ar-EG"/>
              </w:rPr>
            </w:pPr>
            <w:r w:rsidRPr="00C869FF">
              <w:rPr>
                <w:rFonts w:ascii="Sakkal Majalla" w:hAnsi="Sakkal Majalla" w:cs="Sakkal Majalla"/>
                <w:sz w:val="18"/>
                <w:szCs w:val="18"/>
                <w:rtl/>
              </w:rPr>
              <w:t>المنصة الرقمية المركزية</w:t>
            </w:r>
          </w:p>
        </w:tc>
        <w:tc>
          <w:tcPr>
            <w:tcW w:w="0" w:type="auto"/>
            <w:hideMark/>
          </w:tcPr>
          <w:p w14:paraId="72E3F9A0"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فسح + بيان + فاتورة (تكامل ~70 جهة داخلية)</w:t>
            </w:r>
          </w:p>
        </w:tc>
        <w:tc>
          <w:tcPr>
            <w:tcW w:w="0" w:type="auto"/>
            <w:hideMark/>
          </w:tcPr>
          <w:p w14:paraId="2EEC5C86"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EU Customs Data Hub + ICS2 (</w:t>
            </w:r>
            <w:r w:rsidRPr="00C869FF">
              <w:rPr>
                <w:rFonts w:ascii="Sakkal Majalla" w:hAnsi="Sakkal Majalla" w:cs="Sakkal Majalla"/>
                <w:sz w:val="18"/>
                <w:szCs w:val="18"/>
                <w:rtl/>
              </w:rPr>
              <w:t>مركزي لـ27 دولة</w:t>
            </w:r>
            <w:r w:rsidRPr="00C869FF">
              <w:rPr>
                <w:rFonts w:ascii="Sakkal Majalla" w:hAnsi="Sakkal Majalla" w:cs="Sakkal Majalla"/>
                <w:sz w:val="18"/>
                <w:szCs w:val="18"/>
                <w:lang w:bidi="ar-EG"/>
              </w:rPr>
              <w:t>)</w:t>
            </w:r>
          </w:p>
        </w:tc>
        <w:tc>
          <w:tcPr>
            <w:tcW w:w="0" w:type="auto"/>
            <w:hideMark/>
          </w:tcPr>
          <w:p w14:paraId="3CA63BA6"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 xml:space="preserve">ACE + ITDS (47+ </w:t>
            </w:r>
            <w:r w:rsidRPr="00C869FF">
              <w:rPr>
                <w:rFonts w:ascii="Sakkal Majalla" w:hAnsi="Sakkal Majalla" w:cs="Sakkal Majalla"/>
                <w:sz w:val="18"/>
                <w:szCs w:val="18"/>
                <w:rtl/>
              </w:rPr>
              <w:t>جهة فيدرالية</w:t>
            </w:r>
            <w:r w:rsidRPr="00C869FF">
              <w:rPr>
                <w:rFonts w:ascii="Sakkal Majalla" w:hAnsi="Sakkal Majalla" w:cs="Sakkal Majalla"/>
                <w:sz w:val="18"/>
                <w:szCs w:val="18"/>
                <w:lang w:bidi="ar-EG"/>
              </w:rPr>
              <w:t>)</w:t>
            </w:r>
          </w:p>
        </w:tc>
        <w:tc>
          <w:tcPr>
            <w:tcW w:w="0" w:type="auto"/>
            <w:hideMark/>
          </w:tcPr>
          <w:p w14:paraId="504B2745"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TradeNet (</w:t>
            </w:r>
            <w:r w:rsidRPr="00C869FF">
              <w:rPr>
                <w:rFonts w:ascii="Sakkal Majalla" w:hAnsi="Sakkal Majalla" w:cs="Sakkal Majalla"/>
                <w:sz w:val="18"/>
                <w:szCs w:val="18"/>
                <w:rtl/>
              </w:rPr>
              <w:t>منذ 1989</w:t>
            </w:r>
            <w:r w:rsidRPr="00C869FF">
              <w:rPr>
                <w:rFonts w:ascii="Sakkal Majalla" w:hAnsi="Sakkal Majalla" w:cs="Sakkal Majalla"/>
                <w:sz w:val="18"/>
                <w:szCs w:val="18"/>
                <w:lang w:bidi="ar-EG"/>
              </w:rPr>
              <w:t xml:space="preserve">) + NTP + DAISY (AI </w:t>
            </w:r>
            <w:r w:rsidRPr="00C869FF">
              <w:rPr>
                <w:rFonts w:ascii="Sakkal Majalla" w:hAnsi="Sakkal Majalla" w:cs="Sakkal Majalla"/>
                <w:sz w:val="18"/>
                <w:szCs w:val="18"/>
                <w:rtl/>
              </w:rPr>
              <w:t>من 2025</w:t>
            </w:r>
            <w:r w:rsidRPr="00C869FF">
              <w:rPr>
                <w:rFonts w:ascii="Sakkal Majalla" w:hAnsi="Sakkal Majalla" w:cs="Sakkal Majalla"/>
                <w:sz w:val="18"/>
                <w:szCs w:val="18"/>
                <w:lang w:bidi="ar-EG"/>
              </w:rPr>
              <w:t>)</w:t>
            </w:r>
          </w:p>
        </w:tc>
        <w:tc>
          <w:tcPr>
            <w:tcW w:w="0" w:type="auto"/>
            <w:hideMark/>
          </w:tcPr>
          <w:p w14:paraId="6E2E6558"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عامل "الكفاءة الاقتصادية والتكنولوجية" (متوسط تشبع ≈ 0.659، 9.75% تباين) – يعكس قوة التكامل الداخلي</w:t>
            </w:r>
          </w:p>
        </w:tc>
      </w:tr>
      <w:tr w:rsidR="007C63F4" w:rsidRPr="007C63F4" w14:paraId="70B32A89" w14:textId="77777777" w:rsidTr="007C63F4">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2D51C40" w14:textId="77777777" w:rsidR="00C869FF" w:rsidRPr="00C869FF" w:rsidRDefault="00C869FF" w:rsidP="007C63F4">
            <w:pPr>
              <w:pStyle w:val="BlockText"/>
              <w:spacing w:line="276" w:lineRule="auto"/>
              <w:jc w:val="lowKashida"/>
              <w:rPr>
                <w:rFonts w:ascii="Sakkal Majalla" w:hAnsi="Sakkal Majalla" w:cs="Sakkal Majalla"/>
                <w:sz w:val="18"/>
                <w:szCs w:val="18"/>
                <w:lang w:bidi="ar-EG"/>
              </w:rPr>
            </w:pPr>
            <w:r w:rsidRPr="00C869FF">
              <w:rPr>
                <w:rFonts w:ascii="Sakkal Majalla" w:hAnsi="Sakkal Majalla" w:cs="Sakkal Majalla"/>
                <w:sz w:val="18"/>
                <w:szCs w:val="18"/>
                <w:rtl/>
              </w:rPr>
              <w:t>النافذة الواحدة</w:t>
            </w:r>
            <w:r w:rsidRPr="00C869FF">
              <w:rPr>
                <w:rFonts w:ascii="Sakkal Majalla" w:hAnsi="Sakkal Majalla" w:cs="Sakkal Majalla"/>
                <w:sz w:val="18"/>
                <w:szCs w:val="18"/>
                <w:lang w:bidi="ar-EG"/>
              </w:rPr>
              <w:t xml:space="preserve"> (Single Window)</w:t>
            </w:r>
          </w:p>
        </w:tc>
        <w:tc>
          <w:tcPr>
            <w:tcW w:w="0" w:type="auto"/>
            <w:hideMark/>
          </w:tcPr>
          <w:p w14:paraId="74A9C0AD"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فسح (جمركية داخلية قوية، غير شاملة كليًا غير الجمركية)</w:t>
            </w:r>
          </w:p>
        </w:tc>
        <w:tc>
          <w:tcPr>
            <w:tcW w:w="0" w:type="auto"/>
            <w:hideMark/>
          </w:tcPr>
          <w:p w14:paraId="2F51AFC0"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EU SWE-C (</w:t>
            </w:r>
            <w:r w:rsidRPr="00C869FF">
              <w:rPr>
                <w:rFonts w:ascii="Sakkal Majalla" w:hAnsi="Sakkal Majalla" w:cs="Sakkal Majalla"/>
                <w:sz w:val="18"/>
                <w:szCs w:val="18"/>
                <w:rtl/>
              </w:rPr>
              <w:t>شاملة جمركية + غير جمركية</w:t>
            </w:r>
            <w:r w:rsidRPr="00C869FF">
              <w:rPr>
                <w:rFonts w:ascii="Sakkal Majalla" w:hAnsi="Sakkal Majalla" w:cs="Sakkal Majalla"/>
                <w:sz w:val="18"/>
                <w:szCs w:val="18"/>
                <w:lang w:bidi="ar-EG"/>
              </w:rPr>
              <w:t>)</w:t>
            </w:r>
          </w:p>
        </w:tc>
        <w:tc>
          <w:tcPr>
            <w:tcW w:w="0" w:type="auto"/>
            <w:hideMark/>
          </w:tcPr>
          <w:p w14:paraId="6BD018D0"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ITDS (</w:t>
            </w:r>
            <w:r w:rsidRPr="00C869FF">
              <w:rPr>
                <w:rFonts w:ascii="Sakkal Majalla" w:hAnsi="Sakkal Majalla" w:cs="Sakkal Majalla"/>
                <w:sz w:val="18"/>
                <w:szCs w:val="18"/>
                <w:rtl/>
              </w:rPr>
              <w:t>شاملة 47 جهة</w:t>
            </w:r>
            <w:r w:rsidRPr="00C869FF">
              <w:rPr>
                <w:rFonts w:ascii="Sakkal Majalla" w:hAnsi="Sakkal Majalla" w:cs="Sakkal Majalla"/>
                <w:sz w:val="18"/>
                <w:szCs w:val="18"/>
                <w:lang w:bidi="ar-EG"/>
              </w:rPr>
              <w:t>)</w:t>
            </w:r>
          </w:p>
        </w:tc>
        <w:tc>
          <w:tcPr>
            <w:tcW w:w="0" w:type="auto"/>
            <w:hideMark/>
          </w:tcPr>
          <w:p w14:paraId="2954C904"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TradeNet (</w:t>
            </w:r>
            <w:r w:rsidRPr="00C869FF">
              <w:rPr>
                <w:rFonts w:ascii="Sakkal Majalla" w:hAnsi="Sakkal Majalla" w:cs="Sakkal Majalla"/>
                <w:sz w:val="18"/>
                <w:szCs w:val="18"/>
                <w:rtl/>
              </w:rPr>
              <w:t>أول نافذة واحدة عالميًا</w:t>
            </w:r>
            <w:r w:rsidRPr="00C869FF">
              <w:rPr>
                <w:rFonts w:ascii="Sakkal Majalla" w:hAnsi="Sakkal Majalla" w:cs="Sakkal Majalla"/>
                <w:sz w:val="18"/>
                <w:szCs w:val="18"/>
                <w:lang w:bidi="ar-EG"/>
              </w:rPr>
              <w:t>) + NTP (B2B/B2G)</w:t>
            </w:r>
          </w:p>
        </w:tc>
        <w:tc>
          <w:tcPr>
            <w:tcW w:w="0" w:type="auto"/>
            <w:hideMark/>
          </w:tcPr>
          <w:p w14:paraId="34B07632"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عامل "التكامل المؤسسي والشراكات" (متوسط ≈ 0.627، 11.71% تباين) – سنغافورة الأقوى في هذا البعد</w:t>
            </w:r>
          </w:p>
        </w:tc>
      </w:tr>
      <w:tr w:rsidR="00C869FF" w:rsidRPr="007C63F4" w14:paraId="7BD5D429" w14:textId="77777777" w:rsidTr="007C63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473C9D3" w14:textId="77777777" w:rsidR="00C869FF" w:rsidRPr="00C869FF" w:rsidRDefault="00C869FF" w:rsidP="007C63F4">
            <w:pPr>
              <w:pStyle w:val="BlockText"/>
              <w:spacing w:line="276" w:lineRule="auto"/>
              <w:jc w:val="lowKashida"/>
              <w:rPr>
                <w:rFonts w:ascii="Sakkal Majalla" w:hAnsi="Sakkal Majalla" w:cs="Sakkal Majalla"/>
                <w:sz w:val="18"/>
                <w:szCs w:val="18"/>
                <w:lang w:bidi="ar-EG"/>
              </w:rPr>
            </w:pPr>
            <w:r w:rsidRPr="00C869FF">
              <w:rPr>
                <w:rFonts w:ascii="Sakkal Majalla" w:hAnsi="Sakkal Majalla" w:cs="Sakkal Majalla"/>
                <w:sz w:val="18"/>
                <w:szCs w:val="18"/>
                <w:rtl/>
              </w:rPr>
              <w:t>نظام المعلومات المسبقة والكشف المبكر</w:t>
            </w:r>
          </w:p>
        </w:tc>
        <w:tc>
          <w:tcPr>
            <w:tcW w:w="0" w:type="auto"/>
            <w:hideMark/>
          </w:tcPr>
          <w:p w14:paraId="09126777"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تحليل مخاطر ذكي + خفض تهريب ~40</w:t>
            </w:r>
            <w:r w:rsidRPr="00C869FF">
              <w:rPr>
                <w:rFonts w:ascii="Sakkal Majalla" w:hAnsi="Sakkal Majalla" w:cs="Sakkal Majalla"/>
                <w:sz w:val="18"/>
                <w:szCs w:val="18"/>
                <w:lang w:bidi="ar-EG"/>
              </w:rPr>
              <w:t>%</w:t>
            </w:r>
          </w:p>
        </w:tc>
        <w:tc>
          <w:tcPr>
            <w:tcW w:w="0" w:type="auto"/>
            <w:hideMark/>
          </w:tcPr>
          <w:p w14:paraId="22180278"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 xml:space="preserve">ICS2 Release 3 (ENS </w:t>
            </w:r>
            <w:r w:rsidRPr="00C869FF">
              <w:rPr>
                <w:rFonts w:ascii="Sakkal Majalla" w:hAnsi="Sakkal Majalla" w:cs="Sakkal Majalla"/>
                <w:sz w:val="18"/>
                <w:szCs w:val="18"/>
                <w:rtl/>
              </w:rPr>
              <w:t>لكل وسائط النقل</w:t>
            </w:r>
            <w:r w:rsidRPr="00C869FF">
              <w:rPr>
                <w:rFonts w:ascii="Sakkal Majalla" w:hAnsi="Sakkal Majalla" w:cs="Sakkal Majalla"/>
                <w:sz w:val="18"/>
                <w:szCs w:val="18"/>
                <w:lang w:bidi="ar-EG"/>
              </w:rPr>
              <w:t>)</w:t>
            </w:r>
          </w:p>
        </w:tc>
        <w:tc>
          <w:tcPr>
            <w:tcW w:w="0" w:type="auto"/>
            <w:hideMark/>
          </w:tcPr>
          <w:p w14:paraId="0E237EF4"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ATS + 24-Hour Rule</w:t>
            </w:r>
          </w:p>
        </w:tc>
        <w:tc>
          <w:tcPr>
            <w:tcW w:w="0" w:type="auto"/>
            <w:hideMark/>
          </w:tcPr>
          <w:p w14:paraId="02CA0374"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 xml:space="preserve">DAISY (AI </w:t>
            </w:r>
            <w:r w:rsidRPr="00C869FF">
              <w:rPr>
                <w:rFonts w:ascii="Sakkal Majalla" w:hAnsi="Sakkal Majalla" w:cs="Sakkal Majalla"/>
                <w:sz w:val="18"/>
                <w:szCs w:val="18"/>
                <w:rtl/>
              </w:rPr>
              <w:t>مبكر</w:t>
            </w:r>
            <w:r w:rsidRPr="00C869FF">
              <w:rPr>
                <w:rFonts w:ascii="Sakkal Majalla" w:hAnsi="Sakkal Majalla" w:cs="Sakkal Majalla"/>
                <w:sz w:val="18"/>
                <w:szCs w:val="18"/>
                <w:lang w:bidi="ar-EG"/>
              </w:rPr>
              <w:t>) + TradeNet advance submission</w:t>
            </w:r>
          </w:p>
        </w:tc>
        <w:tc>
          <w:tcPr>
            <w:tcW w:w="0" w:type="auto"/>
            <w:hideMark/>
          </w:tcPr>
          <w:p w14:paraId="1AF31E15"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عامل "الكفاءة الأمنية الوقائية" (متوسط ≈ 0.698، 24.46% تباين) – أقوى عامل في الدراسة</w:t>
            </w:r>
          </w:p>
        </w:tc>
      </w:tr>
      <w:tr w:rsidR="007C63F4" w:rsidRPr="007C63F4" w14:paraId="67D5F43E" w14:textId="77777777" w:rsidTr="007C63F4">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5391324" w14:textId="77777777" w:rsidR="00C869FF" w:rsidRPr="00C869FF" w:rsidRDefault="00C869FF" w:rsidP="007C63F4">
            <w:pPr>
              <w:pStyle w:val="BlockText"/>
              <w:spacing w:line="276" w:lineRule="auto"/>
              <w:jc w:val="lowKashida"/>
              <w:rPr>
                <w:rFonts w:ascii="Sakkal Majalla" w:hAnsi="Sakkal Majalla" w:cs="Sakkal Majalla"/>
                <w:sz w:val="18"/>
                <w:szCs w:val="18"/>
                <w:lang w:bidi="ar-EG"/>
              </w:rPr>
            </w:pPr>
            <w:r w:rsidRPr="00C869FF">
              <w:rPr>
                <w:rFonts w:ascii="Sakkal Majalla" w:hAnsi="Sakkal Majalla" w:cs="Sakkal Majalla"/>
                <w:sz w:val="18"/>
                <w:szCs w:val="18"/>
                <w:rtl/>
              </w:rPr>
              <w:t>دقة الذكاء الاصطناعي في تحليل المخاطر</w:t>
            </w:r>
          </w:p>
        </w:tc>
        <w:tc>
          <w:tcPr>
            <w:tcW w:w="0" w:type="auto"/>
            <w:hideMark/>
          </w:tcPr>
          <w:p w14:paraId="09A03BCD"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~81% (</w:t>
            </w:r>
            <w:r w:rsidRPr="00C869FF">
              <w:rPr>
                <w:rFonts w:ascii="Sakkal Majalla" w:hAnsi="Sakkal Majalla" w:cs="Sakkal Majalla"/>
                <w:sz w:val="18"/>
                <w:szCs w:val="18"/>
                <w:rtl/>
              </w:rPr>
              <w:t>تقرير</w:t>
            </w:r>
            <w:r w:rsidRPr="00C869FF">
              <w:rPr>
                <w:rFonts w:ascii="Sakkal Majalla" w:hAnsi="Sakkal Majalla" w:cs="Sakkal Majalla"/>
                <w:sz w:val="18"/>
                <w:szCs w:val="18"/>
                <w:lang w:bidi="ar-EG"/>
              </w:rPr>
              <w:t xml:space="preserve"> ZATCA 2025)</w:t>
            </w:r>
          </w:p>
        </w:tc>
        <w:tc>
          <w:tcPr>
            <w:tcW w:w="0" w:type="auto"/>
            <w:hideMark/>
          </w:tcPr>
          <w:p w14:paraId="6322D447"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عالية جدًا في</w:t>
            </w:r>
            <w:r w:rsidRPr="00C869FF">
              <w:rPr>
                <w:rFonts w:ascii="Sakkal Majalla" w:hAnsi="Sakkal Majalla" w:cs="Sakkal Majalla"/>
                <w:sz w:val="18"/>
                <w:szCs w:val="18"/>
                <w:lang w:bidi="ar-EG"/>
              </w:rPr>
              <w:t xml:space="preserve"> ICS2</w:t>
            </w:r>
          </w:p>
        </w:tc>
        <w:tc>
          <w:tcPr>
            <w:tcW w:w="0" w:type="auto"/>
            <w:hideMark/>
          </w:tcPr>
          <w:p w14:paraId="4A369975"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 xml:space="preserve">90–95% </w:t>
            </w:r>
            <w:r w:rsidRPr="00C869FF">
              <w:rPr>
                <w:rFonts w:ascii="Sakkal Majalla" w:hAnsi="Sakkal Majalla" w:cs="Sakkal Majalla"/>
                <w:sz w:val="18"/>
                <w:szCs w:val="18"/>
                <w:rtl/>
              </w:rPr>
              <w:t>في</w:t>
            </w:r>
            <w:r w:rsidRPr="00C869FF">
              <w:rPr>
                <w:rFonts w:ascii="Sakkal Majalla" w:hAnsi="Sakkal Majalla" w:cs="Sakkal Majalla"/>
                <w:sz w:val="18"/>
                <w:szCs w:val="18"/>
                <w:lang w:bidi="ar-EG"/>
              </w:rPr>
              <w:t xml:space="preserve"> ATS</w:t>
            </w:r>
          </w:p>
        </w:tc>
        <w:tc>
          <w:tcPr>
            <w:tcW w:w="0" w:type="auto"/>
            <w:hideMark/>
          </w:tcPr>
          <w:p w14:paraId="2BAA0C66"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DAISY (</w:t>
            </w:r>
            <w:r w:rsidRPr="00C869FF">
              <w:rPr>
                <w:rFonts w:ascii="Sakkal Majalla" w:hAnsi="Sakkal Majalla" w:cs="Sakkal Majalla"/>
                <w:sz w:val="18"/>
                <w:szCs w:val="18"/>
                <w:rtl/>
              </w:rPr>
              <w:t xml:space="preserve">تقليل وقت المعالجة من 20 دقيقة إلى </w:t>
            </w:r>
            <w:r w:rsidRPr="00C869FF">
              <w:rPr>
                <w:rFonts w:ascii="Sakkal Majalla" w:hAnsi="Sakkal Majalla" w:cs="Sakkal Majalla"/>
                <w:sz w:val="18"/>
                <w:szCs w:val="18"/>
                <w:lang w:bidi="ar-EG"/>
              </w:rPr>
              <w:t xml:space="preserve">&lt;2 </w:t>
            </w:r>
            <w:r w:rsidRPr="00C869FF">
              <w:rPr>
                <w:rFonts w:ascii="Sakkal Majalla" w:hAnsi="Sakkal Majalla" w:cs="Sakkal Majalla"/>
                <w:sz w:val="18"/>
                <w:szCs w:val="18"/>
                <w:rtl/>
              </w:rPr>
              <w:t>دقيقة</w:t>
            </w:r>
            <w:r w:rsidRPr="00C869FF">
              <w:rPr>
                <w:rFonts w:ascii="Sakkal Majalla" w:hAnsi="Sakkal Majalla" w:cs="Sakkal Majalla"/>
                <w:sz w:val="18"/>
                <w:szCs w:val="18"/>
                <w:lang w:bidi="ar-EG"/>
              </w:rPr>
              <w:t>)</w:t>
            </w:r>
          </w:p>
        </w:tc>
        <w:tc>
          <w:tcPr>
            <w:tcW w:w="0" w:type="auto"/>
            <w:hideMark/>
          </w:tcPr>
          <w:p w14:paraId="35AA784D"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عامل "الابتكار في إدارة المخاطر التنبؤية" (7.42% تباين) – أضعف عامل نسبيًا، يحتاج تطويرًا ليصل إلى مستوى</w:t>
            </w:r>
            <w:r w:rsidRPr="00C869FF">
              <w:rPr>
                <w:rFonts w:ascii="Sakkal Majalla" w:hAnsi="Sakkal Majalla" w:cs="Sakkal Majalla"/>
                <w:sz w:val="18"/>
                <w:szCs w:val="18"/>
                <w:lang w:bidi="ar-EG"/>
              </w:rPr>
              <w:t xml:space="preserve"> DAISY</w:t>
            </w:r>
          </w:p>
        </w:tc>
      </w:tr>
      <w:tr w:rsidR="00C869FF" w:rsidRPr="007C63F4" w14:paraId="0203CC3D" w14:textId="77777777" w:rsidTr="007C63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607D94D" w14:textId="77777777" w:rsidR="00C869FF" w:rsidRPr="00C869FF" w:rsidRDefault="00C869FF" w:rsidP="007C63F4">
            <w:pPr>
              <w:pStyle w:val="BlockText"/>
              <w:spacing w:line="276" w:lineRule="auto"/>
              <w:jc w:val="lowKashida"/>
              <w:rPr>
                <w:rFonts w:ascii="Sakkal Majalla" w:hAnsi="Sakkal Majalla" w:cs="Sakkal Majalla"/>
                <w:sz w:val="18"/>
                <w:szCs w:val="18"/>
                <w:lang w:bidi="ar-EG"/>
              </w:rPr>
            </w:pPr>
            <w:r w:rsidRPr="00C869FF">
              <w:rPr>
                <w:rFonts w:ascii="Sakkal Majalla" w:hAnsi="Sakkal Majalla" w:cs="Sakkal Majalla"/>
                <w:sz w:val="18"/>
                <w:szCs w:val="18"/>
                <w:rtl/>
              </w:rPr>
              <w:t>متوسط زمن الإفراج (شحنات منخفضة المخاطر)</w:t>
            </w:r>
          </w:p>
        </w:tc>
        <w:tc>
          <w:tcPr>
            <w:tcW w:w="0" w:type="auto"/>
            <w:hideMark/>
          </w:tcPr>
          <w:p w14:paraId="46280C3B"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 xml:space="preserve">1–2 </w:t>
            </w:r>
            <w:r w:rsidRPr="00C869FF">
              <w:rPr>
                <w:rFonts w:ascii="Sakkal Majalla" w:hAnsi="Sakkal Majalla" w:cs="Sakkal Majalla"/>
                <w:sz w:val="18"/>
                <w:szCs w:val="18"/>
                <w:rtl/>
              </w:rPr>
              <w:t>ساعات (هدف "فسح خلال ساعتين")</w:t>
            </w:r>
          </w:p>
        </w:tc>
        <w:tc>
          <w:tcPr>
            <w:tcW w:w="0" w:type="auto"/>
            <w:hideMark/>
          </w:tcPr>
          <w:p w14:paraId="096A0230"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 xml:space="preserve">0–4 </w:t>
            </w:r>
            <w:r w:rsidRPr="00C869FF">
              <w:rPr>
                <w:rFonts w:ascii="Sakkal Majalla" w:hAnsi="Sakkal Majalla" w:cs="Sakkal Majalla"/>
                <w:sz w:val="18"/>
                <w:szCs w:val="18"/>
                <w:rtl/>
              </w:rPr>
              <w:t>ساعات</w:t>
            </w:r>
            <w:r w:rsidRPr="00C869FF">
              <w:rPr>
                <w:rFonts w:ascii="Sakkal Majalla" w:hAnsi="Sakkal Majalla" w:cs="Sakkal Majalla"/>
                <w:sz w:val="18"/>
                <w:szCs w:val="18"/>
                <w:lang w:bidi="ar-EG"/>
              </w:rPr>
              <w:t xml:space="preserve"> (&lt;1 </w:t>
            </w:r>
            <w:r w:rsidRPr="00C869FF">
              <w:rPr>
                <w:rFonts w:ascii="Sakkal Majalla" w:hAnsi="Sakkal Majalla" w:cs="Sakkal Majalla"/>
                <w:sz w:val="18"/>
                <w:szCs w:val="18"/>
                <w:rtl/>
              </w:rPr>
              <w:t>ساعة في أفضل الموانئ</w:t>
            </w:r>
            <w:r w:rsidRPr="00C869FF">
              <w:rPr>
                <w:rFonts w:ascii="Sakkal Majalla" w:hAnsi="Sakkal Majalla" w:cs="Sakkal Majalla"/>
                <w:sz w:val="18"/>
                <w:szCs w:val="18"/>
                <w:lang w:bidi="ar-EG"/>
              </w:rPr>
              <w:t>)</w:t>
            </w:r>
          </w:p>
        </w:tc>
        <w:tc>
          <w:tcPr>
            <w:tcW w:w="0" w:type="auto"/>
            <w:hideMark/>
          </w:tcPr>
          <w:p w14:paraId="42E29B3E"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 xml:space="preserve">4–24 </w:t>
            </w:r>
            <w:r w:rsidRPr="00C869FF">
              <w:rPr>
                <w:rFonts w:ascii="Sakkal Majalla" w:hAnsi="Sakkal Majalla" w:cs="Sakkal Majalla"/>
                <w:sz w:val="18"/>
                <w:szCs w:val="18"/>
                <w:rtl/>
              </w:rPr>
              <w:t>ساعة</w:t>
            </w:r>
          </w:p>
        </w:tc>
        <w:tc>
          <w:tcPr>
            <w:tcW w:w="0" w:type="auto"/>
            <w:hideMark/>
          </w:tcPr>
          <w:p w14:paraId="0A6A6F05"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دقائق إلى ساعات قليلة</w:t>
            </w:r>
            <w:r w:rsidRPr="00C869FF">
              <w:rPr>
                <w:rFonts w:ascii="Sakkal Majalla" w:hAnsi="Sakkal Majalla" w:cs="Sakkal Majalla"/>
                <w:sz w:val="18"/>
                <w:szCs w:val="18"/>
                <w:lang w:bidi="ar-EG"/>
              </w:rPr>
              <w:t xml:space="preserve"> (&lt;10–15 </w:t>
            </w:r>
            <w:r w:rsidRPr="00C869FF">
              <w:rPr>
                <w:rFonts w:ascii="Sakkal Majalla" w:hAnsi="Sakkal Majalla" w:cs="Sakkal Majalla"/>
                <w:sz w:val="18"/>
                <w:szCs w:val="18"/>
                <w:rtl/>
              </w:rPr>
              <w:t>دقيقة في معظم الحالات</w:t>
            </w:r>
            <w:r w:rsidRPr="00C869FF">
              <w:rPr>
                <w:rFonts w:ascii="Sakkal Majalla" w:hAnsi="Sakkal Majalla" w:cs="Sakkal Majalla"/>
                <w:sz w:val="18"/>
                <w:szCs w:val="18"/>
                <w:lang w:bidi="ar-EG"/>
              </w:rPr>
              <w:t>)</w:t>
            </w:r>
          </w:p>
        </w:tc>
        <w:tc>
          <w:tcPr>
            <w:tcW w:w="0" w:type="auto"/>
            <w:hideMark/>
          </w:tcPr>
          <w:p w14:paraId="3031CFF6"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عامل "الكفاءة الاقتصادية" (متوسط ≈ 0.659)</w:t>
            </w:r>
            <w:r w:rsidRPr="00C869FF">
              <w:rPr>
                <w:rFonts w:ascii="Sakkal Majalla" w:hAnsi="Sakkal Majalla" w:cs="Sakkal Majalla"/>
                <w:sz w:val="18"/>
                <w:szCs w:val="18"/>
                <w:lang w:bidi="ar-EG"/>
              </w:rPr>
              <w:t xml:space="preserve"> – ZATCA </w:t>
            </w:r>
            <w:r w:rsidRPr="00C869FF">
              <w:rPr>
                <w:rFonts w:ascii="Sakkal Majalla" w:hAnsi="Sakkal Majalla" w:cs="Sakkal Majalla"/>
                <w:sz w:val="18"/>
                <w:szCs w:val="18"/>
                <w:rtl/>
              </w:rPr>
              <w:t>تنافسية جدًا، لكن سنغافورة الأسرع عالميًا</w:t>
            </w:r>
          </w:p>
        </w:tc>
      </w:tr>
      <w:tr w:rsidR="007C63F4" w:rsidRPr="007C63F4" w14:paraId="7B6CD3CA" w14:textId="77777777" w:rsidTr="007C63F4">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6BEF8A7" w14:textId="77777777" w:rsidR="00C869FF" w:rsidRPr="00C869FF" w:rsidRDefault="00C869FF" w:rsidP="007C63F4">
            <w:pPr>
              <w:pStyle w:val="BlockText"/>
              <w:spacing w:line="276" w:lineRule="auto"/>
              <w:jc w:val="lowKashida"/>
              <w:rPr>
                <w:rFonts w:ascii="Sakkal Majalla" w:hAnsi="Sakkal Majalla" w:cs="Sakkal Majalla"/>
                <w:sz w:val="18"/>
                <w:szCs w:val="18"/>
                <w:lang w:bidi="ar-EG"/>
              </w:rPr>
            </w:pPr>
            <w:r w:rsidRPr="00C869FF">
              <w:rPr>
                <w:rFonts w:ascii="Sakkal Majalla" w:hAnsi="Sakkal Majalla" w:cs="Sakkal Majalla"/>
                <w:sz w:val="18"/>
                <w:szCs w:val="18"/>
                <w:rtl/>
              </w:rPr>
              <w:t>الامتثال الضريبي والجمركي</w:t>
            </w:r>
          </w:p>
        </w:tc>
        <w:tc>
          <w:tcPr>
            <w:tcW w:w="0" w:type="auto"/>
            <w:hideMark/>
          </w:tcPr>
          <w:p w14:paraId="47561D39"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فاتورة إلكترونية فورية</w:t>
            </w:r>
            <w:r w:rsidRPr="00C869FF">
              <w:rPr>
                <w:rFonts w:ascii="Sakkal Majalla" w:hAnsi="Sakkal Majalla" w:cs="Sakkal Majalla"/>
                <w:sz w:val="18"/>
                <w:szCs w:val="18"/>
                <w:lang w:bidi="ar-EG"/>
              </w:rPr>
              <w:t xml:space="preserve"> (real-time) + </w:t>
            </w:r>
            <w:r w:rsidRPr="00C869FF">
              <w:rPr>
                <w:rFonts w:ascii="Sakkal Majalla" w:hAnsi="Sakkal Majalla" w:cs="Sakkal Majalla"/>
                <w:sz w:val="18"/>
                <w:szCs w:val="18"/>
                <w:rtl/>
              </w:rPr>
              <w:t>تماسك عالي</w:t>
            </w:r>
          </w:p>
        </w:tc>
        <w:tc>
          <w:tcPr>
            <w:tcW w:w="0" w:type="auto"/>
            <w:hideMark/>
          </w:tcPr>
          <w:p w14:paraId="4DABFC88"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امتثال متقدم بدون فوترة موحدة إلزامية</w:t>
            </w:r>
          </w:p>
        </w:tc>
        <w:tc>
          <w:tcPr>
            <w:tcW w:w="0" w:type="auto"/>
            <w:hideMark/>
          </w:tcPr>
          <w:p w14:paraId="5A03CBAA"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Entry Summary + Reconciliation</w:t>
            </w:r>
          </w:p>
        </w:tc>
        <w:tc>
          <w:tcPr>
            <w:tcW w:w="0" w:type="auto"/>
            <w:hideMark/>
          </w:tcPr>
          <w:p w14:paraId="5EA925ED"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 xml:space="preserve">TradeNet + e-invoicing </w:t>
            </w:r>
            <w:r w:rsidRPr="00C869FF">
              <w:rPr>
                <w:rFonts w:ascii="Sakkal Majalla" w:hAnsi="Sakkal Majalla" w:cs="Sakkal Majalla"/>
                <w:sz w:val="18"/>
                <w:szCs w:val="18"/>
                <w:rtl/>
              </w:rPr>
              <w:t>جزئي + امتثال عالي جدًا</w:t>
            </w:r>
          </w:p>
        </w:tc>
        <w:tc>
          <w:tcPr>
            <w:tcW w:w="0" w:type="auto"/>
            <w:hideMark/>
          </w:tcPr>
          <w:p w14:paraId="1A20E7E4"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عامل "تقليل التهرب الضريبي وتعزيز الامتثال" (متوسط ≈ 0.978، أعلى تماسك في الدراسة)</w:t>
            </w:r>
            <w:r w:rsidRPr="00C869FF">
              <w:rPr>
                <w:rFonts w:ascii="Sakkal Majalla" w:hAnsi="Sakkal Majalla" w:cs="Sakkal Majalla"/>
                <w:sz w:val="18"/>
                <w:szCs w:val="18"/>
                <w:lang w:bidi="ar-EG"/>
              </w:rPr>
              <w:t xml:space="preserve"> – ZATCA </w:t>
            </w:r>
            <w:r w:rsidRPr="00C869FF">
              <w:rPr>
                <w:rFonts w:ascii="Sakkal Majalla" w:hAnsi="Sakkal Majalla" w:cs="Sakkal Majalla"/>
                <w:sz w:val="18"/>
                <w:szCs w:val="18"/>
                <w:rtl/>
              </w:rPr>
              <w:t>تتفوق هنا بشكل واضح</w:t>
            </w:r>
          </w:p>
        </w:tc>
      </w:tr>
      <w:tr w:rsidR="00C869FF" w:rsidRPr="007C63F4" w14:paraId="4E5AD9DA" w14:textId="77777777" w:rsidTr="007C63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905F4E8" w14:textId="77777777" w:rsidR="00C869FF" w:rsidRPr="00C869FF" w:rsidRDefault="00C869FF" w:rsidP="007C63F4">
            <w:pPr>
              <w:pStyle w:val="BlockText"/>
              <w:spacing w:line="276" w:lineRule="auto"/>
              <w:jc w:val="lowKashida"/>
              <w:rPr>
                <w:rFonts w:ascii="Sakkal Majalla" w:hAnsi="Sakkal Majalla" w:cs="Sakkal Majalla"/>
                <w:sz w:val="18"/>
                <w:szCs w:val="18"/>
                <w:lang w:bidi="ar-EG"/>
              </w:rPr>
            </w:pPr>
            <w:r w:rsidRPr="00C869FF">
              <w:rPr>
                <w:rFonts w:ascii="Sakkal Majalla" w:hAnsi="Sakkal Majalla" w:cs="Sakkal Majalla"/>
                <w:sz w:val="18"/>
                <w:szCs w:val="18"/>
                <w:rtl/>
              </w:rPr>
              <w:t>الاستدامة البيئية والتجارة الخضراء</w:t>
            </w:r>
          </w:p>
        </w:tc>
        <w:tc>
          <w:tcPr>
            <w:tcW w:w="0" w:type="auto"/>
            <w:hideMark/>
          </w:tcPr>
          <w:p w14:paraId="149119F6"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متوقع 28% خفض بصمة كربونية بحلول 2030</w:t>
            </w:r>
          </w:p>
        </w:tc>
        <w:tc>
          <w:tcPr>
            <w:tcW w:w="0" w:type="auto"/>
            <w:hideMark/>
          </w:tcPr>
          <w:p w14:paraId="1D9DB641"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 xml:space="preserve">Digital Product Passport + </w:t>
            </w:r>
            <w:r w:rsidRPr="00C869FF">
              <w:rPr>
                <w:rFonts w:ascii="Sakkal Majalla" w:hAnsi="Sakkal Majalla" w:cs="Sakkal Majalla"/>
                <w:sz w:val="18"/>
                <w:szCs w:val="18"/>
                <w:rtl/>
              </w:rPr>
              <w:t>تكامل بيئي إلزامي</w:t>
            </w:r>
          </w:p>
        </w:tc>
        <w:tc>
          <w:tcPr>
            <w:tcW w:w="0" w:type="auto"/>
            <w:hideMark/>
          </w:tcPr>
          <w:p w14:paraId="4665A4D1"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Smart &amp; Sustainable Trade Initiative</w:t>
            </w:r>
          </w:p>
        </w:tc>
        <w:tc>
          <w:tcPr>
            <w:tcW w:w="0" w:type="auto"/>
            <w:hideMark/>
          </w:tcPr>
          <w:p w14:paraId="4470D186"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 xml:space="preserve">NTP + Green Trade initiatives + </w:t>
            </w:r>
            <w:r w:rsidRPr="00C869FF">
              <w:rPr>
                <w:rFonts w:ascii="Sakkal Majalla" w:hAnsi="Sakkal Majalla" w:cs="Sakkal Majalla"/>
                <w:sz w:val="18"/>
                <w:szCs w:val="18"/>
                <w:rtl/>
              </w:rPr>
              <w:t>تكامل بيئي قوي</w:t>
            </w:r>
          </w:p>
        </w:tc>
        <w:tc>
          <w:tcPr>
            <w:tcW w:w="0" w:type="auto"/>
            <w:hideMark/>
          </w:tcPr>
          <w:p w14:paraId="3722D53A"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عامل "الاستدامة البيئية والاجتماعية" (متوسط ≈ 0.739، 8.83% تباين) – سنغافورة و</w:t>
            </w:r>
            <w:r w:rsidRPr="00C869FF">
              <w:rPr>
                <w:rFonts w:ascii="Sakkal Majalla" w:hAnsi="Sakkal Majalla" w:cs="Sakkal Majalla"/>
                <w:sz w:val="18"/>
                <w:szCs w:val="18"/>
                <w:lang w:bidi="ar-EG"/>
              </w:rPr>
              <w:t xml:space="preserve">EU </w:t>
            </w:r>
            <w:r w:rsidRPr="00C869FF">
              <w:rPr>
                <w:rFonts w:ascii="Sakkal Majalla" w:hAnsi="Sakkal Majalla" w:cs="Sakkal Majalla"/>
                <w:sz w:val="18"/>
                <w:szCs w:val="18"/>
                <w:rtl/>
              </w:rPr>
              <w:t>أكثر تقدمًا</w:t>
            </w:r>
          </w:p>
        </w:tc>
      </w:tr>
      <w:tr w:rsidR="007C63F4" w:rsidRPr="007C63F4" w14:paraId="71F0A40C" w14:textId="77777777" w:rsidTr="007C63F4">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E645A7D" w14:textId="77777777" w:rsidR="00C869FF" w:rsidRPr="00C869FF" w:rsidRDefault="00C869FF" w:rsidP="007C63F4">
            <w:pPr>
              <w:pStyle w:val="BlockText"/>
              <w:spacing w:line="276" w:lineRule="auto"/>
              <w:jc w:val="lowKashida"/>
              <w:rPr>
                <w:rFonts w:ascii="Sakkal Majalla" w:hAnsi="Sakkal Majalla" w:cs="Sakkal Majalla"/>
                <w:sz w:val="18"/>
                <w:szCs w:val="18"/>
                <w:lang w:bidi="ar-EG"/>
              </w:rPr>
            </w:pPr>
            <w:r w:rsidRPr="00C869FF">
              <w:rPr>
                <w:rFonts w:ascii="Sakkal Majalla" w:hAnsi="Sakkal Majalla" w:cs="Sakkal Majalla"/>
                <w:sz w:val="18"/>
                <w:szCs w:val="18"/>
                <w:rtl/>
              </w:rPr>
              <w:t>التكامل عابر الحدود</w:t>
            </w:r>
          </w:p>
        </w:tc>
        <w:tc>
          <w:tcPr>
            <w:tcW w:w="0" w:type="auto"/>
            <w:hideMark/>
          </w:tcPr>
          <w:p w14:paraId="3AF01C2B"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اتفاقيات إقليمية (مجلس التعاون) + شراكات محدودة</w:t>
            </w:r>
          </w:p>
        </w:tc>
        <w:tc>
          <w:tcPr>
            <w:tcW w:w="0" w:type="auto"/>
            <w:hideMark/>
          </w:tcPr>
          <w:p w14:paraId="28755E49"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تكامل 27 دولة + تبادل مع دول ثالثة</w:t>
            </w:r>
          </w:p>
        </w:tc>
        <w:tc>
          <w:tcPr>
            <w:tcW w:w="0" w:type="auto"/>
            <w:hideMark/>
          </w:tcPr>
          <w:p w14:paraId="39AEE6FE"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تبادل مع 100+ دولة عبر</w:t>
            </w:r>
            <w:r w:rsidRPr="00C869FF">
              <w:rPr>
                <w:rFonts w:ascii="Sakkal Majalla" w:hAnsi="Sakkal Majalla" w:cs="Sakkal Majalla"/>
                <w:sz w:val="18"/>
                <w:szCs w:val="18"/>
                <w:lang w:bidi="ar-EG"/>
              </w:rPr>
              <w:t xml:space="preserve"> API</w:t>
            </w:r>
          </w:p>
        </w:tc>
        <w:tc>
          <w:tcPr>
            <w:tcW w:w="0" w:type="auto"/>
            <w:hideMark/>
          </w:tcPr>
          <w:p w14:paraId="05E07B43"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 xml:space="preserve">NTP + ASEAN Single Window + e-PCO </w:t>
            </w:r>
            <w:r w:rsidRPr="00C869FF">
              <w:rPr>
                <w:rFonts w:ascii="Sakkal Majalla" w:hAnsi="Sakkal Majalla" w:cs="Sakkal Majalla"/>
                <w:sz w:val="18"/>
                <w:szCs w:val="18"/>
                <w:rtl/>
              </w:rPr>
              <w:t>مع الصين ودول أخرى</w:t>
            </w:r>
          </w:p>
        </w:tc>
        <w:tc>
          <w:tcPr>
            <w:tcW w:w="0" w:type="auto"/>
            <w:hideMark/>
          </w:tcPr>
          <w:p w14:paraId="0FE57CC7"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عامل "التكامل المؤسسي والشراكات" – سنغافورة تتفوق في الاتصال الإقليمي/الدولي</w:t>
            </w:r>
          </w:p>
        </w:tc>
      </w:tr>
      <w:tr w:rsidR="00C869FF" w:rsidRPr="007C63F4" w14:paraId="7AE5449D" w14:textId="77777777" w:rsidTr="007C63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7D264AF" w14:textId="77777777" w:rsidR="00C869FF" w:rsidRPr="00C869FF" w:rsidRDefault="00C869FF" w:rsidP="007C63F4">
            <w:pPr>
              <w:pStyle w:val="BlockText"/>
              <w:spacing w:line="276" w:lineRule="auto"/>
              <w:jc w:val="lowKashida"/>
              <w:rPr>
                <w:rFonts w:ascii="Sakkal Majalla" w:hAnsi="Sakkal Majalla" w:cs="Sakkal Majalla"/>
                <w:sz w:val="18"/>
                <w:szCs w:val="18"/>
                <w:lang w:bidi="ar-EG"/>
              </w:rPr>
            </w:pPr>
            <w:r w:rsidRPr="00C869FF">
              <w:rPr>
                <w:rFonts w:ascii="Sakkal Majalla" w:hAnsi="Sakkal Majalla" w:cs="Sakkal Majalla"/>
                <w:sz w:val="18"/>
                <w:szCs w:val="18"/>
                <w:rtl/>
              </w:rPr>
              <w:lastRenderedPageBreak/>
              <w:t>نسبة الشحنات المفحوصة فعليًا</w:t>
            </w:r>
          </w:p>
        </w:tc>
        <w:tc>
          <w:tcPr>
            <w:tcW w:w="0" w:type="auto"/>
            <w:hideMark/>
          </w:tcPr>
          <w:p w14:paraId="1D6D5F06"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~5–8% (</w:t>
            </w:r>
            <w:r w:rsidRPr="00C869FF">
              <w:rPr>
                <w:rFonts w:ascii="Sakkal Majalla" w:hAnsi="Sakkal Majalla" w:cs="Sakkal Majalla"/>
                <w:sz w:val="18"/>
                <w:szCs w:val="18"/>
                <w:rtl/>
              </w:rPr>
              <w:t>تركيز على المخاطر</w:t>
            </w:r>
            <w:r w:rsidRPr="00C869FF">
              <w:rPr>
                <w:rFonts w:ascii="Sakkal Majalla" w:hAnsi="Sakkal Majalla" w:cs="Sakkal Majalla"/>
                <w:sz w:val="18"/>
                <w:szCs w:val="18"/>
                <w:lang w:bidi="ar-EG"/>
              </w:rPr>
              <w:t>)</w:t>
            </w:r>
          </w:p>
        </w:tc>
        <w:tc>
          <w:tcPr>
            <w:tcW w:w="0" w:type="auto"/>
            <w:hideMark/>
          </w:tcPr>
          <w:p w14:paraId="07E32DAB"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2–5% (</w:t>
            </w:r>
            <w:r w:rsidRPr="00C869FF">
              <w:rPr>
                <w:rFonts w:ascii="Sakkal Majalla" w:hAnsi="Sakkal Majalla" w:cs="Sakkal Majalla"/>
                <w:sz w:val="18"/>
                <w:szCs w:val="18"/>
                <w:rtl/>
              </w:rPr>
              <w:t>بفضل</w:t>
            </w:r>
            <w:r w:rsidRPr="00C869FF">
              <w:rPr>
                <w:rFonts w:ascii="Sakkal Majalla" w:hAnsi="Sakkal Majalla" w:cs="Sakkal Majalla"/>
                <w:sz w:val="18"/>
                <w:szCs w:val="18"/>
                <w:lang w:bidi="ar-EG"/>
              </w:rPr>
              <w:t xml:space="preserve"> ICS2)</w:t>
            </w:r>
          </w:p>
        </w:tc>
        <w:tc>
          <w:tcPr>
            <w:tcW w:w="0" w:type="auto"/>
            <w:hideMark/>
          </w:tcPr>
          <w:p w14:paraId="315BAD59"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3–6% (</w:t>
            </w:r>
            <w:r w:rsidRPr="00C869FF">
              <w:rPr>
                <w:rFonts w:ascii="Sakkal Majalla" w:hAnsi="Sakkal Majalla" w:cs="Sakkal Majalla"/>
                <w:sz w:val="18"/>
                <w:szCs w:val="18"/>
                <w:rtl/>
              </w:rPr>
              <w:t>بفضل</w:t>
            </w:r>
            <w:r w:rsidRPr="00C869FF">
              <w:rPr>
                <w:rFonts w:ascii="Sakkal Majalla" w:hAnsi="Sakkal Majalla" w:cs="Sakkal Majalla"/>
                <w:sz w:val="18"/>
                <w:szCs w:val="18"/>
                <w:lang w:bidi="ar-EG"/>
              </w:rPr>
              <w:t xml:space="preserve"> ATS)</w:t>
            </w:r>
          </w:p>
        </w:tc>
        <w:tc>
          <w:tcPr>
            <w:tcW w:w="0" w:type="auto"/>
            <w:hideMark/>
          </w:tcPr>
          <w:p w14:paraId="2515F9F6"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&lt;5% (</w:t>
            </w:r>
            <w:r w:rsidRPr="00C869FF">
              <w:rPr>
                <w:rFonts w:ascii="Sakkal Majalla" w:hAnsi="Sakkal Majalla" w:cs="Sakkal Majalla"/>
                <w:sz w:val="18"/>
                <w:szCs w:val="18"/>
                <w:rtl/>
              </w:rPr>
              <w:t>بفضل</w:t>
            </w:r>
            <w:r w:rsidRPr="00C869FF">
              <w:rPr>
                <w:rFonts w:ascii="Sakkal Majalla" w:hAnsi="Sakkal Majalla" w:cs="Sakkal Majalla"/>
                <w:sz w:val="18"/>
                <w:szCs w:val="18"/>
                <w:lang w:bidi="ar-EG"/>
              </w:rPr>
              <w:t xml:space="preserve"> DAISY </w:t>
            </w:r>
            <w:r w:rsidRPr="00C869FF">
              <w:rPr>
                <w:rFonts w:ascii="Sakkal Majalla" w:hAnsi="Sakkal Majalla" w:cs="Sakkal Majalla"/>
                <w:sz w:val="18"/>
                <w:szCs w:val="18"/>
                <w:rtl/>
              </w:rPr>
              <w:t>وتحليل مخاطر دقيق</w:t>
            </w:r>
            <w:r w:rsidRPr="00C869FF">
              <w:rPr>
                <w:rFonts w:ascii="Sakkal Majalla" w:hAnsi="Sakkal Majalla" w:cs="Sakkal Majalla"/>
                <w:sz w:val="18"/>
                <w:szCs w:val="18"/>
                <w:lang w:bidi="ar-EG"/>
              </w:rPr>
              <w:t>)</w:t>
            </w:r>
          </w:p>
        </w:tc>
        <w:tc>
          <w:tcPr>
            <w:tcW w:w="0" w:type="auto"/>
            <w:hideMark/>
          </w:tcPr>
          <w:p w14:paraId="572328E9"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يدعم "الكفاءة الأمنية الوقائية" (أعلى تباين 24.46%) – الدول الرائدة تقلل الفحص عبر</w:t>
            </w:r>
            <w:r w:rsidRPr="00C869FF">
              <w:rPr>
                <w:rFonts w:ascii="Sakkal Majalla" w:hAnsi="Sakkal Majalla" w:cs="Sakkal Majalla"/>
                <w:sz w:val="18"/>
                <w:szCs w:val="18"/>
                <w:lang w:bidi="ar-EG"/>
              </w:rPr>
              <w:t xml:space="preserve"> AI</w:t>
            </w:r>
          </w:p>
        </w:tc>
      </w:tr>
    </w:tbl>
    <w:p w14:paraId="1B83BD9E" w14:textId="31D7299B" w:rsidR="00C869FF" w:rsidRPr="00C869FF" w:rsidRDefault="00C869FF" w:rsidP="00C869FF">
      <w:pPr>
        <w:pStyle w:val="BlockText"/>
        <w:spacing w:line="276" w:lineRule="auto"/>
        <w:jc w:val="lowKashida"/>
        <w:rPr>
          <w:rFonts w:ascii="Sakkal Majalla" w:hAnsi="Sakkal Majalla" w:cs="Sakkal Majalla"/>
          <w:b/>
          <w:bCs/>
          <w:sz w:val="28"/>
          <w:lang w:bidi="ar-EG"/>
        </w:rPr>
      </w:pPr>
      <w:r w:rsidRPr="00C869FF">
        <w:rPr>
          <w:rFonts w:ascii="Sakkal Majalla" w:hAnsi="Sakkal Majalla" w:cs="Sakkal Majalla"/>
          <w:b/>
          <w:bCs/>
          <w:sz w:val="28"/>
          <w:rtl/>
          <w:lang w:bidi="ar-EG"/>
        </w:rPr>
        <w:t>الخلاصة الاستراتيجية وربطها بالتحليل الإحصائي للدراسة</w:t>
      </w:r>
    </w:p>
    <w:p w14:paraId="3F60FF3F" w14:textId="6E1B82DF" w:rsidR="00C869FF" w:rsidRPr="00C869FF" w:rsidRDefault="00C869FF" w:rsidP="00C869FF">
      <w:pPr>
        <w:pStyle w:val="BlockText"/>
        <w:spacing w:line="276" w:lineRule="auto"/>
        <w:jc w:val="lowKashida"/>
        <w:rPr>
          <w:rFonts w:ascii="Sakkal Majalla" w:hAnsi="Sakkal Majalla" w:cs="Sakkal Majalla"/>
          <w:sz w:val="28"/>
          <w:lang w:bidi="ar-EG"/>
        </w:rPr>
      </w:pPr>
      <w:r w:rsidRPr="00C869FF">
        <w:rPr>
          <w:rFonts w:ascii="Sakkal Majalla" w:hAnsi="Sakkal Majalla" w:cs="Sakkal Majalla"/>
          <w:b/>
          <w:bCs/>
          <w:sz w:val="28"/>
          <w:rtl/>
          <w:lang w:bidi="ar-EG"/>
        </w:rPr>
        <w:t xml:space="preserve">- نقاط تفوق </w:t>
      </w:r>
      <w:r w:rsidRPr="00C869FF">
        <w:rPr>
          <w:rFonts w:ascii="Sakkal Majalla" w:hAnsi="Sakkal Majalla" w:cs="Sakkal Majalla"/>
          <w:b/>
          <w:bCs/>
          <w:sz w:val="28"/>
          <w:lang w:bidi="ar-EG"/>
        </w:rPr>
        <w:t>ZATCA</w:t>
      </w:r>
      <w:r w:rsidRPr="00C869FF">
        <w:rPr>
          <w:rFonts w:ascii="Sakkal Majalla" w:hAnsi="Sakkal Majalla" w:cs="Sakkal Majalla"/>
          <w:sz w:val="28"/>
          <w:rtl/>
          <w:lang w:bidi="ar-EG"/>
        </w:rPr>
        <w:t xml:space="preserve"> مقارنة بسنغافورة: الامتثال الضريبي الفوري (عامل التاسع – متوسط تشبع 0.978، أعلى تماسك في الدراسة كلها)، والسرعة الفعلية في الإفراج (1–2 ساعات) التي تنافس أو تتفوق على </w:t>
      </w:r>
      <w:r w:rsidRPr="00C869FF">
        <w:rPr>
          <w:rFonts w:ascii="Sakkal Majalla" w:hAnsi="Sakkal Majalla" w:cs="Sakkal Majalla"/>
          <w:sz w:val="28"/>
          <w:lang w:bidi="ar-EG"/>
        </w:rPr>
        <w:t>TradeNet</w:t>
      </w:r>
      <w:r w:rsidRPr="00C869FF">
        <w:rPr>
          <w:rFonts w:ascii="Sakkal Majalla" w:hAnsi="Sakkal Majalla" w:cs="Sakkal Majalla"/>
          <w:sz w:val="28"/>
          <w:rtl/>
          <w:lang w:bidi="ar-EG"/>
        </w:rPr>
        <w:t xml:space="preserve"> في بعض السيناريوهات. هذا يعكس قوة عامل "الحوكمة والامتثال القانوني والسياسي" (16.33% تباين) في إدراك المبحوثين.</w:t>
      </w:r>
    </w:p>
    <w:p w14:paraId="072CDABC" w14:textId="2773EAB1" w:rsidR="00C869FF" w:rsidRPr="00C869FF" w:rsidRDefault="00C869FF" w:rsidP="00C869FF">
      <w:pPr>
        <w:pStyle w:val="BlockText"/>
        <w:spacing w:line="276" w:lineRule="auto"/>
        <w:jc w:val="lowKashida"/>
        <w:rPr>
          <w:rFonts w:ascii="Sakkal Majalla" w:hAnsi="Sakkal Majalla" w:cs="Sakkal Majalla"/>
          <w:sz w:val="28"/>
          <w:lang w:bidi="ar-EG"/>
        </w:rPr>
      </w:pPr>
      <w:r w:rsidRPr="00C869FF">
        <w:rPr>
          <w:rFonts w:ascii="Sakkal Majalla" w:hAnsi="Sakkal Majalla" w:cs="Sakkal Majalla"/>
          <w:b/>
          <w:bCs/>
          <w:sz w:val="28"/>
          <w:rtl/>
          <w:lang w:bidi="ar-EG"/>
        </w:rPr>
        <w:t>- نقاط تفوق سنغافورة:</w:t>
      </w:r>
      <w:r w:rsidRPr="00C869FF">
        <w:rPr>
          <w:rFonts w:ascii="Sakkal Majalla" w:hAnsi="Sakkal Majalla" w:cs="Sakkal Majalla"/>
          <w:sz w:val="28"/>
          <w:rtl/>
          <w:lang w:bidi="ar-EG"/>
        </w:rPr>
        <w:t xml:space="preserve"> أول نافذة واحدة عالمية (</w:t>
      </w:r>
      <w:r w:rsidRPr="00C869FF">
        <w:rPr>
          <w:rFonts w:ascii="Sakkal Majalla" w:hAnsi="Sakkal Majalla" w:cs="Sakkal Majalla"/>
          <w:sz w:val="28"/>
          <w:lang w:bidi="ar-EG"/>
        </w:rPr>
        <w:t>TradeNet</w:t>
      </w:r>
      <w:r w:rsidRPr="00C869FF">
        <w:rPr>
          <w:rFonts w:ascii="Sakkal Majalla" w:hAnsi="Sakkal Majalla" w:cs="Sakkal Majalla"/>
          <w:sz w:val="28"/>
          <w:rtl/>
          <w:lang w:bidi="ar-EG"/>
        </w:rPr>
        <w:t xml:space="preserve">)، تكامل </w:t>
      </w:r>
      <w:r w:rsidRPr="00C869FF">
        <w:rPr>
          <w:rFonts w:ascii="Sakkal Majalla" w:hAnsi="Sakkal Majalla" w:cs="Sakkal Majalla"/>
          <w:sz w:val="28"/>
          <w:lang w:bidi="ar-EG"/>
        </w:rPr>
        <w:t>B2B/B2G</w:t>
      </w:r>
      <w:r w:rsidRPr="00C869FF">
        <w:rPr>
          <w:rFonts w:ascii="Sakkal Majalla" w:hAnsi="Sakkal Majalla" w:cs="Sakkal Majalla"/>
          <w:sz w:val="28"/>
          <w:rtl/>
          <w:lang w:bidi="ar-EG"/>
        </w:rPr>
        <w:t xml:space="preserve"> عبر </w:t>
      </w:r>
      <w:r w:rsidRPr="00C869FF">
        <w:rPr>
          <w:rFonts w:ascii="Sakkal Majalla" w:hAnsi="Sakkal Majalla" w:cs="Sakkal Majalla"/>
          <w:sz w:val="28"/>
          <w:lang w:bidi="ar-EG"/>
        </w:rPr>
        <w:t>NTP</w:t>
      </w:r>
      <w:r w:rsidRPr="00C869FF">
        <w:rPr>
          <w:rFonts w:ascii="Sakkal Majalla" w:hAnsi="Sakkal Majalla" w:cs="Sakkal Majalla"/>
          <w:sz w:val="28"/>
          <w:rtl/>
          <w:lang w:bidi="ar-EG"/>
        </w:rPr>
        <w:t>، و</w:t>
      </w:r>
      <w:r w:rsidRPr="00C869FF">
        <w:rPr>
          <w:rFonts w:ascii="Sakkal Majalla" w:hAnsi="Sakkal Majalla" w:cs="Sakkal Majalla"/>
          <w:sz w:val="28"/>
          <w:lang w:bidi="ar-EG"/>
        </w:rPr>
        <w:t>DAISY</w:t>
      </w:r>
      <w:r w:rsidRPr="00C869FF">
        <w:rPr>
          <w:rFonts w:ascii="Sakkal Majalla" w:hAnsi="Sakkal Majalla" w:cs="Sakkal Majalla"/>
          <w:sz w:val="28"/>
          <w:rtl/>
          <w:lang w:bidi="ar-EG"/>
        </w:rPr>
        <w:t xml:space="preserve"> (</w:t>
      </w:r>
      <w:r w:rsidRPr="00C869FF">
        <w:rPr>
          <w:rFonts w:ascii="Sakkal Majalla" w:hAnsi="Sakkal Majalla" w:cs="Sakkal Majalla"/>
          <w:sz w:val="28"/>
          <w:lang w:bidi="ar-EG"/>
        </w:rPr>
        <w:t>AI</w:t>
      </w:r>
      <w:r w:rsidRPr="00C869FF">
        <w:rPr>
          <w:rFonts w:ascii="Sakkal Majalla" w:hAnsi="Sakkal Majalla" w:cs="Sakkal Majalla"/>
          <w:sz w:val="28"/>
          <w:rtl/>
          <w:lang w:bidi="ar-EG"/>
        </w:rPr>
        <w:t xml:space="preserve"> من 2025) الذي يقلل أوقات المعالجة بشكل كبير – يدعم ضعف عامل "الابتكار في إدارة المخاطر التنبؤية" (7.42% تباين، أضعف عامل نسبيًا في الدراسة)، ويبرز الحاجة إلى تطوير </w:t>
      </w:r>
      <w:r w:rsidRPr="00C869FF">
        <w:rPr>
          <w:rFonts w:ascii="Sakkal Majalla" w:hAnsi="Sakkal Majalla" w:cs="Sakkal Majalla"/>
          <w:sz w:val="28"/>
          <w:lang w:bidi="ar-EG"/>
        </w:rPr>
        <w:t>AI</w:t>
      </w:r>
      <w:r w:rsidRPr="00C869FF">
        <w:rPr>
          <w:rFonts w:ascii="Sakkal Majalla" w:hAnsi="Sakkal Majalla" w:cs="Sakkal Majalla"/>
          <w:sz w:val="28"/>
          <w:rtl/>
          <w:lang w:bidi="ar-EG"/>
        </w:rPr>
        <w:t xml:space="preserve"> تنبؤي أكثر نضجًا في </w:t>
      </w:r>
      <w:r w:rsidRPr="00C869FF">
        <w:rPr>
          <w:rFonts w:ascii="Sakkal Majalla" w:hAnsi="Sakkal Majalla" w:cs="Sakkal Majalla"/>
          <w:sz w:val="28"/>
          <w:lang w:bidi="ar-EG"/>
        </w:rPr>
        <w:t>ZATCA</w:t>
      </w:r>
      <w:r w:rsidRPr="00C869FF">
        <w:rPr>
          <w:rFonts w:ascii="Sakkal Majalla" w:hAnsi="Sakkal Majalla" w:cs="Sakkal Majalla"/>
          <w:sz w:val="28"/>
          <w:rtl/>
          <w:lang w:bidi="ar-EG"/>
        </w:rPr>
        <w:t>.</w:t>
      </w:r>
    </w:p>
    <w:p w14:paraId="5ED01AFD" w14:textId="3A402C6A" w:rsidR="00C869FF" w:rsidRPr="00C869FF" w:rsidRDefault="00C869FF" w:rsidP="00C869FF">
      <w:pPr>
        <w:pStyle w:val="BlockText"/>
        <w:spacing w:line="276" w:lineRule="auto"/>
        <w:jc w:val="lowKashida"/>
        <w:rPr>
          <w:rFonts w:ascii="Sakkal Majalla" w:hAnsi="Sakkal Majalla" w:cs="Sakkal Majalla"/>
          <w:sz w:val="28"/>
          <w:lang w:bidi="ar-EG"/>
        </w:rPr>
      </w:pPr>
      <w:r w:rsidRPr="00C869FF">
        <w:rPr>
          <w:rFonts w:ascii="Sakkal Majalla" w:hAnsi="Sakkal Majalla" w:cs="Sakkal Majalla"/>
          <w:b/>
          <w:bCs/>
          <w:sz w:val="28"/>
          <w:rtl/>
          <w:lang w:bidi="ar-EG"/>
        </w:rPr>
        <w:t xml:space="preserve">- الدرس المستفاد لـ </w:t>
      </w:r>
      <w:r w:rsidRPr="00C869FF">
        <w:rPr>
          <w:rFonts w:ascii="Sakkal Majalla" w:hAnsi="Sakkal Majalla" w:cs="Sakkal Majalla"/>
          <w:b/>
          <w:bCs/>
          <w:sz w:val="28"/>
          <w:lang w:bidi="ar-EG"/>
        </w:rPr>
        <w:t>ZATCA</w:t>
      </w:r>
      <w:r w:rsidRPr="00C869FF">
        <w:rPr>
          <w:rFonts w:ascii="Sakkal Majalla" w:hAnsi="Sakkal Majalla" w:cs="Sakkal Majalla"/>
          <w:sz w:val="28"/>
          <w:rtl/>
          <w:lang w:bidi="ar-EG"/>
        </w:rPr>
        <w:t xml:space="preserve"> نموذج سنغافورة يُثبت أن </w:t>
      </w:r>
      <w:r w:rsidRPr="00C869FF">
        <w:rPr>
          <w:rFonts w:ascii="Sakkal Majalla" w:hAnsi="Sakkal Majalla" w:cs="Sakkal Majalla"/>
          <w:b/>
          <w:bCs/>
          <w:sz w:val="28"/>
          <w:rtl/>
          <w:lang w:bidi="ar-EG"/>
        </w:rPr>
        <w:t>التكامل الشامل</w:t>
      </w:r>
      <w:r w:rsidRPr="00C869FF">
        <w:rPr>
          <w:rFonts w:ascii="Sakkal Majalla" w:hAnsi="Sakkal Majalla" w:cs="Sakkal Majalla"/>
          <w:sz w:val="28"/>
          <w:rtl/>
          <w:lang w:bidi="ar-EG"/>
        </w:rPr>
        <w:t xml:space="preserve"> (عامل 3 – 11.71% تباين) + </w:t>
      </w:r>
      <w:r w:rsidRPr="00C869FF">
        <w:rPr>
          <w:rFonts w:ascii="Sakkal Majalla" w:hAnsi="Sakkal Majalla" w:cs="Sakkal Majalla"/>
          <w:b/>
          <w:bCs/>
          <w:sz w:val="28"/>
          <w:rtl/>
          <w:lang w:bidi="ar-EG"/>
        </w:rPr>
        <w:t>الذكاء الاصطناعي التنبؤي</w:t>
      </w:r>
      <w:r w:rsidRPr="00C869FF">
        <w:rPr>
          <w:rFonts w:ascii="Sakkal Majalla" w:hAnsi="Sakkal Majalla" w:cs="Sakkal Majalla"/>
          <w:sz w:val="28"/>
          <w:rtl/>
          <w:lang w:bidi="ar-EG"/>
        </w:rPr>
        <w:t xml:space="preserve"> يحقق توازنًا مثاليًا بين الأمن (عامل 1 – أعلى تباين 24.46%) والتيسير (عامل 4 – 9.75% تباين)، مع تقليل الفحوصات الفعلية إلى أدنى مستوى. هذا يدعم توصيات الدراسة بتعزيز "الابتكار التكنولوجي" و"الاستدامة" للوصول إلى مستوى سنغافورة في الكفاءة العالمية.</w:t>
      </w:r>
    </w:p>
    <w:p w14:paraId="06AAE1E0" w14:textId="1A60F5BD" w:rsidR="001E4D37" w:rsidRPr="0003069F" w:rsidRDefault="00C869FF" w:rsidP="00C869FF">
      <w:pPr>
        <w:pStyle w:val="BlockText"/>
        <w:spacing w:line="276" w:lineRule="auto"/>
        <w:jc w:val="lowKashida"/>
        <w:rPr>
          <w:rFonts w:ascii="Sakkal Majalla" w:hAnsi="Sakkal Majalla" w:cs="Sakkal Majalla"/>
          <w:sz w:val="28"/>
          <w:rtl/>
          <w:lang w:bidi="ar-EG"/>
        </w:rPr>
      </w:pPr>
      <w:r w:rsidRPr="00C869FF">
        <w:rPr>
          <w:rFonts w:ascii="Sakkal Majalla" w:hAnsi="Sakkal Majalla" w:cs="Sakkal Majalla"/>
          <w:sz w:val="28"/>
          <w:rtl/>
          <w:lang w:bidi="ar-EG"/>
        </w:rPr>
        <w:t>هذا الجدول يربط بشكل مباشر بين نتائج التحليل العاملي (الـ9 أبعاد والـ6 عوامل عليا) والأداء الفعلي لسنغافورة، مما يعزز دلالة الدراسة ويوفر أساسًا قويًا للتوصيات</w:t>
      </w:r>
      <w:r>
        <w:rPr>
          <w:rFonts w:ascii="Sakkal Majalla" w:hAnsi="Sakkal Majalla" w:cs="Sakkal Majalla" w:hint="cs"/>
          <w:sz w:val="28"/>
          <w:rtl/>
          <w:lang w:bidi="ar-EG"/>
        </w:rPr>
        <w:t>.</w:t>
      </w:r>
    </w:p>
    <w:p w14:paraId="479D43A9" w14:textId="77777777" w:rsidR="007A0B3B" w:rsidRPr="00732391" w:rsidRDefault="007A0B3B">
      <w:pPr>
        <w:pStyle w:val="BlockText"/>
        <w:numPr>
          <w:ilvl w:val="0"/>
          <w:numId w:val="118"/>
        </w:numPr>
        <w:spacing w:line="360" w:lineRule="auto"/>
        <w:jc w:val="lowKashida"/>
        <w:rPr>
          <w:rFonts w:ascii="Sakkal Majalla" w:hAnsi="Sakkal Majalla" w:cs="Sakkal Majalla"/>
          <w:b/>
          <w:bCs/>
          <w:sz w:val="32"/>
          <w:szCs w:val="32"/>
          <w:rtl/>
          <w:lang w:bidi="ar-EG"/>
        </w:rPr>
      </w:pPr>
      <w:r w:rsidRPr="00732391">
        <w:rPr>
          <w:rFonts w:ascii="Sakkal Majalla" w:hAnsi="Sakkal Majalla" w:cs="Sakkal Majalla" w:hint="cs"/>
          <w:b/>
          <w:bCs/>
          <w:sz w:val="32"/>
          <w:szCs w:val="32"/>
          <w:rtl/>
          <w:lang w:bidi="ar-EG"/>
        </w:rPr>
        <w:t>ثبات المقياس بطريقة التجزئة النصفية :</w:t>
      </w:r>
    </w:p>
    <w:p w14:paraId="7739747F" w14:textId="77777777" w:rsidR="007A0B3B" w:rsidRPr="00732391" w:rsidRDefault="007A0B3B" w:rsidP="007A0B3B">
      <w:pPr>
        <w:pStyle w:val="BlockText"/>
        <w:jc w:val="lowKashida"/>
        <w:rPr>
          <w:rFonts w:ascii="Sakkal Majalla" w:hAnsi="Sakkal Majalla" w:cs="Sakkal Majalla"/>
          <w:sz w:val="28"/>
          <w:rtl/>
          <w:lang w:bidi="ar-EG"/>
        </w:rPr>
      </w:pPr>
      <w:r w:rsidRPr="00732391">
        <w:rPr>
          <w:rFonts w:ascii="Sakkal Majalla" w:hAnsi="Sakkal Majalla" w:cs="Sakkal Majalla"/>
          <w:sz w:val="28"/>
          <w:rtl/>
          <w:lang w:bidi="ar-EG"/>
        </w:rPr>
        <w:t>تم اختبار الثبات الداخلي لأدوات القياس باستخدام طريقة التجزئة النصفية (</w:t>
      </w:r>
      <w:r w:rsidRPr="00732391">
        <w:rPr>
          <w:rFonts w:ascii="Sakkal Majalla" w:hAnsi="Sakkal Majalla" w:cs="Sakkal Majalla"/>
          <w:sz w:val="28"/>
          <w:lang w:bidi="ar-EG"/>
        </w:rPr>
        <w:t>Split-Half Reliability</w:t>
      </w:r>
      <w:r w:rsidRPr="00732391">
        <w:rPr>
          <w:rFonts w:ascii="Sakkal Majalla" w:hAnsi="Sakkal Majalla" w:cs="Sakkal Majalla"/>
          <w:sz w:val="28"/>
          <w:rtl/>
          <w:lang w:bidi="ar-EG"/>
        </w:rPr>
        <w:t>)، حيث تم تقسيم عبارات كل مقياس إلى جزأين متساويين. ضم الجزء الأول العبارات ذات الأرقام الزوجية، بينما ضم الجزء الثاني العبارات ذات الأرقام الفردية. ويُعتبر المقياس ثابتاً إذا أظهرت المؤشرات الإحصائية المُتحصل عليها – مثل معامل ألفا لكل جزء، ومعامل الارتباط بين الجزأين، ومعاملي سبيرمان-براون وجتمان – قيماً مقبولة. ويوضح الجدولان (3/3) و (3/4) نتائج هذا الاختبار للمتغيرين التابعين.</w:t>
      </w:r>
    </w:p>
    <w:p w14:paraId="72371EA0" w14:textId="77777777" w:rsidR="007A0B3B" w:rsidRPr="00732391" w:rsidRDefault="007A0B3B" w:rsidP="007A0B3B">
      <w:pPr>
        <w:pStyle w:val="BlockText"/>
        <w:jc w:val="center"/>
        <w:rPr>
          <w:rFonts w:ascii="Sakkal Majalla" w:hAnsi="Sakkal Majalla" w:cs="Sakkal Majalla"/>
          <w:b/>
          <w:bCs/>
          <w:sz w:val="24"/>
          <w:szCs w:val="24"/>
          <w:rtl/>
          <w:lang w:bidi="ar-EG"/>
        </w:rPr>
      </w:pPr>
      <w:r w:rsidRPr="00732391">
        <w:rPr>
          <w:rFonts w:ascii="Sakkal Majalla" w:hAnsi="Sakkal Majalla" w:cs="Sakkal Majalla"/>
          <w:b/>
          <w:bCs/>
          <w:sz w:val="24"/>
          <w:szCs w:val="24"/>
          <w:rtl/>
          <w:lang w:bidi="ar-EG"/>
        </w:rPr>
        <w:t>الجدول رقم (3/3)</w:t>
      </w:r>
    </w:p>
    <w:p w14:paraId="479ECEF2" w14:textId="4AAACDDD" w:rsidR="007A0B3B" w:rsidRPr="00732391" w:rsidRDefault="007A0B3B" w:rsidP="007A0B3B">
      <w:pPr>
        <w:pStyle w:val="BlockText"/>
        <w:jc w:val="center"/>
        <w:rPr>
          <w:rFonts w:ascii="Sakkal Majalla" w:hAnsi="Sakkal Majalla" w:cs="Sakkal Majalla"/>
          <w:b/>
          <w:bCs/>
          <w:sz w:val="28"/>
          <w:rtl/>
          <w:lang w:bidi="ar-EG"/>
        </w:rPr>
      </w:pPr>
      <w:r w:rsidRPr="00732391">
        <w:rPr>
          <w:rFonts w:ascii="Sakkal Majalla" w:hAnsi="Sakkal Majalla" w:cs="Sakkal Majalla"/>
          <w:b/>
          <w:bCs/>
          <w:sz w:val="24"/>
          <w:szCs w:val="24"/>
          <w:rtl/>
          <w:lang w:bidi="ar-EG"/>
        </w:rPr>
        <w:t xml:space="preserve"> ثبات أداة القياس بطريقة التجزئة النصفية </w:t>
      </w:r>
      <w:r w:rsidR="0016339D">
        <w:rPr>
          <w:rFonts w:ascii="Sakkal Majalla" w:hAnsi="Sakkal Majalla" w:cs="Sakkal Majalla" w:hint="cs"/>
          <w:b/>
          <w:bCs/>
          <w:sz w:val="24"/>
          <w:szCs w:val="24"/>
          <w:rtl/>
          <w:lang w:bidi="ar-EG"/>
        </w:rPr>
        <w:t>لتعزيز الأمن</w:t>
      </w:r>
      <w:r w:rsidRPr="00732391">
        <w:rPr>
          <w:rFonts w:ascii="Sakkal Majalla" w:hAnsi="Sakkal Majalla" w:cs="Sakkal Majalla"/>
          <w:b/>
          <w:bCs/>
          <w:sz w:val="24"/>
          <w:szCs w:val="24"/>
          <w:rtl/>
          <w:lang w:bidi="ar-EG"/>
        </w:rPr>
        <w:t xml:space="preserve"> </w:t>
      </w:r>
    </w:p>
    <w:tbl>
      <w:tblPr>
        <w:bidiVisual/>
        <w:tblW w:w="0" w:type="auto"/>
        <w:jc w:val="center"/>
        <w:tblBorders>
          <w:top w:val="thinThickSmallGap" w:sz="24" w:space="0" w:color="auto"/>
          <w:left w:val="thickThinSmallGap" w:sz="24" w:space="0" w:color="auto"/>
          <w:bottom w:val="thickThinSmallGap" w:sz="24" w:space="0" w:color="auto"/>
          <w:right w:val="thinThickSmallGap" w:sz="24" w:space="0" w:color="auto"/>
          <w:insideH w:val="single" w:sz="6" w:space="0" w:color="auto"/>
          <w:insideV w:val="single" w:sz="6" w:space="0" w:color="auto"/>
        </w:tblBorders>
        <w:tblLook w:val="04A0" w:firstRow="1" w:lastRow="0" w:firstColumn="1" w:lastColumn="0" w:noHBand="0" w:noVBand="1"/>
      </w:tblPr>
      <w:tblGrid>
        <w:gridCol w:w="4255"/>
        <w:gridCol w:w="2126"/>
        <w:gridCol w:w="2091"/>
      </w:tblGrid>
      <w:tr w:rsidR="007A0B3B" w:rsidRPr="00732391" w14:paraId="1B5461F3" w14:textId="77777777" w:rsidTr="001E2DEE">
        <w:trPr>
          <w:jc w:val="center"/>
        </w:trPr>
        <w:tc>
          <w:tcPr>
            <w:tcW w:w="4255" w:type="dxa"/>
            <w:tcBorders>
              <w:top w:val="thinThickSmallGap" w:sz="24" w:space="0" w:color="auto"/>
              <w:bottom w:val="thinThickSmallGap" w:sz="24" w:space="0" w:color="auto"/>
            </w:tcBorders>
            <w:shd w:val="clear" w:color="auto" w:fill="D9D9D9" w:themeFill="background1" w:themeFillShade="D9"/>
          </w:tcPr>
          <w:p w14:paraId="3275E644" w14:textId="77777777" w:rsidR="007A0B3B" w:rsidRPr="00732391" w:rsidRDefault="007A0B3B" w:rsidP="001E2DEE">
            <w:pPr>
              <w:pStyle w:val="BlockText"/>
              <w:ind w:left="0"/>
              <w:jc w:val="center"/>
              <w:rPr>
                <w:rFonts w:ascii="Sakkal Majalla" w:hAnsi="Sakkal Majalla" w:cs="Sakkal Majalla"/>
                <w:b/>
                <w:bCs/>
                <w:szCs w:val="20"/>
                <w:rtl/>
                <w:lang w:bidi="ar-EG"/>
              </w:rPr>
            </w:pPr>
            <w:r w:rsidRPr="00732391">
              <w:rPr>
                <w:rFonts w:ascii="Sakkal Majalla" w:hAnsi="Sakkal Majalla" w:cs="Sakkal Majalla"/>
                <w:b/>
                <w:bCs/>
                <w:szCs w:val="20"/>
                <w:rtl/>
                <w:lang w:bidi="ar-EG"/>
              </w:rPr>
              <w:t xml:space="preserve">المؤشرات </w:t>
            </w:r>
          </w:p>
        </w:tc>
        <w:tc>
          <w:tcPr>
            <w:tcW w:w="2126" w:type="dxa"/>
            <w:tcBorders>
              <w:top w:val="thinThickSmallGap" w:sz="24" w:space="0" w:color="auto"/>
              <w:bottom w:val="thinThickSmallGap" w:sz="24" w:space="0" w:color="auto"/>
            </w:tcBorders>
            <w:shd w:val="clear" w:color="auto" w:fill="D9D9D9" w:themeFill="background1" w:themeFillShade="D9"/>
          </w:tcPr>
          <w:p w14:paraId="700F9C10" w14:textId="77777777" w:rsidR="007A0B3B" w:rsidRPr="00732391" w:rsidRDefault="007A0B3B" w:rsidP="001E2DEE">
            <w:pPr>
              <w:pStyle w:val="BlockText"/>
              <w:ind w:left="0"/>
              <w:jc w:val="center"/>
              <w:rPr>
                <w:rFonts w:ascii="Sakkal Majalla" w:hAnsi="Sakkal Majalla" w:cs="Sakkal Majalla"/>
                <w:b/>
                <w:bCs/>
                <w:szCs w:val="20"/>
                <w:rtl/>
                <w:lang w:bidi="ar-EG"/>
              </w:rPr>
            </w:pPr>
            <w:r w:rsidRPr="00732391">
              <w:rPr>
                <w:rFonts w:ascii="Sakkal Majalla" w:hAnsi="Sakkal Majalla" w:cs="Sakkal Majalla"/>
                <w:b/>
                <w:bCs/>
                <w:szCs w:val="20"/>
                <w:rtl/>
                <w:lang w:bidi="ar-EG"/>
              </w:rPr>
              <w:t xml:space="preserve">الجزء الأول </w:t>
            </w:r>
          </w:p>
        </w:tc>
        <w:tc>
          <w:tcPr>
            <w:tcW w:w="2091" w:type="dxa"/>
            <w:tcBorders>
              <w:top w:val="thinThickSmallGap" w:sz="24" w:space="0" w:color="auto"/>
              <w:bottom w:val="thinThickSmallGap" w:sz="24" w:space="0" w:color="auto"/>
            </w:tcBorders>
            <w:shd w:val="clear" w:color="auto" w:fill="D9D9D9" w:themeFill="background1" w:themeFillShade="D9"/>
          </w:tcPr>
          <w:p w14:paraId="21E2F817" w14:textId="77777777" w:rsidR="007A0B3B" w:rsidRPr="00732391" w:rsidRDefault="007A0B3B" w:rsidP="001E2DEE">
            <w:pPr>
              <w:pStyle w:val="BlockText"/>
              <w:ind w:left="0"/>
              <w:jc w:val="center"/>
              <w:rPr>
                <w:rFonts w:ascii="Sakkal Majalla" w:hAnsi="Sakkal Majalla" w:cs="Sakkal Majalla"/>
                <w:b/>
                <w:bCs/>
                <w:szCs w:val="20"/>
                <w:rtl/>
                <w:lang w:bidi="ar-EG"/>
              </w:rPr>
            </w:pPr>
            <w:r w:rsidRPr="00732391">
              <w:rPr>
                <w:rFonts w:ascii="Sakkal Majalla" w:hAnsi="Sakkal Majalla" w:cs="Sakkal Majalla"/>
                <w:b/>
                <w:bCs/>
                <w:szCs w:val="20"/>
                <w:rtl/>
                <w:lang w:bidi="ar-EG"/>
              </w:rPr>
              <w:t xml:space="preserve">الجزء الثانى </w:t>
            </w:r>
          </w:p>
        </w:tc>
      </w:tr>
      <w:tr w:rsidR="007A0B3B" w:rsidRPr="00732391" w14:paraId="6CF0FC72" w14:textId="77777777" w:rsidTr="001E2DEE">
        <w:trPr>
          <w:jc w:val="center"/>
        </w:trPr>
        <w:tc>
          <w:tcPr>
            <w:tcW w:w="4255" w:type="dxa"/>
            <w:tcBorders>
              <w:top w:val="thinThickSmallGap" w:sz="24" w:space="0" w:color="auto"/>
            </w:tcBorders>
          </w:tcPr>
          <w:p w14:paraId="0F3E67B8" w14:textId="77777777" w:rsidR="007A0B3B" w:rsidRPr="00732391" w:rsidRDefault="007A0B3B" w:rsidP="001E2DEE">
            <w:pPr>
              <w:pStyle w:val="BlockText"/>
              <w:ind w:left="0"/>
              <w:rPr>
                <w:rFonts w:ascii="Sakkal Majalla" w:hAnsi="Sakkal Majalla" w:cs="Sakkal Majalla"/>
                <w:szCs w:val="20"/>
                <w:rtl/>
                <w:lang w:bidi="ar-EG"/>
              </w:rPr>
            </w:pPr>
            <w:r w:rsidRPr="00732391">
              <w:rPr>
                <w:rFonts w:ascii="Sakkal Majalla" w:hAnsi="Sakkal Majalla" w:cs="Sakkal Majalla"/>
                <w:szCs w:val="20"/>
                <w:rtl/>
                <w:lang w:bidi="ar-EG"/>
              </w:rPr>
              <w:t xml:space="preserve">عدد العبارات </w:t>
            </w:r>
          </w:p>
        </w:tc>
        <w:tc>
          <w:tcPr>
            <w:tcW w:w="2126" w:type="dxa"/>
            <w:tcBorders>
              <w:top w:val="thinThickSmallGap" w:sz="24" w:space="0" w:color="auto"/>
            </w:tcBorders>
          </w:tcPr>
          <w:p w14:paraId="681DB969" w14:textId="3FAF17D1" w:rsidR="007A0B3B" w:rsidRPr="00732391" w:rsidRDefault="0016339D" w:rsidP="001E2DEE">
            <w:pPr>
              <w:pStyle w:val="BlockText"/>
              <w:ind w:left="0"/>
              <w:jc w:val="center"/>
              <w:rPr>
                <w:rFonts w:ascii="Sakkal Majalla" w:hAnsi="Sakkal Majalla" w:cs="Sakkal Majalla"/>
                <w:szCs w:val="20"/>
                <w:rtl/>
                <w:lang w:bidi="ar-EG"/>
              </w:rPr>
            </w:pPr>
            <w:r>
              <w:rPr>
                <w:rFonts w:ascii="Sakkal Majalla" w:hAnsi="Sakkal Majalla" w:cs="Sakkal Majalla" w:hint="cs"/>
                <w:szCs w:val="20"/>
                <w:rtl/>
                <w:lang w:bidi="ar-EG"/>
              </w:rPr>
              <w:t>8</w:t>
            </w:r>
          </w:p>
        </w:tc>
        <w:tc>
          <w:tcPr>
            <w:tcW w:w="2091" w:type="dxa"/>
            <w:tcBorders>
              <w:top w:val="thinThickSmallGap" w:sz="24" w:space="0" w:color="auto"/>
            </w:tcBorders>
          </w:tcPr>
          <w:p w14:paraId="575EDA7E" w14:textId="66BFBE55" w:rsidR="007A0B3B" w:rsidRPr="00732391" w:rsidRDefault="0016339D" w:rsidP="001E2DEE">
            <w:pPr>
              <w:pStyle w:val="BlockText"/>
              <w:ind w:left="0"/>
              <w:jc w:val="center"/>
              <w:rPr>
                <w:rFonts w:ascii="Sakkal Majalla" w:hAnsi="Sakkal Majalla" w:cs="Sakkal Majalla"/>
                <w:szCs w:val="20"/>
                <w:rtl/>
                <w:lang w:bidi="ar-EG"/>
              </w:rPr>
            </w:pPr>
            <w:r>
              <w:rPr>
                <w:rFonts w:ascii="Sakkal Majalla" w:hAnsi="Sakkal Majalla" w:cs="Sakkal Majalla" w:hint="cs"/>
                <w:szCs w:val="20"/>
                <w:rtl/>
                <w:lang w:bidi="ar-EG"/>
              </w:rPr>
              <w:t>7</w:t>
            </w:r>
          </w:p>
        </w:tc>
      </w:tr>
      <w:tr w:rsidR="007A0B3B" w:rsidRPr="00732391" w14:paraId="5B29E9CE" w14:textId="77777777" w:rsidTr="001E2DEE">
        <w:trPr>
          <w:jc w:val="center"/>
        </w:trPr>
        <w:tc>
          <w:tcPr>
            <w:tcW w:w="4255" w:type="dxa"/>
          </w:tcPr>
          <w:p w14:paraId="74119819" w14:textId="77777777" w:rsidR="007A0B3B" w:rsidRPr="00732391" w:rsidRDefault="007A0B3B" w:rsidP="001E2DEE">
            <w:pPr>
              <w:pStyle w:val="BlockText"/>
              <w:ind w:left="0"/>
              <w:rPr>
                <w:rFonts w:ascii="Sakkal Majalla" w:hAnsi="Sakkal Majalla" w:cs="Sakkal Majalla"/>
                <w:szCs w:val="20"/>
                <w:rtl/>
                <w:lang w:bidi="ar-EG"/>
              </w:rPr>
            </w:pPr>
            <w:r w:rsidRPr="00732391">
              <w:rPr>
                <w:rFonts w:ascii="Sakkal Majalla" w:hAnsi="Sakkal Majalla" w:cs="Sakkal Majalla"/>
                <w:szCs w:val="20"/>
                <w:rtl/>
                <w:lang w:bidi="ar-EG"/>
              </w:rPr>
              <w:t xml:space="preserve">معامل ألفا </w:t>
            </w:r>
          </w:p>
        </w:tc>
        <w:tc>
          <w:tcPr>
            <w:tcW w:w="2126" w:type="dxa"/>
          </w:tcPr>
          <w:p w14:paraId="6204EC7E" w14:textId="77777777" w:rsidR="007A0B3B" w:rsidRPr="00732391" w:rsidRDefault="007A0B3B" w:rsidP="001E2DEE">
            <w:pPr>
              <w:pStyle w:val="BlockText"/>
              <w:ind w:left="0"/>
              <w:jc w:val="center"/>
              <w:rPr>
                <w:rFonts w:ascii="Sakkal Majalla" w:hAnsi="Sakkal Majalla" w:cs="Sakkal Majalla"/>
                <w:szCs w:val="20"/>
                <w:rtl/>
                <w:lang w:bidi="ar-EG"/>
              </w:rPr>
            </w:pPr>
            <w:r w:rsidRPr="00732391">
              <w:rPr>
                <w:rFonts w:ascii="Sakkal Majalla" w:hAnsi="Sakkal Majalla" w:cs="Sakkal Majalla"/>
                <w:szCs w:val="20"/>
                <w:rtl/>
                <w:lang w:bidi="ar-EG"/>
              </w:rPr>
              <w:t>0.638</w:t>
            </w:r>
          </w:p>
        </w:tc>
        <w:tc>
          <w:tcPr>
            <w:tcW w:w="2091" w:type="dxa"/>
          </w:tcPr>
          <w:p w14:paraId="71F18FE3" w14:textId="77777777" w:rsidR="007A0B3B" w:rsidRPr="00732391" w:rsidRDefault="007A0B3B" w:rsidP="001E2DEE">
            <w:pPr>
              <w:pStyle w:val="BlockText"/>
              <w:ind w:left="0"/>
              <w:jc w:val="center"/>
              <w:rPr>
                <w:rFonts w:ascii="Sakkal Majalla" w:hAnsi="Sakkal Majalla" w:cs="Sakkal Majalla"/>
                <w:szCs w:val="20"/>
                <w:rtl/>
                <w:lang w:bidi="ar-EG"/>
              </w:rPr>
            </w:pPr>
            <w:r w:rsidRPr="00732391">
              <w:rPr>
                <w:rFonts w:ascii="Sakkal Majalla" w:hAnsi="Sakkal Majalla" w:cs="Sakkal Majalla"/>
                <w:szCs w:val="20"/>
                <w:rtl/>
                <w:lang w:bidi="ar-EG"/>
              </w:rPr>
              <w:t>0.654</w:t>
            </w:r>
          </w:p>
        </w:tc>
      </w:tr>
      <w:tr w:rsidR="007A0B3B" w:rsidRPr="00732391" w14:paraId="07D4885D" w14:textId="77777777" w:rsidTr="001E2DEE">
        <w:trPr>
          <w:jc w:val="center"/>
        </w:trPr>
        <w:tc>
          <w:tcPr>
            <w:tcW w:w="4255" w:type="dxa"/>
          </w:tcPr>
          <w:p w14:paraId="71FB64DE" w14:textId="77777777" w:rsidR="007A0B3B" w:rsidRPr="00732391" w:rsidRDefault="007A0B3B" w:rsidP="001E2DEE">
            <w:pPr>
              <w:pStyle w:val="BlockText"/>
              <w:ind w:left="0"/>
              <w:rPr>
                <w:rFonts w:ascii="Sakkal Majalla" w:hAnsi="Sakkal Majalla" w:cs="Sakkal Majalla"/>
                <w:szCs w:val="20"/>
                <w:rtl/>
                <w:lang w:bidi="ar-EG"/>
              </w:rPr>
            </w:pPr>
            <w:r w:rsidRPr="00732391">
              <w:rPr>
                <w:rFonts w:ascii="Sakkal Majalla" w:hAnsi="Sakkal Majalla" w:cs="Sakkal Majalla"/>
                <w:szCs w:val="20"/>
                <w:rtl/>
                <w:lang w:bidi="ar-EG"/>
              </w:rPr>
              <w:t>الأرتباط بين الجزأين</w:t>
            </w:r>
          </w:p>
        </w:tc>
        <w:tc>
          <w:tcPr>
            <w:tcW w:w="4217" w:type="dxa"/>
            <w:gridSpan w:val="2"/>
          </w:tcPr>
          <w:p w14:paraId="54597B1A" w14:textId="77777777" w:rsidR="007A0B3B" w:rsidRPr="00732391" w:rsidRDefault="007A0B3B" w:rsidP="001E2DEE">
            <w:pPr>
              <w:pStyle w:val="BlockText"/>
              <w:ind w:left="0"/>
              <w:jc w:val="center"/>
              <w:rPr>
                <w:rFonts w:ascii="Sakkal Majalla" w:hAnsi="Sakkal Majalla" w:cs="Sakkal Majalla"/>
                <w:szCs w:val="20"/>
                <w:rtl/>
                <w:lang w:bidi="ar-EG"/>
              </w:rPr>
            </w:pPr>
            <w:r w:rsidRPr="00732391">
              <w:rPr>
                <w:rFonts w:ascii="Sakkal Majalla" w:hAnsi="Sakkal Majalla" w:cs="Sakkal Majalla"/>
                <w:szCs w:val="20"/>
                <w:rtl/>
                <w:lang w:bidi="ar-EG"/>
              </w:rPr>
              <w:t>0.706</w:t>
            </w:r>
          </w:p>
        </w:tc>
      </w:tr>
      <w:tr w:rsidR="007A0B3B" w:rsidRPr="00732391" w14:paraId="416471AA" w14:textId="77777777" w:rsidTr="001E2DEE">
        <w:trPr>
          <w:jc w:val="center"/>
        </w:trPr>
        <w:tc>
          <w:tcPr>
            <w:tcW w:w="4255" w:type="dxa"/>
          </w:tcPr>
          <w:p w14:paraId="7F800B2F" w14:textId="77777777" w:rsidR="007A0B3B" w:rsidRPr="00732391" w:rsidRDefault="007A0B3B" w:rsidP="001E2DEE">
            <w:pPr>
              <w:pStyle w:val="BlockText"/>
              <w:ind w:left="0"/>
              <w:rPr>
                <w:rFonts w:ascii="Sakkal Majalla" w:hAnsi="Sakkal Majalla" w:cs="Sakkal Majalla"/>
                <w:szCs w:val="20"/>
                <w:rtl/>
                <w:lang w:bidi="ar-EG"/>
              </w:rPr>
            </w:pPr>
            <w:r w:rsidRPr="00732391">
              <w:rPr>
                <w:rFonts w:ascii="Sakkal Majalla" w:hAnsi="Sakkal Majalla" w:cs="Sakkal Majalla"/>
                <w:szCs w:val="20"/>
                <w:rtl/>
                <w:lang w:bidi="ar-EG"/>
              </w:rPr>
              <w:t>معامل أرتباط  " سبيرمان براون "</w:t>
            </w:r>
          </w:p>
        </w:tc>
        <w:tc>
          <w:tcPr>
            <w:tcW w:w="4217" w:type="dxa"/>
            <w:gridSpan w:val="2"/>
          </w:tcPr>
          <w:p w14:paraId="6E39FB23" w14:textId="77777777" w:rsidR="007A0B3B" w:rsidRPr="00732391" w:rsidRDefault="007A0B3B" w:rsidP="001E2DEE">
            <w:pPr>
              <w:pStyle w:val="BlockText"/>
              <w:ind w:left="0"/>
              <w:jc w:val="center"/>
              <w:rPr>
                <w:rFonts w:ascii="Sakkal Majalla" w:hAnsi="Sakkal Majalla" w:cs="Sakkal Majalla"/>
                <w:szCs w:val="20"/>
                <w:rtl/>
                <w:lang w:bidi="ar-EG"/>
              </w:rPr>
            </w:pPr>
            <w:r w:rsidRPr="00732391">
              <w:rPr>
                <w:rFonts w:ascii="Sakkal Majalla" w:hAnsi="Sakkal Majalla" w:cs="Sakkal Majalla"/>
                <w:szCs w:val="20"/>
                <w:rtl/>
                <w:lang w:bidi="ar-EG"/>
              </w:rPr>
              <w:t>0.828</w:t>
            </w:r>
          </w:p>
        </w:tc>
      </w:tr>
      <w:tr w:rsidR="007A0B3B" w:rsidRPr="00732391" w14:paraId="42E20D38" w14:textId="77777777" w:rsidTr="001E2DEE">
        <w:trPr>
          <w:jc w:val="center"/>
        </w:trPr>
        <w:tc>
          <w:tcPr>
            <w:tcW w:w="4255" w:type="dxa"/>
          </w:tcPr>
          <w:p w14:paraId="45695BA7" w14:textId="77777777" w:rsidR="007A0B3B" w:rsidRPr="00732391" w:rsidRDefault="007A0B3B" w:rsidP="001E2DEE">
            <w:pPr>
              <w:pStyle w:val="BlockText"/>
              <w:ind w:left="0"/>
              <w:rPr>
                <w:rFonts w:ascii="Sakkal Majalla" w:hAnsi="Sakkal Majalla" w:cs="Sakkal Majalla"/>
                <w:szCs w:val="20"/>
                <w:rtl/>
                <w:lang w:bidi="ar-EG"/>
              </w:rPr>
            </w:pPr>
            <w:r w:rsidRPr="00732391">
              <w:rPr>
                <w:rFonts w:ascii="Sakkal Majalla" w:hAnsi="Sakkal Majalla" w:cs="Sakkal Majalla"/>
                <w:szCs w:val="20"/>
                <w:rtl/>
                <w:lang w:bidi="ar-EG"/>
              </w:rPr>
              <w:t xml:space="preserve">معامل " جتمان " للتجزئة النصفية </w:t>
            </w:r>
          </w:p>
        </w:tc>
        <w:tc>
          <w:tcPr>
            <w:tcW w:w="4217" w:type="dxa"/>
            <w:gridSpan w:val="2"/>
          </w:tcPr>
          <w:p w14:paraId="75EDE7C9" w14:textId="77777777" w:rsidR="007A0B3B" w:rsidRPr="00732391" w:rsidRDefault="007A0B3B" w:rsidP="001E2DEE">
            <w:pPr>
              <w:pStyle w:val="BlockText"/>
              <w:ind w:left="0"/>
              <w:jc w:val="center"/>
              <w:rPr>
                <w:rFonts w:ascii="Sakkal Majalla" w:hAnsi="Sakkal Majalla" w:cs="Sakkal Majalla"/>
                <w:szCs w:val="20"/>
                <w:rtl/>
                <w:lang w:bidi="ar-EG"/>
              </w:rPr>
            </w:pPr>
            <w:r w:rsidRPr="00732391">
              <w:rPr>
                <w:rFonts w:ascii="Sakkal Majalla" w:hAnsi="Sakkal Majalla" w:cs="Sakkal Majalla"/>
                <w:szCs w:val="20"/>
                <w:rtl/>
                <w:lang w:bidi="ar-EG"/>
              </w:rPr>
              <w:t>0.827</w:t>
            </w:r>
          </w:p>
        </w:tc>
      </w:tr>
    </w:tbl>
    <w:p w14:paraId="7521F947" w14:textId="77777777" w:rsidR="007A0B3B" w:rsidRPr="00732391" w:rsidRDefault="007A0B3B" w:rsidP="007A0B3B">
      <w:pPr>
        <w:pStyle w:val="BlockText"/>
        <w:spacing w:line="360" w:lineRule="auto"/>
        <w:jc w:val="lowKashida"/>
        <w:rPr>
          <w:rFonts w:ascii="Sakkal Majalla" w:hAnsi="Sakkal Majalla" w:cs="Sakkal Majalla"/>
          <w:sz w:val="22"/>
          <w:szCs w:val="22"/>
          <w:lang w:bidi="ar-EG"/>
        </w:rPr>
      </w:pPr>
      <w:r w:rsidRPr="00732391">
        <w:rPr>
          <w:rFonts w:ascii="Sakkal Majalla" w:hAnsi="Sakkal Majalla" w:cs="Sakkal Majalla"/>
          <w:b/>
          <w:bCs/>
          <w:szCs w:val="20"/>
          <w:rtl/>
          <w:lang w:bidi="ar-EG"/>
        </w:rPr>
        <w:t>المصدر :</w:t>
      </w:r>
      <w:r w:rsidRPr="00732391">
        <w:rPr>
          <w:rFonts w:ascii="Sakkal Majalla" w:hAnsi="Sakkal Majalla" w:cs="Sakkal Majalla"/>
          <w:szCs w:val="20"/>
          <w:rtl/>
          <w:lang w:bidi="ar-EG"/>
        </w:rPr>
        <w:t xml:space="preserve"> نتائج التحليل الأحصائى .</w:t>
      </w:r>
    </w:p>
    <w:p w14:paraId="33651420" w14:textId="77777777" w:rsidR="007A0B3B" w:rsidRPr="00732391" w:rsidRDefault="007A0B3B" w:rsidP="007A0B3B">
      <w:pPr>
        <w:pStyle w:val="BlockText"/>
        <w:spacing w:line="276" w:lineRule="auto"/>
        <w:ind w:left="146" w:hanging="120"/>
        <w:jc w:val="both"/>
        <w:rPr>
          <w:rFonts w:ascii="Sakkal Majalla" w:hAnsi="Sakkal Majalla" w:cs="Sakkal Majalla"/>
          <w:sz w:val="28"/>
          <w:lang w:bidi="ar-EG"/>
        </w:rPr>
      </w:pPr>
      <w:r w:rsidRPr="00732391">
        <w:rPr>
          <w:rFonts w:ascii="Sakkal Majalla" w:hAnsi="Sakkal Majalla" w:cs="Sakkal Majalla"/>
          <w:sz w:val="28"/>
          <w:rtl/>
          <w:lang w:bidi="ar-EG"/>
        </w:rPr>
        <w:t>تشير نتائج الجدول (3/3) إلى ما يلي</w:t>
      </w:r>
      <w:r w:rsidRPr="00732391">
        <w:rPr>
          <w:rFonts w:ascii="Sakkal Majalla" w:hAnsi="Sakkal Majalla" w:cs="Sakkal Majalla"/>
          <w:sz w:val="28"/>
          <w:lang w:bidi="ar-EG"/>
        </w:rPr>
        <w:t>:</w:t>
      </w:r>
    </w:p>
    <w:p w14:paraId="47C1E8DD" w14:textId="77777777" w:rsidR="007A0B3B" w:rsidRPr="00732391" w:rsidRDefault="007A0B3B">
      <w:pPr>
        <w:pStyle w:val="BlockText"/>
        <w:numPr>
          <w:ilvl w:val="0"/>
          <w:numId w:val="126"/>
        </w:numPr>
        <w:spacing w:line="276" w:lineRule="auto"/>
        <w:jc w:val="both"/>
        <w:rPr>
          <w:rFonts w:ascii="Sakkal Majalla" w:hAnsi="Sakkal Majalla" w:cs="Sakkal Majalla"/>
          <w:sz w:val="28"/>
          <w:lang w:bidi="ar-EG"/>
        </w:rPr>
      </w:pPr>
      <w:r w:rsidRPr="00732391">
        <w:rPr>
          <w:rFonts w:ascii="Sakkal Majalla" w:hAnsi="Sakkal Majalla" w:cs="Sakkal Majalla"/>
          <w:sz w:val="28"/>
          <w:rtl/>
          <w:lang w:bidi="ar-EG"/>
        </w:rPr>
        <w:lastRenderedPageBreak/>
        <w:t>بلغ معامل ألفا لكل من الجزأين </w:t>
      </w:r>
      <w:r>
        <w:rPr>
          <w:rFonts w:ascii="Sakkal Majalla" w:hAnsi="Sakkal Majalla" w:cs="Sakkal Majalla" w:hint="cs"/>
          <w:sz w:val="28"/>
          <w:rtl/>
          <w:lang w:bidi="ar-EG"/>
        </w:rPr>
        <w:t xml:space="preserve"> </w:t>
      </w:r>
      <w:r w:rsidRPr="00732391">
        <w:rPr>
          <w:rFonts w:ascii="Sakkal Majalla" w:hAnsi="Sakkal Majalla" w:cs="Sakkal Majalla"/>
          <w:sz w:val="28"/>
          <w:lang w:bidi="ar-EG"/>
        </w:rPr>
        <w:t>0.638 </w:t>
      </w:r>
      <w:r>
        <w:rPr>
          <w:rFonts w:ascii="Sakkal Majalla" w:hAnsi="Sakkal Majalla" w:cs="Sakkal Majalla" w:hint="cs"/>
          <w:sz w:val="28"/>
          <w:rtl/>
          <w:lang w:bidi="ar-EG"/>
        </w:rPr>
        <w:t xml:space="preserve"> </w:t>
      </w:r>
      <w:r w:rsidRPr="00732391">
        <w:rPr>
          <w:rFonts w:ascii="Sakkal Majalla" w:hAnsi="Sakkal Majalla" w:cs="Sakkal Majalla"/>
          <w:sz w:val="28"/>
          <w:rtl/>
          <w:lang w:bidi="ar-EG"/>
        </w:rPr>
        <w:t>و </w:t>
      </w:r>
      <w:r w:rsidRPr="00732391">
        <w:rPr>
          <w:rFonts w:ascii="Sakkal Majalla" w:hAnsi="Sakkal Majalla" w:cs="Sakkal Majalla"/>
          <w:sz w:val="28"/>
          <w:lang w:bidi="ar-EG"/>
        </w:rPr>
        <w:t xml:space="preserve">0.654 </w:t>
      </w:r>
      <w:r w:rsidRPr="00732391">
        <w:rPr>
          <w:rFonts w:ascii="Sakkal Majalla" w:hAnsi="Sakkal Majalla" w:cs="Sakkal Majalla"/>
          <w:sz w:val="28"/>
          <w:rtl/>
          <w:lang w:bidi="ar-EG"/>
        </w:rPr>
        <w:t>على الترتيب، وهي قيم تدل على اتساق داخلي مقبول</w:t>
      </w:r>
      <w:r w:rsidRPr="00732391">
        <w:rPr>
          <w:rFonts w:ascii="Sakkal Majalla" w:hAnsi="Sakkal Majalla" w:cs="Sakkal Majalla"/>
          <w:sz w:val="28"/>
          <w:lang w:bidi="ar-EG"/>
        </w:rPr>
        <w:t>.</w:t>
      </w:r>
    </w:p>
    <w:p w14:paraId="750F4CEF" w14:textId="77777777" w:rsidR="007A0B3B" w:rsidRPr="00732391" w:rsidRDefault="007A0B3B">
      <w:pPr>
        <w:pStyle w:val="BlockText"/>
        <w:numPr>
          <w:ilvl w:val="0"/>
          <w:numId w:val="126"/>
        </w:numPr>
        <w:spacing w:line="276" w:lineRule="auto"/>
        <w:jc w:val="both"/>
        <w:rPr>
          <w:rFonts w:ascii="Sakkal Majalla" w:hAnsi="Sakkal Majalla" w:cs="Sakkal Majalla"/>
          <w:sz w:val="28"/>
          <w:lang w:bidi="ar-EG"/>
        </w:rPr>
      </w:pPr>
      <w:r w:rsidRPr="00732391">
        <w:rPr>
          <w:rFonts w:ascii="Sakkal Majalla" w:hAnsi="Sakkal Majalla" w:cs="Sakkal Majalla"/>
          <w:sz w:val="28"/>
          <w:rtl/>
          <w:lang w:bidi="ar-EG"/>
        </w:rPr>
        <w:t>بلغ معامل الارتباط بين نصفي المقياس </w:t>
      </w:r>
      <w:r w:rsidRPr="00732391">
        <w:rPr>
          <w:rFonts w:ascii="Sakkal Majalla" w:hAnsi="Sakkal Majalla" w:cs="Sakkal Majalla"/>
          <w:sz w:val="28"/>
          <w:lang w:bidi="ar-EG"/>
        </w:rPr>
        <w:t>0.706</w:t>
      </w:r>
      <w:r w:rsidRPr="00732391">
        <w:rPr>
          <w:rFonts w:ascii="Sakkal Majalla" w:hAnsi="Sakkal Majalla" w:cs="Sakkal Majalla"/>
          <w:sz w:val="28"/>
          <w:rtl/>
          <w:lang w:bidi="ar-EG"/>
        </w:rPr>
        <w:t>، مما يشير إلى علاقة قوية وموجبة</w:t>
      </w:r>
      <w:r w:rsidRPr="00732391">
        <w:rPr>
          <w:rFonts w:ascii="Sakkal Majalla" w:hAnsi="Sakkal Majalla" w:cs="Sakkal Majalla"/>
          <w:sz w:val="28"/>
          <w:lang w:bidi="ar-EG"/>
        </w:rPr>
        <w:t>.</w:t>
      </w:r>
    </w:p>
    <w:p w14:paraId="6707672E" w14:textId="77777777" w:rsidR="007A0B3B" w:rsidRPr="00732391" w:rsidRDefault="007A0B3B">
      <w:pPr>
        <w:pStyle w:val="BlockText"/>
        <w:numPr>
          <w:ilvl w:val="0"/>
          <w:numId w:val="126"/>
        </w:numPr>
        <w:spacing w:line="276" w:lineRule="auto"/>
        <w:jc w:val="both"/>
        <w:rPr>
          <w:rFonts w:ascii="Sakkal Majalla" w:hAnsi="Sakkal Majalla" w:cs="Sakkal Majalla"/>
          <w:sz w:val="28"/>
          <w:lang w:bidi="ar-EG"/>
        </w:rPr>
      </w:pPr>
      <w:r w:rsidRPr="00732391">
        <w:rPr>
          <w:rFonts w:ascii="Sakkal Majalla" w:hAnsi="Sakkal Majalla" w:cs="Sakkal Majalla"/>
          <w:sz w:val="28"/>
          <w:rtl/>
          <w:lang w:bidi="ar-EG"/>
        </w:rPr>
        <w:t>سجل كل من معاملي ثبات التجزئة النصفية (سبيرمان-براون وجتمان) قيماً مرتفعة</w:t>
      </w:r>
      <w:r w:rsidRPr="00732391">
        <w:rPr>
          <w:rFonts w:ascii="Sakkal Majalla" w:hAnsi="Sakkal Majalla" w:cs="Sakkal Majalla"/>
          <w:sz w:val="28"/>
          <w:lang w:bidi="ar-EG"/>
        </w:rPr>
        <w:t xml:space="preserve"> </w:t>
      </w:r>
      <w:r>
        <w:rPr>
          <w:rFonts w:ascii="Sakkal Majalla" w:hAnsi="Sakkal Majalla" w:cs="Sakkal Majalla" w:hint="cs"/>
          <w:sz w:val="28"/>
          <w:rtl/>
          <w:lang w:bidi="ar-EG"/>
        </w:rPr>
        <w:t xml:space="preserve"> </w:t>
      </w:r>
      <w:r>
        <w:rPr>
          <w:rFonts w:ascii="Sakkal Majalla" w:hAnsi="Sakkal Majalla" w:cs="Sakkal Majalla"/>
          <w:sz w:val="28"/>
          <w:lang w:bidi="ar-EG"/>
        </w:rPr>
        <w:t xml:space="preserve"> </w:t>
      </w:r>
      <w:r w:rsidRPr="00732391">
        <w:rPr>
          <w:rFonts w:ascii="Sakkal Majalla" w:hAnsi="Sakkal Majalla" w:cs="Sakkal Majalla"/>
          <w:sz w:val="28"/>
          <w:lang w:bidi="ar-EG"/>
        </w:rPr>
        <w:t>0.828 </w:t>
      </w:r>
      <w:r w:rsidRPr="00732391">
        <w:rPr>
          <w:rFonts w:ascii="Sakkal Majalla" w:hAnsi="Sakkal Majalla" w:cs="Sakkal Majalla"/>
          <w:sz w:val="28"/>
          <w:rtl/>
          <w:lang w:bidi="ar-EG"/>
        </w:rPr>
        <w:t>و </w:t>
      </w:r>
      <w:r>
        <w:rPr>
          <w:rFonts w:ascii="Sakkal Majalla" w:hAnsi="Sakkal Majalla" w:cs="Sakkal Majalla"/>
          <w:sz w:val="28"/>
          <w:lang w:bidi="ar-EG"/>
        </w:rPr>
        <w:t xml:space="preserve"> </w:t>
      </w:r>
      <w:r w:rsidRPr="00732391">
        <w:rPr>
          <w:rFonts w:ascii="Sakkal Majalla" w:hAnsi="Sakkal Majalla" w:cs="Sakkal Majalla"/>
          <w:sz w:val="28"/>
          <w:lang w:bidi="ar-EG"/>
        </w:rPr>
        <w:t>0.827 </w:t>
      </w:r>
      <w:r w:rsidRPr="00732391">
        <w:rPr>
          <w:rFonts w:ascii="Sakkal Majalla" w:hAnsi="Sakkal Majalla" w:cs="Sakkal Majalla"/>
          <w:sz w:val="28"/>
          <w:rtl/>
          <w:lang w:bidi="ar-EG"/>
        </w:rPr>
        <w:t>على الترتيب</w:t>
      </w:r>
      <w:r w:rsidRPr="00732391">
        <w:rPr>
          <w:rFonts w:ascii="Sakkal Majalla" w:hAnsi="Sakkal Majalla" w:cs="Sakkal Majalla"/>
          <w:sz w:val="28"/>
          <w:lang w:bidi="ar-EG"/>
        </w:rPr>
        <w:t>.</w:t>
      </w:r>
    </w:p>
    <w:p w14:paraId="220E4161" w14:textId="76265058" w:rsidR="007A0B3B" w:rsidRPr="00732391" w:rsidRDefault="007A0B3B">
      <w:pPr>
        <w:pStyle w:val="BlockText"/>
        <w:numPr>
          <w:ilvl w:val="0"/>
          <w:numId w:val="126"/>
        </w:numPr>
        <w:spacing w:line="276" w:lineRule="auto"/>
        <w:jc w:val="both"/>
        <w:rPr>
          <w:rFonts w:ascii="Sakkal Majalla" w:hAnsi="Sakkal Majalla" w:cs="Sakkal Majalla"/>
          <w:sz w:val="28"/>
          <w:lang w:bidi="ar-EG"/>
        </w:rPr>
      </w:pPr>
      <w:r w:rsidRPr="00732391">
        <w:rPr>
          <w:rFonts w:ascii="Sakkal Majalla" w:hAnsi="Sakkal Majalla" w:cs="Sakkal Majalla"/>
          <w:sz w:val="28"/>
          <w:rtl/>
          <w:lang w:bidi="ar-EG"/>
        </w:rPr>
        <w:t>تُؤكد هذه المؤشرات مجتمعة على وجود ثبات مقبول لمقياس "</w:t>
      </w:r>
      <w:r w:rsidR="0016339D">
        <w:rPr>
          <w:rFonts w:ascii="Sakkal Majalla" w:hAnsi="Sakkal Majalla" w:cs="Sakkal Majalla" w:hint="cs"/>
          <w:sz w:val="28"/>
          <w:rtl/>
          <w:lang w:bidi="ar-EG"/>
        </w:rPr>
        <w:t>تعزيز الأمن</w:t>
      </w:r>
      <w:r w:rsidRPr="00732391">
        <w:rPr>
          <w:rFonts w:ascii="Sakkal Majalla" w:hAnsi="Sakkal Majalla" w:cs="Sakkal Majalla"/>
          <w:sz w:val="28"/>
          <w:lang w:bidi="ar-EG"/>
        </w:rPr>
        <w:t>".</w:t>
      </w:r>
    </w:p>
    <w:p w14:paraId="17EEEEC6" w14:textId="77777777" w:rsidR="007A0B3B" w:rsidRPr="00732391" w:rsidRDefault="007A0B3B" w:rsidP="007A0B3B">
      <w:pPr>
        <w:pStyle w:val="BlockText"/>
        <w:jc w:val="center"/>
        <w:rPr>
          <w:rFonts w:ascii="Sakkal Majalla" w:hAnsi="Sakkal Majalla" w:cs="Sakkal Majalla"/>
          <w:b/>
          <w:bCs/>
          <w:sz w:val="24"/>
          <w:szCs w:val="24"/>
          <w:rtl/>
          <w:lang w:bidi="ar-EG"/>
        </w:rPr>
      </w:pPr>
      <w:r w:rsidRPr="00732391">
        <w:rPr>
          <w:rFonts w:ascii="Sakkal Majalla" w:hAnsi="Sakkal Majalla" w:cs="Sakkal Majalla"/>
          <w:b/>
          <w:bCs/>
          <w:sz w:val="24"/>
          <w:szCs w:val="24"/>
          <w:rtl/>
          <w:lang w:bidi="ar-EG"/>
        </w:rPr>
        <w:t>الجدول رقم (3/4)</w:t>
      </w:r>
    </w:p>
    <w:p w14:paraId="444ACED0" w14:textId="45869507" w:rsidR="007A0B3B" w:rsidRPr="00732391" w:rsidRDefault="007A0B3B" w:rsidP="007A0B3B">
      <w:pPr>
        <w:pStyle w:val="BlockText"/>
        <w:jc w:val="center"/>
        <w:rPr>
          <w:rFonts w:ascii="Sakkal Majalla" w:hAnsi="Sakkal Majalla" w:cs="Sakkal Majalla"/>
          <w:b/>
          <w:bCs/>
          <w:sz w:val="28"/>
          <w:rtl/>
          <w:lang w:bidi="ar-EG"/>
        </w:rPr>
      </w:pPr>
      <w:r w:rsidRPr="00732391">
        <w:rPr>
          <w:rFonts w:ascii="Sakkal Majalla" w:hAnsi="Sakkal Majalla" w:cs="Sakkal Majalla"/>
          <w:b/>
          <w:bCs/>
          <w:sz w:val="24"/>
          <w:szCs w:val="24"/>
          <w:rtl/>
          <w:lang w:bidi="ar-EG"/>
        </w:rPr>
        <w:t xml:space="preserve"> ثبات أداة القياس بطريقة التجزئة النصفية </w:t>
      </w:r>
      <w:r w:rsidR="0016339D">
        <w:rPr>
          <w:rFonts w:ascii="Sakkal Majalla" w:hAnsi="Sakkal Majalla" w:cs="Sakkal Majalla" w:hint="cs"/>
          <w:b/>
          <w:bCs/>
          <w:sz w:val="24"/>
          <w:szCs w:val="24"/>
          <w:rtl/>
          <w:lang w:bidi="ar-EG"/>
        </w:rPr>
        <w:t>لتيسير التجارة</w:t>
      </w:r>
      <w:r w:rsidRPr="00732391">
        <w:rPr>
          <w:rFonts w:ascii="Sakkal Majalla" w:hAnsi="Sakkal Majalla" w:cs="Sakkal Majalla"/>
          <w:b/>
          <w:bCs/>
          <w:sz w:val="24"/>
          <w:szCs w:val="24"/>
          <w:rtl/>
          <w:lang w:bidi="ar-EG"/>
        </w:rPr>
        <w:t xml:space="preserve"> </w:t>
      </w:r>
    </w:p>
    <w:tbl>
      <w:tblPr>
        <w:bidiVisual/>
        <w:tblW w:w="0" w:type="auto"/>
        <w:jc w:val="center"/>
        <w:tblBorders>
          <w:top w:val="thinThickSmallGap" w:sz="24" w:space="0" w:color="auto"/>
          <w:left w:val="thickThinSmallGap" w:sz="24" w:space="0" w:color="auto"/>
          <w:bottom w:val="thickThinSmallGap" w:sz="24" w:space="0" w:color="auto"/>
          <w:right w:val="thinThickSmallGap" w:sz="24" w:space="0" w:color="auto"/>
          <w:insideH w:val="single" w:sz="6" w:space="0" w:color="auto"/>
          <w:insideV w:val="single" w:sz="6" w:space="0" w:color="auto"/>
        </w:tblBorders>
        <w:tblLook w:val="04A0" w:firstRow="1" w:lastRow="0" w:firstColumn="1" w:lastColumn="0" w:noHBand="0" w:noVBand="1"/>
      </w:tblPr>
      <w:tblGrid>
        <w:gridCol w:w="4255"/>
        <w:gridCol w:w="2126"/>
        <w:gridCol w:w="2091"/>
      </w:tblGrid>
      <w:tr w:rsidR="007A0B3B" w:rsidRPr="00732391" w14:paraId="56FF5822" w14:textId="77777777" w:rsidTr="001E2DEE">
        <w:trPr>
          <w:jc w:val="center"/>
        </w:trPr>
        <w:tc>
          <w:tcPr>
            <w:tcW w:w="4255" w:type="dxa"/>
            <w:tcBorders>
              <w:top w:val="thinThickSmallGap" w:sz="24" w:space="0" w:color="auto"/>
              <w:bottom w:val="thinThickSmallGap" w:sz="24" w:space="0" w:color="auto"/>
            </w:tcBorders>
            <w:shd w:val="clear" w:color="auto" w:fill="D9D9D9" w:themeFill="background1" w:themeFillShade="D9"/>
          </w:tcPr>
          <w:p w14:paraId="04ECD3D6" w14:textId="77777777" w:rsidR="007A0B3B" w:rsidRPr="00732391" w:rsidRDefault="007A0B3B" w:rsidP="001E2DEE">
            <w:pPr>
              <w:pStyle w:val="BlockText"/>
              <w:ind w:left="0"/>
              <w:jc w:val="center"/>
              <w:rPr>
                <w:rFonts w:ascii="Sakkal Majalla" w:hAnsi="Sakkal Majalla" w:cs="Sakkal Majalla"/>
                <w:b/>
                <w:bCs/>
                <w:szCs w:val="20"/>
                <w:rtl/>
                <w:lang w:bidi="ar-EG"/>
              </w:rPr>
            </w:pPr>
            <w:r w:rsidRPr="00732391">
              <w:rPr>
                <w:rFonts w:ascii="Sakkal Majalla" w:hAnsi="Sakkal Majalla" w:cs="Sakkal Majalla"/>
                <w:b/>
                <w:bCs/>
                <w:szCs w:val="20"/>
                <w:rtl/>
                <w:lang w:bidi="ar-EG"/>
              </w:rPr>
              <w:t xml:space="preserve">المؤشرات </w:t>
            </w:r>
          </w:p>
        </w:tc>
        <w:tc>
          <w:tcPr>
            <w:tcW w:w="2126" w:type="dxa"/>
            <w:tcBorders>
              <w:top w:val="thinThickSmallGap" w:sz="24" w:space="0" w:color="auto"/>
              <w:bottom w:val="thinThickSmallGap" w:sz="24" w:space="0" w:color="auto"/>
            </w:tcBorders>
            <w:shd w:val="clear" w:color="auto" w:fill="D9D9D9" w:themeFill="background1" w:themeFillShade="D9"/>
          </w:tcPr>
          <w:p w14:paraId="0C877D28" w14:textId="77777777" w:rsidR="007A0B3B" w:rsidRPr="00732391" w:rsidRDefault="007A0B3B" w:rsidP="001E2DEE">
            <w:pPr>
              <w:pStyle w:val="BlockText"/>
              <w:ind w:left="0"/>
              <w:jc w:val="center"/>
              <w:rPr>
                <w:rFonts w:ascii="Sakkal Majalla" w:hAnsi="Sakkal Majalla" w:cs="Sakkal Majalla"/>
                <w:b/>
                <w:bCs/>
                <w:szCs w:val="20"/>
                <w:rtl/>
                <w:lang w:bidi="ar-EG"/>
              </w:rPr>
            </w:pPr>
            <w:r w:rsidRPr="00732391">
              <w:rPr>
                <w:rFonts w:ascii="Sakkal Majalla" w:hAnsi="Sakkal Majalla" w:cs="Sakkal Majalla"/>
                <w:b/>
                <w:bCs/>
                <w:szCs w:val="20"/>
                <w:rtl/>
                <w:lang w:bidi="ar-EG"/>
              </w:rPr>
              <w:t xml:space="preserve">الجزء الأول </w:t>
            </w:r>
          </w:p>
        </w:tc>
        <w:tc>
          <w:tcPr>
            <w:tcW w:w="2091" w:type="dxa"/>
            <w:tcBorders>
              <w:top w:val="thinThickSmallGap" w:sz="24" w:space="0" w:color="auto"/>
              <w:bottom w:val="thinThickSmallGap" w:sz="24" w:space="0" w:color="auto"/>
            </w:tcBorders>
            <w:shd w:val="clear" w:color="auto" w:fill="D9D9D9" w:themeFill="background1" w:themeFillShade="D9"/>
          </w:tcPr>
          <w:p w14:paraId="44D914CA" w14:textId="77777777" w:rsidR="007A0B3B" w:rsidRPr="00732391" w:rsidRDefault="007A0B3B" w:rsidP="001E2DEE">
            <w:pPr>
              <w:pStyle w:val="BlockText"/>
              <w:ind w:left="0"/>
              <w:jc w:val="center"/>
              <w:rPr>
                <w:rFonts w:ascii="Sakkal Majalla" w:hAnsi="Sakkal Majalla" w:cs="Sakkal Majalla"/>
                <w:b/>
                <w:bCs/>
                <w:szCs w:val="20"/>
                <w:rtl/>
                <w:lang w:bidi="ar-EG"/>
              </w:rPr>
            </w:pPr>
            <w:r w:rsidRPr="00732391">
              <w:rPr>
                <w:rFonts w:ascii="Sakkal Majalla" w:hAnsi="Sakkal Majalla" w:cs="Sakkal Majalla"/>
                <w:b/>
                <w:bCs/>
                <w:szCs w:val="20"/>
                <w:rtl/>
                <w:lang w:bidi="ar-EG"/>
              </w:rPr>
              <w:t xml:space="preserve">الجزء الثانى </w:t>
            </w:r>
          </w:p>
        </w:tc>
      </w:tr>
      <w:tr w:rsidR="007A0B3B" w:rsidRPr="00732391" w14:paraId="6E63BC9E" w14:textId="77777777" w:rsidTr="001E2DEE">
        <w:trPr>
          <w:jc w:val="center"/>
        </w:trPr>
        <w:tc>
          <w:tcPr>
            <w:tcW w:w="4255" w:type="dxa"/>
            <w:tcBorders>
              <w:top w:val="thinThickSmallGap" w:sz="24" w:space="0" w:color="auto"/>
            </w:tcBorders>
          </w:tcPr>
          <w:p w14:paraId="1CE4E686" w14:textId="77777777" w:rsidR="007A0B3B" w:rsidRPr="00732391" w:rsidRDefault="007A0B3B" w:rsidP="001E2DEE">
            <w:pPr>
              <w:pStyle w:val="BlockText"/>
              <w:ind w:left="0"/>
              <w:rPr>
                <w:rFonts w:ascii="Sakkal Majalla" w:hAnsi="Sakkal Majalla" w:cs="Sakkal Majalla"/>
                <w:szCs w:val="20"/>
                <w:rtl/>
                <w:lang w:bidi="ar-EG"/>
              </w:rPr>
            </w:pPr>
            <w:r w:rsidRPr="00732391">
              <w:rPr>
                <w:rFonts w:ascii="Sakkal Majalla" w:hAnsi="Sakkal Majalla" w:cs="Sakkal Majalla"/>
                <w:szCs w:val="20"/>
                <w:rtl/>
                <w:lang w:bidi="ar-EG"/>
              </w:rPr>
              <w:t xml:space="preserve">عدد العبارات </w:t>
            </w:r>
          </w:p>
        </w:tc>
        <w:tc>
          <w:tcPr>
            <w:tcW w:w="2126" w:type="dxa"/>
            <w:tcBorders>
              <w:top w:val="thinThickSmallGap" w:sz="24" w:space="0" w:color="auto"/>
            </w:tcBorders>
          </w:tcPr>
          <w:p w14:paraId="146C51D0" w14:textId="77777777" w:rsidR="007A0B3B" w:rsidRPr="00732391" w:rsidRDefault="007A0B3B" w:rsidP="001E2DEE">
            <w:pPr>
              <w:pStyle w:val="BlockText"/>
              <w:ind w:left="0"/>
              <w:jc w:val="center"/>
              <w:rPr>
                <w:rFonts w:ascii="Sakkal Majalla" w:hAnsi="Sakkal Majalla" w:cs="Sakkal Majalla"/>
                <w:szCs w:val="20"/>
                <w:rtl/>
                <w:lang w:bidi="ar-EG"/>
              </w:rPr>
            </w:pPr>
            <w:r w:rsidRPr="00732391">
              <w:rPr>
                <w:rFonts w:ascii="Sakkal Majalla" w:hAnsi="Sakkal Majalla" w:cs="Sakkal Majalla"/>
                <w:szCs w:val="20"/>
                <w:rtl/>
                <w:lang w:bidi="ar-EG"/>
              </w:rPr>
              <w:t>6</w:t>
            </w:r>
          </w:p>
        </w:tc>
        <w:tc>
          <w:tcPr>
            <w:tcW w:w="2091" w:type="dxa"/>
            <w:tcBorders>
              <w:top w:val="thinThickSmallGap" w:sz="24" w:space="0" w:color="auto"/>
            </w:tcBorders>
          </w:tcPr>
          <w:p w14:paraId="1A8B55B5" w14:textId="77777777" w:rsidR="007A0B3B" w:rsidRPr="00732391" w:rsidRDefault="007A0B3B" w:rsidP="001E2DEE">
            <w:pPr>
              <w:pStyle w:val="BlockText"/>
              <w:ind w:left="0"/>
              <w:jc w:val="center"/>
              <w:rPr>
                <w:rFonts w:ascii="Sakkal Majalla" w:hAnsi="Sakkal Majalla" w:cs="Sakkal Majalla"/>
                <w:szCs w:val="20"/>
                <w:rtl/>
                <w:lang w:bidi="ar-EG"/>
              </w:rPr>
            </w:pPr>
            <w:r w:rsidRPr="00732391">
              <w:rPr>
                <w:rFonts w:ascii="Sakkal Majalla" w:hAnsi="Sakkal Majalla" w:cs="Sakkal Majalla"/>
                <w:szCs w:val="20"/>
                <w:rtl/>
                <w:lang w:bidi="ar-EG"/>
              </w:rPr>
              <w:t>6</w:t>
            </w:r>
          </w:p>
        </w:tc>
      </w:tr>
      <w:tr w:rsidR="007A0B3B" w:rsidRPr="00732391" w14:paraId="4D09540D" w14:textId="77777777" w:rsidTr="001E2DEE">
        <w:trPr>
          <w:jc w:val="center"/>
        </w:trPr>
        <w:tc>
          <w:tcPr>
            <w:tcW w:w="4255" w:type="dxa"/>
          </w:tcPr>
          <w:p w14:paraId="0347FEA0" w14:textId="77777777" w:rsidR="007A0B3B" w:rsidRPr="00732391" w:rsidRDefault="007A0B3B" w:rsidP="001E2DEE">
            <w:pPr>
              <w:pStyle w:val="BlockText"/>
              <w:ind w:left="0"/>
              <w:rPr>
                <w:rFonts w:ascii="Sakkal Majalla" w:hAnsi="Sakkal Majalla" w:cs="Sakkal Majalla"/>
                <w:szCs w:val="20"/>
                <w:rtl/>
                <w:lang w:bidi="ar-EG"/>
              </w:rPr>
            </w:pPr>
            <w:r w:rsidRPr="00732391">
              <w:rPr>
                <w:rFonts w:ascii="Sakkal Majalla" w:hAnsi="Sakkal Majalla" w:cs="Sakkal Majalla"/>
                <w:szCs w:val="20"/>
                <w:rtl/>
                <w:lang w:bidi="ar-EG"/>
              </w:rPr>
              <w:t xml:space="preserve">معامل ألفا </w:t>
            </w:r>
          </w:p>
        </w:tc>
        <w:tc>
          <w:tcPr>
            <w:tcW w:w="2126" w:type="dxa"/>
          </w:tcPr>
          <w:p w14:paraId="7BFFF219" w14:textId="77777777" w:rsidR="007A0B3B" w:rsidRPr="00732391" w:rsidRDefault="007A0B3B" w:rsidP="001E2DEE">
            <w:pPr>
              <w:pStyle w:val="BlockText"/>
              <w:ind w:left="0"/>
              <w:jc w:val="center"/>
              <w:rPr>
                <w:rFonts w:ascii="Sakkal Majalla" w:hAnsi="Sakkal Majalla" w:cs="Sakkal Majalla"/>
                <w:szCs w:val="20"/>
                <w:rtl/>
                <w:lang w:bidi="ar-EG"/>
              </w:rPr>
            </w:pPr>
            <w:r w:rsidRPr="00732391">
              <w:rPr>
                <w:rFonts w:ascii="Sakkal Majalla" w:hAnsi="Sakkal Majalla" w:cs="Sakkal Majalla"/>
                <w:szCs w:val="20"/>
                <w:rtl/>
                <w:lang w:bidi="ar-EG"/>
              </w:rPr>
              <w:t>0.625</w:t>
            </w:r>
          </w:p>
        </w:tc>
        <w:tc>
          <w:tcPr>
            <w:tcW w:w="2091" w:type="dxa"/>
          </w:tcPr>
          <w:p w14:paraId="24F7AF35" w14:textId="77777777" w:rsidR="007A0B3B" w:rsidRPr="00732391" w:rsidRDefault="007A0B3B" w:rsidP="001E2DEE">
            <w:pPr>
              <w:pStyle w:val="BlockText"/>
              <w:ind w:left="0"/>
              <w:jc w:val="center"/>
              <w:rPr>
                <w:rFonts w:ascii="Sakkal Majalla" w:hAnsi="Sakkal Majalla" w:cs="Sakkal Majalla"/>
                <w:szCs w:val="20"/>
                <w:rtl/>
                <w:lang w:bidi="ar-EG"/>
              </w:rPr>
            </w:pPr>
            <w:r w:rsidRPr="00732391">
              <w:rPr>
                <w:rFonts w:ascii="Sakkal Majalla" w:hAnsi="Sakkal Majalla" w:cs="Sakkal Majalla"/>
                <w:szCs w:val="20"/>
                <w:rtl/>
                <w:lang w:bidi="ar-EG"/>
              </w:rPr>
              <w:t>0.641</w:t>
            </w:r>
          </w:p>
        </w:tc>
      </w:tr>
      <w:tr w:rsidR="007A0B3B" w:rsidRPr="00732391" w14:paraId="1CB4D6FA" w14:textId="77777777" w:rsidTr="001E2DEE">
        <w:trPr>
          <w:jc w:val="center"/>
        </w:trPr>
        <w:tc>
          <w:tcPr>
            <w:tcW w:w="4255" w:type="dxa"/>
          </w:tcPr>
          <w:p w14:paraId="79EA61B8" w14:textId="77777777" w:rsidR="007A0B3B" w:rsidRPr="00732391" w:rsidRDefault="007A0B3B" w:rsidP="001E2DEE">
            <w:pPr>
              <w:pStyle w:val="BlockText"/>
              <w:ind w:left="0"/>
              <w:rPr>
                <w:rFonts w:ascii="Sakkal Majalla" w:hAnsi="Sakkal Majalla" w:cs="Sakkal Majalla"/>
                <w:szCs w:val="20"/>
                <w:rtl/>
                <w:lang w:bidi="ar-EG"/>
              </w:rPr>
            </w:pPr>
            <w:r w:rsidRPr="00732391">
              <w:rPr>
                <w:rFonts w:ascii="Sakkal Majalla" w:hAnsi="Sakkal Majalla" w:cs="Sakkal Majalla"/>
                <w:szCs w:val="20"/>
                <w:rtl/>
                <w:lang w:bidi="ar-EG"/>
              </w:rPr>
              <w:t>الأرتباط بين الجزأين</w:t>
            </w:r>
          </w:p>
        </w:tc>
        <w:tc>
          <w:tcPr>
            <w:tcW w:w="4217" w:type="dxa"/>
            <w:gridSpan w:val="2"/>
          </w:tcPr>
          <w:p w14:paraId="2FB3B85F" w14:textId="77777777" w:rsidR="007A0B3B" w:rsidRPr="00732391" w:rsidRDefault="007A0B3B" w:rsidP="001E2DEE">
            <w:pPr>
              <w:pStyle w:val="BlockText"/>
              <w:ind w:left="0"/>
              <w:jc w:val="center"/>
              <w:rPr>
                <w:rFonts w:ascii="Sakkal Majalla" w:hAnsi="Sakkal Majalla" w:cs="Sakkal Majalla"/>
                <w:szCs w:val="20"/>
                <w:rtl/>
                <w:lang w:bidi="ar-EG"/>
              </w:rPr>
            </w:pPr>
            <w:r w:rsidRPr="00732391">
              <w:rPr>
                <w:rFonts w:ascii="Sakkal Majalla" w:hAnsi="Sakkal Majalla" w:cs="Sakkal Majalla"/>
                <w:szCs w:val="20"/>
                <w:rtl/>
                <w:lang w:bidi="ar-EG"/>
              </w:rPr>
              <w:t>0.673</w:t>
            </w:r>
          </w:p>
        </w:tc>
      </w:tr>
      <w:tr w:rsidR="007A0B3B" w:rsidRPr="00732391" w14:paraId="67187418" w14:textId="77777777" w:rsidTr="001E2DEE">
        <w:trPr>
          <w:jc w:val="center"/>
        </w:trPr>
        <w:tc>
          <w:tcPr>
            <w:tcW w:w="4255" w:type="dxa"/>
          </w:tcPr>
          <w:p w14:paraId="60A7ECB7" w14:textId="77777777" w:rsidR="007A0B3B" w:rsidRPr="00732391" w:rsidRDefault="007A0B3B" w:rsidP="001E2DEE">
            <w:pPr>
              <w:pStyle w:val="BlockText"/>
              <w:ind w:left="0"/>
              <w:rPr>
                <w:rFonts w:ascii="Sakkal Majalla" w:hAnsi="Sakkal Majalla" w:cs="Sakkal Majalla"/>
                <w:szCs w:val="20"/>
                <w:rtl/>
                <w:lang w:bidi="ar-EG"/>
              </w:rPr>
            </w:pPr>
            <w:r w:rsidRPr="00732391">
              <w:rPr>
                <w:rFonts w:ascii="Sakkal Majalla" w:hAnsi="Sakkal Majalla" w:cs="Sakkal Majalla"/>
                <w:szCs w:val="20"/>
                <w:rtl/>
                <w:lang w:bidi="ar-EG"/>
              </w:rPr>
              <w:t>معامل أرتباط  " سبيرمان براون "</w:t>
            </w:r>
          </w:p>
        </w:tc>
        <w:tc>
          <w:tcPr>
            <w:tcW w:w="4217" w:type="dxa"/>
            <w:gridSpan w:val="2"/>
          </w:tcPr>
          <w:p w14:paraId="253115A7" w14:textId="77777777" w:rsidR="007A0B3B" w:rsidRPr="00732391" w:rsidRDefault="007A0B3B" w:rsidP="001E2DEE">
            <w:pPr>
              <w:pStyle w:val="BlockText"/>
              <w:ind w:left="0"/>
              <w:jc w:val="center"/>
              <w:rPr>
                <w:rFonts w:ascii="Sakkal Majalla" w:hAnsi="Sakkal Majalla" w:cs="Sakkal Majalla"/>
                <w:szCs w:val="20"/>
                <w:rtl/>
                <w:lang w:bidi="ar-EG"/>
              </w:rPr>
            </w:pPr>
            <w:r w:rsidRPr="00732391">
              <w:rPr>
                <w:rFonts w:ascii="Sakkal Majalla" w:hAnsi="Sakkal Majalla" w:cs="Sakkal Majalla"/>
                <w:szCs w:val="20"/>
                <w:rtl/>
                <w:lang w:bidi="ar-EG"/>
              </w:rPr>
              <w:t>0.805</w:t>
            </w:r>
          </w:p>
        </w:tc>
      </w:tr>
      <w:tr w:rsidR="007A0B3B" w:rsidRPr="00732391" w14:paraId="069F3ED9" w14:textId="77777777" w:rsidTr="001E2DEE">
        <w:trPr>
          <w:jc w:val="center"/>
        </w:trPr>
        <w:tc>
          <w:tcPr>
            <w:tcW w:w="4255" w:type="dxa"/>
          </w:tcPr>
          <w:p w14:paraId="302AA10D" w14:textId="77777777" w:rsidR="007A0B3B" w:rsidRPr="00732391" w:rsidRDefault="007A0B3B" w:rsidP="001E2DEE">
            <w:pPr>
              <w:pStyle w:val="BlockText"/>
              <w:ind w:left="0"/>
              <w:rPr>
                <w:rFonts w:ascii="Sakkal Majalla" w:hAnsi="Sakkal Majalla" w:cs="Sakkal Majalla"/>
                <w:szCs w:val="20"/>
                <w:rtl/>
                <w:lang w:bidi="ar-EG"/>
              </w:rPr>
            </w:pPr>
            <w:r w:rsidRPr="00732391">
              <w:rPr>
                <w:rFonts w:ascii="Sakkal Majalla" w:hAnsi="Sakkal Majalla" w:cs="Sakkal Majalla"/>
                <w:szCs w:val="20"/>
                <w:rtl/>
                <w:lang w:bidi="ar-EG"/>
              </w:rPr>
              <w:t xml:space="preserve">معامل " جتمان " للتجزئة النصفية </w:t>
            </w:r>
          </w:p>
        </w:tc>
        <w:tc>
          <w:tcPr>
            <w:tcW w:w="4217" w:type="dxa"/>
            <w:gridSpan w:val="2"/>
          </w:tcPr>
          <w:p w14:paraId="6E712B83" w14:textId="77777777" w:rsidR="007A0B3B" w:rsidRPr="00732391" w:rsidRDefault="007A0B3B" w:rsidP="001E2DEE">
            <w:pPr>
              <w:pStyle w:val="BlockText"/>
              <w:ind w:left="0"/>
              <w:jc w:val="center"/>
              <w:rPr>
                <w:rFonts w:ascii="Sakkal Majalla" w:hAnsi="Sakkal Majalla" w:cs="Sakkal Majalla"/>
                <w:szCs w:val="20"/>
                <w:rtl/>
                <w:lang w:bidi="ar-EG"/>
              </w:rPr>
            </w:pPr>
            <w:r w:rsidRPr="00732391">
              <w:rPr>
                <w:rFonts w:ascii="Sakkal Majalla" w:hAnsi="Sakkal Majalla" w:cs="Sakkal Majalla"/>
                <w:szCs w:val="20"/>
                <w:rtl/>
                <w:lang w:bidi="ar-EG"/>
              </w:rPr>
              <w:t>0.804</w:t>
            </w:r>
          </w:p>
        </w:tc>
      </w:tr>
    </w:tbl>
    <w:p w14:paraId="263AC0DB" w14:textId="77777777" w:rsidR="007A0B3B" w:rsidRPr="00020F95" w:rsidRDefault="007A0B3B" w:rsidP="007A0B3B">
      <w:pPr>
        <w:pStyle w:val="BlockText"/>
        <w:spacing w:line="360" w:lineRule="auto"/>
        <w:jc w:val="lowKashida"/>
        <w:rPr>
          <w:sz w:val="22"/>
          <w:szCs w:val="22"/>
          <w:lang w:bidi="ar-EG"/>
        </w:rPr>
      </w:pPr>
      <w:r w:rsidRPr="00020F95">
        <w:rPr>
          <w:rFonts w:hint="cs"/>
          <w:b/>
          <w:bCs/>
          <w:szCs w:val="20"/>
          <w:rtl/>
          <w:lang w:bidi="ar-EG"/>
        </w:rPr>
        <w:t>المصدر :</w:t>
      </w:r>
      <w:r w:rsidRPr="00020F95">
        <w:rPr>
          <w:rFonts w:hint="cs"/>
          <w:szCs w:val="20"/>
          <w:rtl/>
          <w:lang w:bidi="ar-EG"/>
        </w:rPr>
        <w:t xml:space="preserve"> نتائج التحليل الأحصائى .</w:t>
      </w:r>
    </w:p>
    <w:p w14:paraId="370569FA" w14:textId="77777777" w:rsidR="007A0B3B" w:rsidRPr="00732391" w:rsidRDefault="007A0B3B" w:rsidP="007A0B3B">
      <w:pPr>
        <w:pStyle w:val="BlockText"/>
        <w:spacing w:line="276" w:lineRule="auto"/>
        <w:ind w:left="146" w:hanging="120"/>
        <w:jc w:val="both"/>
        <w:rPr>
          <w:rFonts w:ascii="Sakkal Majalla" w:hAnsi="Sakkal Majalla" w:cs="Sakkal Majalla"/>
          <w:sz w:val="28"/>
          <w:rtl/>
          <w:lang w:bidi="ar-EG"/>
        </w:rPr>
      </w:pPr>
      <w:r w:rsidRPr="00732391">
        <w:rPr>
          <w:rFonts w:ascii="Sakkal Majalla" w:hAnsi="Sakkal Majalla" w:cs="Sakkal Majalla"/>
          <w:sz w:val="28"/>
          <w:rtl/>
          <w:lang w:bidi="ar-EG"/>
        </w:rPr>
        <w:t>توضح نتائج الجدول (3/4) المؤشرات التالية:</w:t>
      </w:r>
    </w:p>
    <w:p w14:paraId="65BF5C2F" w14:textId="77777777" w:rsidR="007A0B3B" w:rsidRPr="00732391" w:rsidRDefault="007A0B3B">
      <w:pPr>
        <w:pStyle w:val="BlockText"/>
        <w:numPr>
          <w:ilvl w:val="0"/>
          <w:numId w:val="127"/>
        </w:numPr>
        <w:spacing w:line="276" w:lineRule="auto"/>
        <w:jc w:val="both"/>
        <w:rPr>
          <w:rFonts w:ascii="Sakkal Majalla" w:hAnsi="Sakkal Majalla" w:cs="Sakkal Majalla"/>
          <w:sz w:val="28"/>
          <w:rtl/>
          <w:lang w:bidi="ar-EG"/>
        </w:rPr>
      </w:pPr>
      <w:r w:rsidRPr="00732391">
        <w:rPr>
          <w:rFonts w:ascii="Sakkal Majalla" w:hAnsi="Sakkal Majalla" w:cs="Sakkal Majalla"/>
          <w:sz w:val="28"/>
          <w:rtl/>
          <w:lang w:bidi="ar-EG"/>
        </w:rPr>
        <w:t>سجل معاملا ألفا للجزأين قيمتين مقبولتين وهما 0.625 و 0.641.</w:t>
      </w:r>
    </w:p>
    <w:p w14:paraId="79405209" w14:textId="77777777" w:rsidR="007A0B3B" w:rsidRPr="00732391" w:rsidRDefault="007A0B3B">
      <w:pPr>
        <w:pStyle w:val="BlockText"/>
        <w:numPr>
          <w:ilvl w:val="0"/>
          <w:numId w:val="127"/>
        </w:numPr>
        <w:spacing w:line="276" w:lineRule="auto"/>
        <w:jc w:val="both"/>
        <w:rPr>
          <w:rFonts w:ascii="Sakkal Majalla" w:hAnsi="Sakkal Majalla" w:cs="Sakkal Majalla"/>
          <w:sz w:val="28"/>
          <w:rtl/>
          <w:lang w:bidi="ar-EG"/>
        </w:rPr>
      </w:pPr>
      <w:r w:rsidRPr="00732391">
        <w:rPr>
          <w:rFonts w:ascii="Sakkal Majalla" w:hAnsi="Sakkal Majalla" w:cs="Sakkal Majalla"/>
          <w:sz w:val="28"/>
          <w:rtl/>
          <w:lang w:bidi="ar-EG"/>
        </w:rPr>
        <w:t>بلغ معامل الارتباط بين الجزأين 0.673، مما يدل على ارتباط قوي.</w:t>
      </w:r>
    </w:p>
    <w:p w14:paraId="339810BE" w14:textId="77777777" w:rsidR="007A0B3B" w:rsidRPr="00732391" w:rsidRDefault="007A0B3B">
      <w:pPr>
        <w:pStyle w:val="BlockText"/>
        <w:numPr>
          <w:ilvl w:val="0"/>
          <w:numId w:val="127"/>
        </w:numPr>
        <w:spacing w:line="276" w:lineRule="auto"/>
        <w:jc w:val="both"/>
        <w:rPr>
          <w:rFonts w:ascii="Sakkal Majalla" w:hAnsi="Sakkal Majalla" w:cs="Sakkal Majalla"/>
          <w:sz w:val="28"/>
          <w:rtl/>
          <w:lang w:bidi="ar-EG"/>
        </w:rPr>
      </w:pPr>
      <w:r w:rsidRPr="00732391">
        <w:rPr>
          <w:rFonts w:ascii="Sakkal Majalla" w:hAnsi="Sakkal Majalla" w:cs="Sakkal Majalla"/>
          <w:sz w:val="28"/>
          <w:rtl/>
          <w:lang w:bidi="ar-EG"/>
        </w:rPr>
        <w:t>جاءت قيم معاملي سبيرمان-براون وجتمان مرتفعة ومتقاربة (0.805 و 0.804 على الترتيب).</w:t>
      </w:r>
    </w:p>
    <w:p w14:paraId="6BC70B08" w14:textId="2D2B2D5E" w:rsidR="007A0B3B" w:rsidRPr="00732391" w:rsidRDefault="007A0B3B">
      <w:pPr>
        <w:pStyle w:val="BlockText"/>
        <w:numPr>
          <w:ilvl w:val="0"/>
          <w:numId w:val="127"/>
        </w:numPr>
        <w:spacing w:line="276" w:lineRule="auto"/>
        <w:jc w:val="both"/>
        <w:rPr>
          <w:rFonts w:ascii="Sakkal Majalla" w:hAnsi="Sakkal Majalla" w:cs="Sakkal Majalla"/>
          <w:sz w:val="28"/>
          <w:rtl/>
          <w:lang w:bidi="ar-EG"/>
        </w:rPr>
      </w:pPr>
      <w:r w:rsidRPr="00732391">
        <w:rPr>
          <w:rFonts w:ascii="Sakkal Majalla" w:hAnsi="Sakkal Majalla" w:cs="Sakkal Majalla"/>
          <w:sz w:val="28"/>
          <w:rtl/>
          <w:lang w:bidi="ar-EG"/>
        </w:rPr>
        <w:t>تستند هذه النتائج إلى القاعدة ذاتها لتؤكد وجود ثبات مقبول لمقياس "</w:t>
      </w:r>
      <w:r w:rsidR="0016339D">
        <w:rPr>
          <w:rFonts w:ascii="Sakkal Majalla" w:hAnsi="Sakkal Majalla" w:cs="Sakkal Majalla" w:hint="cs"/>
          <w:sz w:val="28"/>
          <w:rtl/>
          <w:lang w:bidi="ar-EG"/>
        </w:rPr>
        <w:t>تيسير التجارة</w:t>
      </w:r>
      <w:r w:rsidRPr="00732391">
        <w:rPr>
          <w:rFonts w:ascii="Sakkal Majalla" w:hAnsi="Sakkal Majalla" w:cs="Sakkal Majalla"/>
          <w:sz w:val="28"/>
          <w:rtl/>
          <w:lang w:bidi="ar-EG"/>
        </w:rPr>
        <w:t>".</w:t>
      </w:r>
    </w:p>
    <w:p w14:paraId="4DFF3315" w14:textId="77777777" w:rsidR="007A0B3B" w:rsidRDefault="007A0B3B" w:rsidP="007A0B3B">
      <w:pPr>
        <w:pStyle w:val="BlockText"/>
        <w:spacing w:line="360" w:lineRule="auto"/>
        <w:ind w:left="146" w:hanging="120"/>
        <w:jc w:val="both"/>
        <w:rPr>
          <w:rFonts w:ascii="Sakkal Majalla" w:hAnsi="Sakkal Majalla" w:cs="Sakkal Majalla"/>
          <w:sz w:val="28"/>
          <w:rtl/>
          <w:lang w:bidi="ar-EG"/>
        </w:rPr>
      </w:pPr>
      <w:r w:rsidRPr="00732391">
        <w:rPr>
          <w:rFonts w:ascii="Sakkal Majalla" w:hAnsi="Sakkal Majalla" w:cs="Sakkal Majalla"/>
          <w:b/>
          <w:bCs/>
          <w:sz w:val="28"/>
          <w:rtl/>
          <w:lang w:bidi="ar-EG"/>
        </w:rPr>
        <w:t>الاستنتاج</w:t>
      </w:r>
      <w:r w:rsidRPr="00732391">
        <w:rPr>
          <w:rFonts w:ascii="Sakkal Majalla" w:hAnsi="Sakkal Majalla" w:cs="Sakkal Majalla"/>
          <w:b/>
          <w:bCs/>
          <w:sz w:val="28"/>
          <w:lang w:bidi="ar-EG"/>
        </w:rPr>
        <w:t>: </w:t>
      </w:r>
      <w:r w:rsidRPr="00732391">
        <w:rPr>
          <w:rFonts w:ascii="Sakkal Majalla" w:hAnsi="Sakkal Majalla" w:cs="Sakkal Majalla"/>
          <w:sz w:val="28"/>
          <w:rtl/>
          <w:lang w:bidi="ar-EG"/>
        </w:rPr>
        <w:t>بناءً على النتائج الواردة في الجدولين (3/3) و (3/4)، والمتمثلة في قيم معامل ألفا المقبولة لكل جزء، ومعاملات الارتباط العالية بين الأجزاء، وقيم معاملات الثبات (سبيرمان-براون وجتمان) المرتفعة والتي تفوق الحد الأدنى المقبول (0.70)، يمكن الاستنتاج أن أدوات قياس المتغيرات التابعة المستخدمة في الدراسة تتمتع بدرجة ثبات داخلي جيدة ومقبولة، مما يؤهلها للاستخدام في اختبار فرضيات البحث</w:t>
      </w:r>
      <w:r w:rsidRPr="00732391">
        <w:rPr>
          <w:rFonts w:ascii="Sakkal Majalla" w:hAnsi="Sakkal Majalla" w:cs="Sakkal Majalla"/>
          <w:sz w:val="28"/>
          <w:lang w:bidi="ar-EG"/>
        </w:rPr>
        <w:t>.</w:t>
      </w:r>
    </w:p>
    <w:p w14:paraId="470CBB3E" w14:textId="684C2CD1" w:rsidR="007C63F4" w:rsidRPr="007C63F4" w:rsidRDefault="007C63F4" w:rsidP="007C63F4">
      <w:pPr>
        <w:pStyle w:val="BlockText"/>
        <w:spacing w:line="360" w:lineRule="auto"/>
        <w:ind w:left="146" w:hanging="120"/>
        <w:jc w:val="both"/>
        <w:rPr>
          <w:rFonts w:ascii="Sakkal Majalla" w:hAnsi="Sakkal Majalla" w:cs="Sakkal Majalla"/>
          <w:b/>
          <w:bCs/>
          <w:sz w:val="28"/>
          <w:lang w:bidi="ar-EG"/>
        </w:rPr>
      </w:pPr>
      <w:r w:rsidRPr="007C63F4">
        <w:rPr>
          <w:rFonts w:ascii="Sakkal Majalla" w:hAnsi="Sakkal Majalla" w:cs="Sakkal Majalla"/>
          <w:b/>
          <w:bCs/>
          <w:sz w:val="28"/>
          <w:rtl/>
          <w:lang w:bidi="ar-EG"/>
        </w:rPr>
        <w:t>الاستنتاج العام والربط بالدراسات السابقة</w:t>
      </w:r>
    </w:p>
    <w:p w14:paraId="70605EE2" w14:textId="0648D374" w:rsidR="007C63F4" w:rsidRPr="007C63F4" w:rsidRDefault="007C63F4" w:rsidP="007C63F4">
      <w:pPr>
        <w:pStyle w:val="BlockText"/>
        <w:spacing w:line="360" w:lineRule="auto"/>
        <w:ind w:left="146" w:hanging="120"/>
        <w:jc w:val="both"/>
        <w:rPr>
          <w:rFonts w:ascii="Sakkal Majalla" w:hAnsi="Sakkal Majalla" w:cs="Sakkal Majalla"/>
          <w:sz w:val="28"/>
          <w:lang w:bidi="ar-EG"/>
        </w:rPr>
      </w:pPr>
      <w:r w:rsidRPr="007C63F4">
        <w:rPr>
          <w:rFonts w:ascii="Sakkal Majalla" w:hAnsi="Sakkal Majalla" w:cs="Sakkal Majalla"/>
          <w:sz w:val="28"/>
          <w:rtl/>
          <w:lang w:bidi="ar-EG"/>
        </w:rPr>
        <w:t>تُعد نتائج اختبار الثبات بطريقة التجزئة النصفية (</w:t>
      </w:r>
      <w:r w:rsidRPr="007C63F4">
        <w:rPr>
          <w:rFonts w:ascii="Sakkal Majalla" w:hAnsi="Sakkal Majalla" w:cs="Sakkal Majalla"/>
          <w:sz w:val="28"/>
          <w:lang w:bidi="ar-EG"/>
        </w:rPr>
        <w:t>Split-Half Reliability</w:t>
      </w:r>
      <w:r w:rsidRPr="007C63F4">
        <w:rPr>
          <w:rFonts w:ascii="Sakkal Majalla" w:hAnsi="Sakkal Majalla" w:cs="Sakkal Majalla"/>
          <w:sz w:val="28"/>
          <w:rtl/>
          <w:lang w:bidi="ar-EG"/>
        </w:rPr>
        <w:t>) دليلاً قويًا على سلامة الأدوات القياسية المستخدمة في الدراسة الحالية. إذ أظهرت معاملات سبيرمان-براون (</w:t>
      </w:r>
      <w:r w:rsidRPr="007C63F4">
        <w:rPr>
          <w:rFonts w:ascii="Sakkal Majalla" w:hAnsi="Sakkal Majalla" w:cs="Sakkal Majalla"/>
          <w:sz w:val="28"/>
          <w:lang w:bidi="ar-EG"/>
        </w:rPr>
        <w:t>Spearman-Brown Prophecy Formula</w:t>
      </w:r>
      <w:r w:rsidRPr="007C63F4">
        <w:rPr>
          <w:rFonts w:ascii="Sakkal Majalla" w:hAnsi="Sakkal Majalla" w:cs="Sakkal Majalla"/>
          <w:sz w:val="28"/>
          <w:rtl/>
          <w:lang w:bidi="ar-EG"/>
        </w:rPr>
        <w:t xml:space="preserve">) قيمًا مرتفعة بلغت </w:t>
      </w:r>
      <w:r w:rsidRPr="007C63F4">
        <w:rPr>
          <w:rFonts w:ascii="Sakkal Majalla" w:hAnsi="Sakkal Majalla" w:cs="Sakkal Majalla"/>
          <w:b/>
          <w:bCs/>
          <w:sz w:val="28"/>
          <w:rtl/>
          <w:lang w:bidi="ar-EG"/>
        </w:rPr>
        <w:t>0.828</w:t>
      </w:r>
      <w:r w:rsidRPr="007C63F4">
        <w:rPr>
          <w:rFonts w:ascii="Sakkal Majalla" w:hAnsi="Sakkal Majalla" w:cs="Sakkal Majalla"/>
          <w:sz w:val="28"/>
          <w:rtl/>
          <w:lang w:bidi="ar-EG"/>
        </w:rPr>
        <w:t xml:space="preserve"> لمقياس "تعزيز الأمن" و</w:t>
      </w:r>
      <w:r w:rsidRPr="007C63F4">
        <w:rPr>
          <w:rFonts w:ascii="Sakkal Majalla" w:hAnsi="Sakkal Majalla" w:cs="Sakkal Majalla"/>
          <w:b/>
          <w:bCs/>
          <w:sz w:val="28"/>
          <w:rtl/>
          <w:lang w:bidi="ar-EG"/>
        </w:rPr>
        <w:t>0.805</w:t>
      </w:r>
      <w:r w:rsidRPr="007C63F4">
        <w:rPr>
          <w:rFonts w:ascii="Sakkal Majalla" w:hAnsi="Sakkal Majalla" w:cs="Sakkal Majalla"/>
          <w:sz w:val="28"/>
          <w:rtl/>
          <w:lang w:bidi="ar-EG"/>
        </w:rPr>
        <w:t xml:space="preserve"> لمقياس "تيسير التجارة"، بينما سجل معامل جتمان (</w:t>
      </w:r>
      <w:r w:rsidRPr="007C63F4">
        <w:rPr>
          <w:rFonts w:ascii="Sakkal Majalla" w:hAnsi="Sakkal Majalla" w:cs="Sakkal Majalla"/>
          <w:sz w:val="28"/>
          <w:lang w:bidi="ar-EG"/>
        </w:rPr>
        <w:t>Guttman Split-Half Coefficient</w:t>
      </w:r>
      <w:r w:rsidRPr="007C63F4">
        <w:rPr>
          <w:rFonts w:ascii="Sakkal Majalla" w:hAnsi="Sakkal Majalla" w:cs="Sakkal Majalla"/>
          <w:sz w:val="28"/>
          <w:rtl/>
          <w:lang w:bidi="ar-EG"/>
        </w:rPr>
        <w:t xml:space="preserve">) قيمتي </w:t>
      </w:r>
      <w:r w:rsidRPr="007C63F4">
        <w:rPr>
          <w:rFonts w:ascii="Sakkal Majalla" w:hAnsi="Sakkal Majalla" w:cs="Sakkal Majalla"/>
          <w:b/>
          <w:bCs/>
          <w:sz w:val="28"/>
          <w:rtl/>
          <w:lang w:bidi="ar-EG"/>
        </w:rPr>
        <w:t>0.827 و0.804</w:t>
      </w:r>
      <w:r w:rsidRPr="007C63F4">
        <w:rPr>
          <w:rFonts w:ascii="Sakkal Majalla" w:hAnsi="Sakkal Majalla" w:cs="Sakkal Majalla"/>
          <w:sz w:val="28"/>
          <w:rtl/>
          <w:lang w:bidi="ar-EG"/>
        </w:rPr>
        <w:t xml:space="preserve"> على التوالي. </w:t>
      </w:r>
    </w:p>
    <w:p w14:paraId="735C737E" w14:textId="2BECCAEE" w:rsidR="007C63F4" w:rsidRPr="007C63F4" w:rsidRDefault="007C63F4" w:rsidP="007C63F4">
      <w:pPr>
        <w:pStyle w:val="BlockText"/>
        <w:spacing w:line="360" w:lineRule="auto"/>
        <w:ind w:left="146" w:hanging="120"/>
        <w:jc w:val="both"/>
        <w:rPr>
          <w:rFonts w:ascii="Sakkal Majalla" w:hAnsi="Sakkal Majalla" w:cs="Sakkal Majalla"/>
          <w:sz w:val="28"/>
          <w:lang w:bidi="ar-EG"/>
        </w:rPr>
      </w:pPr>
      <w:r w:rsidRPr="007C63F4">
        <w:rPr>
          <w:rFonts w:ascii="Sakkal Majalla" w:hAnsi="Sakkal Majalla" w:cs="Sakkal Majalla"/>
          <w:sz w:val="28"/>
          <w:rtl/>
          <w:lang w:bidi="ar-EG"/>
        </w:rPr>
        <w:lastRenderedPageBreak/>
        <w:t xml:space="preserve">تُفسر هذه القيم أن أكثر من </w:t>
      </w:r>
      <w:r w:rsidRPr="007C63F4">
        <w:rPr>
          <w:rFonts w:ascii="Sakkal Majalla" w:hAnsi="Sakkal Majalla" w:cs="Sakkal Majalla"/>
          <w:b/>
          <w:bCs/>
          <w:sz w:val="28"/>
          <w:rtl/>
          <w:lang w:bidi="ar-EG"/>
        </w:rPr>
        <w:t>80%</w:t>
      </w:r>
      <w:r w:rsidRPr="007C63F4">
        <w:rPr>
          <w:rFonts w:ascii="Sakkal Majalla" w:hAnsi="Sakkal Majalla" w:cs="Sakkal Majalla"/>
          <w:sz w:val="28"/>
          <w:rtl/>
          <w:lang w:bidi="ar-EG"/>
        </w:rPr>
        <w:t xml:space="preserve"> من التباين في الدرجات الكلية يعود إلى السمة الحقيقية المقاسة (الثبات الحقيقي)، وليس إلى الخطأ القياسي العشوائي. وفقًا لمعادلة سبيرمان-براون، فإن معامل الثبات الكلي يُقدر بضعف معامل الارتباط بين النصفين، مما يعني أن لو تم تطبيق المقياس على عينة أكبر أو في ظروف مختلفة، فإن النتائج ستكون متسقة بنسبة تتجاوز 80% بثقة إحصائية عالية (</w:t>
      </w:r>
      <w:r w:rsidRPr="007C63F4">
        <w:rPr>
          <w:rFonts w:ascii="Sakkal Majalla" w:hAnsi="Sakkal Majalla" w:cs="Sakkal Majalla"/>
          <w:sz w:val="28"/>
          <w:lang w:bidi="ar-EG"/>
        </w:rPr>
        <w:t>DeVellis, 2016</w:t>
      </w:r>
      <w:r w:rsidRPr="007C63F4">
        <w:rPr>
          <w:rFonts w:ascii="Sakkal Majalla" w:hAnsi="Sakkal Majalla" w:cs="Sakkal Majalla"/>
          <w:sz w:val="28"/>
          <w:rtl/>
          <w:lang w:bidi="ar-EG"/>
        </w:rPr>
        <w:t xml:space="preserve">؛ </w:t>
      </w:r>
      <w:r w:rsidRPr="007C63F4">
        <w:rPr>
          <w:rFonts w:ascii="Sakkal Majalla" w:hAnsi="Sakkal Majalla" w:cs="Sakkal Majalla"/>
          <w:sz w:val="28"/>
          <w:lang w:bidi="ar-EG"/>
        </w:rPr>
        <w:t>Hair et al., 2019</w:t>
      </w:r>
      <w:r w:rsidRPr="007C63F4">
        <w:rPr>
          <w:rFonts w:ascii="Sakkal Majalla" w:hAnsi="Sakkal Majalla" w:cs="Sakkal Majalla"/>
          <w:sz w:val="28"/>
          <w:rtl/>
          <w:lang w:bidi="ar-EG"/>
        </w:rPr>
        <w:t>). أما معامل جتمان فيُعتبر أكثر تحفظًا لأنه لا يفترض تساوي طول الجزأين، ومع ذلك جاءت قيمته متقاربة جدًا من سبيرمان-براون، مما يعزز الثقة في تماسك البنية الداخلية للمقاييس.</w:t>
      </w:r>
    </w:p>
    <w:p w14:paraId="52C9EF38" w14:textId="77777777" w:rsidR="007C63F4" w:rsidRPr="007C63F4" w:rsidRDefault="007C63F4" w:rsidP="007C63F4">
      <w:pPr>
        <w:pStyle w:val="BlockText"/>
        <w:spacing w:line="360" w:lineRule="auto"/>
        <w:ind w:left="146" w:hanging="120"/>
        <w:jc w:val="both"/>
        <w:rPr>
          <w:rFonts w:ascii="Sakkal Majalla" w:hAnsi="Sakkal Majalla" w:cs="Sakkal Majalla"/>
          <w:sz w:val="28"/>
          <w:lang w:bidi="ar-EG"/>
        </w:rPr>
      </w:pPr>
      <w:r w:rsidRPr="007C63F4">
        <w:rPr>
          <w:rFonts w:ascii="Sakkal Majalla" w:hAnsi="Sakkal Majalla" w:cs="Sakkal Majalla"/>
          <w:sz w:val="28"/>
          <w:rtl/>
          <w:lang w:bidi="ar-EG"/>
        </w:rPr>
        <w:t>هذه النتائج لا تقتصر على الدلالة الإحصائية فحسب، بل تكتسب أهمية نظرية وعملية كبيرة عند مقارنتها بالدراسات السابقة في مجال الجمارك الذكية والتحول الرقمي الحكومي:</w:t>
      </w:r>
    </w:p>
    <w:p w14:paraId="00F91E80" w14:textId="2380411D" w:rsidR="007C63F4" w:rsidRPr="007C63F4" w:rsidRDefault="007C63F4" w:rsidP="007C63F4">
      <w:pPr>
        <w:pStyle w:val="BlockText"/>
        <w:spacing w:line="360" w:lineRule="auto"/>
        <w:ind w:left="146" w:hanging="120"/>
        <w:jc w:val="both"/>
        <w:rPr>
          <w:rFonts w:ascii="Sakkal Majalla" w:hAnsi="Sakkal Majalla" w:cs="Sakkal Majalla"/>
          <w:sz w:val="28"/>
          <w:lang w:bidi="ar-EG"/>
        </w:rPr>
      </w:pPr>
      <w:r w:rsidRPr="007C63F4">
        <w:rPr>
          <w:rFonts w:ascii="Sakkal Majalla" w:hAnsi="Sakkal Majalla" w:cs="Sakkal Majalla"/>
          <w:b/>
          <w:bCs/>
          <w:sz w:val="28"/>
          <w:rtl/>
          <w:lang w:bidi="ar-EG"/>
        </w:rPr>
        <w:t xml:space="preserve">- دراسة </w:t>
      </w:r>
      <w:r w:rsidRPr="007C63F4">
        <w:rPr>
          <w:rFonts w:ascii="Sakkal Majalla" w:hAnsi="Sakkal Majalla" w:cs="Sakkal Majalla"/>
          <w:b/>
          <w:bCs/>
          <w:sz w:val="28"/>
          <w:lang w:bidi="ar-EG"/>
        </w:rPr>
        <w:t>Al-Mashari &amp; Al-Somali</w:t>
      </w:r>
      <w:r w:rsidRPr="007C63F4">
        <w:rPr>
          <w:rFonts w:ascii="Sakkal Majalla" w:hAnsi="Sakkal Majalla" w:cs="Sakkal Majalla"/>
          <w:b/>
          <w:bCs/>
          <w:sz w:val="28"/>
          <w:rtl/>
          <w:lang w:bidi="ar-EG"/>
        </w:rPr>
        <w:t xml:space="preserve"> (2023)</w:t>
      </w:r>
      <w:r w:rsidRPr="007C63F4">
        <w:rPr>
          <w:rFonts w:ascii="Sakkal Majalla" w:hAnsi="Sakkal Majalla" w:cs="Sakkal Majalla"/>
          <w:sz w:val="28"/>
          <w:rtl/>
          <w:lang w:bidi="ar-EG"/>
        </w:rPr>
        <w:t xml:space="preserve"> في سياق دول الخليج سجلت معاملات سبيرمان-براون تتراوح بين 0.79–0.87 لمقاييس الأمن السيبراني والتيسير التجاري. وقد تجاوزت دراستنا الحالية الحد الأعلى في هذه النطاق (0.828 للأمن)، مما يشير إلى أن أدوات القياس في السياق السعودي حققت تماسكًا داخليًا أعلى من النماذج الخليجية السابقة، خاصة بعد نجاح تجربة الفوترة الإلكترونية ومنصة "فسح".</w:t>
      </w:r>
    </w:p>
    <w:p w14:paraId="3FDD8B29" w14:textId="62DD7894" w:rsidR="007C63F4" w:rsidRPr="007C63F4" w:rsidRDefault="007C63F4" w:rsidP="007C63F4">
      <w:pPr>
        <w:pStyle w:val="BlockText"/>
        <w:spacing w:line="360" w:lineRule="auto"/>
        <w:ind w:left="146" w:hanging="120"/>
        <w:jc w:val="both"/>
        <w:rPr>
          <w:rFonts w:ascii="Sakkal Majalla" w:hAnsi="Sakkal Majalla" w:cs="Sakkal Majalla"/>
          <w:sz w:val="28"/>
          <w:lang w:bidi="ar-EG"/>
        </w:rPr>
      </w:pPr>
      <w:r w:rsidRPr="007C63F4">
        <w:rPr>
          <w:rFonts w:ascii="Sakkal Majalla" w:hAnsi="Sakkal Majalla" w:cs="Sakkal Majalla"/>
          <w:b/>
          <w:bCs/>
          <w:sz w:val="28"/>
          <w:rtl/>
          <w:lang w:bidi="ar-EG"/>
        </w:rPr>
        <w:t xml:space="preserve">- دراسة </w:t>
      </w:r>
      <w:r w:rsidRPr="007C63F4">
        <w:rPr>
          <w:rFonts w:ascii="Sakkal Majalla" w:hAnsi="Sakkal Majalla" w:cs="Sakkal Majalla"/>
          <w:b/>
          <w:bCs/>
          <w:sz w:val="28"/>
          <w:lang w:bidi="ar-EG"/>
        </w:rPr>
        <w:t>Alotaibi &amp; Alghamdi</w:t>
      </w:r>
      <w:r w:rsidRPr="007C63F4">
        <w:rPr>
          <w:rFonts w:ascii="Sakkal Majalla" w:hAnsi="Sakkal Majalla" w:cs="Sakkal Majalla"/>
          <w:b/>
          <w:bCs/>
          <w:sz w:val="28"/>
          <w:rtl/>
          <w:lang w:bidi="ar-EG"/>
        </w:rPr>
        <w:t xml:space="preserve"> (2024)</w:t>
      </w:r>
      <w:r w:rsidRPr="007C63F4">
        <w:rPr>
          <w:rFonts w:ascii="Sakkal Majalla" w:hAnsi="Sakkal Majalla" w:cs="Sakkal Majalla"/>
          <w:sz w:val="28"/>
          <w:rtl/>
          <w:lang w:bidi="ar-EG"/>
        </w:rPr>
        <w:t xml:space="preserve"> التي ركزت على تأثير الفوترة الإلكترونية في </w:t>
      </w:r>
      <w:r w:rsidRPr="007C63F4">
        <w:rPr>
          <w:rFonts w:ascii="Sakkal Majalla" w:hAnsi="Sakkal Majalla" w:cs="Sakkal Majalla"/>
          <w:sz w:val="28"/>
          <w:lang w:bidi="ar-EG"/>
        </w:rPr>
        <w:t>ZATCA</w:t>
      </w:r>
      <w:r w:rsidRPr="007C63F4">
        <w:rPr>
          <w:rFonts w:ascii="Sakkal Majalla" w:hAnsi="Sakkal Majalla" w:cs="Sakkal Majalla"/>
          <w:sz w:val="28"/>
          <w:rtl/>
          <w:lang w:bidi="ar-EG"/>
        </w:rPr>
        <w:t xml:space="preserve"> أظهرت معاملات ثبات لأبعاد الامتثال تتراوح بين 0.81–0.85. وفي دراستنا، بلغ معامل سبيرمان-براون لـ"تقليل التهرب الضريبي وتعزيز الامتثال" قيمة استثنائية (0.978 في التحليل العاملي)، مما يؤكد أن هذا البعد أصبح الركيزة الأقوى تماسكًا بعد تطبيق النظام الرقمي المتكامل.</w:t>
      </w:r>
    </w:p>
    <w:p w14:paraId="2C09AA55" w14:textId="0EC87211" w:rsidR="007C63F4" w:rsidRPr="007C63F4" w:rsidRDefault="007C63F4" w:rsidP="007C63F4">
      <w:pPr>
        <w:pStyle w:val="BlockText"/>
        <w:spacing w:line="360" w:lineRule="auto"/>
        <w:ind w:left="146" w:hanging="120"/>
        <w:jc w:val="both"/>
        <w:rPr>
          <w:rFonts w:ascii="Sakkal Majalla" w:hAnsi="Sakkal Majalla" w:cs="Sakkal Majalla"/>
          <w:sz w:val="28"/>
          <w:lang w:bidi="ar-EG"/>
        </w:rPr>
      </w:pPr>
      <w:r w:rsidRPr="007C63F4">
        <w:rPr>
          <w:rFonts w:ascii="Sakkal Majalla" w:hAnsi="Sakkal Majalla" w:cs="Sakkal Majalla"/>
          <w:b/>
          <w:bCs/>
          <w:sz w:val="28"/>
          <w:rtl/>
          <w:lang w:bidi="ar-EG"/>
        </w:rPr>
        <w:t xml:space="preserve">- دراسة </w:t>
      </w:r>
      <w:r w:rsidRPr="007C63F4">
        <w:rPr>
          <w:rFonts w:ascii="Sakkal Majalla" w:hAnsi="Sakkal Majalla" w:cs="Sakkal Majalla"/>
          <w:b/>
          <w:bCs/>
          <w:sz w:val="28"/>
          <w:lang w:bidi="ar-EG"/>
        </w:rPr>
        <w:t>Lee et al</w:t>
      </w:r>
      <w:r w:rsidRPr="007C63F4">
        <w:rPr>
          <w:rFonts w:ascii="Sakkal Majalla" w:hAnsi="Sakkal Majalla" w:cs="Sakkal Majalla"/>
          <w:b/>
          <w:bCs/>
          <w:sz w:val="28"/>
          <w:rtl/>
          <w:lang w:bidi="ar-EG"/>
        </w:rPr>
        <w:t>. (2022)</w:t>
      </w:r>
      <w:r w:rsidRPr="007C63F4">
        <w:rPr>
          <w:rFonts w:ascii="Sakkal Majalla" w:hAnsi="Sakkal Majalla" w:cs="Sakkal Majalla"/>
          <w:sz w:val="28"/>
          <w:rtl/>
          <w:lang w:bidi="ar-EG"/>
        </w:rPr>
        <w:t xml:space="preserve"> عن نظام </w:t>
      </w:r>
      <w:r w:rsidRPr="007C63F4">
        <w:rPr>
          <w:rFonts w:ascii="Sakkal Majalla" w:hAnsi="Sakkal Majalla" w:cs="Sakkal Majalla"/>
          <w:sz w:val="28"/>
          <w:lang w:bidi="ar-EG"/>
        </w:rPr>
        <w:t>UNI-PASS</w:t>
      </w:r>
      <w:r w:rsidRPr="007C63F4">
        <w:rPr>
          <w:rFonts w:ascii="Sakkal Majalla" w:hAnsi="Sakkal Majalla" w:cs="Sakkal Majalla"/>
          <w:sz w:val="28"/>
          <w:rtl/>
          <w:lang w:bidi="ar-EG"/>
        </w:rPr>
        <w:t xml:space="preserve"> في كوريا الجنوبية سجلت معاملات سبيرمان-براون تتراوح بين 0.79–0.84 لمقاييس الكفاءة الاقتصادية والتكنولوجية. وقد جاءت قيمة دراستنا (0.805) متقاربة جدًا، لكنها تتميز بسياق سعودي يحقق سرعة إفراج فعلية (1–2 ساعات) تفوق بعض الحالات الكورية، مما يعطي النتيجة بعداً تطبيقيًا أقوى.</w:t>
      </w:r>
    </w:p>
    <w:p w14:paraId="4A8E6B00" w14:textId="62D1E65B" w:rsidR="007C63F4" w:rsidRPr="007C63F4" w:rsidRDefault="007C63F4" w:rsidP="007C63F4">
      <w:pPr>
        <w:pStyle w:val="BlockText"/>
        <w:spacing w:line="360" w:lineRule="auto"/>
        <w:ind w:left="146" w:hanging="120"/>
        <w:jc w:val="both"/>
        <w:rPr>
          <w:rFonts w:ascii="Sakkal Majalla" w:hAnsi="Sakkal Majalla" w:cs="Sakkal Majalla"/>
          <w:sz w:val="28"/>
          <w:lang w:bidi="ar-EG"/>
        </w:rPr>
      </w:pPr>
      <w:r w:rsidRPr="007C63F4">
        <w:rPr>
          <w:rFonts w:ascii="Sakkal Majalla" w:hAnsi="Sakkal Majalla" w:cs="Sakkal Majalla"/>
          <w:b/>
          <w:bCs/>
          <w:sz w:val="28"/>
          <w:rtl/>
          <w:lang w:bidi="ar-EG"/>
        </w:rPr>
        <w:t xml:space="preserve">- دراسة </w:t>
      </w:r>
      <w:r w:rsidRPr="007C63F4">
        <w:rPr>
          <w:rFonts w:ascii="Sakkal Majalla" w:hAnsi="Sakkal Majalla" w:cs="Sakkal Majalla"/>
          <w:b/>
          <w:bCs/>
          <w:sz w:val="28"/>
          <w:lang w:bidi="ar-EG"/>
        </w:rPr>
        <w:t>Rukanova et al</w:t>
      </w:r>
      <w:r w:rsidRPr="007C63F4">
        <w:rPr>
          <w:rFonts w:ascii="Sakkal Majalla" w:hAnsi="Sakkal Majalla" w:cs="Sakkal Majalla"/>
          <w:b/>
          <w:bCs/>
          <w:sz w:val="28"/>
          <w:rtl/>
          <w:lang w:bidi="ar-EG"/>
        </w:rPr>
        <w:t xml:space="preserve">. (2025) في إطار </w:t>
      </w:r>
      <w:r w:rsidRPr="007C63F4">
        <w:rPr>
          <w:rFonts w:ascii="Sakkal Majalla" w:hAnsi="Sakkal Majalla" w:cs="Sakkal Majalla"/>
          <w:b/>
          <w:bCs/>
          <w:sz w:val="28"/>
          <w:lang w:bidi="ar-EG"/>
        </w:rPr>
        <w:t>EU Single Window Environment</w:t>
      </w:r>
      <w:r w:rsidRPr="007C63F4">
        <w:rPr>
          <w:rFonts w:ascii="Sakkal Majalla" w:hAnsi="Sakkal Majalla" w:cs="Sakkal Majalla"/>
          <w:sz w:val="28"/>
          <w:rtl/>
          <w:lang w:bidi="ar-EG"/>
        </w:rPr>
        <w:t xml:space="preserve"> سجلت معاملات ثبات في حدود 0.80–0.85 للمقاييس متعددة الأبعاد. وفي دراستنا الحالية، تجاوزت قيم سبيرمان-براون هذا الحد في معظم العوامل (خاصة عامل "تقليل التهرب" بقيمة 0.978)، مما يضع أدوات القياس السعودية في مصاف النماذج الأوروبية المتقدمة، بل ويتفوق عليها في الجانب الامتثالي الضريبي.</w:t>
      </w:r>
    </w:p>
    <w:p w14:paraId="5AFBA07C" w14:textId="45E393DE" w:rsidR="007C63F4" w:rsidRPr="007C63F4" w:rsidRDefault="007C63F4" w:rsidP="007C63F4">
      <w:pPr>
        <w:pStyle w:val="BlockText"/>
        <w:spacing w:line="360" w:lineRule="auto"/>
        <w:ind w:left="146" w:hanging="120"/>
        <w:jc w:val="both"/>
        <w:rPr>
          <w:rFonts w:ascii="Sakkal Majalla" w:hAnsi="Sakkal Majalla" w:cs="Sakkal Majalla"/>
          <w:sz w:val="28"/>
          <w:lang w:bidi="ar-EG"/>
        </w:rPr>
      </w:pPr>
      <w:r w:rsidRPr="007C63F4">
        <w:rPr>
          <w:rFonts w:ascii="Sakkal Majalla" w:hAnsi="Sakkal Majalla" w:cs="Sakkal Majalla"/>
          <w:b/>
          <w:bCs/>
          <w:sz w:val="28"/>
          <w:rtl/>
          <w:lang w:bidi="ar-EG"/>
        </w:rPr>
        <w:lastRenderedPageBreak/>
        <w:t>- مقارنة إضافية مع جمارك سنغافورة (</w:t>
      </w:r>
      <w:r w:rsidRPr="007C63F4">
        <w:rPr>
          <w:rFonts w:ascii="Sakkal Majalla" w:hAnsi="Sakkal Majalla" w:cs="Sakkal Majalla"/>
          <w:b/>
          <w:bCs/>
          <w:sz w:val="28"/>
          <w:lang w:bidi="ar-EG"/>
        </w:rPr>
        <w:t>Singapore Customs</w:t>
      </w:r>
      <w:r w:rsidRPr="007C63F4">
        <w:rPr>
          <w:rFonts w:ascii="Sakkal Majalla" w:hAnsi="Sakkal Majalla" w:cs="Sakkal Majalla"/>
          <w:b/>
          <w:bCs/>
          <w:sz w:val="28"/>
          <w:rtl/>
          <w:lang w:bidi="ar-EG"/>
        </w:rPr>
        <w:t>):</w:t>
      </w:r>
      <w:r w:rsidRPr="007C63F4">
        <w:rPr>
          <w:rFonts w:ascii="Sakkal Majalla" w:hAnsi="Sakkal Majalla" w:cs="Sakkal Majalla"/>
          <w:sz w:val="28"/>
          <w:rtl/>
          <w:lang w:bidi="ar-EG"/>
        </w:rPr>
        <w:t xml:space="preserve"> دراسات </w:t>
      </w:r>
      <w:r w:rsidRPr="007C63F4">
        <w:rPr>
          <w:rFonts w:ascii="Sakkal Majalla" w:hAnsi="Sakkal Majalla" w:cs="Sakkal Majalla"/>
          <w:sz w:val="28"/>
          <w:lang w:bidi="ar-EG"/>
        </w:rPr>
        <w:t>WCO</w:t>
      </w:r>
      <w:r w:rsidRPr="007C63F4">
        <w:rPr>
          <w:rFonts w:ascii="Sakkal Majalla" w:hAnsi="Sakkal Majalla" w:cs="Sakkal Majalla"/>
          <w:sz w:val="28"/>
          <w:rtl/>
          <w:lang w:bidi="ar-EG"/>
        </w:rPr>
        <w:t xml:space="preserve"> (2025) وتقارير </w:t>
      </w:r>
      <w:r w:rsidRPr="007C63F4">
        <w:rPr>
          <w:rFonts w:ascii="Sakkal Majalla" w:hAnsi="Sakkal Majalla" w:cs="Sakkal Majalla"/>
          <w:sz w:val="28"/>
          <w:lang w:bidi="ar-EG"/>
        </w:rPr>
        <w:t>TradeNet</w:t>
      </w:r>
      <w:r w:rsidRPr="007C63F4">
        <w:rPr>
          <w:rFonts w:ascii="Sakkal Majalla" w:hAnsi="Sakkal Majalla" w:cs="Sakkal Majalla"/>
          <w:sz w:val="28"/>
          <w:rtl/>
          <w:lang w:bidi="ar-EG"/>
        </w:rPr>
        <w:t xml:space="preserve"> أظهرت معاملات ثبات تتراوح بين 0.82–0.89 لمقاييس النافذة الواحدة والذكاء الاصطناعي (</w:t>
      </w:r>
      <w:r w:rsidRPr="007C63F4">
        <w:rPr>
          <w:rFonts w:ascii="Sakkal Majalla" w:hAnsi="Sakkal Majalla" w:cs="Sakkal Majalla"/>
          <w:sz w:val="28"/>
          <w:lang w:bidi="ar-EG"/>
        </w:rPr>
        <w:t>DAISY</w:t>
      </w:r>
      <w:r w:rsidRPr="007C63F4">
        <w:rPr>
          <w:rFonts w:ascii="Sakkal Majalla" w:hAnsi="Sakkal Majalla" w:cs="Sakkal Majalla"/>
          <w:sz w:val="28"/>
          <w:rtl/>
          <w:lang w:bidi="ar-EG"/>
        </w:rPr>
        <w:t xml:space="preserve">). وقد جاءت قيم دراستنا (0.805–0.828) متقاربة جدًا من النموذج السنغافوري، لكنها تتميز بتماسك أعلى في بعد "الامتثال الضريبي" (0.978)، مما يعكس تفوقًا سعوديًا في الجانب الضريبي الرقمي الفوري مقارنة بـ </w:t>
      </w:r>
      <w:r w:rsidRPr="007C63F4">
        <w:rPr>
          <w:rFonts w:ascii="Sakkal Majalla" w:hAnsi="Sakkal Majalla" w:cs="Sakkal Majalla"/>
          <w:sz w:val="28"/>
          <w:lang w:bidi="ar-EG"/>
        </w:rPr>
        <w:t>TradeNet</w:t>
      </w:r>
      <w:r w:rsidRPr="007C63F4">
        <w:rPr>
          <w:rFonts w:ascii="Sakkal Majalla" w:hAnsi="Sakkal Majalla" w:cs="Sakkal Majalla"/>
          <w:sz w:val="28"/>
          <w:rtl/>
          <w:lang w:bidi="ar-EG"/>
        </w:rPr>
        <w:t>.</w:t>
      </w:r>
    </w:p>
    <w:p w14:paraId="488D20EB" w14:textId="77777777" w:rsidR="007C63F4" w:rsidRPr="007C63F4" w:rsidRDefault="007C63F4" w:rsidP="007C63F4">
      <w:pPr>
        <w:pStyle w:val="BlockText"/>
        <w:spacing w:line="360" w:lineRule="auto"/>
        <w:ind w:left="146" w:hanging="120"/>
        <w:jc w:val="both"/>
        <w:rPr>
          <w:rFonts w:ascii="Sakkal Majalla" w:hAnsi="Sakkal Majalla" w:cs="Sakkal Majalla"/>
          <w:sz w:val="28"/>
          <w:lang w:bidi="ar-EG"/>
        </w:rPr>
      </w:pPr>
      <w:r w:rsidRPr="007C63F4">
        <w:rPr>
          <w:rFonts w:ascii="Sakkal Majalla" w:hAnsi="Sakkal Majalla" w:cs="Sakkal Majalla"/>
          <w:sz w:val="28"/>
          <w:rtl/>
          <w:lang w:bidi="ar-EG"/>
        </w:rPr>
        <w:t xml:space="preserve">يُعد الثبات الداخلي المرتفع لهذه الأدوات (خاصة بعد تجاوز معامل سبيرمان-براون 0.80 في كلا المقياسين) مؤشرًا علميًا قويًا على صلاحيتها للاستخدام في اختبار الفرضيات بالارتباط والانحدار المتعدد. كما أن هذا المستوى من الثبات يضع الدراسة الحالية في مصاف الدراسات الرائدة عالميًا في مجال الجمارك الذكية، ويفتح آفاقًا واسعة لتعميم النتائج على السياقات المماثلة في دول الخليج والشرق الأوسط، مع الثقة الكاملة في أن النتائج تعكس الواقع الحقيقي للمتغيرات المدروسة وليس الخطأ القياسي. </w:t>
      </w:r>
    </w:p>
    <w:p w14:paraId="726042D9" w14:textId="24BBBF16" w:rsidR="007C63F4" w:rsidRPr="00732391" w:rsidRDefault="007C63F4" w:rsidP="007C63F4">
      <w:pPr>
        <w:pStyle w:val="BlockText"/>
        <w:spacing w:line="360" w:lineRule="auto"/>
        <w:ind w:left="146" w:hanging="120"/>
        <w:jc w:val="both"/>
        <w:rPr>
          <w:rFonts w:ascii="Sakkal Majalla" w:hAnsi="Sakkal Majalla" w:cs="Sakkal Majalla"/>
          <w:sz w:val="28"/>
          <w:rtl/>
          <w:lang w:bidi="ar-EG"/>
        </w:rPr>
      </w:pPr>
      <w:r w:rsidRPr="007C63F4">
        <w:rPr>
          <w:rFonts w:ascii="Sakkal Majalla" w:hAnsi="Sakkal Majalla" w:cs="Sakkal Majalla"/>
          <w:sz w:val="28"/>
          <w:rtl/>
          <w:lang w:bidi="ar-EG"/>
        </w:rPr>
        <w:t>هذا الثبات يعزز مصداقية الدراسة ويقلل من الخطأ العشوائي، مما يجعلها أداة موثوقة لصانعي السياسات في هيئة الزكاة والضريبة والجمارك لتطوير استراتيجيات التحول الرقمي المستقبلية.</w:t>
      </w:r>
    </w:p>
    <w:p w14:paraId="52578C29" w14:textId="71F17AE9" w:rsidR="007A0B3B" w:rsidRPr="007B1811" w:rsidRDefault="007A0B3B" w:rsidP="007A0B3B">
      <w:pPr>
        <w:pStyle w:val="BlockText"/>
        <w:spacing w:line="360" w:lineRule="auto"/>
        <w:ind w:left="146" w:hanging="120"/>
        <w:jc w:val="both"/>
        <w:rPr>
          <w:rFonts w:ascii="Sakkal Majalla" w:hAnsi="Sakkal Majalla" w:cs="Sakkal Majalla"/>
          <w:u w:val="single"/>
          <w:rtl/>
          <w:lang w:bidi="ar-EG"/>
        </w:rPr>
      </w:pPr>
      <w:r w:rsidRPr="007B1811">
        <w:rPr>
          <w:rFonts w:ascii="Sakkal Majalla" w:hAnsi="Sakkal Majalla" w:cs="Sakkal Majalla"/>
          <w:u w:val="single"/>
          <w:rtl/>
          <w:lang w:bidi="ar-EG"/>
        </w:rPr>
        <w:t xml:space="preserve"> </w:t>
      </w:r>
      <w:r w:rsidRPr="007B1811">
        <w:rPr>
          <w:rFonts w:ascii="Sakkal Majalla" w:hAnsi="Sakkal Majalla" w:cs="Sakkal Majalla"/>
          <w:b/>
          <w:bCs/>
          <w:sz w:val="32"/>
          <w:szCs w:val="32"/>
          <w:u w:val="single"/>
          <w:rtl/>
        </w:rPr>
        <w:t xml:space="preserve">يحتوى البحث على أربعة </w:t>
      </w:r>
      <w:r>
        <w:rPr>
          <w:rFonts w:ascii="Sakkal Majalla" w:hAnsi="Sakkal Majalla" w:cs="Sakkal Majalla" w:hint="cs"/>
          <w:b/>
          <w:bCs/>
          <w:sz w:val="32"/>
          <w:szCs w:val="32"/>
          <w:u w:val="single"/>
          <w:rtl/>
        </w:rPr>
        <w:t>أبعاد لل</w:t>
      </w:r>
      <w:r w:rsidRPr="007B1811">
        <w:rPr>
          <w:rFonts w:ascii="Sakkal Majalla" w:hAnsi="Sakkal Majalla" w:cs="Sakkal Majalla"/>
          <w:b/>
          <w:bCs/>
          <w:sz w:val="32"/>
          <w:szCs w:val="32"/>
          <w:u w:val="single"/>
          <w:rtl/>
        </w:rPr>
        <w:t xml:space="preserve">متغير </w:t>
      </w:r>
      <w:r>
        <w:rPr>
          <w:rFonts w:ascii="Sakkal Majalla" w:hAnsi="Sakkal Majalla" w:cs="Sakkal Majalla" w:hint="cs"/>
          <w:b/>
          <w:bCs/>
          <w:sz w:val="32"/>
          <w:szCs w:val="32"/>
          <w:u w:val="single"/>
          <w:rtl/>
        </w:rPr>
        <w:t>ال</w:t>
      </w:r>
      <w:r w:rsidRPr="007B1811">
        <w:rPr>
          <w:rFonts w:ascii="Sakkal Majalla" w:hAnsi="Sakkal Majalla" w:cs="Sakkal Majalla"/>
          <w:b/>
          <w:bCs/>
          <w:sz w:val="32"/>
          <w:szCs w:val="32"/>
          <w:u w:val="single"/>
          <w:rtl/>
        </w:rPr>
        <w:t>مستقل</w:t>
      </w:r>
      <w:r>
        <w:rPr>
          <w:rFonts w:ascii="Sakkal Majalla" w:hAnsi="Sakkal Majalla" w:cs="Sakkal Majalla" w:hint="cs"/>
          <w:b/>
          <w:bCs/>
          <w:sz w:val="32"/>
          <w:szCs w:val="32"/>
          <w:u w:val="single"/>
          <w:rtl/>
        </w:rPr>
        <w:t xml:space="preserve"> </w:t>
      </w:r>
      <w:r w:rsidR="0016339D">
        <w:rPr>
          <w:rFonts w:ascii="Sakkal Majalla" w:hAnsi="Sakkal Majalla" w:cs="Sakkal Majalla" w:hint="cs"/>
          <w:b/>
          <w:bCs/>
          <w:sz w:val="32"/>
          <w:szCs w:val="32"/>
          <w:u w:val="single"/>
          <w:rtl/>
        </w:rPr>
        <w:t>التحول الرقمي</w:t>
      </w:r>
      <w:r w:rsidRPr="007B1811">
        <w:rPr>
          <w:rFonts w:ascii="Sakkal Majalla" w:hAnsi="Sakkal Majalla" w:cs="Sakkal Majalla"/>
          <w:b/>
          <w:bCs/>
          <w:sz w:val="32"/>
          <w:szCs w:val="32"/>
          <w:u w:val="single"/>
          <w:rtl/>
        </w:rPr>
        <w:t>:</w:t>
      </w:r>
    </w:p>
    <w:p w14:paraId="53A34EB6" w14:textId="6F9A5569" w:rsidR="007A0B3B" w:rsidRPr="0016339D" w:rsidRDefault="0016339D">
      <w:pPr>
        <w:pStyle w:val="BlockText"/>
        <w:numPr>
          <w:ilvl w:val="0"/>
          <w:numId w:val="119"/>
        </w:numPr>
        <w:jc w:val="both"/>
        <w:rPr>
          <w:rFonts w:ascii="Sakkal Majalla" w:hAnsi="Sakkal Majalla" w:cs="Sakkal Majalla"/>
          <w:b/>
          <w:bCs/>
        </w:rPr>
      </w:pPr>
      <w:r>
        <w:rPr>
          <w:rFonts w:ascii="Sakkal Majalla" w:hAnsi="Sakkal Majalla" w:cs="Sakkal Majalla" w:hint="cs"/>
          <w:rtl/>
          <w:lang w:bidi="ar-EG"/>
        </w:rPr>
        <w:t>الأسس الرقمية.</w:t>
      </w:r>
    </w:p>
    <w:p w14:paraId="30BCDAFB" w14:textId="0E87F9DA" w:rsidR="0016339D" w:rsidRPr="0016339D" w:rsidRDefault="0016339D">
      <w:pPr>
        <w:pStyle w:val="BlockText"/>
        <w:numPr>
          <w:ilvl w:val="0"/>
          <w:numId w:val="119"/>
        </w:numPr>
        <w:jc w:val="both"/>
        <w:rPr>
          <w:rFonts w:ascii="Sakkal Majalla" w:hAnsi="Sakkal Majalla" w:cs="Sakkal Majalla"/>
          <w:b/>
          <w:bCs/>
        </w:rPr>
      </w:pPr>
      <w:r>
        <w:rPr>
          <w:rFonts w:ascii="Sakkal Majalla" w:hAnsi="Sakkal Majalla" w:cs="Sakkal Majalla" w:hint="cs"/>
          <w:rtl/>
          <w:lang w:bidi="ar-EG"/>
        </w:rPr>
        <w:t>الابتكار الرقمي.</w:t>
      </w:r>
    </w:p>
    <w:p w14:paraId="4C3DFBDA" w14:textId="584A8F52" w:rsidR="0016339D" w:rsidRPr="007B1811" w:rsidRDefault="0016339D">
      <w:pPr>
        <w:pStyle w:val="BlockText"/>
        <w:numPr>
          <w:ilvl w:val="0"/>
          <w:numId w:val="119"/>
        </w:numPr>
        <w:jc w:val="both"/>
        <w:rPr>
          <w:rFonts w:ascii="Sakkal Majalla" w:hAnsi="Sakkal Majalla" w:cs="Sakkal Majalla"/>
          <w:b/>
          <w:bCs/>
        </w:rPr>
      </w:pPr>
      <w:r>
        <w:rPr>
          <w:rFonts w:ascii="Sakkal Majalla" w:hAnsi="Sakkal Majalla" w:cs="Sakkal Majalla" w:hint="cs"/>
          <w:rtl/>
          <w:lang w:bidi="ar-EG"/>
        </w:rPr>
        <w:t>الحوكمة الرقمية.</w:t>
      </w:r>
    </w:p>
    <w:p w14:paraId="5D942E00" w14:textId="77777777" w:rsidR="007A0B3B" w:rsidRPr="007B1811" w:rsidRDefault="007A0B3B" w:rsidP="007A0B3B">
      <w:pPr>
        <w:pStyle w:val="BlockText"/>
        <w:spacing w:line="360" w:lineRule="auto"/>
        <w:ind w:left="648"/>
        <w:jc w:val="lowKashida"/>
        <w:rPr>
          <w:rFonts w:ascii="Sakkal Majalla" w:hAnsi="Sakkal Majalla" w:cs="Sakkal Majalla"/>
          <w:b/>
          <w:bCs/>
          <w:sz w:val="32"/>
          <w:szCs w:val="32"/>
        </w:rPr>
      </w:pPr>
      <w:r w:rsidRPr="007B1811">
        <w:rPr>
          <w:rFonts w:ascii="Sakkal Majalla" w:hAnsi="Sakkal Majalla" w:cs="Sakkal Majalla"/>
          <w:b/>
          <w:bCs/>
          <w:sz w:val="32"/>
          <w:szCs w:val="32"/>
          <w:rtl/>
        </w:rPr>
        <w:t xml:space="preserve">3/2/1  </w:t>
      </w:r>
      <w:r w:rsidRPr="007B1811">
        <w:rPr>
          <w:rFonts w:ascii="Sakkal Majalla" w:hAnsi="Sakkal Majalla" w:cs="Sakkal Majalla" w:hint="cs"/>
          <w:b/>
          <w:bCs/>
          <w:sz w:val="32"/>
          <w:szCs w:val="32"/>
          <w:rtl/>
        </w:rPr>
        <w:t>اختبار</w:t>
      </w:r>
      <w:r w:rsidRPr="007B1811">
        <w:rPr>
          <w:rFonts w:ascii="Sakkal Majalla" w:hAnsi="Sakkal Majalla" w:cs="Sakkal Majalla"/>
          <w:b/>
          <w:bCs/>
          <w:sz w:val="32"/>
          <w:szCs w:val="32"/>
          <w:rtl/>
        </w:rPr>
        <w:t xml:space="preserve"> ثبات المقياس :</w:t>
      </w:r>
    </w:p>
    <w:p w14:paraId="18B58FD7" w14:textId="77777777" w:rsidR="007A0B3B" w:rsidRPr="007B1811" w:rsidRDefault="007A0B3B">
      <w:pPr>
        <w:pStyle w:val="BlockText"/>
        <w:numPr>
          <w:ilvl w:val="0"/>
          <w:numId w:val="120"/>
        </w:numPr>
        <w:spacing w:line="360" w:lineRule="auto"/>
        <w:jc w:val="lowKashida"/>
        <w:rPr>
          <w:rFonts w:ascii="Sakkal Majalla" w:hAnsi="Sakkal Majalla" w:cs="Sakkal Majalla"/>
          <w:b/>
          <w:bCs/>
          <w:sz w:val="28"/>
          <w:lang w:bidi="ar-EG"/>
        </w:rPr>
      </w:pPr>
      <w:r w:rsidRPr="007B1811">
        <w:rPr>
          <w:rFonts w:ascii="Sakkal Majalla" w:hAnsi="Sakkal Majalla" w:cs="Sakkal Majalla"/>
          <w:b/>
          <w:bCs/>
          <w:sz w:val="28"/>
          <w:rtl/>
          <w:lang w:bidi="ar-EG"/>
        </w:rPr>
        <w:t>قياس ثبات المقياس بطريقة ألفاكروبناخ (</w:t>
      </w:r>
      <w:r w:rsidRPr="007B1811">
        <w:rPr>
          <w:rFonts w:ascii="Sakkal Majalla" w:hAnsi="Sakkal Majalla" w:cs="Sakkal Majalla"/>
          <w:b/>
          <w:bCs/>
          <w:sz w:val="28"/>
          <w:lang w:bidi="ar-EG"/>
        </w:rPr>
        <w:t>Cronbach Alpha</w:t>
      </w:r>
      <w:r w:rsidRPr="007B1811">
        <w:rPr>
          <w:rFonts w:ascii="Sakkal Majalla" w:hAnsi="Sakkal Majalla" w:cs="Sakkal Majalla"/>
          <w:b/>
          <w:bCs/>
          <w:sz w:val="28"/>
          <w:rtl/>
          <w:lang w:bidi="ar-EG"/>
        </w:rPr>
        <w:t xml:space="preserve">) : </w:t>
      </w:r>
    </w:p>
    <w:p w14:paraId="085BFCC8" w14:textId="77777777" w:rsidR="007A0B3B" w:rsidRPr="007B1811" w:rsidRDefault="007A0B3B" w:rsidP="007A0B3B">
      <w:pPr>
        <w:pStyle w:val="BlockText"/>
        <w:jc w:val="lowKashida"/>
        <w:rPr>
          <w:rFonts w:ascii="Sakkal Majalla" w:hAnsi="Sakkal Majalla" w:cs="Sakkal Majalla"/>
          <w:sz w:val="28"/>
          <w:rtl/>
          <w:lang w:bidi="ar-EG"/>
        </w:rPr>
      </w:pPr>
      <w:r w:rsidRPr="007B1811">
        <w:rPr>
          <w:rFonts w:ascii="Sakkal Majalla" w:hAnsi="Sakkal Majalla" w:cs="Sakkal Majalla"/>
          <w:sz w:val="28"/>
          <w:rtl/>
          <w:lang w:bidi="ar-EG"/>
        </w:rPr>
        <w:t>قام الباحث بحساب معامل ألفا لكل متغير فى الدراسة وذلك بهدف أختبار ثبات هذه المتغيرات ، وتترواح قيمة معامل ألفا بين ( 0 و 1 )  وكلما أقتربت من الواحد دلت على وجود ثبات عالى وكلما أقتربت من الصفر دلت على عدم وجود ثبات ، ويبين الجدول معاملات الثبات لمتغيرات الدراسة .</w:t>
      </w:r>
    </w:p>
    <w:p w14:paraId="4BFD37AF" w14:textId="77777777" w:rsidR="007A0B3B" w:rsidRPr="007B1811" w:rsidRDefault="007A0B3B" w:rsidP="007A0B3B">
      <w:pPr>
        <w:pStyle w:val="BlockText"/>
        <w:jc w:val="lowKashida"/>
        <w:rPr>
          <w:rFonts w:ascii="Sakkal Majalla" w:hAnsi="Sakkal Majalla" w:cs="Sakkal Majalla"/>
          <w:sz w:val="28"/>
          <w:rtl/>
          <w:lang w:bidi="ar-EG"/>
        </w:rPr>
      </w:pPr>
      <w:r w:rsidRPr="007B1811">
        <w:rPr>
          <w:rFonts w:ascii="Sakkal Majalla" w:hAnsi="Sakkal Majalla" w:cs="Sakkal Majalla"/>
          <w:sz w:val="28"/>
          <w:rtl/>
          <w:lang w:bidi="ar-EG"/>
        </w:rPr>
        <w:t xml:space="preserve">تم حساب معامل ألفا للمتغيرات فى المقياس ، وطبقاً للجدول نجد أن : </w:t>
      </w:r>
    </w:p>
    <w:p w14:paraId="4C4E02CD" w14:textId="77777777" w:rsidR="007A0B3B" w:rsidRPr="007B1811" w:rsidRDefault="007A0B3B" w:rsidP="007A0B3B">
      <w:pPr>
        <w:pStyle w:val="BlockText"/>
        <w:ind w:left="1008"/>
        <w:jc w:val="center"/>
        <w:rPr>
          <w:rFonts w:ascii="Sakkal Majalla" w:hAnsi="Sakkal Majalla" w:cs="Sakkal Majalla"/>
          <w:b/>
          <w:bCs/>
          <w:sz w:val="24"/>
          <w:szCs w:val="24"/>
          <w:lang w:bidi="ar-EG"/>
        </w:rPr>
      </w:pPr>
      <w:r w:rsidRPr="007B1811">
        <w:rPr>
          <w:rFonts w:ascii="Sakkal Majalla" w:hAnsi="Sakkal Majalla" w:cs="Sakkal Majalla"/>
          <w:b/>
          <w:bCs/>
          <w:sz w:val="24"/>
          <w:szCs w:val="24"/>
          <w:rtl/>
          <w:lang w:bidi="ar-EG"/>
        </w:rPr>
        <w:t>الجدول رقم (3/4) معاملات الثبات بطريقة ألفاكرونباخ</w:t>
      </w:r>
    </w:p>
    <w:tbl>
      <w:tblPr>
        <w:bidiVisual/>
        <w:tblW w:w="0" w:type="auto"/>
        <w:jc w:val="center"/>
        <w:tblBorders>
          <w:top w:val="thinThickSmallGap" w:sz="24" w:space="0" w:color="auto"/>
          <w:left w:val="thickThinSmallGap" w:sz="24" w:space="0" w:color="auto"/>
          <w:bottom w:val="thickThinSmallGap" w:sz="24" w:space="0" w:color="auto"/>
          <w:right w:val="thinThickSmallGap" w:sz="24" w:space="0" w:color="auto"/>
          <w:insideH w:val="single" w:sz="6" w:space="0" w:color="auto"/>
          <w:insideV w:val="single" w:sz="6" w:space="0" w:color="auto"/>
        </w:tblBorders>
        <w:tblLook w:val="04A0" w:firstRow="1" w:lastRow="0" w:firstColumn="1" w:lastColumn="0" w:noHBand="0" w:noVBand="1"/>
      </w:tblPr>
      <w:tblGrid>
        <w:gridCol w:w="482"/>
        <w:gridCol w:w="4255"/>
        <w:gridCol w:w="2126"/>
        <w:gridCol w:w="2091"/>
      </w:tblGrid>
      <w:tr w:rsidR="007A0B3B" w:rsidRPr="007B1811" w14:paraId="34598283" w14:textId="77777777" w:rsidTr="001E2DEE">
        <w:trPr>
          <w:jc w:val="center"/>
        </w:trPr>
        <w:tc>
          <w:tcPr>
            <w:tcW w:w="482" w:type="dxa"/>
            <w:tcBorders>
              <w:top w:val="thinThickSmallGap" w:sz="24" w:space="0" w:color="auto"/>
              <w:bottom w:val="thinThickSmallGap" w:sz="24" w:space="0" w:color="auto"/>
            </w:tcBorders>
            <w:shd w:val="clear" w:color="auto" w:fill="D9D9D9" w:themeFill="background1" w:themeFillShade="D9"/>
          </w:tcPr>
          <w:p w14:paraId="67CE3E39" w14:textId="77777777" w:rsidR="007A0B3B" w:rsidRPr="007B1811" w:rsidRDefault="007A0B3B" w:rsidP="001E2DEE">
            <w:pPr>
              <w:pStyle w:val="BlockText"/>
              <w:ind w:left="0"/>
              <w:jc w:val="center"/>
              <w:rPr>
                <w:rFonts w:ascii="Sakkal Majalla" w:hAnsi="Sakkal Majalla" w:cs="Sakkal Majalla"/>
                <w:b/>
                <w:bCs/>
                <w:sz w:val="22"/>
                <w:szCs w:val="22"/>
                <w:rtl/>
                <w:lang w:bidi="ar-EG"/>
              </w:rPr>
            </w:pPr>
          </w:p>
        </w:tc>
        <w:tc>
          <w:tcPr>
            <w:tcW w:w="4255" w:type="dxa"/>
            <w:tcBorders>
              <w:top w:val="thinThickSmallGap" w:sz="24" w:space="0" w:color="auto"/>
              <w:bottom w:val="thinThickSmallGap" w:sz="24" w:space="0" w:color="auto"/>
            </w:tcBorders>
            <w:shd w:val="clear" w:color="auto" w:fill="D9D9D9" w:themeFill="background1" w:themeFillShade="D9"/>
          </w:tcPr>
          <w:p w14:paraId="6E36030C" w14:textId="77777777" w:rsidR="007A0B3B" w:rsidRPr="007B1811" w:rsidRDefault="007A0B3B" w:rsidP="001E2DEE">
            <w:pPr>
              <w:pStyle w:val="BlockText"/>
              <w:ind w:left="0"/>
              <w:jc w:val="center"/>
              <w:rPr>
                <w:rFonts w:ascii="Sakkal Majalla" w:hAnsi="Sakkal Majalla" w:cs="Sakkal Majalla"/>
                <w:b/>
                <w:bCs/>
                <w:sz w:val="22"/>
                <w:szCs w:val="22"/>
                <w:rtl/>
                <w:lang w:bidi="ar-EG"/>
              </w:rPr>
            </w:pPr>
            <w:r w:rsidRPr="007B1811">
              <w:rPr>
                <w:rFonts w:ascii="Sakkal Majalla" w:hAnsi="Sakkal Majalla" w:cs="Sakkal Majalla"/>
                <w:b/>
                <w:bCs/>
                <w:sz w:val="22"/>
                <w:szCs w:val="22"/>
                <w:rtl/>
                <w:lang w:bidi="ar-EG"/>
              </w:rPr>
              <w:t xml:space="preserve">المتغيرات المستقلة </w:t>
            </w:r>
          </w:p>
        </w:tc>
        <w:tc>
          <w:tcPr>
            <w:tcW w:w="2126" w:type="dxa"/>
            <w:tcBorders>
              <w:top w:val="thinThickSmallGap" w:sz="24" w:space="0" w:color="auto"/>
              <w:bottom w:val="thinThickSmallGap" w:sz="24" w:space="0" w:color="auto"/>
            </w:tcBorders>
            <w:shd w:val="clear" w:color="auto" w:fill="D9D9D9" w:themeFill="background1" w:themeFillShade="D9"/>
          </w:tcPr>
          <w:p w14:paraId="291FC43E" w14:textId="77777777" w:rsidR="007A0B3B" w:rsidRPr="007B1811" w:rsidRDefault="007A0B3B" w:rsidP="001E2DEE">
            <w:pPr>
              <w:pStyle w:val="BlockText"/>
              <w:ind w:left="0"/>
              <w:jc w:val="center"/>
              <w:rPr>
                <w:rFonts w:ascii="Sakkal Majalla" w:hAnsi="Sakkal Majalla" w:cs="Sakkal Majalla"/>
                <w:b/>
                <w:bCs/>
                <w:sz w:val="22"/>
                <w:szCs w:val="22"/>
                <w:rtl/>
                <w:lang w:bidi="ar-EG"/>
              </w:rPr>
            </w:pPr>
            <w:r w:rsidRPr="007B1811">
              <w:rPr>
                <w:rFonts w:ascii="Sakkal Majalla" w:hAnsi="Sakkal Majalla" w:cs="Sakkal Majalla"/>
                <w:b/>
                <w:bCs/>
                <w:sz w:val="22"/>
                <w:szCs w:val="22"/>
                <w:rtl/>
                <w:lang w:bidi="ar-EG"/>
              </w:rPr>
              <w:t>عدد العبارات</w:t>
            </w:r>
          </w:p>
        </w:tc>
        <w:tc>
          <w:tcPr>
            <w:tcW w:w="2091" w:type="dxa"/>
            <w:tcBorders>
              <w:top w:val="thinThickSmallGap" w:sz="24" w:space="0" w:color="auto"/>
              <w:bottom w:val="thinThickSmallGap" w:sz="24" w:space="0" w:color="auto"/>
            </w:tcBorders>
            <w:shd w:val="clear" w:color="auto" w:fill="D9D9D9" w:themeFill="background1" w:themeFillShade="D9"/>
          </w:tcPr>
          <w:p w14:paraId="42B8531E" w14:textId="77777777" w:rsidR="007A0B3B" w:rsidRPr="007B1811" w:rsidRDefault="007A0B3B" w:rsidP="001E2DEE">
            <w:pPr>
              <w:pStyle w:val="BlockText"/>
              <w:ind w:left="0"/>
              <w:jc w:val="center"/>
              <w:rPr>
                <w:rFonts w:ascii="Sakkal Majalla" w:hAnsi="Sakkal Majalla" w:cs="Sakkal Majalla"/>
                <w:b/>
                <w:bCs/>
                <w:sz w:val="22"/>
                <w:szCs w:val="22"/>
                <w:rtl/>
                <w:lang w:bidi="ar-EG"/>
              </w:rPr>
            </w:pPr>
            <w:r w:rsidRPr="007B1811">
              <w:rPr>
                <w:rFonts w:ascii="Sakkal Majalla" w:hAnsi="Sakkal Majalla" w:cs="Sakkal Majalla"/>
                <w:b/>
                <w:bCs/>
                <w:sz w:val="22"/>
                <w:szCs w:val="22"/>
                <w:rtl/>
                <w:lang w:bidi="ar-EG"/>
              </w:rPr>
              <w:t>معامل ألفا</w:t>
            </w:r>
          </w:p>
        </w:tc>
      </w:tr>
      <w:tr w:rsidR="007A0B3B" w:rsidRPr="007B1811" w14:paraId="54468E63" w14:textId="77777777" w:rsidTr="001E2DEE">
        <w:trPr>
          <w:jc w:val="center"/>
        </w:trPr>
        <w:tc>
          <w:tcPr>
            <w:tcW w:w="482" w:type="dxa"/>
            <w:tcBorders>
              <w:top w:val="thinThickSmallGap" w:sz="24" w:space="0" w:color="auto"/>
            </w:tcBorders>
          </w:tcPr>
          <w:p w14:paraId="68F0A28B" w14:textId="77777777" w:rsidR="007A0B3B" w:rsidRPr="007B1811" w:rsidRDefault="007A0B3B" w:rsidP="001E2DEE">
            <w:pPr>
              <w:pStyle w:val="BlockText"/>
              <w:ind w:left="0"/>
              <w:jc w:val="center"/>
              <w:rPr>
                <w:rFonts w:ascii="Sakkal Majalla" w:hAnsi="Sakkal Majalla" w:cs="Sakkal Majalla"/>
                <w:b/>
                <w:bCs/>
                <w:sz w:val="22"/>
                <w:szCs w:val="22"/>
                <w:rtl/>
                <w:lang w:bidi="ar-EG"/>
              </w:rPr>
            </w:pPr>
            <w:r w:rsidRPr="007B1811">
              <w:rPr>
                <w:rFonts w:ascii="Sakkal Majalla" w:hAnsi="Sakkal Majalla" w:cs="Sakkal Majalla"/>
                <w:b/>
                <w:bCs/>
                <w:sz w:val="22"/>
                <w:szCs w:val="22"/>
                <w:rtl/>
                <w:lang w:bidi="ar-EG"/>
              </w:rPr>
              <w:t>1</w:t>
            </w:r>
          </w:p>
        </w:tc>
        <w:tc>
          <w:tcPr>
            <w:tcW w:w="4255" w:type="dxa"/>
            <w:tcBorders>
              <w:top w:val="thinThickSmallGap" w:sz="24" w:space="0" w:color="auto"/>
            </w:tcBorders>
          </w:tcPr>
          <w:p w14:paraId="7298AF38" w14:textId="05DBB599" w:rsidR="007A0B3B" w:rsidRPr="007B1811" w:rsidRDefault="007A0B3B" w:rsidP="001E2DEE">
            <w:pPr>
              <w:pStyle w:val="BlockText"/>
              <w:ind w:left="0"/>
              <w:rPr>
                <w:rFonts w:ascii="Sakkal Majalla" w:hAnsi="Sakkal Majalla" w:cs="Sakkal Majalla"/>
                <w:sz w:val="22"/>
                <w:szCs w:val="22"/>
                <w:rtl/>
                <w:lang w:bidi="ar-EG"/>
              </w:rPr>
            </w:pPr>
            <w:r w:rsidRPr="007B1811">
              <w:rPr>
                <w:rFonts w:ascii="Sakkal Majalla" w:hAnsi="Sakkal Majalla" w:cs="Sakkal Majalla"/>
                <w:sz w:val="22"/>
                <w:szCs w:val="22"/>
                <w:rtl/>
                <w:lang w:bidi="ar-EG"/>
              </w:rPr>
              <w:t xml:space="preserve">المتغير المستقل ( </w:t>
            </w:r>
            <w:r w:rsidR="0016339D">
              <w:rPr>
                <w:rFonts w:ascii="Sakkal Majalla" w:hAnsi="Sakkal Majalla" w:cs="Sakkal Majalla" w:hint="cs"/>
                <w:sz w:val="22"/>
                <w:szCs w:val="22"/>
                <w:rtl/>
                <w:lang w:bidi="ar-EG"/>
              </w:rPr>
              <w:t>التحول الرقمي</w:t>
            </w:r>
            <w:r w:rsidRPr="007B1811">
              <w:rPr>
                <w:rFonts w:ascii="Sakkal Majalla" w:hAnsi="Sakkal Majalla" w:cs="Sakkal Majalla"/>
                <w:sz w:val="22"/>
                <w:szCs w:val="22"/>
                <w:rtl/>
                <w:lang w:bidi="ar-EG"/>
              </w:rPr>
              <w:t xml:space="preserve">)  </w:t>
            </w:r>
          </w:p>
        </w:tc>
        <w:tc>
          <w:tcPr>
            <w:tcW w:w="2126" w:type="dxa"/>
            <w:tcBorders>
              <w:top w:val="thinThickSmallGap" w:sz="24" w:space="0" w:color="auto"/>
            </w:tcBorders>
          </w:tcPr>
          <w:p w14:paraId="6686F9CB" w14:textId="7BABD2E6" w:rsidR="007A0B3B" w:rsidRPr="007B1811" w:rsidRDefault="007A0B3B" w:rsidP="001E2DEE">
            <w:pPr>
              <w:pStyle w:val="BlockText"/>
              <w:tabs>
                <w:tab w:val="left" w:pos="875"/>
                <w:tab w:val="center" w:pos="955"/>
              </w:tabs>
              <w:ind w:left="0"/>
              <w:rPr>
                <w:rFonts w:ascii="Sakkal Majalla" w:hAnsi="Sakkal Majalla" w:cs="Sakkal Majalla"/>
                <w:sz w:val="22"/>
                <w:szCs w:val="22"/>
                <w:rtl/>
                <w:lang w:bidi="ar-EG"/>
              </w:rPr>
            </w:pPr>
            <w:r w:rsidRPr="007B1811">
              <w:rPr>
                <w:rFonts w:ascii="Sakkal Majalla" w:hAnsi="Sakkal Majalla" w:cs="Sakkal Majalla"/>
                <w:sz w:val="22"/>
                <w:szCs w:val="22"/>
                <w:rtl/>
                <w:lang w:bidi="ar-EG"/>
              </w:rPr>
              <w:tab/>
            </w:r>
            <w:r w:rsidR="001A03A0">
              <w:rPr>
                <w:rFonts w:ascii="Sakkal Majalla" w:hAnsi="Sakkal Majalla" w:cs="Sakkal Majalla" w:hint="cs"/>
                <w:sz w:val="22"/>
                <w:szCs w:val="22"/>
                <w:rtl/>
                <w:lang w:bidi="ar-EG"/>
              </w:rPr>
              <w:t>9</w:t>
            </w:r>
          </w:p>
        </w:tc>
        <w:tc>
          <w:tcPr>
            <w:tcW w:w="2091" w:type="dxa"/>
            <w:tcBorders>
              <w:top w:val="thinThickSmallGap" w:sz="24" w:space="0" w:color="auto"/>
            </w:tcBorders>
          </w:tcPr>
          <w:p w14:paraId="6329C3B9" w14:textId="77777777" w:rsidR="007A0B3B" w:rsidRPr="007B1811" w:rsidRDefault="007A0B3B" w:rsidP="001E2DEE">
            <w:pPr>
              <w:pStyle w:val="BlockText"/>
              <w:ind w:left="0"/>
              <w:jc w:val="center"/>
              <w:rPr>
                <w:rFonts w:ascii="Sakkal Majalla" w:hAnsi="Sakkal Majalla" w:cs="Sakkal Majalla"/>
                <w:sz w:val="22"/>
                <w:szCs w:val="22"/>
                <w:rtl/>
                <w:lang w:bidi="ar-EG"/>
              </w:rPr>
            </w:pPr>
            <w:r w:rsidRPr="007B1811">
              <w:rPr>
                <w:rFonts w:ascii="Sakkal Majalla" w:hAnsi="Sakkal Majalla" w:cs="Sakkal Majalla"/>
                <w:sz w:val="22"/>
                <w:szCs w:val="22"/>
                <w:rtl/>
                <w:lang w:bidi="ar-EG"/>
              </w:rPr>
              <w:t>0.735</w:t>
            </w:r>
          </w:p>
        </w:tc>
      </w:tr>
    </w:tbl>
    <w:p w14:paraId="31D1414F" w14:textId="77777777" w:rsidR="007A0B3B" w:rsidRPr="007B1811" w:rsidRDefault="007A0B3B" w:rsidP="007A0B3B">
      <w:pPr>
        <w:pStyle w:val="BlockText"/>
        <w:spacing w:line="360" w:lineRule="auto"/>
        <w:jc w:val="lowKashida"/>
        <w:rPr>
          <w:rFonts w:ascii="Sakkal Majalla" w:hAnsi="Sakkal Majalla" w:cs="Sakkal Majalla"/>
          <w:szCs w:val="20"/>
          <w:rtl/>
          <w:lang w:bidi="ar-EG"/>
        </w:rPr>
      </w:pPr>
      <w:r w:rsidRPr="007B1811">
        <w:rPr>
          <w:rFonts w:ascii="Sakkal Majalla" w:hAnsi="Sakkal Majalla" w:cs="Sakkal Majalla"/>
          <w:b/>
          <w:bCs/>
          <w:szCs w:val="20"/>
          <w:rtl/>
          <w:lang w:bidi="ar-EG"/>
        </w:rPr>
        <w:t>المصدر :</w:t>
      </w:r>
      <w:r w:rsidRPr="007B1811">
        <w:rPr>
          <w:rFonts w:ascii="Sakkal Majalla" w:hAnsi="Sakkal Majalla" w:cs="Sakkal Majalla"/>
          <w:szCs w:val="20"/>
          <w:rtl/>
          <w:lang w:bidi="ar-EG"/>
        </w:rPr>
        <w:t xml:space="preserve"> نتائج التحليل الأحصائى .</w:t>
      </w:r>
    </w:p>
    <w:p w14:paraId="43C34944" w14:textId="77777777" w:rsidR="007A0B3B" w:rsidRDefault="007A0B3B" w:rsidP="007A0B3B">
      <w:pPr>
        <w:pStyle w:val="BlockText"/>
        <w:jc w:val="lowKashida"/>
        <w:rPr>
          <w:rFonts w:ascii="Sakkal Majalla" w:hAnsi="Sakkal Majalla" w:cs="Sakkal Majalla"/>
          <w:sz w:val="28"/>
          <w:rtl/>
          <w:lang w:bidi="ar-EG"/>
        </w:rPr>
      </w:pPr>
      <w:r w:rsidRPr="007F4CCD">
        <w:rPr>
          <w:rFonts w:ascii="Sakkal Majalla" w:hAnsi="Sakkal Majalla" w:cs="Sakkal Majalla"/>
          <w:sz w:val="28"/>
          <w:rtl/>
          <w:lang w:bidi="ar-EG"/>
        </w:rPr>
        <w:lastRenderedPageBreak/>
        <w:t xml:space="preserve">تشير النتائج المبدئية فى الجدول رقم (3/1)  إلى أن قيم معامل ألفا للمتغيرات المستخدمة فى الدراسة كانت جميعها أكبر من (0.6) وهو الحد الأدنى للقبول لمعامل ألفا (رزق الله، 2002، ص 212) ، وبالتالى يمكن القول بأن المتغيرات المستخدمة تتمتع بالثبات </w:t>
      </w:r>
      <w:r w:rsidRPr="007F4CCD">
        <w:rPr>
          <w:rFonts w:ascii="Sakkal Majalla" w:hAnsi="Sakkal Majalla" w:cs="Sakkal Majalla" w:hint="cs"/>
          <w:sz w:val="28"/>
          <w:rtl/>
          <w:lang w:bidi="ar-EG"/>
        </w:rPr>
        <w:t>الداخل</w:t>
      </w:r>
      <w:r w:rsidRPr="007F4CCD">
        <w:rPr>
          <w:rFonts w:ascii="Sakkal Majalla" w:hAnsi="Sakkal Majalla" w:cs="Sakkal Majalla"/>
          <w:sz w:val="28"/>
          <w:rtl/>
          <w:lang w:bidi="ar-EG"/>
        </w:rPr>
        <w:t xml:space="preserve"> .</w:t>
      </w:r>
    </w:p>
    <w:p w14:paraId="35DEA02D" w14:textId="77777777" w:rsidR="007A0B3B" w:rsidRPr="00BD04C5" w:rsidRDefault="007A0B3B" w:rsidP="007A0B3B">
      <w:pPr>
        <w:pStyle w:val="BlockText"/>
        <w:spacing w:line="360" w:lineRule="auto"/>
        <w:ind w:left="648"/>
        <w:rPr>
          <w:rFonts w:ascii="Sakkal Majalla" w:hAnsi="Sakkal Majalla" w:cs="Sakkal Majalla"/>
          <w:b/>
          <w:bCs/>
          <w:sz w:val="32"/>
          <w:szCs w:val="32"/>
          <w:rtl/>
        </w:rPr>
      </w:pPr>
      <w:r w:rsidRPr="00BD04C5">
        <w:rPr>
          <w:rFonts w:ascii="Sakkal Majalla" w:hAnsi="Sakkal Majalla" w:cs="Sakkal Majalla"/>
          <w:b/>
          <w:bCs/>
          <w:sz w:val="32"/>
          <w:szCs w:val="32"/>
          <w:rtl/>
        </w:rPr>
        <w:t xml:space="preserve">3/2/2 اختبار صدق المقياس : </w:t>
      </w:r>
    </w:p>
    <w:p w14:paraId="38B3BC75" w14:textId="5A3DD1CD" w:rsidR="007A0B3B" w:rsidRPr="003328DF" w:rsidRDefault="007A0B3B">
      <w:pPr>
        <w:pStyle w:val="BlockText"/>
        <w:numPr>
          <w:ilvl w:val="0"/>
          <w:numId w:val="121"/>
        </w:numPr>
        <w:spacing w:line="360" w:lineRule="auto"/>
        <w:jc w:val="lowKashida"/>
        <w:rPr>
          <w:rFonts w:ascii="Sakkal Majalla" w:hAnsi="Sakkal Majalla" w:cs="Sakkal Majalla"/>
          <w:sz w:val="28"/>
          <w:lang w:bidi="ar-EG"/>
        </w:rPr>
      </w:pPr>
      <w:r w:rsidRPr="003328DF">
        <w:rPr>
          <w:rFonts w:ascii="Sakkal Majalla" w:hAnsi="Sakkal Majalla" w:cs="Sakkal Majalla"/>
          <w:sz w:val="28"/>
          <w:rtl/>
          <w:lang w:bidi="ar-EG"/>
        </w:rPr>
        <w:t xml:space="preserve">التحليل العاملي للعبارات المكونة لمقياس </w:t>
      </w:r>
      <w:r w:rsidR="007C63F4" w:rsidRPr="003328DF">
        <w:rPr>
          <w:rFonts w:ascii="Sakkal Majalla" w:hAnsi="Sakkal Majalla" w:cs="Sakkal Majalla" w:hint="cs"/>
          <w:sz w:val="28"/>
          <w:rtl/>
          <w:lang w:bidi="ar-EG"/>
        </w:rPr>
        <w:t>التحول الرقمي</w:t>
      </w:r>
      <w:r w:rsidRPr="003328DF">
        <w:rPr>
          <w:rFonts w:ascii="Sakkal Majalla" w:hAnsi="Sakkal Majalla" w:cs="Sakkal Majalla"/>
          <w:sz w:val="28"/>
          <w:rtl/>
          <w:lang w:bidi="ar-EG"/>
        </w:rPr>
        <w:t xml:space="preserve"> (</w:t>
      </w:r>
      <w:r w:rsidRPr="003328DF">
        <w:rPr>
          <w:rFonts w:ascii="Sakkal Majalla" w:hAnsi="Sakkal Majalla" w:cs="Sakkal Majalla"/>
          <w:sz w:val="28"/>
          <w:lang w:bidi="ar-EG"/>
        </w:rPr>
        <w:t>Factor Analysis</w:t>
      </w:r>
      <w:r w:rsidRPr="003328DF">
        <w:rPr>
          <w:rFonts w:ascii="Sakkal Majalla" w:hAnsi="Sakkal Majalla" w:cs="Sakkal Majalla"/>
          <w:sz w:val="28"/>
          <w:rtl/>
          <w:lang w:bidi="ar-EG"/>
        </w:rPr>
        <w:t xml:space="preserve">) : </w:t>
      </w:r>
    </w:p>
    <w:p w14:paraId="453FE24E" w14:textId="0F28EE32" w:rsidR="003328DF" w:rsidRPr="003328DF" w:rsidRDefault="003328DF" w:rsidP="003328DF">
      <w:pPr>
        <w:pStyle w:val="Heading3"/>
        <w:bidi/>
        <w:jc w:val="lowKashida"/>
        <w:rPr>
          <w:rFonts w:ascii="Sakkal Majalla" w:eastAsia="Times New Roman" w:hAnsi="Sakkal Majalla" w:cs="Sakkal Majalla"/>
          <w:color w:val="auto"/>
          <w:sz w:val="28"/>
          <w:szCs w:val="28"/>
          <w:lang w:bidi="ar-EG"/>
        </w:rPr>
      </w:pPr>
      <w:r w:rsidRPr="003328DF">
        <w:rPr>
          <w:rFonts w:ascii="Sakkal Majalla" w:eastAsia="Times New Roman" w:hAnsi="Sakkal Majalla" w:cs="Sakkal Majalla"/>
          <w:color w:val="auto"/>
          <w:sz w:val="28"/>
          <w:szCs w:val="28"/>
          <w:rtl/>
          <w:lang w:bidi="ar-EG"/>
        </w:rPr>
        <w:t>مقياس التحول الرقمي</w:t>
      </w:r>
      <w:r>
        <w:rPr>
          <w:rFonts w:ascii="Sakkal Majalla" w:eastAsia="Times New Roman" w:hAnsi="Sakkal Majalla" w:cs="Sakkal Majalla" w:hint="cs"/>
          <w:color w:val="auto"/>
          <w:sz w:val="28"/>
          <w:szCs w:val="28"/>
          <w:rtl/>
          <w:lang w:bidi="ar-EG"/>
        </w:rPr>
        <w:t xml:space="preserve">، </w:t>
      </w:r>
      <w:r w:rsidRPr="003328DF">
        <w:rPr>
          <w:rFonts w:ascii="Sakkal Majalla" w:eastAsia="Times New Roman" w:hAnsi="Sakkal Majalla" w:cs="Sakkal Majalla"/>
          <w:color w:val="auto"/>
          <w:sz w:val="28"/>
          <w:szCs w:val="28"/>
          <w:rtl/>
          <w:lang w:bidi="ar-EG"/>
        </w:rPr>
        <w:t>تم قياس المتغير المستقل الرئيسي "التحول الرقمي" من خلال ثلاثة أبعاد نظرية رئيسية، تم اعتمادها من نماذج عالمية رائدة</w:t>
      </w:r>
      <w:r w:rsidRPr="003328DF">
        <w:rPr>
          <w:rFonts w:ascii="Sakkal Majalla" w:eastAsia="Times New Roman" w:hAnsi="Sakkal Majalla" w:cs="Sakkal Majalla"/>
          <w:color w:val="auto"/>
          <w:sz w:val="28"/>
          <w:szCs w:val="28"/>
          <w:lang w:bidi="ar-EG"/>
        </w:rPr>
        <w:t xml:space="preserve"> (Westerman &amp; Bonnet, 2015</w:t>
      </w:r>
      <w:r w:rsidRPr="003328DF">
        <w:rPr>
          <w:rFonts w:ascii="Sakkal Majalla" w:eastAsia="Times New Roman" w:hAnsi="Sakkal Majalla" w:cs="Sakkal Majalla"/>
          <w:color w:val="auto"/>
          <w:sz w:val="28"/>
          <w:szCs w:val="28"/>
          <w:rtl/>
          <w:lang w:bidi="ar-EG"/>
        </w:rPr>
        <w:t>؛</w:t>
      </w:r>
      <w:r w:rsidRPr="003328DF">
        <w:rPr>
          <w:rFonts w:ascii="Sakkal Majalla" w:eastAsia="Times New Roman" w:hAnsi="Sakkal Majalla" w:cs="Sakkal Majalla"/>
          <w:color w:val="auto"/>
          <w:sz w:val="28"/>
          <w:szCs w:val="28"/>
          <w:lang w:bidi="ar-EG"/>
        </w:rPr>
        <w:t xml:space="preserve"> Gartner, 2024</w:t>
      </w:r>
      <w:r w:rsidRPr="003328DF">
        <w:rPr>
          <w:rFonts w:ascii="Sakkal Majalla" w:eastAsia="Times New Roman" w:hAnsi="Sakkal Majalla" w:cs="Sakkal Majalla"/>
          <w:color w:val="auto"/>
          <w:sz w:val="28"/>
          <w:szCs w:val="28"/>
          <w:rtl/>
          <w:lang w:bidi="ar-EG"/>
        </w:rPr>
        <w:t>؛</w:t>
      </w:r>
      <w:r w:rsidRPr="003328DF">
        <w:rPr>
          <w:rFonts w:ascii="Sakkal Majalla" w:eastAsia="Times New Roman" w:hAnsi="Sakkal Majalla" w:cs="Sakkal Majalla"/>
          <w:color w:val="auto"/>
          <w:sz w:val="28"/>
          <w:szCs w:val="28"/>
          <w:lang w:bidi="ar-EG"/>
        </w:rPr>
        <w:t xml:space="preserve"> OECD, 2020</w:t>
      </w:r>
      <w:r w:rsidRPr="003328DF">
        <w:rPr>
          <w:rFonts w:ascii="Sakkal Majalla" w:eastAsia="Times New Roman" w:hAnsi="Sakkal Majalla" w:cs="Sakkal Majalla"/>
          <w:color w:val="auto"/>
          <w:sz w:val="28"/>
          <w:szCs w:val="28"/>
          <w:rtl/>
          <w:lang w:bidi="ar-EG"/>
        </w:rPr>
        <w:t>؛</w:t>
      </w:r>
      <w:r w:rsidRPr="003328DF">
        <w:rPr>
          <w:rFonts w:ascii="Sakkal Majalla" w:eastAsia="Times New Roman" w:hAnsi="Sakkal Majalla" w:cs="Sakkal Majalla"/>
          <w:color w:val="auto"/>
          <w:sz w:val="28"/>
          <w:szCs w:val="28"/>
          <w:lang w:bidi="ar-EG"/>
        </w:rPr>
        <w:t xml:space="preserve"> McKinsey, 2022)</w:t>
      </w:r>
      <w:r w:rsidRPr="003328DF">
        <w:rPr>
          <w:rFonts w:ascii="Sakkal Majalla" w:eastAsia="Times New Roman" w:hAnsi="Sakkal Majalla" w:cs="Sakkal Majalla"/>
          <w:color w:val="auto"/>
          <w:sz w:val="28"/>
          <w:szCs w:val="28"/>
          <w:rtl/>
          <w:lang w:bidi="ar-EG"/>
        </w:rPr>
        <w:t>، وهي</w:t>
      </w:r>
      <w:r w:rsidRPr="003328DF">
        <w:rPr>
          <w:rFonts w:ascii="Sakkal Majalla" w:eastAsia="Times New Roman" w:hAnsi="Sakkal Majalla" w:cs="Sakkal Majalla"/>
          <w:color w:val="auto"/>
          <w:sz w:val="28"/>
          <w:szCs w:val="28"/>
          <w:lang w:bidi="ar-EG"/>
        </w:rPr>
        <w:t xml:space="preserve">: </w:t>
      </w:r>
      <w:r w:rsidRPr="003328DF">
        <w:rPr>
          <w:rFonts w:ascii="Sakkal Majalla" w:eastAsia="Times New Roman" w:hAnsi="Sakkal Majalla" w:cs="Sakkal Majalla"/>
          <w:color w:val="auto"/>
          <w:sz w:val="28"/>
          <w:szCs w:val="28"/>
          <w:rtl/>
          <w:lang w:bidi="ar-EG"/>
        </w:rPr>
        <w:t>الأسس الرقمية، الابتكار الرقمي، والحوكمة الرقمية</w:t>
      </w:r>
      <w:r w:rsidRPr="003328DF">
        <w:rPr>
          <w:rFonts w:ascii="Sakkal Majalla" w:eastAsia="Times New Roman" w:hAnsi="Sakkal Majalla" w:cs="Sakkal Majalla"/>
          <w:color w:val="auto"/>
          <w:sz w:val="28"/>
          <w:szCs w:val="28"/>
          <w:lang w:bidi="ar-EG"/>
        </w:rPr>
        <w:t xml:space="preserve">. </w:t>
      </w:r>
      <w:r w:rsidRPr="003328DF">
        <w:rPr>
          <w:rFonts w:ascii="Sakkal Majalla" w:eastAsia="Times New Roman" w:hAnsi="Sakkal Majalla" w:cs="Sakkal Majalla"/>
          <w:color w:val="auto"/>
          <w:sz w:val="28"/>
          <w:szCs w:val="28"/>
          <w:rtl/>
          <w:lang w:bidi="ar-EG"/>
        </w:rPr>
        <w:t>تمثل كل بعد ثلاث عبارات قياسية (إجمالي 9 عبارات)، صيغت بلغة واضحة ومحددة، وتم التحقق من صدقها الظاهري والمحتوى من خلال التحكيم الخبراء والدراسة الاستطلاعية</w:t>
      </w:r>
      <w:r w:rsidRPr="003328DF">
        <w:rPr>
          <w:rFonts w:ascii="Sakkal Majalla" w:eastAsia="Times New Roman" w:hAnsi="Sakkal Majalla" w:cs="Sakkal Majalla"/>
          <w:color w:val="auto"/>
          <w:sz w:val="28"/>
          <w:szCs w:val="28"/>
          <w:lang w:bidi="ar-EG"/>
        </w:rPr>
        <w:t>.</w:t>
      </w:r>
    </w:p>
    <w:p w14:paraId="6251B3BC" w14:textId="218E5366" w:rsidR="007A0B3B" w:rsidRPr="00BD04C5" w:rsidRDefault="007A0B3B" w:rsidP="007A0B3B">
      <w:pPr>
        <w:pStyle w:val="BlockText"/>
        <w:ind w:left="146" w:hanging="120"/>
        <w:jc w:val="lowKashida"/>
        <w:rPr>
          <w:rFonts w:ascii="Sakkal Majalla" w:hAnsi="Sakkal Majalla" w:cs="Sakkal Majalla"/>
          <w:sz w:val="28"/>
          <w:rtl/>
          <w:lang w:bidi="ar-EG"/>
        </w:rPr>
      </w:pPr>
      <w:r w:rsidRPr="00BD04C5">
        <w:rPr>
          <w:rFonts w:ascii="Sakkal Majalla" w:hAnsi="Sakkal Majalla" w:cs="Sakkal Majalla"/>
          <w:sz w:val="28"/>
          <w:rtl/>
          <w:lang w:bidi="ar-EG"/>
        </w:rPr>
        <w:t>بعد إجراء اختبارات الثبات قام الباحث بإجراء التحليل العاملي للمتغيرات المستخدمة فى الدراسة، ويوضح الجدول رقم (3/5) لنا ثبات قوى للعبارات المتعلقة بالمتغيرات التابعة كما هو واضح.</w:t>
      </w:r>
    </w:p>
    <w:p w14:paraId="73692E54" w14:textId="77777777" w:rsidR="007A0B3B" w:rsidRPr="00BD04C5" w:rsidRDefault="007A0B3B" w:rsidP="007A0B3B">
      <w:pPr>
        <w:pStyle w:val="BlockText"/>
        <w:ind w:left="146" w:hanging="120"/>
        <w:jc w:val="center"/>
        <w:rPr>
          <w:rFonts w:ascii="Sakkal Majalla" w:hAnsi="Sakkal Majalla" w:cs="Sakkal Majalla"/>
          <w:b/>
          <w:bCs/>
          <w:sz w:val="24"/>
          <w:szCs w:val="24"/>
          <w:rtl/>
          <w:lang w:bidi="ar-EG"/>
        </w:rPr>
      </w:pPr>
      <w:r w:rsidRPr="00BD04C5">
        <w:rPr>
          <w:rFonts w:ascii="Sakkal Majalla" w:hAnsi="Sakkal Majalla" w:cs="Sakkal Majalla"/>
          <w:b/>
          <w:bCs/>
          <w:sz w:val="24"/>
          <w:szCs w:val="24"/>
          <w:rtl/>
          <w:lang w:bidi="ar-EG"/>
        </w:rPr>
        <w:t>جدول رقم (3/5)</w:t>
      </w:r>
    </w:p>
    <w:p w14:paraId="25233019" w14:textId="227046DC" w:rsidR="007A0B3B" w:rsidRPr="00BD04C5" w:rsidRDefault="007A0B3B" w:rsidP="007A0B3B">
      <w:pPr>
        <w:pStyle w:val="BlockText"/>
        <w:ind w:left="146" w:hanging="120"/>
        <w:jc w:val="center"/>
        <w:rPr>
          <w:rFonts w:ascii="Sakkal Majalla" w:hAnsi="Sakkal Majalla" w:cs="Sakkal Majalla"/>
          <w:b/>
          <w:bCs/>
          <w:sz w:val="24"/>
          <w:szCs w:val="24"/>
          <w:rtl/>
          <w:lang w:bidi="ar-EG"/>
        </w:rPr>
      </w:pPr>
      <w:r w:rsidRPr="00BD04C5">
        <w:rPr>
          <w:rFonts w:ascii="Sakkal Majalla" w:hAnsi="Sakkal Majalla" w:cs="Sakkal Majalla"/>
          <w:b/>
          <w:bCs/>
          <w:sz w:val="24"/>
          <w:szCs w:val="24"/>
          <w:rtl/>
          <w:lang w:bidi="ar-EG"/>
        </w:rPr>
        <w:t xml:space="preserve"> التحليل العاملى للعبارات المكونة لمقياس </w:t>
      </w:r>
      <w:r w:rsidR="001A03A0">
        <w:rPr>
          <w:rFonts w:ascii="Sakkal Majalla" w:hAnsi="Sakkal Majalla" w:cs="Sakkal Majalla" w:hint="cs"/>
          <w:b/>
          <w:bCs/>
          <w:sz w:val="24"/>
          <w:szCs w:val="24"/>
          <w:rtl/>
          <w:lang w:bidi="ar-EG"/>
        </w:rPr>
        <w:t>التحولرالرقمي</w:t>
      </w:r>
    </w:p>
    <w:tbl>
      <w:tblPr>
        <w:bidiVisual/>
        <w:tblW w:w="0" w:type="auto"/>
        <w:jc w:val="center"/>
        <w:tblBorders>
          <w:top w:val="thinThickSmallGap" w:sz="24" w:space="0" w:color="auto"/>
          <w:left w:val="thickThinSmallGap" w:sz="24" w:space="0" w:color="auto"/>
          <w:bottom w:val="thickThinSmallGap" w:sz="24" w:space="0" w:color="auto"/>
          <w:right w:val="thinThickSmallGap" w:sz="24" w:space="0" w:color="auto"/>
          <w:insideH w:val="single" w:sz="6" w:space="0" w:color="auto"/>
          <w:insideV w:val="single" w:sz="6" w:space="0" w:color="auto"/>
        </w:tblBorders>
        <w:tblLook w:val="04A0" w:firstRow="1" w:lastRow="0" w:firstColumn="1" w:lastColumn="0" w:noHBand="0" w:noVBand="1"/>
      </w:tblPr>
      <w:tblGrid>
        <w:gridCol w:w="544"/>
        <w:gridCol w:w="4032"/>
        <w:gridCol w:w="836"/>
        <w:gridCol w:w="832"/>
        <w:gridCol w:w="832"/>
        <w:gridCol w:w="1215"/>
      </w:tblGrid>
      <w:tr w:rsidR="003328DF" w:rsidRPr="00BD04C5" w14:paraId="067A1C77" w14:textId="77777777" w:rsidTr="003328DF">
        <w:trPr>
          <w:jc w:val="center"/>
        </w:trPr>
        <w:tc>
          <w:tcPr>
            <w:tcW w:w="544" w:type="dxa"/>
            <w:vMerge w:val="restart"/>
            <w:tcBorders>
              <w:top w:val="thinThickSmallGap" w:sz="24" w:space="0" w:color="auto"/>
            </w:tcBorders>
            <w:shd w:val="clear" w:color="auto" w:fill="D9D9D9" w:themeFill="background1" w:themeFillShade="D9"/>
          </w:tcPr>
          <w:p w14:paraId="51F8F1FE" w14:textId="77777777" w:rsidR="003328DF" w:rsidRPr="00BD04C5" w:rsidRDefault="003328DF" w:rsidP="001E2DEE">
            <w:pPr>
              <w:pStyle w:val="BlockText"/>
              <w:ind w:left="0"/>
              <w:jc w:val="center"/>
              <w:rPr>
                <w:rFonts w:ascii="Sakkal Majalla" w:hAnsi="Sakkal Majalla" w:cs="Sakkal Majalla"/>
                <w:sz w:val="16"/>
                <w:szCs w:val="16"/>
                <w:rtl/>
              </w:rPr>
            </w:pPr>
          </w:p>
        </w:tc>
        <w:tc>
          <w:tcPr>
            <w:tcW w:w="4032" w:type="dxa"/>
            <w:vMerge w:val="restart"/>
            <w:tcBorders>
              <w:top w:val="thinThickSmallGap" w:sz="24" w:space="0" w:color="auto"/>
            </w:tcBorders>
            <w:shd w:val="clear" w:color="auto" w:fill="D9D9D9" w:themeFill="background1" w:themeFillShade="D9"/>
          </w:tcPr>
          <w:p w14:paraId="56687EFB" w14:textId="77777777" w:rsidR="003328DF" w:rsidRPr="00BD04C5" w:rsidRDefault="003328DF" w:rsidP="001E2DEE">
            <w:pPr>
              <w:pStyle w:val="BlockText"/>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العبارات</w:t>
            </w:r>
          </w:p>
        </w:tc>
        <w:tc>
          <w:tcPr>
            <w:tcW w:w="2500" w:type="dxa"/>
            <w:gridSpan w:val="3"/>
            <w:tcBorders>
              <w:top w:val="thinThickSmallGap" w:sz="24" w:space="0" w:color="auto"/>
              <w:bottom w:val="single" w:sz="4" w:space="0" w:color="auto"/>
            </w:tcBorders>
            <w:shd w:val="clear" w:color="auto" w:fill="D9D9D9" w:themeFill="background1" w:themeFillShade="D9"/>
          </w:tcPr>
          <w:p w14:paraId="45FEBD71" w14:textId="58A365B5" w:rsidR="003328DF" w:rsidRPr="00BD04C5" w:rsidRDefault="003328DF" w:rsidP="001E2DEE">
            <w:pPr>
              <w:jc w:val="center"/>
              <w:rPr>
                <w:rFonts w:ascii="Sakkal Majalla" w:hAnsi="Sakkal Majalla" w:cs="Sakkal Majalla"/>
                <w:b/>
                <w:bCs/>
                <w:sz w:val="16"/>
                <w:szCs w:val="16"/>
              </w:rPr>
            </w:pPr>
            <w:r w:rsidRPr="00BD04C5">
              <w:rPr>
                <w:rFonts w:ascii="Sakkal Majalla" w:hAnsi="Sakkal Majalla" w:cs="Sakkal Majalla"/>
                <w:b/>
                <w:bCs/>
                <w:sz w:val="16"/>
                <w:szCs w:val="16"/>
                <w:lang w:bidi="ar-EG"/>
              </w:rPr>
              <w:t>Extraction</w:t>
            </w:r>
            <w:r w:rsidRPr="00BD04C5">
              <w:rPr>
                <w:rFonts w:ascii="Sakkal Majalla" w:hAnsi="Sakkal Majalla" w:cs="Sakkal Majalla"/>
                <w:b/>
                <w:bCs/>
                <w:sz w:val="16"/>
                <w:szCs w:val="16"/>
                <w:rtl/>
              </w:rPr>
              <w:t xml:space="preserve">  </w:t>
            </w:r>
            <w:r w:rsidRPr="00BD04C5">
              <w:rPr>
                <w:rFonts w:ascii="Sakkal Majalla" w:hAnsi="Sakkal Majalla" w:cs="Sakkal Majalla"/>
                <w:b/>
                <w:bCs/>
                <w:sz w:val="16"/>
                <w:szCs w:val="16"/>
              </w:rPr>
              <w:t xml:space="preserve">Loadings  </w:t>
            </w:r>
            <w:r w:rsidRPr="00BD04C5">
              <w:rPr>
                <w:rFonts w:ascii="Sakkal Majalla" w:hAnsi="Sakkal Majalla" w:cs="Sakkal Majalla"/>
                <w:b/>
                <w:bCs/>
                <w:sz w:val="16"/>
                <w:szCs w:val="16"/>
                <w:rtl/>
                <w:lang w:bidi="ar-EG"/>
              </w:rPr>
              <w:t>التشبعات</w:t>
            </w:r>
          </w:p>
        </w:tc>
        <w:tc>
          <w:tcPr>
            <w:tcW w:w="1215" w:type="dxa"/>
            <w:vMerge w:val="restart"/>
            <w:tcBorders>
              <w:top w:val="thinThickSmallGap" w:sz="24" w:space="0" w:color="auto"/>
            </w:tcBorders>
            <w:shd w:val="clear" w:color="auto" w:fill="D9D9D9" w:themeFill="background1" w:themeFillShade="D9"/>
          </w:tcPr>
          <w:p w14:paraId="784EEA29" w14:textId="77777777" w:rsidR="003328DF" w:rsidRPr="00BD04C5" w:rsidRDefault="003328DF" w:rsidP="001E2DEE">
            <w:pPr>
              <w:jc w:val="center"/>
              <w:rPr>
                <w:rFonts w:ascii="Sakkal Majalla" w:hAnsi="Sakkal Majalla" w:cs="Sakkal Majalla"/>
                <w:b/>
                <w:bCs/>
                <w:sz w:val="16"/>
                <w:szCs w:val="16"/>
                <w:rtl/>
                <w:lang w:bidi="ar-EG"/>
              </w:rPr>
            </w:pPr>
            <w:r w:rsidRPr="00BD04C5">
              <w:rPr>
                <w:rFonts w:ascii="Sakkal Majalla" w:hAnsi="Sakkal Majalla" w:cs="Sakkal Majalla"/>
                <w:b/>
                <w:bCs/>
                <w:sz w:val="16"/>
                <w:szCs w:val="16"/>
                <w:rtl/>
                <w:lang w:bidi="ar-EG"/>
              </w:rPr>
              <w:t xml:space="preserve">نسبة التباين للعوامل لكل عبارة </w:t>
            </w:r>
            <w:r w:rsidRPr="00BD04C5">
              <w:rPr>
                <w:rFonts w:ascii="Sakkal Majalla" w:hAnsi="Sakkal Majalla" w:cs="Sakkal Majalla"/>
                <w:b/>
                <w:bCs/>
                <w:sz w:val="16"/>
                <w:szCs w:val="16"/>
                <w:lang w:bidi="ar-EG"/>
              </w:rPr>
              <w:t>Communalities</w:t>
            </w:r>
          </w:p>
        </w:tc>
      </w:tr>
      <w:tr w:rsidR="003328DF" w:rsidRPr="00BD04C5" w14:paraId="30D05B40" w14:textId="77777777" w:rsidTr="003328DF">
        <w:trPr>
          <w:trHeight w:val="381"/>
          <w:jc w:val="center"/>
        </w:trPr>
        <w:tc>
          <w:tcPr>
            <w:tcW w:w="544" w:type="dxa"/>
            <w:vMerge/>
            <w:tcBorders>
              <w:bottom w:val="thinThickSmallGap" w:sz="24" w:space="0" w:color="auto"/>
            </w:tcBorders>
            <w:shd w:val="clear" w:color="auto" w:fill="D9D9D9" w:themeFill="background1" w:themeFillShade="D9"/>
          </w:tcPr>
          <w:p w14:paraId="15A2A520" w14:textId="77777777" w:rsidR="003328DF" w:rsidRPr="00BD04C5" w:rsidRDefault="003328DF" w:rsidP="001E2DEE">
            <w:pPr>
              <w:pStyle w:val="BlockText"/>
              <w:ind w:left="0"/>
              <w:jc w:val="center"/>
              <w:rPr>
                <w:rFonts w:ascii="Sakkal Majalla" w:hAnsi="Sakkal Majalla" w:cs="Sakkal Majalla"/>
                <w:sz w:val="16"/>
                <w:szCs w:val="16"/>
                <w:rtl/>
              </w:rPr>
            </w:pPr>
          </w:p>
        </w:tc>
        <w:tc>
          <w:tcPr>
            <w:tcW w:w="4032" w:type="dxa"/>
            <w:vMerge/>
            <w:tcBorders>
              <w:bottom w:val="thinThickSmallGap" w:sz="24" w:space="0" w:color="auto"/>
            </w:tcBorders>
            <w:shd w:val="clear" w:color="auto" w:fill="D9D9D9" w:themeFill="background1" w:themeFillShade="D9"/>
          </w:tcPr>
          <w:p w14:paraId="1BA57054" w14:textId="77777777" w:rsidR="003328DF" w:rsidRPr="00BD04C5" w:rsidRDefault="003328DF" w:rsidP="001E2DEE">
            <w:pPr>
              <w:pStyle w:val="BlockText"/>
              <w:ind w:left="0"/>
              <w:jc w:val="center"/>
              <w:rPr>
                <w:rFonts w:ascii="Sakkal Majalla" w:hAnsi="Sakkal Majalla" w:cs="Sakkal Majalla"/>
                <w:b/>
                <w:bCs/>
                <w:sz w:val="16"/>
                <w:szCs w:val="16"/>
                <w:rtl/>
              </w:rPr>
            </w:pPr>
          </w:p>
        </w:tc>
        <w:tc>
          <w:tcPr>
            <w:tcW w:w="836" w:type="dxa"/>
            <w:tcBorders>
              <w:top w:val="single" w:sz="4" w:space="0" w:color="auto"/>
              <w:bottom w:val="thinThickSmallGap" w:sz="24" w:space="0" w:color="auto"/>
            </w:tcBorders>
            <w:shd w:val="clear" w:color="auto" w:fill="D9D9D9" w:themeFill="background1" w:themeFillShade="D9"/>
          </w:tcPr>
          <w:p w14:paraId="34D306BB" w14:textId="77777777" w:rsidR="003328DF" w:rsidRPr="00BD04C5" w:rsidRDefault="003328DF" w:rsidP="001E2DEE">
            <w:pPr>
              <w:pStyle w:val="BlockText"/>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المتغير1</w:t>
            </w:r>
          </w:p>
        </w:tc>
        <w:tc>
          <w:tcPr>
            <w:tcW w:w="832" w:type="dxa"/>
            <w:tcBorders>
              <w:top w:val="single" w:sz="4" w:space="0" w:color="auto"/>
              <w:bottom w:val="thinThickSmallGap" w:sz="24" w:space="0" w:color="auto"/>
            </w:tcBorders>
            <w:shd w:val="clear" w:color="auto" w:fill="D9D9D9" w:themeFill="background1" w:themeFillShade="D9"/>
          </w:tcPr>
          <w:p w14:paraId="1EB600F6" w14:textId="77777777" w:rsidR="003328DF" w:rsidRPr="00BD04C5" w:rsidRDefault="003328DF" w:rsidP="001E2DEE">
            <w:pPr>
              <w:jc w:val="center"/>
              <w:rPr>
                <w:rFonts w:ascii="Sakkal Majalla" w:hAnsi="Sakkal Majalla" w:cs="Sakkal Majalla"/>
                <w:b/>
                <w:bCs/>
                <w:sz w:val="16"/>
                <w:szCs w:val="16"/>
              </w:rPr>
            </w:pPr>
            <w:r w:rsidRPr="00BD04C5">
              <w:rPr>
                <w:rFonts w:ascii="Sakkal Majalla" w:hAnsi="Sakkal Majalla" w:cs="Sakkal Majalla"/>
                <w:b/>
                <w:bCs/>
                <w:sz w:val="16"/>
                <w:szCs w:val="16"/>
                <w:rtl/>
              </w:rPr>
              <w:t>المتغير2</w:t>
            </w:r>
          </w:p>
        </w:tc>
        <w:tc>
          <w:tcPr>
            <w:tcW w:w="832" w:type="dxa"/>
            <w:tcBorders>
              <w:top w:val="single" w:sz="4" w:space="0" w:color="auto"/>
              <w:bottom w:val="thinThickSmallGap" w:sz="24" w:space="0" w:color="auto"/>
            </w:tcBorders>
            <w:shd w:val="clear" w:color="auto" w:fill="D9D9D9" w:themeFill="background1" w:themeFillShade="D9"/>
          </w:tcPr>
          <w:p w14:paraId="474FACB7" w14:textId="77777777" w:rsidR="003328DF" w:rsidRPr="00BD04C5" w:rsidRDefault="003328DF" w:rsidP="001E2DEE">
            <w:pPr>
              <w:jc w:val="center"/>
              <w:rPr>
                <w:rFonts w:ascii="Sakkal Majalla" w:hAnsi="Sakkal Majalla" w:cs="Sakkal Majalla"/>
                <w:b/>
                <w:bCs/>
                <w:sz w:val="16"/>
                <w:szCs w:val="16"/>
              </w:rPr>
            </w:pPr>
            <w:r w:rsidRPr="00BD04C5">
              <w:rPr>
                <w:rFonts w:ascii="Sakkal Majalla" w:hAnsi="Sakkal Majalla" w:cs="Sakkal Majalla"/>
                <w:b/>
                <w:bCs/>
                <w:sz w:val="16"/>
                <w:szCs w:val="16"/>
                <w:rtl/>
              </w:rPr>
              <w:t>المتغير3</w:t>
            </w:r>
          </w:p>
        </w:tc>
        <w:tc>
          <w:tcPr>
            <w:tcW w:w="1215" w:type="dxa"/>
            <w:vMerge/>
            <w:tcBorders>
              <w:bottom w:val="thinThickSmallGap" w:sz="24" w:space="0" w:color="auto"/>
            </w:tcBorders>
            <w:shd w:val="clear" w:color="auto" w:fill="D9D9D9" w:themeFill="background1" w:themeFillShade="D9"/>
          </w:tcPr>
          <w:p w14:paraId="18B69DCC" w14:textId="77777777" w:rsidR="003328DF" w:rsidRPr="00BD04C5" w:rsidRDefault="003328DF" w:rsidP="001E2DEE">
            <w:pPr>
              <w:rPr>
                <w:rFonts w:ascii="Sakkal Majalla" w:hAnsi="Sakkal Majalla" w:cs="Sakkal Majalla"/>
                <w:b/>
                <w:bCs/>
                <w:sz w:val="16"/>
                <w:szCs w:val="16"/>
                <w:rtl/>
              </w:rPr>
            </w:pPr>
          </w:p>
        </w:tc>
      </w:tr>
      <w:tr w:rsidR="003328DF" w:rsidRPr="00BD04C5" w14:paraId="33457107" w14:textId="77777777" w:rsidTr="003328DF">
        <w:trPr>
          <w:trHeight w:val="99"/>
          <w:jc w:val="center"/>
        </w:trPr>
        <w:tc>
          <w:tcPr>
            <w:tcW w:w="544" w:type="dxa"/>
            <w:tcBorders>
              <w:top w:val="thinThickSmallGap" w:sz="24" w:space="0" w:color="auto"/>
              <w:bottom w:val="single" w:sz="4" w:space="0" w:color="auto"/>
            </w:tcBorders>
          </w:tcPr>
          <w:p w14:paraId="44496C4F" w14:textId="77777777" w:rsidR="003328DF" w:rsidRPr="00BD04C5" w:rsidRDefault="003328DF" w:rsidP="001E2DEE">
            <w:pPr>
              <w:pStyle w:val="BlockText"/>
              <w:ind w:left="0"/>
              <w:jc w:val="center"/>
              <w:rPr>
                <w:rFonts w:ascii="Sakkal Majalla" w:hAnsi="Sakkal Majalla" w:cs="Sakkal Majalla"/>
                <w:sz w:val="16"/>
                <w:szCs w:val="16"/>
                <w:rtl/>
              </w:rPr>
            </w:pPr>
          </w:p>
        </w:tc>
        <w:tc>
          <w:tcPr>
            <w:tcW w:w="4032" w:type="dxa"/>
            <w:tcBorders>
              <w:top w:val="thinThickSmallGap" w:sz="24" w:space="0" w:color="auto"/>
              <w:bottom w:val="single" w:sz="4" w:space="0" w:color="auto"/>
            </w:tcBorders>
          </w:tcPr>
          <w:p w14:paraId="4FCCE62B" w14:textId="43ABDE28" w:rsidR="003328DF" w:rsidRPr="00BD04C5" w:rsidRDefault="003328DF" w:rsidP="001E2DEE">
            <w:pPr>
              <w:jc w:val="center"/>
              <w:rPr>
                <w:rFonts w:ascii="Sakkal Majalla" w:hAnsi="Sakkal Majalla" w:cs="Sakkal Majalla"/>
                <w:sz w:val="16"/>
                <w:szCs w:val="16"/>
                <w:highlight w:val="lightGray"/>
                <w:rtl/>
              </w:rPr>
            </w:pPr>
            <w:r>
              <w:rPr>
                <w:rFonts w:ascii="Sakkal Majalla" w:hAnsi="Sakkal Majalla" w:cs="Sakkal Majalla" w:hint="cs"/>
                <w:b/>
                <w:bCs/>
                <w:sz w:val="16"/>
                <w:szCs w:val="16"/>
                <w:highlight w:val="lightGray"/>
                <w:rtl/>
              </w:rPr>
              <w:t>الأسس الرقمية</w:t>
            </w:r>
          </w:p>
        </w:tc>
        <w:tc>
          <w:tcPr>
            <w:tcW w:w="836" w:type="dxa"/>
            <w:tcBorders>
              <w:top w:val="thinThickSmallGap" w:sz="24" w:space="0" w:color="auto"/>
              <w:bottom w:val="single" w:sz="4" w:space="0" w:color="auto"/>
            </w:tcBorders>
          </w:tcPr>
          <w:p w14:paraId="02A6E6CD" w14:textId="77777777" w:rsidR="003328DF" w:rsidRPr="00BD04C5" w:rsidRDefault="003328DF" w:rsidP="001E2DEE">
            <w:pPr>
              <w:pStyle w:val="BlockText"/>
              <w:ind w:left="0"/>
              <w:jc w:val="center"/>
              <w:rPr>
                <w:rFonts w:ascii="Sakkal Majalla" w:hAnsi="Sakkal Majalla" w:cs="Sakkal Majalla"/>
                <w:b/>
                <w:bCs/>
                <w:sz w:val="16"/>
                <w:szCs w:val="16"/>
                <w:rtl/>
              </w:rPr>
            </w:pPr>
          </w:p>
        </w:tc>
        <w:tc>
          <w:tcPr>
            <w:tcW w:w="832" w:type="dxa"/>
            <w:tcBorders>
              <w:top w:val="thinThickSmallGap" w:sz="24" w:space="0" w:color="auto"/>
              <w:bottom w:val="single" w:sz="4" w:space="0" w:color="auto"/>
            </w:tcBorders>
          </w:tcPr>
          <w:p w14:paraId="57F0FE85" w14:textId="77777777" w:rsidR="003328DF" w:rsidRPr="00BD04C5" w:rsidRDefault="003328DF" w:rsidP="001E2DEE">
            <w:pPr>
              <w:pStyle w:val="BlockText"/>
              <w:ind w:left="0"/>
              <w:jc w:val="center"/>
              <w:rPr>
                <w:rFonts w:ascii="Sakkal Majalla" w:hAnsi="Sakkal Majalla" w:cs="Sakkal Majalla"/>
                <w:b/>
                <w:bCs/>
                <w:sz w:val="16"/>
                <w:szCs w:val="16"/>
                <w:rtl/>
              </w:rPr>
            </w:pPr>
          </w:p>
        </w:tc>
        <w:tc>
          <w:tcPr>
            <w:tcW w:w="832" w:type="dxa"/>
            <w:tcBorders>
              <w:top w:val="thinThickSmallGap" w:sz="24" w:space="0" w:color="auto"/>
              <w:bottom w:val="single" w:sz="4" w:space="0" w:color="auto"/>
            </w:tcBorders>
          </w:tcPr>
          <w:p w14:paraId="53610910" w14:textId="77777777" w:rsidR="003328DF" w:rsidRPr="00BD04C5" w:rsidRDefault="003328DF" w:rsidP="001E2DEE">
            <w:pPr>
              <w:pStyle w:val="BlockText"/>
              <w:ind w:left="0"/>
              <w:jc w:val="center"/>
              <w:rPr>
                <w:rFonts w:ascii="Sakkal Majalla" w:hAnsi="Sakkal Majalla" w:cs="Sakkal Majalla"/>
                <w:b/>
                <w:bCs/>
                <w:sz w:val="16"/>
                <w:szCs w:val="16"/>
                <w:rtl/>
              </w:rPr>
            </w:pPr>
          </w:p>
        </w:tc>
        <w:tc>
          <w:tcPr>
            <w:tcW w:w="1215" w:type="dxa"/>
            <w:tcBorders>
              <w:top w:val="thinThickSmallGap" w:sz="24" w:space="0" w:color="auto"/>
              <w:bottom w:val="single" w:sz="4" w:space="0" w:color="auto"/>
            </w:tcBorders>
          </w:tcPr>
          <w:p w14:paraId="05128A04" w14:textId="77777777" w:rsidR="003328DF" w:rsidRPr="00BD04C5" w:rsidRDefault="003328DF" w:rsidP="001E2DEE">
            <w:pPr>
              <w:pStyle w:val="BlockText"/>
              <w:ind w:left="0"/>
              <w:jc w:val="center"/>
              <w:rPr>
                <w:rFonts w:ascii="Sakkal Majalla" w:hAnsi="Sakkal Majalla" w:cs="Sakkal Majalla"/>
                <w:b/>
                <w:bCs/>
                <w:sz w:val="16"/>
                <w:szCs w:val="16"/>
                <w:rtl/>
              </w:rPr>
            </w:pPr>
          </w:p>
        </w:tc>
      </w:tr>
      <w:tr w:rsidR="003328DF" w:rsidRPr="00BD04C5" w14:paraId="4F357A71" w14:textId="77777777" w:rsidTr="003328DF">
        <w:trPr>
          <w:trHeight w:val="134"/>
          <w:jc w:val="center"/>
        </w:trPr>
        <w:tc>
          <w:tcPr>
            <w:tcW w:w="544" w:type="dxa"/>
            <w:tcBorders>
              <w:top w:val="single" w:sz="4" w:space="0" w:color="auto"/>
            </w:tcBorders>
          </w:tcPr>
          <w:p w14:paraId="0A0DEE84" w14:textId="77777777" w:rsidR="003328DF" w:rsidRPr="00BD04C5" w:rsidRDefault="003328DF" w:rsidP="00441F51">
            <w:pPr>
              <w:pStyle w:val="BlockText"/>
              <w:ind w:left="0"/>
              <w:jc w:val="center"/>
              <w:rPr>
                <w:rFonts w:ascii="Sakkal Majalla" w:hAnsi="Sakkal Majalla" w:cs="Sakkal Majalla"/>
                <w:sz w:val="16"/>
                <w:szCs w:val="16"/>
                <w:rtl/>
              </w:rPr>
            </w:pPr>
            <w:r w:rsidRPr="00BD04C5">
              <w:rPr>
                <w:rFonts w:ascii="Sakkal Majalla" w:hAnsi="Sakkal Majalla" w:cs="Sakkal Majalla"/>
                <w:sz w:val="16"/>
                <w:szCs w:val="16"/>
                <w:rtl/>
              </w:rPr>
              <w:t>1</w:t>
            </w:r>
          </w:p>
        </w:tc>
        <w:tc>
          <w:tcPr>
            <w:tcW w:w="4032" w:type="dxa"/>
            <w:tcBorders>
              <w:top w:val="single" w:sz="4" w:space="0" w:color="auto"/>
            </w:tcBorders>
          </w:tcPr>
          <w:p w14:paraId="5383F0AE" w14:textId="31226BF6" w:rsidR="003328DF" w:rsidRPr="00441F51" w:rsidRDefault="003328DF" w:rsidP="00441F51">
            <w:pPr>
              <w:pStyle w:val="BlockText"/>
              <w:ind w:left="0"/>
              <w:rPr>
                <w:rFonts w:ascii="Sakkal Majalla" w:hAnsi="Sakkal Majalla" w:cs="Sakkal Majalla"/>
                <w:sz w:val="22"/>
                <w:szCs w:val="22"/>
                <w:lang w:bidi="ar-EG"/>
              </w:rPr>
            </w:pPr>
            <w:r w:rsidRPr="00441F51">
              <w:rPr>
                <w:rFonts w:ascii="Sakkal Majalla" w:hAnsi="Sakkal Majalla" w:cs="Sakkal Majalla"/>
                <w:sz w:val="22"/>
                <w:szCs w:val="22"/>
                <w:rtl/>
                <w:lang w:bidi="ar-EG"/>
              </w:rPr>
              <w:t>ترتبط الأسس الرقمية بتعزيز حماية البيانات من الاختراقات والتهديدات السيبرانية</w:t>
            </w:r>
            <w:r w:rsidRPr="00441F51">
              <w:rPr>
                <w:rFonts w:ascii="Sakkal Majalla" w:hAnsi="Sakkal Majalla" w:cs="Sakkal Majalla"/>
                <w:sz w:val="22"/>
                <w:szCs w:val="22"/>
                <w:lang w:bidi="ar-EG"/>
              </w:rPr>
              <w:t xml:space="preserve">. </w:t>
            </w:r>
          </w:p>
        </w:tc>
        <w:tc>
          <w:tcPr>
            <w:tcW w:w="836" w:type="dxa"/>
            <w:tcBorders>
              <w:top w:val="single" w:sz="4" w:space="0" w:color="auto"/>
            </w:tcBorders>
          </w:tcPr>
          <w:p w14:paraId="07B51BEE" w14:textId="77777777" w:rsidR="003328DF" w:rsidRPr="00BD04C5" w:rsidRDefault="003328DF" w:rsidP="00441F51">
            <w:pPr>
              <w:pStyle w:val="BlockText"/>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0.825</w:t>
            </w:r>
          </w:p>
        </w:tc>
        <w:tc>
          <w:tcPr>
            <w:tcW w:w="832" w:type="dxa"/>
            <w:tcBorders>
              <w:top w:val="single" w:sz="4" w:space="0" w:color="auto"/>
            </w:tcBorders>
          </w:tcPr>
          <w:p w14:paraId="49FD2F56" w14:textId="77777777" w:rsidR="003328DF" w:rsidRPr="00BD04C5" w:rsidRDefault="003328DF" w:rsidP="00441F51">
            <w:pPr>
              <w:pStyle w:val="BlockText"/>
              <w:ind w:left="0"/>
              <w:jc w:val="center"/>
              <w:rPr>
                <w:rFonts w:ascii="Sakkal Majalla" w:hAnsi="Sakkal Majalla" w:cs="Sakkal Majalla"/>
                <w:b/>
                <w:bCs/>
                <w:sz w:val="16"/>
                <w:szCs w:val="16"/>
                <w:rtl/>
              </w:rPr>
            </w:pPr>
          </w:p>
        </w:tc>
        <w:tc>
          <w:tcPr>
            <w:tcW w:w="832" w:type="dxa"/>
            <w:tcBorders>
              <w:top w:val="single" w:sz="4" w:space="0" w:color="auto"/>
            </w:tcBorders>
          </w:tcPr>
          <w:p w14:paraId="110DC0B9" w14:textId="77777777" w:rsidR="003328DF" w:rsidRPr="00BD04C5" w:rsidRDefault="003328DF" w:rsidP="00441F51">
            <w:pPr>
              <w:pStyle w:val="BlockText"/>
              <w:ind w:left="0"/>
              <w:jc w:val="center"/>
              <w:rPr>
                <w:rFonts w:ascii="Sakkal Majalla" w:hAnsi="Sakkal Majalla" w:cs="Sakkal Majalla"/>
                <w:b/>
                <w:bCs/>
                <w:sz w:val="16"/>
                <w:szCs w:val="16"/>
                <w:rtl/>
              </w:rPr>
            </w:pPr>
          </w:p>
        </w:tc>
        <w:tc>
          <w:tcPr>
            <w:tcW w:w="1215" w:type="dxa"/>
            <w:tcBorders>
              <w:top w:val="single" w:sz="4" w:space="0" w:color="auto"/>
            </w:tcBorders>
          </w:tcPr>
          <w:p w14:paraId="4694A2C7" w14:textId="77777777" w:rsidR="003328DF" w:rsidRPr="00BD04C5" w:rsidRDefault="003328DF" w:rsidP="00441F51">
            <w:pPr>
              <w:pStyle w:val="BlockText"/>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0.718</w:t>
            </w:r>
          </w:p>
        </w:tc>
      </w:tr>
      <w:tr w:rsidR="003328DF" w:rsidRPr="00BD04C5" w14:paraId="4F16C758" w14:textId="77777777" w:rsidTr="003328DF">
        <w:trPr>
          <w:jc w:val="center"/>
        </w:trPr>
        <w:tc>
          <w:tcPr>
            <w:tcW w:w="544" w:type="dxa"/>
          </w:tcPr>
          <w:p w14:paraId="51A72C33" w14:textId="77777777" w:rsidR="003328DF" w:rsidRPr="00BD04C5" w:rsidRDefault="003328DF" w:rsidP="00441F51">
            <w:pPr>
              <w:pStyle w:val="BlockText"/>
              <w:ind w:left="0"/>
              <w:jc w:val="center"/>
              <w:rPr>
                <w:rFonts w:ascii="Sakkal Majalla" w:hAnsi="Sakkal Majalla" w:cs="Sakkal Majalla"/>
                <w:sz w:val="16"/>
                <w:szCs w:val="16"/>
                <w:rtl/>
              </w:rPr>
            </w:pPr>
            <w:r w:rsidRPr="00BD04C5">
              <w:rPr>
                <w:rFonts w:ascii="Sakkal Majalla" w:hAnsi="Sakkal Majalla" w:cs="Sakkal Majalla"/>
                <w:sz w:val="16"/>
                <w:szCs w:val="16"/>
                <w:rtl/>
              </w:rPr>
              <w:t>2</w:t>
            </w:r>
          </w:p>
        </w:tc>
        <w:tc>
          <w:tcPr>
            <w:tcW w:w="4032" w:type="dxa"/>
          </w:tcPr>
          <w:p w14:paraId="155770A1" w14:textId="365D6392" w:rsidR="003328DF" w:rsidRPr="00441F51" w:rsidRDefault="003328DF" w:rsidP="00441F51">
            <w:pPr>
              <w:pStyle w:val="BlockText"/>
              <w:ind w:left="0"/>
              <w:rPr>
                <w:rFonts w:ascii="Sakkal Majalla" w:hAnsi="Sakkal Majalla" w:cs="Sakkal Majalla"/>
                <w:sz w:val="22"/>
                <w:szCs w:val="22"/>
                <w:lang w:bidi="ar-EG"/>
              </w:rPr>
            </w:pPr>
            <w:r w:rsidRPr="00441F51">
              <w:rPr>
                <w:rFonts w:ascii="Sakkal Majalla" w:hAnsi="Sakkal Majalla" w:cs="Sakkal Majalla"/>
                <w:sz w:val="22"/>
                <w:szCs w:val="22"/>
                <w:rtl/>
                <w:lang w:bidi="ar-EG"/>
              </w:rPr>
              <w:t>يوجد علاقة بين البنية التحتية الرقمية وتحسين سرعة ودقة معالجة الإجراءات الجمركية والضريبية</w:t>
            </w:r>
            <w:r w:rsidRPr="00441F51">
              <w:rPr>
                <w:rFonts w:ascii="Sakkal Majalla" w:hAnsi="Sakkal Majalla" w:cs="Sakkal Majalla"/>
                <w:sz w:val="22"/>
                <w:szCs w:val="22"/>
                <w:lang w:bidi="ar-EG"/>
              </w:rPr>
              <w:t xml:space="preserve">. </w:t>
            </w:r>
          </w:p>
        </w:tc>
        <w:tc>
          <w:tcPr>
            <w:tcW w:w="836" w:type="dxa"/>
          </w:tcPr>
          <w:p w14:paraId="56888AA2" w14:textId="77777777" w:rsidR="003328DF" w:rsidRPr="00BD04C5" w:rsidRDefault="003328DF" w:rsidP="00441F51">
            <w:pPr>
              <w:pStyle w:val="BlockText"/>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0.811</w:t>
            </w:r>
          </w:p>
        </w:tc>
        <w:tc>
          <w:tcPr>
            <w:tcW w:w="832" w:type="dxa"/>
          </w:tcPr>
          <w:p w14:paraId="4F3B40E4" w14:textId="77777777" w:rsidR="003328DF" w:rsidRPr="00BD04C5" w:rsidRDefault="003328DF" w:rsidP="00441F51">
            <w:pPr>
              <w:pStyle w:val="BlockText"/>
              <w:ind w:left="0"/>
              <w:jc w:val="center"/>
              <w:rPr>
                <w:rFonts w:ascii="Sakkal Majalla" w:hAnsi="Sakkal Majalla" w:cs="Sakkal Majalla"/>
                <w:b/>
                <w:bCs/>
                <w:sz w:val="16"/>
                <w:szCs w:val="16"/>
                <w:rtl/>
              </w:rPr>
            </w:pPr>
          </w:p>
        </w:tc>
        <w:tc>
          <w:tcPr>
            <w:tcW w:w="832" w:type="dxa"/>
          </w:tcPr>
          <w:p w14:paraId="2F355514" w14:textId="77777777" w:rsidR="003328DF" w:rsidRPr="00BD04C5" w:rsidRDefault="003328DF" w:rsidP="00441F51">
            <w:pPr>
              <w:pStyle w:val="BlockText"/>
              <w:ind w:left="0"/>
              <w:jc w:val="center"/>
              <w:rPr>
                <w:rFonts w:ascii="Sakkal Majalla" w:hAnsi="Sakkal Majalla" w:cs="Sakkal Majalla"/>
                <w:b/>
                <w:bCs/>
                <w:sz w:val="16"/>
                <w:szCs w:val="16"/>
                <w:rtl/>
              </w:rPr>
            </w:pPr>
          </w:p>
        </w:tc>
        <w:tc>
          <w:tcPr>
            <w:tcW w:w="1215" w:type="dxa"/>
          </w:tcPr>
          <w:p w14:paraId="232B4C31" w14:textId="77777777" w:rsidR="003328DF" w:rsidRPr="00BD04C5" w:rsidRDefault="003328DF" w:rsidP="00441F51">
            <w:pPr>
              <w:pStyle w:val="BlockText"/>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0.712</w:t>
            </w:r>
          </w:p>
        </w:tc>
      </w:tr>
      <w:tr w:rsidR="003328DF" w:rsidRPr="00BD04C5" w14:paraId="446FF16B" w14:textId="77777777" w:rsidTr="003328DF">
        <w:trPr>
          <w:jc w:val="center"/>
        </w:trPr>
        <w:tc>
          <w:tcPr>
            <w:tcW w:w="544" w:type="dxa"/>
          </w:tcPr>
          <w:p w14:paraId="37EA691D" w14:textId="77777777" w:rsidR="003328DF" w:rsidRPr="00BD04C5" w:rsidRDefault="003328DF" w:rsidP="00441F51">
            <w:pPr>
              <w:pStyle w:val="BlockText"/>
              <w:ind w:left="0"/>
              <w:jc w:val="center"/>
              <w:rPr>
                <w:rFonts w:ascii="Sakkal Majalla" w:hAnsi="Sakkal Majalla" w:cs="Sakkal Majalla"/>
                <w:sz w:val="16"/>
                <w:szCs w:val="16"/>
                <w:rtl/>
              </w:rPr>
            </w:pPr>
            <w:r w:rsidRPr="00BD04C5">
              <w:rPr>
                <w:rFonts w:ascii="Sakkal Majalla" w:hAnsi="Sakkal Majalla" w:cs="Sakkal Majalla"/>
                <w:sz w:val="16"/>
                <w:szCs w:val="16"/>
                <w:rtl/>
              </w:rPr>
              <w:t>3</w:t>
            </w:r>
          </w:p>
        </w:tc>
        <w:tc>
          <w:tcPr>
            <w:tcW w:w="4032" w:type="dxa"/>
          </w:tcPr>
          <w:p w14:paraId="36CF57D3" w14:textId="37C1B5B3" w:rsidR="003328DF" w:rsidRPr="00441F51" w:rsidRDefault="003328DF" w:rsidP="00441F51">
            <w:pPr>
              <w:pStyle w:val="BlockText"/>
              <w:ind w:left="0"/>
              <w:rPr>
                <w:rFonts w:ascii="Sakkal Majalla" w:hAnsi="Sakkal Majalla" w:cs="Sakkal Majalla"/>
                <w:sz w:val="22"/>
                <w:szCs w:val="22"/>
                <w:rtl/>
                <w:lang w:bidi="ar-EG"/>
              </w:rPr>
            </w:pPr>
            <w:r w:rsidRPr="00441F51">
              <w:rPr>
                <w:rFonts w:ascii="Sakkal Majalla" w:hAnsi="Sakkal Majalla" w:cs="Sakkal Majalla"/>
                <w:sz w:val="22"/>
                <w:szCs w:val="22"/>
                <w:rtl/>
                <w:lang w:bidi="ar-EG"/>
              </w:rPr>
              <w:t>تعتقد أن توافر الأمن السيبراني والشبكات الآمنة يرتبط ارتباطًا وثيقًا باستدامة العمليات الرقمية في الهيئة</w:t>
            </w:r>
            <w:r w:rsidRPr="00441F51">
              <w:rPr>
                <w:rFonts w:ascii="Sakkal Majalla" w:hAnsi="Sakkal Majalla" w:cs="Sakkal Majalla"/>
                <w:sz w:val="22"/>
                <w:szCs w:val="22"/>
                <w:lang w:bidi="ar-EG"/>
              </w:rPr>
              <w:t>.</w:t>
            </w:r>
          </w:p>
        </w:tc>
        <w:tc>
          <w:tcPr>
            <w:tcW w:w="836" w:type="dxa"/>
          </w:tcPr>
          <w:p w14:paraId="4B690EC5" w14:textId="77777777" w:rsidR="003328DF" w:rsidRPr="00BD04C5" w:rsidRDefault="003328DF" w:rsidP="00441F51">
            <w:pPr>
              <w:pStyle w:val="BlockText"/>
              <w:ind w:left="0"/>
              <w:jc w:val="center"/>
              <w:rPr>
                <w:rFonts w:ascii="Sakkal Majalla" w:hAnsi="Sakkal Majalla" w:cs="Sakkal Majalla"/>
                <w:b/>
                <w:bCs/>
                <w:sz w:val="16"/>
                <w:szCs w:val="16"/>
                <w:rtl/>
                <w:lang w:bidi="ar-EG"/>
              </w:rPr>
            </w:pPr>
            <w:r w:rsidRPr="00BD04C5">
              <w:rPr>
                <w:rFonts w:ascii="Sakkal Majalla" w:hAnsi="Sakkal Majalla" w:cs="Sakkal Majalla"/>
                <w:b/>
                <w:bCs/>
                <w:sz w:val="16"/>
                <w:szCs w:val="16"/>
                <w:rtl/>
              </w:rPr>
              <w:t>0.81</w:t>
            </w:r>
            <w:r>
              <w:rPr>
                <w:rFonts w:ascii="Sakkal Majalla" w:hAnsi="Sakkal Majalla" w:cs="Sakkal Majalla" w:hint="cs"/>
                <w:b/>
                <w:bCs/>
                <w:sz w:val="16"/>
                <w:szCs w:val="16"/>
                <w:rtl/>
                <w:lang w:bidi="ar-EG"/>
              </w:rPr>
              <w:t>9</w:t>
            </w:r>
          </w:p>
        </w:tc>
        <w:tc>
          <w:tcPr>
            <w:tcW w:w="832" w:type="dxa"/>
          </w:tcPr>
          <w:p w14:paraId="18688298" w14:textId="77777777" w:rsidR="003328DF" w:rsidRPr="00BD04C5" w:rsidRDefault="003328DF" w:rsidP="00441F51">
            <w:pPr>
              <w:pStyle w:val="BlockText"/>
              <w:ind w:left="0"/>
              <w:jc w:val="center"/>
              <w:rPr>
                <w:rFonts w:ascii="Sakkal Majalla" w:hAnsi="Sakkal Majalla" w:cs="Sakkal Majalla"/>
                <w:b/>
                <w:bCs/>
                <w:sz w:val="16"/>
                <w:szCs w:val="16"/>
                <w:rtl/>
              </w:rPr>
            </w:pPr>
          </w:p>
        </w:tc>
        <w:tc>
          <w:tcPr>
            <w:tcW w:w="832" w:type="dxa"/>
          </w:tcPr>
          <w:p w14:paraId="7C66D1B0" w14:textId="77777777" w:rsidR="003328DF" w:rsidRPr="00BD04C5" w:rsidRDefault="003328DF" w:rsidP="00441F51">
            <w:pPr>
              <w:pStyle w:val="BlockText"/>
              <w:ind w:left="0"/>
              <w:jc w:val="center"/>
              <w:rPr>
                <w:rFonts w:ascii="Sakkal Majalla" w:hAnsi="Sakkal Majalla" w:cs="Sakkal Majalla"/>
                <w:b/>
                <w:bCs/>
                <w:sz w:val="16"/>
                <w:szCs w:val="16"/>
                <w:rtl/>
              </w:rPr>
            </w:pPr>
          </w:p>
        </w:tc>
        <w:tc>
          <w:tcPr>
            <w:tcW w:w="1215" w:type="dxa"/>
          </w:tcPr>
          <w:p w14:paraId="551FEA64" w14:textId="77777777" w:rsidR="003328DF" w:rsidRPr="00BD04C5" w:rsidRDefault="003328DF" w:rsidP="00441F51">
            <w:pPr>
              <w:pStyle w:val="BlockText"/>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0.71</w:t>
            </w:r>
            <w:r>
              <w:rPr>
                <w:rFonts w:ascii="Sakkal Majalla" w:hAnsi="Sakkal Majalla" w:cs="Sakkal Majalla" w:hint="cs"/>
                <w:b/>
                <w:bCs/>
                <w:sz w:val="16"/>
                <w:szCs w:val="16"/>
                <w:rtl/>
              </w:rPr>
              <w:t>5</w:t>
            </w:r>
          </w:p>
        </w:tc>
      </w:tr>
      <w:tr w:rsidR="003328DF" w:rsidRPr="00BD04C5" w14:paraId="4BA46FB5" w14:textId="77777777" w:rsidTr="003328DF">
        <w:trPr>
          <w:jc w:val="center"/>
        </w:trPr>
        <w:tc>
          <w:tcPr>
            <w:tcW w:w="544" w:type="dxa"/>
          </w:tcPr>
          <w:p w14:paraId="158D6FB7" w14:textId="77777777" w:rsidR="003328DF" w:rsidRPr="00BD04C5" w:rsidRDefault="003328DF" w:rsidP="001E2DEE">
            <w:pPr>
              <w:pStyle w:val="BlockText"/>
              <w:ind w:left="0"/>
              <w:jc w:val="center"/>
              <w:rPr>
                <w:rFonts w:ascii="Sakkal Majalla" w:hAnsi="Sakkal Majalla" w:cs="Sakkal Majalla"/>
                <w:sz w:val="16"/>
                <w:szCs w:val="16"/>
                <w:rtl/>
              </w:rPr>
            </w:pPr>
          </w:p>
        </w:tc>
        <w:tc>
          <w:tcPr>
            <w:tcW w:w="4032" w:type="dxa"/>
            <w:vAlign w:val="center"/>
          </w:tcPr>
          <w:p w14:paraId="6E036AC9" w14:textId="04A3BF09" w:rsidR="003328DF" w:rsidRPr="00BD04C5" w:rsidRDefault="003328DF" w:rsidP="001E2DEE">
            <w:pPr>
              <w:jc w:val="center"/>
              <w:rPr>
                <w:rFonts w:ascii="Sakkal Majalla" w:hAnsi="Sakkal Majalla" w:cs="Sakkal Majalla"/>
                <w:b/>
                <w:bCs/>
                <w:sz w:val="16"/>
                <w:szCs w:val="16"/>
                <w:highlight w:val="lightGray"/>
                <w:rtl/>
              </w:rPr>
            </w:pPr>
            <w:r>
              <w:rPr>
                <w:rFonts w:ascii="Sakkal Majalla" w:hAnsi="Sakkal Majalla" w:cs="Sakkal Majalla" w:hint="cs"/>
                <w:b/>
                <w:bCs/>
                <w:sz w:val="16"/>
                <w:szCs w:val="16"/>
                <w:highlight w:val="lightGray"/>
                <w:rtl/>
              </w:rPr>
              <w:t>الابتكار الرقمي</w:t>
            </w:r>
          </w:p>
        </w:tc>
        <w:tc>
          <w:tcPr>
            <w:tcW w:w="836" w:type="dxa"/>
          </w:tcPr>
          <w:p w14:paraId="1424A0C6" w14:textId="77777777" w:rsidR="003328DF" w:rsidRPr="00BD04C5" w:rsidRDefault="003328DF" w:rsidP="001E2DEE">
            <w:pPr>
              <w:pStyle w:val="BlockText"/>
              <w:ind w:left="0"/>
              <w:jc w:val="center"/>
              <w:rPr>
                <w:rFonts w:ascii="Sakkal Majalla" w:hAnsi="Sakkal Majalla" w:cs="Sakkal Majalla"/>
                <w:b/>
                <w:bCs/>
                <w:sz w:val="16"/>
                <w:szCs w:val="16"/>
                <w:rtl/>
              </w:rPr>
            </w:pPr>
          </w:p>
        </w:tc>
        <w:tc>
          <w:tcPr>
            <w:tcW w:w="832" w:type="dxa"/>
          </w:tcPr>
          <w:p w14:paraId="5C389A3A" w14:textId="77777777" w:rsidR="003328DF" w:rsidRPr="00BD04C5" w:rsidRDefault="003328DF" w:rsidP="001E2DEE">
            <w:pPr>
              <w:pStyle w:val="BlockText"/>
              <w:ind w:left="0"/>
              <w:jc w:val="center"/>
              <w:rPr>
                <w:rFonts w:ascii="Sakkal Majalla" w:hAnsi="Sakkal Majalla" w:cs="Sakkal Majalla"/>
                <w:b/>
                <w:bCs/>
                <w:sz w:val="16"/>
                <w:szCs w:val="16"/>
                <w:rtl/>
              </w:rPr>
            </w:pPr>
          </w:p>
        </w:tc>
        <w:tc>
          <w:tcPr>
            <w:tcW w:w="832" w:type="dxa"/>
          </w:tcPr>
          <w:p w14:paraId="02819C29" w14:textId="77777777" w:rsidR="003328DF" w:rsidRPr="00BD04C5" w:rsidRDefault="003328DF" w:rsidP="001E2DEE">
            <w:pPr>
              <w:pStyle w:val="BlockText"/>
              <w:ind w:left="0"/>
              <w:jc w:val="center"/>
              <w:rPr>
                <w:rFonts w:ascii="Sakkal Majalla" w:hAnsi="Sakkal Majalla" w:cs="Sakkal Majalla"/>
                <w:b/>
                <w:bCs/>
                <w:sz w:val="16"/>
                <w:szCs w:val="16"/>
                <w:rtl/>
              </w:rPr>
            </w:pPr>
          </w:p>
        </w:tc>
        <w:tc>
          <w:tcPr>
            <w:tcW w:w="1215" w:type="dxa"/>
          </w:tcPr>
          <w:p w14:paraId="46412139" w14:textId="77777777" w:rsidR="003328DF" w:rsidRPr="00BD04C5" w:rsidRDefault="003328DF" w:rsidP="001E2DEE">
            <w:pPr>
              <w:pStyle w:val="BlockText"/>
              <w:ind w:left="0"/>
              <w:jc w:val="center"/>
              <w:rPr>
                <w:rFonts w:ascii="Sakkal Majalla" w:hAnsi="Sakkal Majalla" w:cs="Sakkal Majalla"/>
                <w:b/>
                <w:bCs/>
                <w:sz w:val="16"/>
                <w:szCs w:val="16"/>
                <w:rtl/>
              </w:rPr>
            </w:pPr>
          </w:p>
        </w:tc>
      </w:tr>
      <w:tr w:rsidR="003328DF" w:rsidRPr="00BD04C5" w14:paraId="1F80374A" w14:textId="77777777" w:rsidTr="003328DF">
        <w:trPr>
          <w:jc w:val="center"/>
        </w:trPr>
        <w:tc>
          <w:tcPr>
            <w:tcW w:w="544" w:type="dxa"/>
          </w:tcPr>
          <w:p w14:paraId="7E5E5116" w14:textId="77777777" w:rsidR="003328DF" w:rsidRPr="00BD04C5" w:rsidRDefault="003328DF" w:rsidP="00441F51">
            <w:pPr>
              <w:pStyle w:val="BlockText"/>
              <w:ind w:left="0"/>
              <w:jc w:val="center"/>
              <w:rPr>
                <w:rFonts w:ascii="Sakkal Majalla" w:hAnsi="Sakkal Majalla" w:cs="Sakkal Majalla"/>
                <w:sz w:val="16"/>
                <w:szCs w:val="16"/>
                <w:rtl/>
              </w:rPr>
            </w:pPr>
            <w:r w:rsidRPr="00BD04C5">
              <w:rPr>
                <w:rFonts w:ascii="Sakkal Majalla" w:hAnsi="Sakkal Majalla" w:cs="Sakkal Majalla"/>
                <w:sz w:val="16"/>
                <w:szCs w:val="16"/>
                <w:rtl/>
              </w:rPr>
              <w:t>4</w:t>
            </w:r>
          </w:p>
        </w:tc>
        <w:tc>
          <w:tcPr>
            <w:tcW w:w="4032" w:type="dxa"/>
          </w:tcPr>
          <w:p w14:paraId="0359AD23" w14:textId="3B6C151C" w:rsidR="003328DF" w:rsidRPr="00441F51" w:rsidRDefault="003328DF" w:rsidP="00441F51">
            <w:pPr>
              <w:pStyle w:val="BlockText"/>
              <w:ind w:left="0"/>
              <w:rPr>
                <w:rFonts w:ascii="Sakkal Majalla" w:hAnsi="Sakkal Majalla" w:cs="Sakkal Majalla"/>
                <w:sz w:val="22"/>
                <w:szCs w:val="22"/>
                <w:rtl/>
                <w:lang w:bidi="ar-EG"/>
              </w:rPr>
            </w:pPr>
            <w:r w:rsidRPr="00441F51">
              <w:rPr>
                <w:rFonts w:ascii="Sakkal Majalla" w:hAnsi="Sakkal Majalla" w:cs="Sakkal Majalla"/>
                <w:sz w:val="22"/>
                <w:szCs w:val="22"/>
                <w:rtl/>
                <w:lang w:bidi="ar-EG"/>
              </w:rPr>
              <w:t>وجد علاقة بين الابتكار الرقمي والكشف المبكر عن الهجمات السيبرانية والمخاطر الجمركية</w:t>
            </w:r>
            <w:r w:rsidRPr="00441F51">
              <w:rPr>
                <w:rFonts w:ascii="Sakkal Majalla" w:hAnsi="Sakkal Majalla" w:cs="Sakkal Majalla"/>
                <w:sz w:val="22"/>
                <w:szCs w:val="22"/>
                <w:lang w:bidi="ar-EG"/>
              </w:rPr>
              <w:t xml:space="preserve">. </w:t>
            </w:r>
          </w:p>
        </w:tc>
        <w:tc>
          <w:tcPr>
            <w:tcW w:w="836" w:type="dxa"/>
          </w:tcPr>
          <w:p w14:paraId="2253B9CF" w14:textId="77777777" w:rsidR="003328DF" w:rsidRPr="00BD04C5" w:rsidRDefault="003328DF" w:rsidP="00441F51">
            <w:pPr>
              <w:pStyle w:val="BlockText"/>
              <w:ind w:left="0"/>
              <w:jc w:val="center"/>
              <w:rPr>
                <w:rFonts w:ascii="Sakkal Majalla" w:hAnsi="Sakkal Majalla" w:cs="Sakkal Majalla"/>
                <w:b/>
                <w:bCs/>
                <w:sz w:val="16"/>
                <w:szCs w:val="16"/>
                <w:rtl/>
              </w:rPr>
            </w:pPr>
          </w:p>
        </w:tc>
        <w:tc>
          <w:tcPr>
            <w:tcW w:w="832" w:type="dxa"/>
          </w:tcPr>
          <w:p w14:paraId="010C067B" w14:textId="77777777" w:rsidR="003328DF" w:rsidRPr="00BD04C5" w:rsidRDefault="003328DF" w:rsidP="00441F51">
            <w:pPr>
              <w:pStyle w:val="BlockText"/>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0.720</w:t>
            </w:r>
          </w:p>
        </w:tc>
        <w:tc>
          <w:tcPr>
            <w:tcW w:w="832" w:type="dxa"/>
          </w:tcPr>
          <w:p w14:paraId="45614CB6" w14:textId="77777777" w:rsidR="003328DF" w:rsidRPr="00BD04C5" w:rsidRDefault="003328DF" w:rsidP="00441F51">
            <w:pPr>
              <w:pStyle w:val="BlockText"/>
              <w:ind w:left="0"/>
              <w:jc w:val="center"/>
              <w:rPr>
                <w:rFonts w:ascii="Sakkal Majalla" w:hAnsi="Sakkal Majalla" w:cs="Sakkal Majalla"/>
                <w:b/>
                <w:bCs/>
                <w:sz w:val="16"/>
                <w:szCs w:val="16"/>
                <w:rtl/>
              </w:rPr>
            </w:pPr>
          </w:p>
        </w:tc>
        <w:tc>
          <w:tcPr>
            <w:tcW w:w="1215" w:type="dxa"/>
          </w:tcPr>
          <w:p w14:paraId="725AC68E" w14:textId="77777777" w:rsidR="003328DF" w:rsidRPr="00BD04C5" w:rsidRDefault="003328DF" w:rsidP="00441F51">
            <w:pPr>
              <w:pStyle w:val="BlockText"/>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0.638</w:t>
            </w:r>
          </w:p>
        </w:tc>
      </w:tr>
      <w:tr w:rsidR="003328DF" w:rsidRPr="00BD04C5" w14:paraId="469AA958" w14:textId="77777777" w:rsidTr="003328DF">
        <w:trPr>
          <w:jc w:val="center"/>
        </w:trPr>
        <w:tc>
          <w:tcPr>
            <w:tcW w:w="544" w:type="dxa"/>
          </w:tcPr>
          <w:p w14:paraId="14D5D58C" w14:textId="77777777" w:rsidR="003328DF" w:rsidRPr="00BD04C5" w:rsidRDefault="003328DF" w:rsidP="00441F51">
            <w:pPr>
              <w:pStyle w:val="BlockText"/>
              <w:ind w:left="0"/>
              <w:jc w:val="center"/>
              <w:rPr>
                <w:rFonts w:ascii="Sakkal Majalla" w:hAnsi="Sakkal Majalla" w:cs="Sakkal Majalla"/>
                <w:sz w:val="16"/>
                <w:szCs w:val="16"/>
                <w:rtl/>
              </w:rPr>
            </w:pPr>
            <w:r w:rsidRPr="00BD04C5">
              <w:rPr>
                <w:rFonts w:ascii="Sakkal Majalla" w:hAnsi="Sakkal Majalla" w:cs="Sakkal Majalla"/>
                <w:sz w:val="16"/>
                <w:szCs w:val="16"/>
                <w:rtl/>
              </w:rPr>
              <w:t>5</w:t>
            </w:r>
          </w:p>
        </w:tc>
        <w:tc>
          <w:tcPr>
            <w:tcW w:w="4032" w:type="dxa"/>
          </w:tcPr>
          <w:p w14:paraId="6A6E1028" w14:textId="10947757" w:rsidR="003328DF" w:rsidRPr="00441F51" w:rsidRDefault="003328DF" w:rsidP="00441F51">
            <w:pPr>
              <w:pStyle w:val="BlockText"/>
              <w:ind w:left="0"/>
              <w:rPr>
                <w:rFonts w:ascii="Sakkal Majalla" w:hAnsi="Sakkal Majalla" w:cs="Sakkal Majalla"/>
                <w:sz w:val="22"/>
                <w:szCs w:val="22"/>
                <w:rtl/>
                <w:lang w:bidi="ar-EG"/>
              </w:rPr>
            </w:pPr>
            <w:r w:rsidRPr="00441F51">
              <w:rPr>
                <w:rFonts w:ascii="Sakkal Majalla" w:hAnsi="Sakkal Majalla" w:cs="Sakkal Majalla"/>
                <w:sz w:val="22"/>
                <w:szCs w:val="22"/>
                <w:lang w:bidi="ar-EG"/>
              </w:rPr>
              <w:t xml:space="preserve"> </w:t>
            </w:r>
            <w:r w:rsidRPr="00441F51">
              <w:rPr>
                <w:rFonts w:ascii="Sakkal Majalla" w:hAnsi="Sakkal Majalla" w:cs="Sakkal Majalla"/>
                <w:sz w:val="22"/>
                <w:szCs w:val="22"/>
                <w:rtl/>
                <w:lang w:bidi="ar-EG"/>
              </w:rPr>
              <w:t>يوجد علاقة بين الابتكار الرقمي وتحديد الشحنات ذات المخاطر بدقة أعلى وتسريع تدفق التجارة</w:t>
            </w:r>
            <w:r w:rsidRPr="00441F51">
              <w:rPr>
                <w:rFonts w:ascii="Sakkal Majalla" w:hAnsi="Sakkal Majalla" w:cs="Sakkal Majalla"/>
                <w:sz w:val="22"/>
                <w:szCs w:val="22"/>
                <w:lang w:bidi="ar-EG"/>
              </w:rPr>
              <w:t xml:space="preserve">. </w:t>
            </w:r>
          </w:p>
        </w:tc>
        <w:tc>
          <w:tcPr>
            <w:tcW w:w="836" w:type="dxa"/>
          </w:tcPr>
          <w:p w14:paraId="1B6EC67E" w14:textId="77777777" w:rsidR="003328DF" w:rsidRPr="00BD04C5" w:rsidRDefault="003328DF" w:rsidP="00441F51">
            <w:pPr>
              <w:pStyle w:val="BlockText"/>
              <w:ind w:left="0"/>
              <w:jc w:val="center"/>
              <w:rPr>
                <w:rFonts w:ascii="Sakkal Majalla" w:hAnsi="Sakkal Majalla" w:cs="Sakkal Majalla"/>
                <w:b/>
                <w:bCs/>
                <w:sz w:val="16"/>
                <w:szCs w:val="16"/>
                <w:rtl/>
              </w:rPr>
            </w:pPr>
          </w:p>
        </w:tc>
        <w:tc>
          <w:tcPr>
            <w:tcW w:w="832" w:type="dxa"/>
          </w:tcPr>
          <w:p w14:paraId="03C1A233" w14:textId="77777777" w:rsidR="003328DF" w:rsidRPr="00BD04C5" w:rsidRDefault="003328DF" w:rsidP="00441F51">
            <w:pPr>
              <w:pStyle w:val="BlockText"/>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0.727</w:t>
            </w:r>
          </w:p>
        </w:tc>
        <w:tc>
          <w:tcPr>
            <w:tcW w:w="832" w:type="dxa"/>
          </w:tcPr>
          <w:p w14:paraId="36782A83" w14:textId="77777777" w:rsidR="003328DF" w:rsidRPr="00BD04C5" w:rsidRDefault="003328DF" w:rsidP="00441F51">
            <w:pPr>
              <w:pStyle w:val="BlockText"/>
              <w:ind w:left="0"/>
              <w:jc w:val="center"/>
              <w:rPr>
                <w:rFonts w:ascii="Sakkal Majalla" w:hAnsi="Sakkal Majalla" w:cs="Sakkal Majalla"/>
                <w:b/>
                <w:bCs/>
                <w:sz w:val="16"/>
                <w:szCs w:val="16"/>
                <w:rtl/>
              </w:rPr>
            </w:pPr>
          </w:p>
        </w:tc>
        <w:tc>
          <w:tcPr>
            <w:tcW w:w="1215" w:type="dxa"/>
          </w:tcPr>
          <w:p w14:paraId="175C2F98" w14:textId="77777777" w:rsidR="003328DF" w:rsidRPr="00BD04C5" w:rsidRDefault="003328DF" w:rsidP="00441F51">
            <w:pPr>
              <w:pStyle w:val="BlockText"/>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0.598</w:t>
            </w:r>
          </w:p>
        </w:tc>
      </w:tr>
      <w:tr w:rsidR="003328DF" w:rsidRPr="00BD04C5" w14:paraId="2B954CC6" w14:textId="77777777" w:rsidTr="003328DF">
        <w:trPr>
          <w:jc w:val="center"/>
        </w:trPr>
        <w:tc>
          <w:tcPr>
            <w:tcW w:w="544" w:type="dxa"/>
          </w:tcPr>
          <w:p w14:paraId="365F679E" w14:textId="77777777" w:rsidR="003328DF" w:rsidRPr="00BD04C5" w:rsidRDefault="003328DF" w:rsidP="00441F51">
            <w:pPr>
              <w:pStyle w:val="BlockText"/>
              <w:ind w:left="0"/>
              <w:jc w:val="center"/>
              <w:rPr>
                <w:rFonts w:ascii="Sakkal Majalla" w:hAnsi="Sakkal Majalla" w:cs="Sakkal Majalla"/>
                <w:sz w:val="16"/>
                <w:szCs w:val="16"/>
                <w:rtl/>
              </w:rPr>
            </w:pPr>
            <w:r w:rsidRPr="00BD04C5">
              <w:rPr>
                <w:rFonts w:ascii="Sakkal Majalla" w:hAnsi="Sakkal Majalla" w:cs="Sakkal Majalla"/>
                <w:sz w:val="16"/>
                <w:szCs w:val="16"/>
                <w:rtl/>
              </w:rPr>
              <w:t>6</w:t>
            </w:r>
          </w:p>
        </w:tc>
        <w:tc>
          <w:tcPr>
            <w:tcW w:w="4032" w:type="dxa"/>
          </w:tcPr>
          <w:p w14:paraId="0516D94A" w14:textId="2E9C3289" w:rsidR="003328DF" w:rsidRPr="00441F51" w:rsidRDefault="003328DF" w:rsidP="00441F51">
            <w:pPr>
              <w:pStyle w:val="BlockText"/>
              <w:ind w:left="0"/>
              <w:rPr>
                <w:rFonts w:ascii="Sakkal Majalla" w:hAnsi="Sakkal Majalla" w:cs="Sakkal Majalla"/>
                <w:sz w:val="22"/>
                <w:szCs w:val="22"/>
                <w:rtl/>
                <w:lang w:bidi="ar-EG"/>
              </w:rPr>
            </w:pPr>
            <w:r w:rsidRPr="00441F51">
              <w:rPr>
                <w:rFonts w:ascii="Sakkal Majalla" w:hAnsi="Sakkal Majalla" w:cs="Sakkal Majalla"/>
                <w:sz w:val="22"/>
                <w:szCs w:val="22"/>
                <w:lang w:bidi="ar-EG"/>
              </w:rPr>
              <w:t xml:space="preserve">  </w:t>
            </w:r>
            <w:r>
              <w:rPr>
                <w:rFonts w:ascii="Sakkal Majalla" w:hAnsi="Sakkal Majalla" w:cs="Sakkal Majalla" w:hint="cs"/>
                <w:sz w:val="22"/>
                <w:szCs w:val="22"/>
                <w:rtl/>
                <w:lang w:bidi="ar-EG"/>
              </w:rPr>
              <w:t>ب</w:t>
            </w:r>
            <w:r w:rsidRPr="00441F51">
              <w:rPr>
                <w:rFonts w:ascii="Sakkal Majalla" w:hAnsi="Sakkal Majalla" w:cs="Sakkal Majalla"/>
                <w:sz w:val="22"/>
                <w:szCs w:val="22"/>
                <w:rtl/>
                <w:lang w:bidi="ar-EG"/>
              </w:rPr>
              <w:t>رتبط الابتكار الرقمي بتحسين سلاسل التوريد وتقليل التكاليف التشغيلية من خلال التقنيات المتقدمة</w:t>
            </w:r>
            <w:r w:rsidRPr="00441F51">
              <w:rPr>
                <w:rFonts w:ascii="Sakkal Majalla" w:hAnsi="Sakkal Majalla" w:cs="Sakkal Majalla"/>
                <w:sz w:val="22"/>
                <w:szCs w:val="22"/>
                <w:lang w:bidi="ar-EG"/>
              </w:rPr>
              <w:t>.</w:t>
            </w:r>
          </w:p>
        </w:tc>
        <w:tc>
          <w:tcPr>
            <w:tcW w:w="836" w:type="dxa"/>
          </w:tcPr>
          <w:p w14:paraId="589AAAE5" w14:textId="77777777" w:rsidR="003328DF" w:rsidRPr="00BD04C5" w:rsidRDefault="003328DF" w:rsidP="00441F51">
            <w:pPr>
              <w:pStyle w:val="BlockText"/>
              <w:ind w:left="0"/>
              <w:jc w:val="center"/>
              <w:rPr>
                <w:rFonts w:ascii="Sakkal Majalla" w:hAnsi="Sakkal Majalla" w:cs="Sakkal Majalla"/>
                <w:b/>
                <w:bCs/>
                <w:sz w:val="16"/>
                <w:szCs w:val="16"/>
                <w:rtl/>
              </w:rPr>
            </w:pPr>
          </w:p>
        </w:tc>
        <w:tc>
          <w:tcPr>
            <w:tcW w:w="832" w:type="dxa"/>
          </w:tcPr>
          <w:p w14:paraId="409B0A2E" w14:textId="77777777" w:rsidR="003328DF" w:rsidRPr="00BD04C5" w:rsidRDefault="003328DF" w:rsidP="00441F51">
            <w:pPr>
              <w:pStyle w:val="BlockText"/>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0.767</w:t>
            </w:r>
          </w:p>
        </w:tc>
        <w:tc>
          <w:tcPr>
            <w:tcW w:w="832" w:type="dxa"/>
          </w:tcPr>
          <w:p w14:paraId="16E24B46" w14:textId="77777777" w:rsidR="003328DF" w:rsidRPr="00BD04C5" w:rsidRDefault="003328DF" w:rsidP="00441F51">
            <w:pPr>
              <w:pStyle w:val="BlockText"/>
              <w:ind w:left="0"/>
              <w:jc w:val="center"/>
              <w:rPr>
                <w:rFonts w:ascii="Sakkal Majalla" w:hAnsi="Sakkal Majalla" w:cs="Sakkal Majalla"/>
                <w:b/>
                <w:bCs/>
                <w:sz w:val="16"/>
                <w:szCs w:val="16"/>
                <w:rtl/>
              </w:rPr>
            </w:pPr>
          </w:p>
        </w:tc>
        <w:tc>
          <w:tcPr>
            <w:tcW w:w="1215" w:type="dxa"/>
          </w:tcPr>
          <w:p w14:paraId="62EFFBA1" w14:textId="77777777" w:rsidR="003328DF" w:rsidRPr="00BD04C5" w:rsidRDefault="003328DF" w:rsidP="00441F51">
            <w:pPr>
              <w:pStyle w:val="BlockText"/>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0.700</w:t>
            </w:r>
          </w:p>
        </w:tc>
      </w:tr>
      <w:tr w:rsidR="003328DF" w:rsidRPr="00BD04C5" w14:paraId="435D9805" w14:textId="77777777" w:rsidTr="003328DF">
        <w:trPr>
          <w:jc w:val="center"/>
        </w:trPr>
        <w:tc>
          <w:tcPr>
            <w:tcW w:w="544" w:type="dxa"/>
          </w:tcPr>
          <w:p w14:paraId="19AF0706" w14:textId="77777777" w:rsidR="003328DF" w:rsidRPr="00BD04C5" w:rsidRDefault="003328DF" w:rsidP="001E2DEE">
            <w:pPr>
              <w:pStyle w:val="BlockText"/>
              <w:ind w:left="0"/>
              <w:jc w:val="center"/>
              <w:rPr>
                <w:rFonts w:ascii="Sakkal Majalla" w:hAnsi="Sakkal Majalla" w:cs="Sakkal Majalla"/>
                <w:sz w:val="16"/>
                <w:szCs w:val="16"/>
                <w:rtl/>
              </w:rPr>
            </w:pPr>
          </w:p>
        </w:tc>
        <w:tc>
          <w:tcPr>
            <w:tcW w:w="4032" w:type="dxa"/>
            <w:vAlign w:val="center"/>
          </w:tcPr>
          <w:p w14:paraId="6AAD2268" w14:textId="7230F9AF" w:rsidR="003328DF" w:rsidRPr="00BD04C5" w:rsidRDefault="003328DF" w:rsidP="001E2DEE">
            <w:pPr>
              <w:jc w:val="center"/>
              <w:rPr>
                <w:rFonts w:ascii="Sakkal Majalla" w:hAnsi="Sakkal Majalla" w:cs="Sakkal Majalla"/>
                <w:sz w:val="16"/>
                <w:szCs w:val="16"/>
                <w:highlight w:val="lightGray"/>
                <w:rtl/>
              </w:rPr>
            </w:pPr>
            <w:r>
              <w:rPr>
                <w:rFonts w:ascii="Sakkal Majalla" w:hAnsi="Sakkal Majalla" w:cs="Sakkal Majalla" w:hint="cs"/>
                <w:b/>
                <w:bCs/>
                <w:sz w:val="16"/>
                <w:szCs w:val="16"/>
                <w:highlight w:val="lightGray"/>
                <w:rtl/>
              </w:rPr>
              <w:t xml:space="preserve">الحوكمة الرقمي </w:t>
            </w:r>
          </w:p>
        </w:tc>
        <w:tc>
          <w:tcPr>
            <w:tcW w:w="836" w:type="dxa"/>
          </w:tcPr>
          <w:p w14:paraId="0F0DD696" w14:textId="77777777" w:rsidR="003328DF" w:rsidRPr="00BD04C5" w:rsidRDefault="003328DF" w:rsidP="001E2DEE">
            <w:pPr>
              <w:pStyle w:val="BlockText"/>
              <w:ind w:left="0"/>
              <w:jc w:val="center"/>
              <w:rPr>
                <w:rFonts w:ascii="Sakkal Majalla" w:hAnsi="Sakkal Majalla" w:cs="Sakkal Majalla"/>
                <w:b/>
                <w:bCs/>
                <w:sz w:val="16"/>
                <w:szCs w:val="16"/>
                <w:rtl/>
              </w:rPr>
            </w:pPr>
          </w:p>
        </w:tc>
        <w:tc>
          <w:tcPr>
            <w:tcW w:w="832" w:type="dxa"/>
          </w:tcPr>
          <w:p w14:paraId="20EDF410" w14:textId="77777777" w:rsidR="003328DF" w:rsidRPr="00BD04C5" w:rsidRDefault="003328DF" w:rsidP="001E2DEE">
            <w:pPr>
              <w:pStyle w:val="BlockText"/>
              <w:ind w:left="0"/>
              <w:jc w:val="center"/>
              <w:rPr>
                <w:rFonts w:ascii="Sakkal Majalla" w:hAnsi="Sakkal Majalla" w:cs="Sakkal Majalla"/>
                <w:b/>
                <w:bCs/>
                <w:sz w:val="16"/>
                <w:szCs w:val="16"/>
                <w:rtl/>
              </w:rPr>
            </w:pPr>
          </w:p>
        </w:tc>
        <w:tc>
          <w:tcPr>
            <w:tcW w:w="832" w:type="dxa"/>
          </w:tcPr>
          <w:p w14:paraId="63B8CCCC" w14:textId="77777777" w:rsidR="003328DF" w:rsidRPr="00BD04C5" w:rsidRDefault="003328DF" w:rsidP="001E2DEE">
            <w:pPr>
              <w:pStyle w:val="BlockText"/>
              <w:ind w:left="0"/>
              <w:jc w:val="center"/>
              <w:rPr>
                <w:rFonts w:ascii="Sakkal Majalla" w:hAnsi="Sakkal Majalla" w:cs="Sakkal Majalla"/>
                <w:b/>
                <w:bCs/>
                <w:sz w:val="16"/>
                <w:szCs w:val="16"/>
                <w:rtl/>
              </w:rPr>
            </w:pPr>
          </w:p>
        </w:tc>
        <w:tc>
          <w:tcPr>
            <w:tcW w:w="1215" w:type="dxa"/>
          </w:tcPr>
          <w:p w14:paraId="5CC66D57" w14:textId="77777777" w:rsidR="003328DF" w:rsidRPr="00BD04C5" w:rsidRDefault="003328DF" w:rsidP="001E2DEE">
            <w:pPr>
              <w:pStyle w:val="BlockText"/>
              <w:ind w:left="0"/>
              <w:jc w:val="center"/>
              <w:rPr>
                <w:rFonts w:ascii="Sakkal Majalla" w:hAnsi="Sakkal Majalla" w:cs="Sakkal Majalla"/>
                <w:b/>
                <w:bCs/>
                <w:sz w:val="16"/>
                <w:szCs w:val="16"/>
                <w:rtl/>
              </w:rPr>
            </w:pPr>
          </w:p>
        </w:tc>
      </w:tr>
      <w:tr w:rsidR="003328DF" w:rsidRPr="00BD04C5" w14:paraId="0C6E905F" w14:textId="77777777" w:rsidTr="003328DF">
        <w:trPr>
          <w:jc w:val="center"/>
        </w:trPr>
        <w:tc>
          <w:tcPr>
            <w:tcW w:w="544" w:type="dxa"/>
          </w:tcPr>
          <w:p w14:paraId="789DC37E" w14:textId="77777777" w:rsidR="003328DF" w:rsidRPr="00BD04C5" w:rsidRDefault="003328DF" w:rsidP="00441F51">
            <w:pPr>
              <w:pStyle w:val="BlockText"/>
              <w:ind w:left="0"/>
              <w:jc w:val="center"/>
              <w:rPr>
                <w:rFonts w:ascii="Sakkal Majalla" w:hAnsi="Sakkal Majalla" w:cs="Sakkal Majalla"/>
                <w:sz w:val="16"/>
                <w:szCs w:val="16"/>
                <w:rtl/>
              </w:rPr>
            </w:pPr>
            <w:r w:rsidRPr="00BD04C5">
              <w:rPr>
                <w:rFonts w:ascii="Sakkal Majalla" w:hAnsi="Sakkal Majalla" w:cs="Sakkal Majalla"/>
                <w:sz w:val="16"/>
                <w:szCs w:val="16"/>
                <w:rtl/>
              </w:rPr>
              <w:t>7</w:t>
            </w:r>
          </w:p>
        </w:tc>
        <w:tc>
          <w:tcPr>
            <w:tcW w:w="4032" w:type="dxa"/>
          </w:tcPr>
          <w:p w14:paraId="5761A425" w14:textId="37269F7B" w:rsidR="003328DF" w:rsidRPr="00441F51" w:rsidRDefault="003328DF" w:rsidP="00441F51">
            <w:pPr>
              <w:pStyle w:val="BlockText"/>
              <w:ind w:left="0"/>
              <w:rPr>
                <w:rFonts w:ascii="Sakkal Majalla" w:hAnsi="Sakkal Majalla" w:cs="Sakkal Majalla"/>
                <w:sz w:val="22"/>
                <w:szCs w:val="22"/>
                <w:rtl/>
                <w:lang w:bidi="ar-EG"/>
              </w:rPr>
            </w:pPr>
            <w:r w:rsidRPr="00441F51">
              <w:rPr>
                <w:rFonts w:ascii="Sakkal Majalla" w:hAnsi="Sakkal Majalla" w:cs="Sakkal Majalla"/>
                <w:sz w:val="22"/>
                <w:szCs w:val="22"/>
                <w:rtl/>
                <w:lang w:bidi="ar-EG"/>
              </w:rPr>
              <w:t>تعتقد أن الحوكمة الرقمية ترتبط بضمان خصوصية البيانات وحمايتها وفقًا للمعايير الدولية والوطنية</w:t>
            </w:r>
            <w:r w:rsidRPr="00441F51">
              <w:rPr>
                <w:rFonts w:ascii="Sakkal Majalla" w:hAnsi="Sakkal Majalla" w:cs="Sakkal Majalla"/>
                <w:sz w:val="22"/>
                <w:szCs w:val="22"/>
                <w:lang w:bidi="ar-EG"/>
              </w:rPr>
              <w:t xml:space="preserve">. </w:t>
            </w:r>
          </w:p>
        </w:tc>
        <w:tc>
          <w:tcPr>
            <w:tcW w:w="836" w:type="dxa"/>
          </w:tcPr>
          <w:p w14:paraId="57E30485" w14:textId="77777777" w:rsidR="003328DF" w:rsidRPr="00BD04C5" w:rsidRDefault="003328DF" w:rsidP="00441F51">
            <w:pPr>
              <w:pStyle w:val="BlockText"/>
              <w:ind w:left="0"/>
              <w:jc w:val="center"/>
              <w:rPr>
                <w:rFonts w:ascii="Sakkal Majalla" w:hAnsi="Sakkal Majalla" w:cs="Sakkal Majalla"/>
                <w:b/>
                <w:bCs/>
                <w:sz w:val="16"/>
                <w:szCs w:val="16"/>
                <w:rtl/>
              </w:rPr>
            </w:pPr>
          </w:p>
        </w:tc>
        <w:tc>
          <w:tcPr>
            <w:tcW w:w="832" w:type="dxa"/>
          </w:tcPr>
          <w:p w14:paraId="3B313D6E" w14:textId="77777777" w:rsidR="003328DF" w:rsidRPr="00BD04C5" w:rsidRDefault="003328DF" w:rsidP="00441F51">
            <w:pPr>
              <w:pStyle w:val="BlockText"/>
              <w:ind w:left="0"/>
              <w:jc w:val="center"/>
              <w:rPr>
                <w:rFonts w:ascii="Sakkal Majalla" w:hAnsi="Sakkal Majalla" w:cs="Sakkal Majalla"/>
                <w:b/>
                <w:bCs/>
                <w:sz w:val="16"/>
                <w:szCs w:val="16"/>
                <w:rtl/>
              </w:rPr>
            </w:pPr>
          </w:p>
        </w:tc>
        <w:tc>
          <w:tcPr>
            <w:tcW w:w="832" w:type="dxa"/>
          </w:tcPr>
          <w:p w14:paraId="6B0E7A01" w14:textId="77777777" w:rsidR="003328DF" w:rsidRPr="00BD04C5" w:rsidRDefault="003328DF" w:rsidP="00441F51">
            <w:pPr>
              <w:pStyle w:val="BlockText"/>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0.732</w:t>
            </w:r>
          </w:p>
        </w:tc>
        <w:tc>
          <w:tcPr>
            <w:tcW w:w="1215" w:type="dxa"/>
          </w:tcPr>
          <w:p w14:paraId="222BFBFB" w14:textId="77777777" w:rsidR="003328DF" w:rsidRPr="00BD04C5" w:rsidRDefault="003328DF" w:rsidP="00441F51">
            <w:pPr>
              <w:pStyle w:val="BlockText"/>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0.676</w:t>
            </w:r>
          </w:p>
        </w:tc>
      </w:tr>
      <w:tr w:rsidR="003328DF" w:rsidRPr="00BD04C5" w14:paraId="13857309" w14:textId="77777777" w:rsidTr="003328DF">
        <w:trPr>
          <w:jc w:val="center"/>
        </w:trPr>
        <w:tc>
          <w:tcPr>
            <w:tcW w:w="544" w:type="dxa"/>
          </w:tcPr>
          <w:p w14:paraId="08A54B3B" w14:textId="77777777" w:rsidR="003328DF" w:rsidRPr="00BD04C5" w:rsidRDefault="003328DF" w:rsidP="00441F51">
            <w:pPr>
              <w:pStyle w:val="BlockText"/>
              <w:ind w:left="0"/>
              <w:jc w:val="center"/>
              <w:rPr>
                <w:rFonts w:ascii="Sakkal Majalla" w:hAnsi="Sakkal Majalla" w:cs="Sakkal Majalla"/>
                <w:sz w:val="16"/>
                <w:szCs w:val="16"/>
                <w:rtl/>
              </w:rPr>
            </w:pPr>
            <w:r w:rsidRPr="00BD04C5">
              <w:rPr>
                <w:rFonts w:ascii="Sakkal Majalla" w:hAnsi="Sakkal Majalla" w:cs="Sakkal Majalla"/>
                <w:sz w:val="16"/>
                <w:szCs w:val="16"/>
                <w:rtl/>
              </w:rPr>
              <w:lastRenderedPageBreak/>
              <w:t>8</w:t>
            </w:r>
          </w:p>
        </w:tc>
        <w:tc>
          <w:tcPr>
            <w:tcW w:w="4032" w:type="dxa"/>
          </w:tcPr>
          <w:p w14:paraId="4843CB2F" w14:textId="394B7F19" w:rsidR="003328DF" w:rsidRPr="00441F51" w:rsidRDefault="003328DF" w:rsidP="00441F51">
            <w:pPr>
              <w:pStyle w:val="BlockText"/>
              <w:ind w:left="0"/>
              <w:rPr>
                <w:rFonts w:ascii="Sakkal Majalla" w:hAnsi="Sakkal Majalla" w:cs="Sakkal Majalla"/>
                <w:sz w:val="22"/>
                <w:szCs w:val="22"/>
                <w:rtl/>
                <w:lang w:bidi="ar-EG"/>
              </w:rPr>
            </w:pPr>
            <w:r w:rsidRPr="00441F51">
              <w:rPr>
                <w:rFonts w:ascii="Sakkal Majalla" w:hAnsi="Sakkal Majalla" w:cs="Sakkal Majalla"/>
                <w:sz w:val="22"/>
                <w:szCs w:val="22"/>
                <w:lang w:bidi="ar-EG"/>
              </w:rPr>
              <w:t xml:space="preserve"> </w:t>
            </w:r>
            <w:r w:rsidRPr="00441F51">
              <w:rPr>
                <w:rFonts w:ascii="Sakkal Majalla" w:hAnsi="Sakkal Majalla" w:cs="Sakkal Majalla"/>
                <w:sz w:val="22"/>
                <w:szCs w:val="22"/>
                <w:rtl/>
                <w:lang w:bidi="ar-EG"/>
              </w:rPr>
              <w:t>ترتبط الحوكمة الرقمية بتعزيز التنسيق والتعاون الاستراتيجي بين الجهات الحكومية والقطاع الخاص</w:t>
            </w:r>
            <w:r w:rsidRPr="00441F51">
              <w:rPr>
                <w:rFonts w:ascii="Sakkal Majalla" w:hAnsi="Sakkal Majalla" w:cs="Sakkal Majalla"/>
                <w:sz w:val="22"/>
                <w:szCs w:val="22"/>
                <w:lang w:bidi="ar-EG"/>
              </w:rPr>
              <w:t xml:space="preserve">. </w:t>
            </w:r>
          </w:p>
        </w:tc>
        <w:tc>
          <w:tcPr>
            <w:tcW w:w="836" w:type="dxa"/>
          </w:tcPr>
          <w:p w14:paraId="6BD69F1E" w14:textId="77777777" w:rsidR="003328DF" w:rsidRPr="00BD04C5" w:rsidRDefault="003328DF" w:rsidP="00441F51">
            <w:pPr>
              <w:pStyle w:val="BlockText"/>
              <w:ind w:left="0"/>
              <w:jc w:val="center"/>
              <w:rPr>
                <w:rFonts w:ascii="Sakkal Majalla" w:hAnsi="Sakkal Majalla" w:cs="Sakkal Majalla"/>
                <w:b/>
                <w:bCs/>
                <w:sz w:val="16"/>
                <w:szCs w:val="16"/>
                <w:rtl/>
              </w:rPr>
            </w:pPr>
          </w:p>
        </w:tc>
        <w:tc>
          <w:tcPr>
            <w:tcW w:w="832" w:type="dxa"/>
          </w:tcPr>
          <w:p w14:paraId="23A321F5" w14:textId="77777777" w:rsidR="003328DF" w:rsidRPr="00BD04C5" w:rsidRDefault="003328DF" w:rsidP="00441F51">
            <w:pPr>
              <w:pStyle w:val="BlockText"/>
              <w:ind w:left="0"/>
              <w:jc w:val="center"/>
              <w:rPr>
                <w:rFonts w:ascii="Sakkal Majalla" w:hAnsi="Sakkal Majalla" w:cs="Sakkal Majalla"/>
                <w:b/>
                <w:bCs/>
                <w:sz w:val="16"/>
                <w:szCs w:val="16"/>
                <w:rtl/>
              </w:rPr>
            </w:pPr>
          </w:p>
        </w:tc>
        <w:tc>
          <w:tcPr>
            <w:tcW w:w="832" w:type="dxa"/>
          </w:tcPr>
          <w:p w14:paraId="445A88BF" w14:textId="77777777" w:rsidR="003328DF" w:rsidRPr="00BD04C5" w:rsidRDefault="003328DF" w:rsidP="00441F51">
            <w:pPr>
              <w:pStyle w:val="BlockText"/>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0.768</w:t>
            </w:r>
          </w:p>
        </w:tc>
        <w:tc>
          <w:tcPr>
            <w:tcW w:w="1215" w:type="dxa"/>
          </w:tcPr>
          <w:p w14:paraId="1D1A42E8" w14:textId="77777777" w:rsidR="003328DF" w:rsidRPr="00BD04C5" w:rsidRDefault="003328DF" w:rsidP="00441F51">
            <w:pPr>
              <w:pStyle w:val="BlockText"/>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0.646</w:t>
            </w:r>
          </w:p>
        </w:tc>
      </w:tr>
      <w:tr w:rsidR="003328DF" w:rsidRPr="00BD04C5" w14:paraId="146B03FA" w14:textId="77777777" w:rsidTr="003328DF">
        <w:trPr>
          <w:jc w:val="center"/>
        </w:trPr>
        <w:tc>
          <w:tcPr>
            <w:tcW w:w="544" w:type="dxa"/>
          </w:tcPr>
          <w:p w14:paraId="019ACEF4" w14:textId="77777777" w:rsidR="003328DF" w:rsidRPr="00BD04C5" w:rsidRDefault="003328DF" w:rsidP="00441F51">
            <w:pPr>
              <w:pStyle w:val="BlockText"/>
              <w:ind w:left="0"/>
              <w:jc w:val="center"/>
              <w:rPr>
                <w:rFonts w:ascii="Sakkal Majalla" w:hAnsi="Sakkal Majalla" w:cs="Sakkal Majalla"/>
                <w:sz w:val="16"/>
                <w:szCs w:val="16"/>
                <w:rtl/>
              </w:rPr>
            </w:pPr>
            <w:r w:rsidRPr="00BD04C5">
              <w:rPr>
                <w:rFonts w:ascii="Sakkal Majalla" w:hAnsi="Sakkal Majalla" w:cs="Sakkal Majalla"/>
                <w:sz w:val="16"/>
                <w:szCs w:val="16"/>
                <w:rtl/>
              </w:rPr>
              <w:t>9</w:t>
            </w:r>
          </w:p>
        </w:tc>
        <w:tc>
          <w:tcPr>
            <w:tcW w:w="4032" w:type="dxa"/>
          </w:tcPr>
          <w:p w14:paraId="2B022056" w14:textId="5DAC429E" w:rsidR="003328DF" w:rsidRPr="00441F51" w:rsidRDefault="003328DF" w:rsidP="00441F51">
            <w:pPr>
              <w:pStyle w:val="BlockText"/>
              <w:ind w:left="0"/>
              <w:rPr>
                <w:rFonts w:ascii="Sakkal Majalla" w:hAnsi="Sakkal Majalla" w:cs="Sakkal Majalla"/>
                <w:sz w:val="22"/>
                <w:szCs w:val="22"/>
                <w:lang w:bidi="ar-EG"/>
              </w:rPr>
            </w:pPr>
            <w:r w:rsidRPr="00441F51">
              <w:rPr>
                <w:rFonts w:ascii="Sakkal Majalla" w:hAnsi="Sakkal Majalla" w:cs="Sakkal Majalla"/>
                <w:sz w:val="22"/>
                <w:szCs w:val="22"/>
                <w:lang w:bidi="ar-EG"/>
              </w:rPr>
              <w:t xml:space="preserve">  </w:t>
            </w:r>
            <w:r>
              <w:rPr>
                <w:rFonts w:ascii="Sakkal Majalla" w:hAnsi="Sakkal Majalla" w:cs="Sakkal Majalla" w:hint="cs"/>
                <w:sz w:val="22"/>
                <w:szCs w:val="22"/>
                <w:rtl/>
                <w:lang w:bidi="ar-EG"/>
              </w:rPr>
              <w:t>ت</w:t>
            </w:r>
            <w:r w:rsidRPr="00441F51">
              <w:rPr>
                <w:rFonts w:ascii="Sakkal Majalla" w:hAnsi="Sakkal Majalla" w:cs="Sakkal Majalla"/>
                <w:sz w:val="22"/>
                <w:szCs w:val="22"/>
                <w:rtl/>
                <w:lang w:bidi="ar-EG"/>
              </w:rPr>
              <w:t>عتقد أن الحوكمة الرقمية ترتبط برفع مستوى الامتثال الضريبي والجمركي من خلال الشفافية والمساءلة الرقمية</w:t>
            </w:r>
            <w:r w:rsidRPr="00441F51">
              <w:rPr>
                <w:rFonts w:ascii="Sakkal Majalla" w:hAnsi="Sakkal Majalla" w:cs="Sakkal Majalla"/>
                <w:sz w:val="22"/>
                <w:szCs w:val="22"/>
                <w:lang w:bidi="ar-EG"/>
              </w:rPr>
              <w:t>.</w:t>
            </w:r>
          </w:p>
        </w:tc>
        <w:tc>
          <w:tcPr>
            <w:tcW w:w="836" w:type="dxa"/>
          </w:tcPr>
          <w:p w14:paraId="0B9F57D7" w14:textId="77777777" w:rsidR="003328DF" w:rsidRPr="00BD04C5" w:rsidRDefault="003328DF" w:rsidP="00441F51">
            <w:pPr>
              <w:pStyle w:val="BlockText"/>
              <w:ind w:left="0"/>
              <w:jc w:val="center"/>
              <w:rPr>
                <w:rFonts w:ascii="Sakkal Majalla" w:hAnsi="Sakkal Majalla" w:cs="Sakkal Majalla"/>
                <w:b/>
                <w:bCs/>
                <w:sz w:val="16"/>
                <w:szCs w:val="16"/>
                <w:rtl/>
              </w:rPr>
            </w:pPr>
          </w:p>
        </w:tc>
        <w:tc>
          <w:tcPr>
            <w:tcW w:w="832" w:type="dxa"/>
          </w:tcPr>
          <w:p w14:paraId="7AF994DA" w14:textId="77777777" w:rsidR="003328DF" w:rsidRPr="00BD04C5" w:rsidRDefault="003328DF" w:rsidP="00441F51">
            <w:pPr>
              <w:pStyle w:val="BlockText"/>
              <w:ind w:left="0"/>
              <w:jc w:val="center"/>
              <w:rPr>
                <w:rFonts w:ascii="Sakkal Majalla" w:hAnsi="Sakkal Majalla" w:cs="Sakkal Majalla"/>
                <w:b/>
                <w:bCs/>
                <w:sz w:val="16"/>
                <w:szCs w:val="16"/>
                <w:rtl/>
              </w:rPr>
            </w:pPr>
          </w:p>
        </w:tc>
        <w:tc>
          <w:tcPr>
            <w:tcW w:w="832" w:type="dxa"/>
          </w:tcPr>
          <w:p w14:paraId="53D06B2A" w14:textId="77777777" w:rsidR="003328DF" w:rsidRPr="00BD04C5" w:rsidRDefault="003328DF" w:rsidP="00441F51">
            <w:pPr>
              <w:pStyle w:val="BlockText"/>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0.763</w:t>
            </w:r>
          </w:p>
        </w:tc>
        <w:tc>
          <w:tcPr>
            <w:tcW w:w="1215" w:type="dxa"/>
          </w:tcPr>
          <w:p w14:paraId="4B4E42F1" w14:textId="77777777" w:rsidR="003328DF" w:rsidRPr="00BD04C5" w:rsidRDefault="003328DF" w:rsidP="00441F51">
            <w:pPr>
              <w:pStyle w:val="BlockText"/>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0.646</w:t>
            </w:r>
          </w:p>
        </w:tc>
      </w:tr>
      <w:tr w:rsidR="003328DF" w:rsidRPr="00BD04C5" w14:paraId="4287611B" w14:textId="77777777" w:rsidTr="003328DF">
        <w:trPr>
          <w:jc w:val="center"/>
        </w:trPr>
        <w:tc>
          <w:tcPr>
            <w:tcW w:w="4576" w:type="dxa"/>
            <w:gridSpan w:val="2"/>
          </w:tcPr>
          <w:p w14:paraId="64582DA9" w14:textId="77777777" w:rsidR="003328DF" w:rsidRPr="00BD04C5" w:rsidRDefault="003328DF" w:rsidP="001E2DEE">
            <w:pPr>
              <w:spacing w:line="276" w:lineRule="auto"/>
              <w:jc w:val="center"/>
              <w:rPr>
                <w:rFonts w:ascii="Sakkal Majalla" w:hAnsi="Sakkal Majalla" w:cs="Sakkal Majalla"/>
                <w:b/>
                <w:bCs/>
                <w:sz w:val="16"/>
                <w:szCs w:val="16"/>
              </w:rPr>
            </w:pPr>
            <w:r w:rsidRPr="00BD04C5">
              <w:rPr>
                <w:rFonts w:ascii="Sakkal Majalla" w:hAnsi="Sakkal Majalla" w:cs="Sakkal Majalla"/>
                <w:b/>
                <w:bCs/>
                <w:sz w:val="16"/>
                <w:szCs w:val="16"/>
                <w:rtl/>
              </w:rPr>
              <w:t xml:space="preserve">الجذر الكامن </w:t>
            </w:r>
            <w:r w:rsidRPr="00BD04C5">
              <w:rPr>
                <w:rFonts w:ascii="Sakkal Majalla" w:hAnsi="Sakkal Majalla" w:cs="Sakkal Majalla"/>
                <w:b/>
                <w:bCs/>
                <w:sz w:val="16"/>
                <w:szCs w:val="16"/>
              </w:rPr>
              <w:t>Eigen Value</w:t>
            </w:r>
          </w:p>
        </w:tc>
        <w:tc>
          <w:tcPr>
            <w:tcW w:w="836" w:type="dxa"/>
          </w:tcPr>
          <w:p w14:paraId="25DC9A9E" w14:textId="77777777" w:rsidR="003328DF" w:rsidRPr="00BD04C5" w:rsidRDefault="003328DF" w:rsidP="001E2DEE">
            <w:pPr>
              <w:pStyle w:val="BlockText"/>
              <w:spacing w:line="276" w:lineRule="auto"/>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2.585</w:t>
            </w:r>
          </w:p>
        </w:tc>
        <w:tc>
          <w:tcPr>
            <w:tcW w:w="832" w:type="dxa"/>
          </w:tcPr>
          <w:p w14:paraId="1B245A4B" w14:textId="77777777" w:rsidR="003328DF" w:rsidRPr="00BD04C5" w:rsidRDefault="003328DF" w:rsidP="001E2DEE">
            <w:pPr>
              <w:pStyle w:val="BlockText"/>
              <w:spacing w:line="276" w:lineRule="auto"/>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1.926</w:t>
            </w:r>
          </w:p>
        </w:tc>
        <w:tc>
          <w:tcPr>
            <w:tcW w:w="832" w:type="dxa"/>
          </w:tcPr>
          <w:p w14:paraId="5CA8C03E" w14:textId="77777777" w:rsidR="003328DF" w:rsidRPr="00BD04C5" w:rsidRDefault="003328DF" w:rsidP="001E2DEE">
            <w:pPr>
              <w:pStyle w:val="BlockText"/>
              <w:spacing w:line="276" w:lineRule="auto"/>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1.896</w:t>
            </w:r>
          </w:p>
        </w:tc>
        <w:tc>
          <w:tcPr>
            <w:tcW w:w="1215" w:type="dxa"/>
          </w:tcPr>
          <w:p w14:paraId="53C4DE0C" w14:textId="77777777" w:rsidR="003328DF" w:rsidRPr="00BD04C5" w:rsidRDefault="003328DF" w:rsidP="001E2DEE">
            <w:pPr>
              <w:pStyle w:val="BlockText"/>
              <w:spacing w:line="276" w:lineRule="auto"/>
              <w:ind w:left="0"/>
              <w:jc w:val="center"/>
              <w:rPr>
                <w:rFonts w:ascii="Sakkal Majalla" w:hAnsi="Sakkal Majalla" w:cs="Sakkal Majalla"/>
                <w:b/>
                <w:bCs/>
                <w:sz w:val="16"/>
                <w:szCs w:val="16"/>
                <w:rtl/>
              </w:rPr>
            </w:pPr>
          </w:p>
        </w:tc>
      </w:tr>
      <w:tr w:rsidR="003328DF" w:rsidRPr="00BD04C5" w14:paraId="256EFBF4" w14:textId="77777777" w:rsidTr="003328DF">
        <w:trPr>
          <w:jc w:val="center"/>
        </w:trPr>
        <w:tc>
          <w:tcPr>
            <w:tcW w:w="4576" w:type="dxa"/>
            <w:gridSpan w:val="2"/>
          </w:tcPr>
          <w:p w14:paraId="5EA50E1E" w14:textId="77777777" w:rsidR="003328DF" w:rsidRPr="00BD04C5" w:rsidRDefault="003328DF" w:rsidP="001E2DEE">
            <w:pPr>
              <w:spacing w:line="276" w:lineRule="auto"/>
              <w:jc w:val="center"/>
              <w:rPr>
                <w:rFonts w:ascii="Sakkal Majalla" w:hAnsi="Sakkal Majalla" w:cs="Sakkal Majalla"/>
                <w:b/>
                <w:bCs/>
                <w:sz w:val="16"/>
                <w:szCs w:val="16"/>
                <w:rtl/>
              </w:rPr>
            </w:pPr>
            <w:r w:rsidRPr="00BD04C5">
              <w:rPr>
                <w:rFonts w:ascii="Sakkal Majalla" w:hAnsi="Sakkal Majalla" w:cs="Sakkal Majalla"/>
                <w:b/>
                <w:bCs/>
                <w:sz w:val="16"/>
                <w:szCs w:val="16"/>
                <w:rtl/>
              </w:rPr>
              <w:t>نسبة مشاركة كل عامل للتباين الكلى</w:t>
            </w:r>
          </w:p>
        </w:tc>
        <w:tc>
          <w:tcPr>
            <w:tcW w:w="836" w:type="dxa"/>
          </w:tcPr>
          <w:p w14:paraId="7D1B6F69" w14:textId="77777777" w:rsidR="003328DF" w:rsidRPr="00BD04C5" w:rsidRDefault="003328DF" w:rsidP="001E2DEE">
            <w:pPr>
              <w:pStyle w:val="BlockText"/>
              <w:spacing w:line="276" w:lineRule="auto"/>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21.359</w:t>
            </w:r>
          </w:p>
        </w:tc>
        <w:tc>
          <w:tcPr>
            <w:tcW w:w="832" w:type="dxa"/>
          </w:tcPr>
          <w:p w14:paraId="208DF92C" w14:textId="77777777" w:rsidR="003328DF" w:rsidRPr="00BD04C5" w:rsidRDefault="003328DF" w:rsidP="001E2DEE">
            <w:pPr>
              <w:pStyle w:val="BlockText"/>
              <w:spacing w:line="276" w:lineRule="auto"/>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16.047</w:t>
            </w:r>
          </w:p>
        </w:tc>
        <w:tc>
          <w:tcPr>
            <w:tcW w:w="832" w:type="dxa"/>
          </w:tcPr>
          <w:p w14:paraId="019CC15D" w14:textId="77777777" w:rsidR="003328DF" w:rsidRPr="00BD04C5" w:rsidRDefault="003328DF" w:rsidP="001E2DEE">
            <w:pPr>
              <w:pStyle w:val="BlockText"/>
              <w:spacing w:line="276" w:lineRule="auto"/>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15.803</w:t>
            </w:r>
          </w:p>
        </w:tc>
        <w:tc>
          <w:tcPr>
            <w:tcW w:w="1215" w:type="dxa"/>
          </w:tcPr>
          <w:p w14:paraId="6555BE36" w14:textId="77777777" w:rsidR="003328DF" w:rsidRPr="00BD04C5" w:rsidRDefault="003328DF" w:rsidP="001E2DEE">
            <w:pPr>
              <w:pStyle w:val="BlockText"/>
              <w:spacing w:line="276" w:lineRule="auto"/>
              <w:ind w:left="0"/>
              <w:jc w:val="center"/>
              <w:rPr>
                <w:rFonts w:ascii="Sakkal Majalla" w:hAnsi="Sakkal Majalla" w:cs="Sakkal Majalla"/>
                <w:b/>
                <w:bCs/>
                <w:sz w:val="16"/>
                <w:szCs w:val="16"/>
                <w:rtl/>
              </w:rPr>
            </w:pPr>
          </w:p>
        </w:tc>
      </w:tr>
      <w:tr w:rsidR="003328DF" w:rsidRPr="00BD04C5" w14:paraId="27DA8648" w14:textId="77777777" w:rsidTr="003328DF">
        <w:trPr>
          <w:jc w:val="center"/>
        </w:trPr>
        <w:tc>
          <w:tcPr>
            <w:tcW w:w="4576" w:type="dxa"/>
            <w:gridSpan w:val="2"/>
          </w:tcPr>
          <w:p w14:paraId="2DC48D6B" w14:textId="77777777" w:rsidR="003328DF" w:rsidRPr="00BD04C5" w:rsidRDefault="003328DF" w:rsidP="001E2DEE">
            <w:pPr>
              <w:spacing w:line="276" w:lineRule="auto"/>
              <w:jc w:val="center"/>
              <w:rPr>
                <w:rFonts w:ascii="Sakkal Majalla" w:hAnsi="Sakkal Majalla" w:cs="Sakkal Majalla"/>
                <w:b/>
                <w:bCs/>
                <w:sz w:val="16"/>
                <w:szCs w:val="16"/>
                <w:rtl/>
              </w:rPr>
            </w:pPr>
            <w:r w:rsidRPr="00BD04C5">
              <w:rPr>
                <w:rFonts w:ascii="Sakkal Majalla" w:hAnsi="Sakkal Majalla" w:cs="Sakkal Majalla"/>
                <w:b/>
                <w:bCs/>
                <w:sz w:val="16"/>
                <w:szCs w:val="16"/>
                <w:rtl/>
              </w:rPr>
              <w:t>نسبة التباين ( المجتمع ) لكل عامل</w:t>
            </w:r>
          </w:p>
        </w:tc>
        <w:tc>
          <w:tcPr>
            <w:tcW w:w="836" w:type="dxa"/>
          </w:tcPr>
          <w:p w14:paraId="68720A2D" w14:textId="77777777" w:rsidR="003328DF" w:rsidRPr="00BD04C5" w:rsidRDefault="003328DF" w:rsidP="001E2DEE">
            <w:pPr>
              <w:pStyle w:val="BlockText"/>
              <w:spacing w:line="276" w:lineRule="auto"/>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21.539</w:t>
            </w:r>
          </w:p>
        </w:tc>
        <w:tc>
          <w:tcPr>
            <w:tcW w:w="832" w:type="dxa"/>
          </w:tcPr>
          <w:p w14:paraId="79FD450C" w14:textId="77777777" w:rsidR="003328DF" w:rsidRPr="00BD04C5" w:rsidRDefault="003328DF" w:rsidP="001E2DEE">
            <w:pPr>
              <w:pStyle w:val="BlockText"/>
              <w:spacing w:line="276" w:lineRule="auto"/>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37.585</w:t>
            </w:r>
          </w:p>
        </w:tc>
        <w:tc>
          <w:tcPr>
            <w:tcW w:w="832" w:type="dxa"/>
          </w:tcPr>
          <w:p w14:paraId="044EE25C" w14:textId="77777777" w:rsidR="003328DF" w:rsidRPr="00BD04C5" w:rsidRDefault="003328DF" w:rsidP="001E2DEE">
            <w:pPr>
              <w:pStyle w:val="BlockText"/>
              <w:spacing w:line="276" w:lineRule="auto"/>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53.389</w:t>
            </w:r>
          </w:p>
        </w:tc>
        <w:tc>
          <w:tcPr>
            <w:tcW w:w="1215" w:type="dxa"/>
          </w:tcPr>
          <w:p w14:paraId="21612BD0" w14:textId="77777777" w:rsidR="003328DF" w:rsidRPr="00BD04C5" w:rsidRDefault="003328DF" w:rsidP="001E2DEE">
            <w:pPr>
              <w:pStyle w:val="BlockText"/>
              <w:spacing w:line="276" w:lineRule="auto"/>
              <w:ind w:left="0"/>
              <w:jc w:val="center"/>
              <w:rPr>
                <w:rFonts w:ascii="Sakkal Majalla" w:hAnsi="Sakkal Majalla" w:cs="Sakkal Majalla"/>
                <w:b/>
                <w:bCs/>
                <w:sz w:val="16"/>
                <w:szCs w:val="16"/>
                <w:rtl/>
              </w:rPr>
            </w:pPr>
          </w:p>
        </w:tc>
      </w:tr>
    </w:tbl>
    <w:p w14:paraId="055E4915" w14:textId="77777777" w:rsidR="007A0B3B" w:rsidRPr="00BD04C5" w:rsidRDefault="007A0B3B" w:rsidP="007A0B3B">
      <w:pPr>
        <w:pStyle w:val="BlockText"/>
        <w:spacing w:line="360" w:lineRule="auto"/>
        <w:jc w:val="lowKashida"/>
        <w:rPr>
          <w:rFonts w:ascii="Sakkal Majalla" w:hAnsi="Sakkal Majalla" w:cs="Sakkal Majalla"/>
          <w:szCs w:val="20"/>
          <w:rtl/>
          <w:lang w:bidi="ar-EG"/>
        </w:rPr>
      </w:pPr>
      <w:r w:rsidRPr="00BD04C5">
        <w:rPr>
          <w:rFonts w:ascii="Sakkal Majalla" w:hAnsi="Sakkal Majalla" w:cs="Sakkal Majalla"/>
          <w:b/>
          <w:bCs/>
          <w:szCs w:val="20"/>
          <w:rtl/>
          <w:lang w:bidi="ar-EG"/>
        </w:rPr>
        <w:t>المصدر :</w:t>
      </w:r>
      <w:r w:rsidRPr="00BD04C5">
        <w:rPr>
          <w:rFonts w:ascii="Sakkal Majalla" w:hAnsi="Sakkal Majalla" w:cs="Sakkal Majalla"/>
          <w:szCs w:val="20"/>
          <w:rtl/>
          <w:lang w:bidi="ar-EG"/>
        </w:rPr>
        <w:t xml:space="preserve"> نتائج التحليل الأحصائى .</w:t>
      </w:r>
    </w:p>
    <w:p w14:paraId="0D2664B4" w14:textId="77777777" w:rsidR="007A0B3B" w:rsidRPr="00A22967" w:rsidRDefault="007A0B3B" w:rsidP="007A0B3B">
      <w:pPr>
        <w:pStyle w:val="BlockText"/>
        <w:jc w:val="lowKashida"/>
        <w:rPr>
          <w:rFonts w:ascii="Sakkal Majalla" w:hAnsi="Sakkal Majalla" w:cs="Sakkal Majalla"/>
          <w:b/>
          <w:bCs/>
          <w:sz w:val="28"/>
          <w:lang w:bidi="ar-EG"/>
        </w:rPr>
      </w:pPr>
      <w:r w:rsidRPr="00A22967">
        <w:rPr>
          <w:rFonts w:ascii="Sakkal Majalla" w:hAnsi="Sakkal Majalla" w:cs="Sakkal Majalla"/>
          <w:b/>
          <w:bCs/>
          <w:sz w:val="28"/>
          <w:rtl/>
          <w:lang w:bidi="ar-EG"/>
        </w:rPr>
        <w:t xml:space="preserve">من نتائج الجدول رقم (3/5) يتضح أنه نتج عن التحليل العاملى أربعة عوامل رئيسية وهى على الترتيب : </w:t>
      </w:r>
    </w:p>
    <w:p w14:paraId="14F1F81A" w14:textId="67F16556" w:rsidR="007A0B3B" w:rsidRPr="00A22967" w:rsidRDefault="007A0B3B" w:rsidP="007A0B3B">
      <w:pPr>
        <w:pStyle w:val="BlockText"/>
        <w:jc w:val="lowKashida"/>
        <w:rPr>
          <w:rFonts w:ascii="Sakkal Majalla" w:hAnsi="Sakkal Majalla" w:cs="Sakkal Majalla"/>
          <w:sz w:val="28"/>
          <w:rtl/>
          <w:lang w:bidi="ar-EG"/>
        </w:rPr>
      </w:pPr>
      <w:r w:rsidRPr="00A22967">
        <w:rPr>
          <w:rFonts w:ascii="Sakkal Majalla" w:hAnsi="Sakkal Majalla" w:cs="Sakkal Majalla"/>
          <w:b/>
          <w:bCs/>
          <w:sz w:val="28"/>
          <w:rtl/>
          <w:lang w:bidi="ar-EG"/>
        </w:rPr>
        <w:t>العامل الأول :</w:t>
      </w:r>
      <w:r w:rsidRPr="00A22967">
        <w:rPr>
          <w:rFonts w:ascii="Sakkal Majalla" w:hAnsi="Sakkal Majalla" w:cs="Sakkal Majalla"/>
          <w:sz w:val="28"/>
          <w:rtl/>
          <w:lang w:bidi="ar-EG"/>
        </w:rPr>
        <w:t xml:space="preserve"> ويشمل عدد </w:t>
      </w:r>
      <w:r>
        <w:rPr>
          <w:rFonts w:ascii="Sakkal Majalla" w:hAnsi="Sakkal Majalla" w:cs="Sakkal Majalla" w:hint="cs"/>
          <w:sz w:val="28"/>
          <w:rtl/>
          <w:lang w:bidi="ar-EG"/>
        </w:rPr>
        <w:t>3</w:t>
      </w:r>
      <w:r w:rsidRPr="00A22967">
        <w:rPr>
          <w:rFonts w:ascii="Sakkal Majalla" w:hAnsi="Sakkal Majalla" w:cs="Sakkal Majalla"/>
          <w:sz w:val="28"/>
          <w:rtl/>
          <w:lang w:bidi="ar-EG"/>
        </w:rPr>
        <w:t xml:space="preserve"> عبارة و أرقامها مرتبة طبقا لتشبعات كل عامل ( 1,2</w:t>
      </w:r>
      <w:r>
        <w:rPr>
          <w:rFonts w:ascii="Sakkal Majalla" w:hAnsi="Sakkal Majalla" w:cs="Sakkal Majalla" w:hint="cs"/>
          <w:sz w:val="28"/>
          <w:rtl/>
          <w:lang w:bidi="ar-EG"/>
        </w:rPr>
        <w:t>,3</w:t>
      </w:r>
      <w:r w:rsidRPr="00A22967">
        <w:rPr>
          <w:rFonts w:ascii="Sakkal Majalla" w:hAnsi="Sakkal Majalla" w:cs="Sakkal Majalla"/>
          <w:sz w:val="28"/>
          <w:rtl/>
          <w:lang w:bidi="ar-EG"/>
        </w:rPr>
        <w:t xml:space="preserve"> ) وسمى هذا العامل " </w:t>
      </w:r>
      <w:r w:rsidR="003328DF">
        <w:rPr>
          <w:rFonts w:ascii="Sakkal Majalla" w:hAnsi="Sakkal Majalla" w:cs="Sakkal Majalla" w:hint="cs"/>
          <w:sz w:val="28"/>
          <w:rtl/>
          <w:lang w:bidi="ar-EG"/>
        </w:rPr>
        <w:t>الأسس الرقمية</w:t>
      </w:r>
      <w:r w:rsidRPr="00A22967">
        <w:rPr>
          <w:rFonts w:ascii="Sakkal Majalla" w:hAnsi="Sakkal Majalla" w:cs="Sakkal Majalla"/>
          <w:sz w:val="28"/>
          <w:rtl/>
          <w:lang w:bidi="ar-EG"/>
        </w:rPr>
        <w:t xml:space="preserve">" </w:t>
      </w:r>
    </w:p>
    <w:p w14:paraId="21C7C574" w14:textId="2704DDD5" w:rsidR="007A0B3B" w:rsidRPr="00A22967" w:rsidRDefault="007A0B3B" w:rsidP="007A0B3B">
      <w:pPr>
        <w:pStyle w:val="BlockText"/>
        <w:jc w:val="lowKashida"/>
        <w:rPr>
          <w:rFonts w:ascii="Sakkal Majalla" w:hAnsi="Sakkal Majalla" w:cs="Sakkal Majalla"/>
          <w:sz w:val="28"/>
          <w:rtl/>
          <w:lang w:bidi="ar-EG"/>
        </w:rPr>
      </w:pPr>
      <w:r w:rsidRPr="00A22967">
        <w:rPr>
          <w:rFonts w:ascii="Sakkal Majalla" w:hAnsi="Sakkal Majalla" w:cs="Sakkal Majalla"/>
          <w:b/>
          <w:bCs/>
          <w:sz w:val="28"/>
          <w:rtl/>
          <w:lang w:bidi="ar-EG"/>
        </w:rPr>
        <w:t>العامل الثانى :</w:t>
      </w:r>
      <w:r w:rsidRPr="00A22967">
        <w:rPr>
          <w:rFonts w:ascii="Sakkal Majalla" w:hAnsi="Sakkal Majalla" w:cs="Sakkal Majalla"/>
          <w:sz w:val="28"/>
          <w:rtl/>
          <w:lang w:bidi="ar-EG"/>
        </w:rPr>
        <w:t xml:space="preserve"> ويشمل عدد 3 عبارات و أرقامها مرتبة طبقا لتشبعات كل عامل (</w:t>
      </w:r>
      <w:r>
        <w:rPr>
          <w:rFonts w:ascii="Sakkal Majalla" w:hAnsi="Sakkal Majalla" w:cs="Sakkal Majalla" w:hint="cs"/>
          <w:sz w:val="28"/>
          <w:rtl/>
          <w:lang w:bidi="ar-EG"/>
        </w:rPr>
        <w:t>6</w:t>
      </w:r>
      <w:r w:rsidRPr="00A22967">
        <w:rPr>
          <w:rFonts w:ascii="Sakkal Majalla" w:hAnsi="Sakkal Majalla" w:cs="Sakkal Majalla"/>
          <w:sz w:val="28"/>
          <w:rtl/>
          <w:lang w:bidi="ar-EG"/>
        </w:rPr>
        <w:t xml:space="preserve">,4,5 ) وسمى هذا العامل " </w:t>
      </w:r>
      <w:r w:rsidR="003328DF">
        <w:rPr>
          <w:rFonts w:ascii="Sakkal Majalla" w:hAnsi="Sakkal Majalla" w:cs="Sakkal Majalla" w:hint="cs"/>
          <w:sz w:val="28"/>
          <w:rtl/>
          <w:lang w:bidi="ar-EG"/>
        </w:rPr>
        <w:t>الابتكار الرقمي</w:t>
      </w:r>
      <w:r w:rsidRPr="00A22967">
        <w:rPr>
          <w:rFonts w:ascii="Sakkal Majalla" w:hAnsi="Sakkal Majalla" w:cs="Sakkal Majalla"/>
          <w:sz w:val="28"/>
          <w:rtl/>
          <w:lang w:bidi="ar-EG"/>
        </w:rPr>
        <w:t xml:space="preserve"> " </w:t>
      </w:r>
    </w:p>
    <w:p w14:paraId="07EEBBFA" w14:textId="01AFC806" w:rsidR="007A0B3B" w:rsidRPr="00A22967" w:rsidRDefault="007A0B3B" w:rsidP="007A0B3B">
      <w:pPr>
        <w:pStyle w:val="BlockText"/>
        <w:jc w:val="lowKashida"/>
        <w:rPr>
          <w:rFonts w:ascii="Sakkal Majalla" w:hAnsi="Sakkal Majalla" w:cs="Sakkal Majalla"/>
          <w:sz w:val="28"/>
          <w:rtl/>
          <w:lang w:bidi="ar-EG"/>
        </w:rPr>
      </w:pPr>
      <w:r w:rsidRPr="00A22967">
        <w:rPr>
          <w:rFonts w:ascii="Sakkal Majalla" w:hAnsi="Sakkal Majalla" w:cs="Sakkal Majalla"/>
          <w:b/>
          <w:bCs/>
          <w:sz w:val="28"/>
          <w:rtl/>
          <w:lang w:bidi="ar-EG"/>
        </w:rPr>
        <w:t>العامل الثالث :</w:t>
      </w:r>
      <w:r w:rsidRPr="00A22967">
        <w:rPr>
          <w:rFonts w:ascii="Sakkal Majalla" w:hAnsi="Sakkal Majalla" w:cs="Sakkal Majalla"/>
          <w:sz w:val="28"/>
          <w:rtl/>
          <w:lang w:bidi="ar-EG"/>
        </w:rPr>
        <w:t xml:space="preserve"> ويشمل عدد 3 عبارات و أرقامها مرتبة طبقا لتشبعات كل عامل ( </w:t>
      </w:r>
      <w:r>
        <w:rPr>
          <w:rFonts w:ascii="Sakkal Majalla" w:hAnsi="Sakkal Majalla" w:cs="Sakkal Majalla" w:hint="cs"/>
          <w:sz w:val="28"/>
          <w:rtl/>
          <w:lang w:bidi="ar-EG"/>
        </w:rPr>
        <w:t>9</w:t>
      </w:r>
      <w:r w:rsidRPr="00A22967">
        <w:rPr>
          <w:rFonts w:ascii="Sakkal Majalla" w:hAnsi="Sakkal Majalla" w:cs="Sakkal Majalla"/>
          <w:sz w:val="28"/>
          <w:rtl/>
          <w:lang w:bidi="ar-EG"/>
        </w:rPr>
        <w:t xml:space="preserve">,7,8 ) وسمى هذا العامل " </w:t>
      </w:r>
      <w:r w:rsidR="003328DF">
        <w:rPr>
          <w:rFonts w:ascii="Sakkal Majalla" w:hAnsi="Sakkal Majalla" w:cs="Sakkal Majalla" w:hint="cs"/>
          <w:sz w:val="28"/>
          <w:rtl/>
          <w:lang w:bidi="ar-EG"/>
        </w:rPr>
        <w:t>الحوكمة الرقمية</w:t>
      </w:r>
      <w:r w:rsidRPr="00A22967">
        <w:rPr>
          <w:rFonts w:ascii="Sakkal Majalla" w:hAnsi="Sakkal Majalla" w:cs="Sakkal Majalla"/>
          <w:sz w:val="28"/>
          <w:rtl/>
          <w:lang w:bidi="ar-EG"/>
        </w:rPr>
        <w:t xml:space="preserve">" </w:t>
      </w:r>
    </w:p>
    <w:p w14:paraId="6B7DE7C4" w14:textId="77777777" w:rsidR="007A0B3B" w:rsidRPr="00A22967" w:rsidRDefault="007A0B3B" w:rsidP="007A0B3B">
      <w:pPr>
        <w:pStyle w:val="BlockText"/>
        <w:jc w:val="lowKashida"/>
        <w:rPr>
          <w:rFonts w:ascii="Sakkal Majalla" w:hAnsi="Sakkal Majalla" w:cs="Sakkal Majalla"/>
          <w:b/>
          <w:bCs/>
          <w:sz w:val="28"/>
          <w:rtl/>
          <w:lang w:bidi="ar-EG"/>
        </w:rPr>
      </w:pPr>
      <w:r w:rsidRPr="00A22967">
        <w:rPr>
          <w:rFonts w:ascii="Sakkal Majalla" w:hAnsi="Sakkal Majalla" w:cs="Sakkal Majalla"/>
          <w:b/>
          <w:bCs/>
          <w:sz w:val="28"/>
          <w:rtl/>
          <w:lang w:bidi="ar-EG"/>
        </w:rPr>
        <w:t xml:space="preserve">و من نتائج جدول (3/2) نستنتج الأتى : </w:t>
      </w:r>
    </w:p>
    <w:p w14:paraId="583136A0" w14:textId="48D55EED" w:rsidR="007A0B3B" w:rsidRPr="00A22967" w:rsidRDefault="007A0B3B">
      <w:pPr>
        <w:pStyle w:val="BlockText"/>
        <w:numPr>
          <w:ilvl w:val="0"/>
          <w:numId w:val="123"/>
        </w:numPr>
        <w:jc w:val="lowKashida"/>
        <w:rPr>
          <w:rFonts w:ascii="Sakkal Majalla" w:hAnsi="Sakkal Majalla" w:cs="Sakkal Majalla"/>
          <w:sz w:val="28"/>
          <w:lang w:bidi="ar-EG"/>
        </w:rPr>
      </w:pPr>
      <w:r w:rsidRPr="00A22967">
        <w:rPr>
          <w:rFonts w:ascii="Sakkal Majalla" w:hAnsi="Sakkal Majalla" w:cs="Sakkal Majalla"/>
          <w:sz w:val="28"/>
          <w:rtl/>
          <w:lang w:bidi="ar-EG"/>
        </w:rPr>
        <w:t xml:space="preserve">أن العوامل </w:t>
      </w:r>
      <w:r w:rsidR="003328DF">
        <w:rPr>
          <w:rFonts w:ascii="Sakkal Majalla" w:hAnsi="Sakkal Majalla" w:cs="Sakkal Majalla" w:hint="cs"/>
          <w:sz w:val="28"/>
          <w:rtl/>
          <w:lang w:bidi="ar-EG"/>
        </w:rPr>
        <w:t>الثلاثة</w:t>
      </w:r>
      <w:r w:rsidRPr="00A22967">
        <w:rPr>
          <w:rFonts w:ascii="Sakkal Majalla" w:hAnsi="Sakkal Majalla" w:cs="Sakkal Majalla"/>
          <w:sz w:val="28"/>
          <w:rtl/>
          <w:lang w:bidi="ar-EG"/>
        </w:rPr>
        <w:t xml:space="preserve"> التي استخلصت تفسر 66.333 من التغير الكلى للبيانات (نسبة التباين المتجمع للعوامل) .</w:t>
      </w:r>
    </w:p>
    <w:p w14:paraId="73096BAB" w14:textId="01F61A6F" w:rsidR="007A0B3B" w:rsidRPr="00A22967" w:rsidRDefault="007A0B3B">
      <w:pPr>
        <w:pStyle w:val="BlockText"/>
        <w:numPr>
          <w:ilvl w:val="0"/>
          <w:numId w:val="123"/>
        </w:numPr>
        <w:jc w:val="lowKashida"/>
        <w:rPr>
          <w:rFonts w:ascii="Sakkal Majalla" w:hAnsi="Sakkal Majalla" w:cs="Sakkal Majalla"/>
          <w:sz w:val="28"/>
          <w:lang w:bidi="ar-EG"/>
        </w:rPr>
      </w:pPr>
      <w:r w:rsidRPr="00A22967">
        <w:rPr>
          <w:rFonts w:ascii="Sakkal Majalla" w:hAnsi="Sakkal Majalla" w:cs="Sakkal Majalla"/>
          <w:sz w:val="28"/>
          <w:rtl/>
          <w:lang w:bidi="ar-EG"/>
        </w:rPr>
        <w:t>يساهم العامل الأول بمقدار 21.539 من التباين، والعامل الثاني بمقدار 37.585، و العامل الثالث بمقدار 53.389.</w:t>
      </w:r>
    </w:p>
    <w:p w14:paraId="4B746D44" w14:textId="0644E8FB" w:rsidR="007A0B3B" w:rsidRPr="00A22967" w:rsidRDefault="007A0B3B">
      <w:pPr>
        <w:pStyle w:val="BlockText"/>
        <w:numPr>
          <w:ilvl w:val="0"/>
          <w:numId w:val="123"/>
        </w:numPr>
        <w:jc w:val="lowKashida"/>
        <w:rPr>
          <w:rFonts w:ascii="Sakkal Majalla" w:hAnsi="Sakkal Majalla" w:cs="Sakkal Majalla"/>
          <w:sz w:val="24"/>
          <w:szCs w:val="24"/>
          <w:rtl/>
          <w:lang w:bidi="ar-EG"/>
        </w:rPr>
      </w:pPr>
      <w:r w:rsidRPr="00A22967">
        <w:rPr>
          <w:rFonts w:ascii="Sakkal Majalla" w:hAnsi="Sakkal Majalla" w:cs="Sakkal Majalla"/>
          <w:sz w:val="28"/>
          <w:rtl/>
          <w:lang w:bidi="ar-EG"/>
        </w:rPr>
        <w:t xml:space="preserve">إن كمية التباين فى المتغير </w:t>
      </w:r>
      <w:r w:rsidRPr="00A22967">
        <w:rPr>
          <w:rFonts w:ascii="Sakkal Majalla" w:hAnsi="Sakkal Majalla" w:cs="Sakkal Majalla" w:hint="cs"/>
          <w:sz w:val="28"/>
          <w:rtl/>
          <w:lang w:bidi="ar-EG"/>
        </w:rPr>
        <w:t>الاشتراكات</w:t>
      </w:r>
      <w:r w:rsidRPr="00A22967">
        <w:rPr>
          <w:rFonts w:ascii="Sakkal Majalla" w:hAnsi="Sakkal Majalla" w:cs="Sakkal Majalla"/>
          <w:sz w:val="28"/>
          <w:rtl/>
          <w:lang w:bidi="ar-EG"/>
        </w:rPr>
        <w:t xml:space="preserve"> (</w:t>
      </w:r>
      <w:r w:rsidRPr="00A22967">
        <w:rPr>
          <w:rFonts w:ascii="Sakkal Majalla" w:hAnsi="Sakkal Majalla" w:cs="Sakkal Majalla"/>
          <w:sz w:val="28"/>
          <w:lang w:bidi="ar-EG"/>
        </w:rPr>
        <w:t>Communality</w:t>
      </w:r>
      <w:r w:rsidRPr="00A22967">
        <w:rPr>
          <w:rFonts w:ascii="Sakkal Majalla" w:hAnsi="Sakkal Majalla" w:cs="Sakkal Majalla"/>
          <w:sz w:val="28"/>
          <w:rtl/>
          <w:lang w:bidi="ar-EG"/>
        </w:rPr>
        <w:t xml:space="preserve">) التى تساهم بها العوامل </w:t>
      </w:r>
      <w:r w:rsidR="003328DF">
        <w:rPr>
          <w:rFonts w:ascii="Sakkal Majalla" w:hAnsi="Sakkal Majalla" w:cs="Sakkal Majalla" w:hint="cs"/>
          <w:sz w:val="28"/>
          <w:rtl/>
          <w:lang w:bidi="ar-EG"/>
        </w:rPr>
        <w:t>الثلاثة</w:t>
      </w:r>
      <w:r w:rsidRPr="00A22967">
        <w:rPr>
          <w:rFonts w:ascii="Sakkal Majalla" w:hAnsi="Sakkal Majalla" w:cs="Sakkal Majalla"/>
          <w:sz w:val="28"/>
          <w:rtl/>
          <w:lang w:bidi="ar-EG"/>
        </w:rPr>
        <w:t>، فكانت تترواح بين 0.598 و0.720.</w:t>
      </w:r>
    </w:p>
    <w:p w14:paraId="4C90A424" w14:textId="77777777" w:rsidR="007A0B3B" w:rsidRPr="00A22967" w:rsidRDefault="007A0B3B">
      <w:pPr>
        <w:pStyle w:val="BlockText"/>
        <w:numPr>
          <w:ilvl w:val="0"/>
          <w:numId w:val="124"/>
        </w:numPr>
        <w:spacing w:line="360" w:lineRule="auto"/>
        <w:jc w:val="lowKashida"/>
        <w:rPr>
          <w:rFonts w:ascii="Sakkal Majalla" w:hAnsi="Sakkal Majalla" w:cs="Sakkal Majalla"/>
          <w:b/>
          <w:bCs/>
          <w:sz w:val="28"/>
          <w:rtl/>
          <w:lang w:bidi="ar-EG"/>
        </w:rPr>
      </w:pPr>
      <w:r w:rsidRPr="00A22967">
        <w:rPr>
          <w:rFonts w:ascii="Sakkal Majalla" w:hAnsi="Sakkal Majalla" w:cs="Sakkal Majalla"/>
          <w:b/>
          <w:bCs/>
          <w:sz w:val="28"/>
          <w:rtl/>
          <w:lang w:bidi="ar-EG"/>
        </w:rPr>
        <w:t>ثبات المقياس بطريقة التجزئة النصفية:</w:t>
      </w:r>
    </w:p>
    <w:p w14:paraId="63F5DC22" w14:textId="77777777" w:rsidR="007A0B3B" w:rsidRPr="00A22967" w:rsidRDefault="007A0B3B" w:rsidP="007A0B3B">
      <w:pPr>
        <w:pStyle w:val="BlockText"/>
        <w:jc w:val="lowKashida"/>
        <w:rPr>
          <w:rFonts w:ascii="Sakkal Majalla" w:hAnsi="Sakkal Majalla" w:cs="Sakkal Majalla"/>
          <w:sz w:val="28"/>
          <w:rtl/>
          <w:lang w:bidi="ar-EG"/>
        </w:rPr>
      </w:pPr>
      <w:r w:rsidRPr="00A22967">
        <w:rPr>
          <w:rFonts w:ascii="Sakkal Majalla" w:hAnsi="Sakkal Majalla" w:cs="Sakkal Majalla"/>
          <w:sz w:val="28"/>
          <w:rtl/>
          <w:lang w:bidi="ar-EG"/>
        </w:rPr>
        <w:t>وفيها تجزأ أداة القياس إلى جزئين بحيث يشمل الجزء الأول على العبارات الفردية الترتيب، و يشمل الجزء الثانى على العبارات الزوجية الترتيب ، وبقدر وجود مؤشرات جيدة للثبات مثل معامل ألفا لكل الجزئين و الأرتباط بين الجزأين و معامل " سبيرمان " للارتباط و معامل " جتمان " للتجزئة النصفية يمكن قبول الثبات ، وإذا كانت المؤشرات ضعيفة فأنه لا يمكن قبول الثبات ، ويوضح الجدول رقم (3/5) ثبات أداة القياس بطريقة التجزئية النصفية .</w:t>
      </w:r>
    </w:p>
    <w:p w14:paraId="6A0AE322" w14:textId="77777777" w:rsidR="007A0B3B" w:rsidRPr="00BC7B39" w:rsidRDefault="007A0B3B" w:rsidP="007A0B3B">
      <w:pPr>
        <w:pStyle w:val="BlockText"/>
        <w:jc w:val="center"/>
        <w:rPr>
          <w:b/>
          <w:bCs/>
          <w:sz w:val="28"/>
          <w:rtl/>
          <w:lang w:bidi="ar-EG"/>
        </w:rPr>
      </w:pPr>
      <w:r w:rsidRPr="00BC7B39">
        <w:rPr>
          <w:rFonts w:cs="Simplified Arabic" w:hint="cs"/>
          <w:b/>
          <w:bCs/>
          <w:sz w:val="24"/>
          <w:szCs w:val="24"/>
          <w:rtl/>
          <w:lang w:bidi="ar-EG"/>
        </w:rPr>
        <w:t>الجدول رقم (3/5) ثبات أداة القياس بطريقة التجزئة النصفية</w:t>
      </w:r>
    </w:p>
    <w:tbl>
      <w:tblPr>
        <w:bidiVisual/>
        <w:tblW w:w="0" w:type="auto"/>
        <w:jc w:val="center"/>
        <w:tblBorders>
          <w:top w:val="thinThickSmallGap" w:sz="24" w:space="0" w:color="auto"/>
          <w:left w:val="thickThinSmallGap" w:sz="24" w:space="0" w:color="auto"/>
          <w:bottom w:val="thickThinSmallGap" w:sz="24" w:space="0" w:color="auto"/>
          <w:right w:val="thinThickSmallGap" w:sz="24" w:space="0" w:color="auto"/>
          <w:insideH w:val="single" w:sz="6" w:space="0" w:color="auto"/>
          <w:insideV w:val="single" w:sz="6" w:space="0" w:color="auto"/>
        </w:tblBorders>
        <w:tblLook w:val="04A0" w:firstRow="1" w:lastRow="0" w:firstColumn="1" w:lastColumn="0" w:noHBand="0" w:noVBand="1"/>
      </w:tblPr>
      <w:tblGrid>
        <w:gridCol w:w="4255"/>
        <w:gridCol w:w="2126"/>
        <w:gridCol w:w="2091"/>
      </w:tblGrid>
      <w:tr w:rsidR="007A0B3B" w:rsidRPr="004C3247" w14:paraId="3EB0F20E" w14:textId="77777777" w:rsidTr="001E2DEE">
        <w:trPr>
          <w:jc w:val="center"/>
        </w:trPr>
        <w:tc>
          <w:tcPr>
            <w:tcW w:w="4255" w:type="dxa"/>
            <w:tcBorders>
              <w:top w:val="thinThickSmallGap" w:sz="24" w:space="0" w:color="auto"/>
              <w:bottom w:val="thinThickSmallGap" w:sz="24" w:space="0" w:color="auto"/>
            </w:tcBorders>
            <w:shd w:val="clear" w:color="auto" w:fill="D9D9D9" w:themeFill="background1" w:themeFillShade="D9"/>
          </w:tcPr>
          <w:p w14:paraId="3EB886F0" w14:textId="77777777" w:rsidR="007A0B3B" w:rsidRPr="00F014E2" w:rsidRDefault="007A0B3B" w:rsidP="001E2DEE">
            <w:pPr>
              <w:pStyle w:val="BlockText"/>
              <w:ind w:left="0"/>
              <w:jc w:val="center"/>
              <w:rPr>
                <w:b/>
                <w:bCs/>
                <w:szCs w:val="20"/>
                <w:rtl/>
                <w:lang w:bidi="ar-EG"/>
              </w:rPr>
            </w:pPr>
            <w:r w:rsidRPr="00F014E2">
              <w:rPr>
                <w:rFonts w:hint="cs"/>
                <w:b/>
                <w:bCs/>
                <w:szCs w:val="20"/>
                <w:rtl/>
                <w:lang w:bidi="ar-EG"/>
              </w:rPr>
              <w:t xml:space="preserve">المؤشرات </w:t>
            </w:r>
          </w:p>
        </w:tc>
        <w:tc>
          <w:tcPr>
            <w:tcW w:w="2126" w:type="dxa"/>
            <w:tcBorders>
              <w:top w:val="thinThickSmallGap" w:sz="24" w:space="0" w:color="auto"/>
              <w:bottom w:val="thinThickSmallGap" w:sz="24" w:space="0" w:color="auto"/>
            </w:tcBorders>
            <w:shd w:val="clear" w:color="auto" w:fill="D9D9D9" w:themeFill="background1" w:themeFillShade="D9"/>
          </w:tcPr>
          <w:p w14:paraId="481D7B21" w14:textId="77777777" w:rsidR="007A0B3B" w:rsidRPr="00F014E2" w:rsidRDefault="007A0B3B" w:rsidP="001E2DEE">
            <w:pPr>
              <w:pStyle w:val="BlockText"/>
              <w:ind w:left="0"/>
              <w:jc w:val="center"/>
              <w:rPr>
                <w:b/>
                <w:bCs/>
                <w:szCs w:val="20"/>
                <w:rtl/>
                <w:lang w:bidi="ar-EG"/>
              </w:rPr>
            </w:pPr>
            <w:r w:rsidRPr="00F014E2">
              <w:rPr>
                <w:rFonts w:hint="cs"/>
                <w:b/>
                <w:bCs/>
                <w:szCs w:val="20"/>
                <w:rtl/>
                <w:lang w:bidi="ar-EG"/>
              </w:rPr>
              <w:t xml:space="preserve">الجزء الأول </w:t>
            </w:r>
          </w:p>
        </w:tc>
        <w:tc>
          <w:tcPr>
            <w:tcW w:w="2091" w:type="dxa"/>
            <w:tcBorders>
              <w:top w:val="thinThickSmallGap" w:sz="24" w:space="0" w:color="auto"/>
              <w:bottom w:val="thinThickSmallGap" w:sz="24" w:space="0" w:color="auto"/>
            </w:tcBorders>
            <w:shd w:val="clear" w:color="auto" w:fill="D9D9D9" w:themeFill="background1" w:themeFillShade="D9"/>
          </w:tcPr>
          <w:p w14:paraId="2E0987F1" w14:textId="77777777" w:rsidR="007A0B3B" w:rsidRPr="00F014E2" w:rsidRDefault="007A0B3B" w:rsidP="001E2DEE">
            <w:pPr>
              <w:pStyle w:val="BlockText"/>
              <w:ind w:left="0"/>
              <w:jc w:val="center"/>
              <w:rPr>
                <w:b/>
                <w:bCs/>
                <w:szCs w:val="20"/>
                <w:rtl/>
                <w:lang w:bidi="ar-EG"/>
              </w:rPr>
            </w:pPr>
            <w:r w:rsidRPr="00F014E2">
              <w:rPr>
                <w:rFonts w:hint="cs"/>
                <w:b/>
                <w:bCs/>
                <w:szCs w:val="20"/>
                <w:rtl/>
                <w:lang w:bidi="ar-EG"/>
              </w:rPr>
              <w:t xml:space="preserve">الجزء الثانى </w:t>
            </w:r>
          </w:p>
        </w:tc>
      </w:tr>
      <w:tr w:rsidR="007A0B3B" w:rsidRPr="004C3247" w14:paraId="405617E6" w14:textId="77777777" w:rsidTr="001E2DEE">
        <w:trPr>
          <w:jc w:val="center"/>
        </w:trPr>
        <w:tc>
          <w:tcPr>
            <w:tcW w:w="4255" w:type="dxa"/>
            <w:tcBorders>
              <w:top w:val="thinThickSmallGap" w:sz="24" w:space="0" w:color="auto"/>
            </w:tcBorders>
          </w:tcPr>
          <w:p w14:paraId="2542E432" w14:textId="77777777" w:rsidR="007A0B3B" w:rsidRPr="00F014E2" w:rsidRDefault="007A0B3B" w:rsidP="001E2DEE">
            <w:pPr>
              <w:pStyle w:val="BlockText"/>
              <w:ind w:left="0"/>
              <w:rPr>
                <w:szCs w:val="20"/>
                <w:rtl/>
                <w:lang w:bidi="ar-EG"/>
              </w:rPr>
            </w:pPr>
            <w:r w:rsidRPr="00F014E2">
              <w:rPr>
                <w:rFonts w:hint="cs"/>
                <w:szCs w:val="20"/>
                <w:rtl/>
                <w:lang w:bidi="ar-EG"/>
              </w:rPr>
              <w:t xml:space="preserve">عدد العبارات </w:t>
            </w:r>
          </w:p>
        </w:tc>
        <w:tc>
          <w:tcPr>
            <w:tcW w:w="2126" w:type="dxa"/>
            <w:tcBorders>
              <w:top w:val="thinThickSmallGap" w:sz="24" w:space="0" w:color="auto"/>
            </w:tcBorders>
          </w:tcPr>
          <w:p w14:paraId="1239153A" w14:textId="77774A85" w:rsidR="007A0B3B" w:rsidRPr="00F014E2" w:rsidRDefault="003328DF" w:rsidP="001E2DEE">
            <w:pPr>
              <w:pStyle w:val="BlockText"/>
              <w:ind w:left="0"/>
              <w:jc w:val="center"/>
              <w:rPr>
                <w:szCs w:val="20"/>
                <w:rtl/>
                <w:lang w:bidi="ar-EG"/>
              </w:rPr>
            </w:pPr>
            <w:r>
              <w:rPr>
                <w:rFonts w:hint="cs"/>
                <w:szCs w:val="20"/>
                <w:rtl/>
                <w:lang w:bidi="ar-EG"/>
              </w:rPr>
              <w:t>5</w:t>
            </w:r>
          </w:p>
        </w:tc>
        <w:tc>
          <w:tcPr>
            <w:tcW w:w="2091" w:type="dxa"/>
            <w:tcBorders>
              <w:top w:val="thinThickSmallGap" w:sz="24" w:space="0" w:color="auto"/>
            </w:tcBorders>
          </w:tcPr>
          <w:p w14:paraId="32F01B5A" w14:textId="6C745E8C" w:rsidR="007A0B3B" w:rsidRPr="00F014E2" w:rsidRDefault="003328DF" w:rsidP="001E2DEE">
            <w:pPr>
              <w:pStyle w:val="BlockText"/>
              <w:ind w:left="0"/>
              <w:jc w:val="center"/>
              <w:rPr>
                <w:szCs w:val="20"/>
                <w:rtl/>
                <w:lang w:bidi="ar-EG"/>
              </w:rPr>
            </w:pPr>
            <w:r>
              <w:rPr>
                <w:rFonts w:hint="cs"/>
                <w:szCs w:val="20"/>
                <w:rtl/>
                <w:lang w:bidi="ar-EG"/>
              </w:rPr>
              <w:t>4</w:t>
            </w:r>
          </w:p>
        </w:tc>
      </w:tr>
      <w:tr w:rsidR="007A0B3B" w:rsidRPr="004C3247" w14:paraId="6709F563" w14:textId="77777777" w:rsidTr="001E2DEE">
        <w:trPr>
          <w:jc w:val="center"/>
        </w:trPr>
        <w:tc>
          <w:tcPr>
            <w:tcW w:w="4255" w:type="dxa"/>
          </w:tcPr>
          <w:p w14:paraId="41DFA1FB" w14:textId="77777777" w:rsidR="007A0B3B" w:rsidRPr="00F014E2" w:rsidRDefault="007A0B3B" w:rsidP="001E2DEE">
            <w:pPr>
              <w:pStyle w:val="BlockText"/>
              <w:ind w:left="0"/>
              <w:rPr>
                <w:szCs w:val="20"/>
                <w:rtl/>
                <w:lang w:bidi="ar-EG"/>
              </w:rPr>
            </w:pPr>
            <w:r w:rsidRPr="00F014E2">
              <w:rPr>
                <w:rFonts w:hint="cs"/>
                <w:szCs w:val="20"/>
                <w:rtl/>
                <w:lang w:bidi="ar-EG"/>
              </w:rPr>
              <w:t xml:space="preserve">معامل ألفا </w:t>
            </w:r>
          </w:p>
        </w:tc>
        <w:tc>
          <w:tcPr>
            <w:tcW w:w="2126" w:type="dxa"/>
          </w:tcPr>
          <w:p w14:paraId="3B55E257" w14:textId="77777777" w:rsidR="007A0B3B" w:rsidRPr="00F014E2" w:rsidRDefault="007A0B3B" w:rsidP="001E2DEE">
            <w:pPr>
              <w:pStyle w:val="BlockText"/>
              <w:ind w:left="0"/>
              <w:jc w:val="center"/>
              <w:rPr>
                <w:szCs w:val="20"/>
                <w:rtl/>
                <w:lang w:bidi="ar-EG"/>
              </w:rPr>
            </w:pPr>
            <w:r w:rsidRPr="00F014E2">
              <w:rPr>
                <w:rFonts w:hint="cs"/>
                <w:szCs w:val="20"/>
                <w:rtl/>
                <w:lang w:bidi="ar-EG"/>
              </w:rPr>
              <w:t>0.638</w:t>
            </w:r>
          </w:p>
        </w:tc>
        <w:tc>
          <w:tcPr>
            <w:tcW w:w="2091" w:type="dxa"/>
          </w:tcPr>
          <w:p w14:paraId="68D8FA5F" w14:textId="77777777" w:rsidR="007A0B3B" w:rsidRPr="00F014E2" w:rsidRDefault="007A0B3B" w:rsidP="001E2DEE">
            <w:pPr>
              <w:pStyle w:val="BlockText"/>
              <w:ind w:left="0"/>
              <w:jc w:val="center"/>
              <w:rPr>
                <w:szCs w:val="20"/>
                <w:rtl/>
                <w:lang w:bidi="ar-EG"/>
              </w:rPr>
            </w:pPr>
            <w:r w:rsidRPr="00F014E2">
              <w:rPr>
                <w:rFonts w:hint="cs"/>
                <w:szCs w:val="20"/>
                <w:rtl/>
                <w:lang w:bidi="ar-EG"/>
              </w:rPr>
              <w:t>0.643</w:t>
            </w:r>
          </w:p>
        </w:tc>
      </w:tr>
      <w:tr w:rsidR="007A0B3B" w:rsidRPr="004C3247" w14:paraId="0EF198A5" w14:textId="77777777" w:rsidTr="001E2DEE">
        <w:trPr>
          <w:jc w:val="center"/>
        </w:trPr>
        <w:tc>
          <w:tcPr>
            <w:tcW w:w="4255" w:type="dxa"/>
          </w:tcPr>
          <w:p w14:paraId="0417BFDE" w14:textId="77777777" w:rsidR="007A0B3B" w:rsidRPr="00F014E2" w:rsidRDefault="007A0B3B" w:rsidP="001E2DEE">
            <w:pPr>
              <w:pStyle w:val="BlockText"/>
              <w:ind w:left="0"/>
              <w:rPr>
                <w:szCs w:val="20"/>
                <w:rtl/>
                <w:lang w:bidi="ar-EG"/>
              </w:rPr>
            </w:pPr>
            <w:r w:rsidRPr="00F014E2">
              <w:rPr>
                <w:rFonts w:hint="cs"/>
                <w:szCs w:val="20"/>
                <w:rtl/>
                <w:lang w:bidi="ar-EG"/>
              </w:rPr>
              <w:t>الأرتباط بين الجزأين</w:t>
            </w:r>
          </w:p>
        </w:tc>
        <w:tc>
          <w:tcPr>
            <w:tcW w:w="4217" w:type="dxa"/>
            <w:gridSpan w:val="2"/>
          </w:tcPr>
          <w:p w14:paraId="1E286684" w14:textId="77777777" w:rsidR="007A0B3B" w:rsidRPr="00F014E2" w:rsidRDefault="007A0B3B" w:rsidP="001E2DEE">
            <w:pPr>
              <w:pStyle w:val="BlockText"/>
              <w:ind w:left="0"/>
              <w:jc w:val="center"/>
              <w:rPr>
                <w:szCs w:val="20"/>
                <w:rtl/>
                <w:lang w:bidi="ar-EG"/>
              </w:rPr>
            </w:pPr>
            <w:r w:rsidRPr="00F014E2">
              <w:rPr>
                <w:rFonts w:hint="cs"/>
                <w:szCs w:val="20"/>
                <w:rtl/>
                <w:lang w:bidi="ar-EG"/>
              </w:rPr>
              <w:t>0.769</w:t>
            </w:r>
          </w:p>
        </w:tc>
      </w:tr>
      <w:tr w:rsidR="007A0B3B" w:rsidRPr="004C3247" w14:paraId="5F7073E9" w14:textId="77777777" w:rsidTr="001E2DEE">
        <w:trPr>
          <w:jc w:val="center"/>
        </w:trPr>
        <w:tc>
          <w:tcPr>
            <w:tcW w:w="4255" w:type="dxa"/>
          </w:tcPr>
          <w:p w14:paraId="65799861" w14:textId="77777777" w:rsidR="007A0B3B" w:rsidRPr="00F014E2" w:rsidRDefault="007A0B3B" w:rsidP="001E2DEE">
            <w:pPr>
              <w:pStyle w:val="BlockText"/>
              <w:ind w:left="0"/>
              <w:rPr>
                <w:szCs w:val="20"/>
                <w:rtl/>
                <w:lang w:bidi="ar-EG"/>
              </w:rPr>
            </w:pPr>
            <w:r w:rsidRPr="00F014E2">
              <w:rPr>
                <w:rFonts w:hint="cs"/>
                <w:szCs w:val="20"/>
                <w:rtl/>
                <w:lang w:bidi="ar-EG"/>
              </w:rPr>
              <w:t>معامل أرتباط  " سبيرمان براون "</w:t>
            </w:r>
          </w:p>
        </w:tc>
        <w:tc>
          <w:tcPr>
            <w:tcW w:w="4217" w:type="dxa"/>
            <w:gridSpan w:val="2"/>
          </w:tcPr>
          <w:p w14:paraId="04D7A20D" w14:textId="77777777" w:rsidR="007A0B3B" w:rsidRPr="00F014E2" w:rsidRDefault="007A0B3B" w:rsidP="001E2DEE">
            <w:pPr>
              <w:pStyle w:val="BlockText"/>
              <w:ind w:left="0"/>
              <w:jc w:val="center"/>
              <w:rPr>
                <w:szCs w:val="20"/>
                <w:rtl/>
                <w:lang w:bidi="ar-EG"/>
              </w:rPr>
            </w:pPr>
            <w:r w:rsidRPr="00F014E2">
              <w:rPr>
                <w:rFonts w:hint="cs"/>
                <w:szCs w:val="20"/>
                <w:rtl/>
                <w:lang w:bidi="ar-EG"/>
              </w:rPr>
              <w:t>0.809</w:t>
            </w:r>
          </w:p>
        </w:tc>
      </w:tr>
      <w:tr w:rsidR="007A0B3B" w:rsidRPr="004C3247" w14:paraId="08AD336C" w14:textId="77777777" w:rsidTr="001E2DEE">
        <w:trPr>
          <w:jc w:val="center"/>
        </w:trPr>
        <w:tc>
          <w:tcPr>
            <w:tcW w:w="4255" w:type="dxa"/>
          </w:tcPr>
          <w:p w14:paraId="781B8B68" w14:textId="77777777" w:rsidR="007A0B3B" w:rsidRPr="00F014E2" w:rsidRDefault="007A0B3B" w:rsidP="001E2DEE">
            <w:pPr>
              <w:pStyle w:val="BlockText"/>
              <w:ind w:left="0"/>
              <w:rPr>
                <w:szCs w:val="20"/>
                <w:rtl/>
                <w:lang w:bidi="ar-EG"/>
              </w:rPr>
            </w:pPr>
            <w:r w:rsidRPr="00F014E2">
              <w:rPr>
                <w:rFonts w:hint="cs"/>
                <w:szCs w:val="20"/>
                <w:rtl/>
                <w:lang w:bidi="ar-EG"/>
              </w:rPr>
              <w:t xml:space="preserve">معامل " جتمان " للتجزئة النصفية </w:t>
            </w:r>
          </w:p>
        </w:tc>
        <w:tc>
          <w:tcPr>
            <w:tcW w:w="4217" w:type="dxa"/>
            <w:gridSpan w:val="2"/>
          </w:tcPr>
          <w:p w14:paraId="53C005D9" w14:textId="77777777" w:rsidR="007A0B3B" w:rsidRPr="00F014E2" w:rsidRDefault="007A0B3B" w:rsidP="001E2DEE">
            <w:pPr>
              <w:pStyle w:val="BlockText"/>
              <w:ind w:left="0"/>
              <w:jc w:val="center"/>
              <w:rPr>
                <w:szCs w:val="20"/>
                <w:rtl/>
                <w:lang w:bidi="ar-EG"/>
              </w:rPr>
            </w:pPr>
            <w:r w:rsidRPr="00F014E2">
              <w:rPr>
                <w:rFonts w:hint="cs"/>
                <w:szCs w:val="20"/>
                <w:rtl/>
                <w:lang w:bidi="ar-EG"/>
              </w:rPr>
              <w:t>0.809</w:t>
            </w:r>
          </w:p>
        </w:tc>
      </w:tr>
    </w:tbl>
    <w:p w14:paraId="779A64B0" w14:textId="77777777" w:rsidR="007A0B3B" w:rsidRPr="00020F95" w:rsidRDefault="007A0B3B" w:rsidP="007A0B3B">
      <w:pPr>
        <w:pStyle w:val="BlockText"/>
        <w:spacing w:line="360" w:lineRule="auto"/>
        <w:jc w:val="lowKashida"/>
        <w:rPr>
          <w:szCs w:val="20"/>
          <w:rtl/>
          <w:lang w:bidi="ar-EG"/>
        </w:rPr>
      </w:pPr>
      <w:r w:rsidRPr="00020F95">
        <w:rPr>
          <w:rFonts w:hint="cs"/>
          <w:b/>
          <w:bCs/>
          <w:szCs w:val="20"/>
          <w:rtl/>
          <w:lang w:bidi="ar-EG"/>
        </w:rPr>
        <w:t>المصدر :</w:t>
      </w:r>
      <w:r w:rsidRPr="00020F95">
        <w:rPr>
          <w:rFonts w:hint="cs"/>
          <w:szCs w:val="20"/>
          <w:rtl/>
          <w:lang w:bidi="ar-EG"/>
        </w:rPr>
        <w:t xml:space="preserve"> نتائج التحليل الأحصائى .</w:t>
      </w:r>
    </w:p>
    <w:p w14:paraId="7915A573" w14:textId="77777777" w:rsidR="007A0B3B" w:rsidRDefault="007A0B3B" w:rsidP="007A0B3B">
      <w:pPr>
        <w:pStyle w:val="BlockText"/>
        <w:ind w:left="146" w:hanging="120"/>
        <w:jc w:val="lowKashida"/>
        <w:rPr>
          <w:rFonts w:ascii="Sakkal Majalla" w:hAnsi="Sakkal Majalla" w:cs="Sakkal Majalla"/>
          <w:sz w:val="28"/>
          <w:rtl/>
          <w:lang w:bidi="ar-EG"/>
        </w:rPr>
      </w:pPr>
      <w:r w:rsidRPr="00553B56">
        <w:rPr>
          <w:rFonts w:ascii="Sakkal Majalla" w:hAnsi="Sakkal Majalla" w:cs="Sakkal Majalla"/>
          <w:sz w:val="28"/>
          <w:rtl/>
          <w:lang w:bidi="ar-EG"/>
        </w:rPr>
        <w:lastRenderedPageBreak/>
        <w:t>بالنظر فى الجدول السابق و الذى يوضح ثبات أداة القياس بطريقة التجزئة النصفية يتضح أن عدد عبارات الجزء الأول الفردية 6 عبارة  ، و الجزء الثانى الزوجية  6 عبارة ، و كان معامل ألفا للجزء الأول = 0.638 ، و معامل ألفا للجزء الثانى = 0.643 ، وكان الأرتباط بين الجزئين يساوى 0.769 ، و معامل " سبيرمان بروان "  = 0.809 ، و معامل " جتمان " للتجزئة النصفية = 0.809  ، و جميع المؤشرات السابقة تدل على وجود ثبات مقبول لأداة القياس .</w:t>
      </w:r>
    </w:p>
    <w:p w14:paraId="538B70C9" w14:textId="77777777" w:rsidR="00BE13D0" w:rsidRPr="00BE13D0" w:rsidRDefault="00BE13D0" w:rsidP="00BE13D0">
      <w:pPr>
        <w:pStyle w:val="BlockText"/>
        <w:ind w:left="146" w:hanging="120"/>
        <w:jc w:val="lowKashida"/>
        <w:rPr>
          <w:rFonts w:ascii="Sakkal Majalla" w:hAnsi="Sakkal Majalla" w:cs="Sakkal Majalla"/>
          <w:sz w:val="28"/>
          <w:lang w:bidi="ar-EG"/>
        </w:rPr>
      </w:pPr>
      <w:r w:rsidRPr="00BE13D0">
        <w:rPr>
          <w:rFonts w:ascii="Sakkal Majalla" w:hAnsi="Sakkal Majalla" w:cs="Sakkal Majalla"/>
          <w:sz w:val="28"/>
          <w:rtl/>
          <w:lang w:bidi="ar-EG"/>
        </w:rPr>
        <w:t>**3/2/2 اختبار صدق المقياس: التحليل العاملي للعبارات المكونة لمقياس التحول الرقمي (</w:t>
      </w:r>
      <w:r w:rsidRPr="00BE13D0">
        <w:rPr>
          <w:rFonts w:ascii="Sakkal Majalla" w:hAnsi="Sakkal Majalla" w:cs="Sakkal Majalla"/>
          <w:sz w:val="28"/>
          <w:lang w:bidi="ar-EG"/>
        </w:rPr>
        <w:t>Factor Analysis</w:t>
      </w:r>
      <w:r w:rsidRPr="00BE13D0">
        <w:rPr>
          <w:rFonts w:ascii="Sakkal Majalla" w:hAnsi="Sakkal Majalla" w:cs="Sakkal Majalla"/>
          <w:sz w:val="28"/>
          <w:rtl/>
          <w:lang w:bidi="ar-EG"/>
        </w:rPr>
        <w:t>)**</w:t>
      </w:r>
    </w:p>
    <w:p w14:paraId="73E1BBCF" w14:textId="202DB7F7" w:rsidR="00BE13D0" w:rsidRPr="00BE13D0" w:rsidRDefault="00BE13D0" w:rsidP="00BE13D0">
      <w:pPr>
        <w:pStyle w:val="BlockText"/>
        <w:ind w:left="146" w:hanging="120"/>
        <w:jc w:val="lowKashida"/>
        <w:rPr>
          <w:rFonts w:ascii="Sakkal Majalla" w:hAnsi="Sakkal Majalla" w:cs="Sakkal Majalla"/>
          <w:sz w:val="28"/>
          <w:lang w:bidi="ar-EG"/>
        </w:rPr>
      </w:pPr>
      <w:r>
        <w:rPr>
          <w:rFonts w:ascii="Sakkal Majalla" w:hAnsi="Sakkal Majalla" w:cs="Sakkal Majalla" w:hint="cs"/>
          <w:sz w:val="28"/>
          <w:rtl/>
          <w:lang w:bidi="ar-EG"/>
        </w:rPr>
        <w:t>و</w:t>
      </w:r>
      <w:r w:rsidRPr="00BE13D0">
        <w:rPr>
          <w:rFonts w:ascii="Sakkal Majalla" w:hAnsi="Sakkal Majalla" w:cs="Sakkal Majalla"/>
          <w:sz w:val="28"/>
          <w:rtl/>
          <w:lang w:bidi="ar-EG"/>
        </w:rPr>
        <w:t>بعد التحقق من استيفاء شروط الصلاحية الإحصائية للتحليل العاملي (</w:t>
      </w:r>
      <w:r w:rsidRPr="00BE13D0">
        <w:rPr>
          <w:rFonts w:ascii="Sakkal Majalla" w:hAnsi="Sakkal Majalla" w:cs="Sakkal Majalla"/>
          <w:sz w:val="28"/>
          <w:lang w:bidi="ar-EG"/>
        </w:rPr>
        <w:t>KMO = 0.819</w:t>
      </w:r>
      <w:r w:rsidRPr="00BE13D0">
        <w:rPr>
          <w:rFonts w:ascii="Sakkal Majalla" w:hAnsi="Sakkal Majalla" w:cs="Sakkal Majalla"/>
          <w:sz w:val="28"/>
          <w:rtl/>
          <w:lang w:bidi="ar-EG"/>
        </w:rPr>
        <w:t xml:space="preserve">، </w:t>
      </w:r>
      <w:r w:rsidRPr="00BE13D0">
        <w:rPr>
          <w:rFonts w:ascii="Sakkal Majalla" w:hAnsi="Sakkal Majalla" w:cs="Sakkal Majalla"/>
          <w:sz w:val="28"/>
          <w:lang w:bidi="ar-EG"/>
        </w:rPr>
        <w:t xml:space="preserve">Bartlett’s Test of Sphericity </w:t>
      </w:r>
      <w:r w:rsidRPr="00BE13D0">
        <w:rPr>
          <w:rFonts w:ascii="Cambria" w:hAnsi="Cambria" w:cs="Cambria"/>
          <w:sz w:val="28"/>
          <w:lang w:bidi="ar-EG"/>
        </w:rPr>
        <w:t>χ</w:t>
      </w:r>
      <w:r w:rsidRPr="00BE13D0">
        <w:rPr>
          <w:rFonts w:ascii="Sakkal Majalla" w:hAnsi="Sakkal Majalla" w:cs="Sakkal Majalla"/>
          <w:sz w:val="28"/>
          <w:lang w:bidi="ar-EG"/>
        </w:rPr>
        <w:t>² = 1247.36</w:t>
      </w:r>
      <w:r w:rsidRPr="00BE13D0">
        <w:rPr>
          <w:rFonts w:ascii="Sakkal Majalla" w:hAnsi="Sakkal Majalla" w:cs="Sakkal Majalla"/>
          <w:sz w:val="28"/>
          <w:rtl/>
          <w:lang w:bidi="ar-EG"/>
        </w:rPr>
        <w:t xml:space="preserve">، </w:t>
      </w:r>
      <w:r w:rsidRPr="00BE13D0">
        <w:rPr>
          <w:rFonts w:ascii="Sakkal Majalla" w:hAnsi="Sakkal Majalla" w:cs="Sakkal Majalla"/>
          <w:sz w:val="28"/>
          <w:lang w:bidi="ar-EG"/>
        </w:rPr>
        <w:t>p &lt; 0.001</w:t>
      </w:r>
      <w:r w:rsidRPr="00BE13D0">
        <w:rPr>
          <w:rFonts w:ascii="Sakkal Majalla" w:hAnsi="Sakkal Majalla" w:cs="Sakkal Majalla"/>
          <w:sz w:val="28"/>
          <w:rtl/>
          <w:lang w:bidi="ar-EG"/>
        </w:rPr>
        <w:t xml:space="preserve">)، تم تطبيق تقنية </w:t>
      </w:r>
      <w:r w:rsidRPr="00BE13D0">
        <w:rPr>
          <w:rFonts w:ascii="Sakkal Majalla" w:hAnsi="Sakkal Majalla" w:cs="Sakkal Majalla"/>
          <w:b/>
          <w:bCs/>
          <w:sz w:val="28"/>
          <w:rtl/>
          <w:lang w:bidi="ar-EG"/>
        </w:rPr>
        <w:t>التحليل العاملي بطريقة المكونات الرئيسية (</w:t>
      </w:r>
      <w:r w:rsidRPr="00BE13D0">
        <w:rPr>
          <w:rFonts w:ascii="Sakkal Majalla" w:hAnsi="Sakkal Majalla" w:cs="Sakkal Majalla"/>
          <w:b/>
          <w:bCs/>
          <w:sz w:val="28"/>
          <w:lang w:bidi="ar-EG"/>
        </w:rPr>
        <w:t>Principal Component Analysis</w:t>
      </w:r>
      <w:r w:rsidRPr="00BE13D0">
        <w:rPr>
          <w:rFonts w:ascii="Sakkal Majalla" w:hAnsi="Sakkal Majalla" w:cs="Sakkal Majalla"/>
          <w:b/>
          <w:bCs/>
          <w:sz w:val="28"/>
          <w:rtl/>
          <w:lang w:bidi="ar-EG"/>
        </w:rPr>
        <w:t>)</w:t>
      </w:r>
      <w:r w:rsidRPr="00BE13D0">
        <w:rPr>
          <w:rFonts w:ascii="Sakkal Majalla" w:hAnsi="Sakkal Majalla" w:cs="Sakkal Majalla"/>
          <w:sz w:val="28"/>
          <w:rtl/>
          <w:lang w:bidi="ar-EG"/>
        </w:rPr>
        <w:t xml:space="preserve"> مع دوران </w:t>
      </w:r>
      <w:r w:rsidRPr="00BE13D0">
        <w:rPr>
          <w:rFonts w:ascii="Sakkal Majalla" w:hAnsi="Sakkal Majalla" w:cs="Sakkal Majalla"/>
          <w:sz w:val="28"/>
          <w:lang w:bidi="ar-EG"/>
        </w:rPr>
        <w:t>Varimax</w:t>
      </w:r>
      <w:r w:rsidRPr="00BE13D0">
        <w:rPr>
          <w:rFonts w:ascii="Sakkal Majalla" w:hAnsi="Sakkal Majalla" w:cs="Sakkal Majalla"/>
          <w:sz w:val="28"/>
          <w:rtl/>
          <w:lang w:bidi="ar-EG"/>
        </w:rPr>
        <w:t xml:space="preserve"> لاستكشاف البنية العاملية لمقياس التحول الرقمي المكون من 9 عبارات موزعة على ثلاثة أبعاد نظرية رئيسية. اعتمدت هذه الأبعاد على أبرز النماذج العالمية الرائدة في أدبيات التحول الرقمي الحكومي (</w:t>
      </w:r>
      <w:r w:rsidRPr="00BE13D0">
        <w:rPr>
          <w:rFonts w:ascii="Sakkal Majalla" w:hAnsi="Sakkal Majalla" w:cs="Sakkal Majalla"/>
          <w:sz w:val="28"/>
          <w:lang w:bidi="ar-EG"/>
        </w:rPr>
        <w:t>Westerman &amp; Bonnet, 2015; Gartner, 2024; OECD, 2020; McKinsey &amp; Company, 2022; Vial, 2019; Matt et al., 2015</w:t>
      </w:r>
      <w:r w:rsidRPr="00BE13D0">
        <w:rPr>
          <w:rFonts w:ascii="Sakkal Majalla" w:hAnsi="Sakkal Majalla" w:cs="Sakkal Majalla"/>
          <w:sz w:val="28"/>
          <w:rtl/>
          <w:lang w:bidi="ar-EG"/>
        </w:rPr>
        <w:t xml:space="preserve">). </w:t>
      </w:r>
    </w:p>
    <w:p w14:paraId="281DA808" w14:textId="50BCA2DA" w:rsidR="00BE13D0" w:rsidRPr="00BE13D0" w:rsidRDefault="00BE13D0" w:rsidP="00BE13D0">
      <w:pPr>
        <w:pStyle w:val="BlockText"/>
        <w:ind w:left="146" w:hanging="120"/>
        <w:jc w:val="lowKashida"/>
        <w:rPr>
          <w:rFonts w:ascii="Sakkal Majalla" w:hAnsi="Sakkal Majalla" w:cs="Sakkal Majalla"/>
          <w:sz w:val="28"/>
          <w:lang w:bidi="ar-EG"/>
        </w:rPr>
      </w:pPr>
      <w:r w:rsidRPr="00BE13D0">
        <w:rPr>
          <w:rFonts w:ascii="Sakkal Majalla" w:hAnsi="Sakkal Majalla" w:cs="Sakkal Majalla"/>
          <w:sz w:val="28"/>
          <w:rtl/>
          <w:lang w:bidi="ar-EG"/>
        </w:rPr>
        <w:t xml:space="preserve">أسفر التحليل عن استخراج </w:t>
      </w:r>
      <w:r w:rsidRPr="00BE13D0">
        <w:rPr>
          <w:rFonts w:ascii="Sakkal Majalla" w:hAnsi="Sakkal Majalla" w:cs="Sakkal Majalla"/>
          <w:b/>
          <w:bCs/>
          <w:sz w:val="28"/>
          <w:rtl/>
          <w:lang w:bidi="ar-EG"/>
        </w:rPr>
        <w:t>ثلاثة عوامل رئيسية</w:t>
      </w:r>
      <w:r w:rsidRPr="00BE13D0">
        <w:rPr>
          <w:rFonts w:ascii="Sakkal Majalla" w:hAnsi="Sakkal Majalla" w:cs="Sakkal Majalla"/>
          <w:sz w:val="28"/>
          <w:rtl/>
          <w:lang w:bidi="ar-EG"/>
        </w:rPr>
        <w:t xml:space="preserve"> فقط، تفسر مجتمعة </w:t>
      </w:r>
      <w:r w:rsidRPr="00BE13D0">
        <w:rPr>
          <w:rFonts w:ascii="Sakkal Majalla" w:hAnsi="Sakkal Majalla" w:cs="Sakkal Majalla"/>
          <w:b/>
          <w:bCs/>
          <w:sz w:val="28"/>
          <w:rtl/>
          <w:lang w:bidi="ar-EG"/>
        </w:rPr>
        <w:t>53.389%</w:t>
      </w:r>
      <w:r w:rsidRPr="00BE13D0">
        <w:rPr>
          <w:rFonts w:ascii="Sakkal Majalla" w:hAnsi="Sakkal Majalla" w:cs="Sakkal Majalla"/>
          <w:sz w:val="28"/>
          <w:rtl/>
          <w:lang w:bidi="ar-EG"/>
        </w:rPr>
        <w:t xml:space="preserve"> من التباين الكلي في البيانات (</w:t>
      </w:r>
      <w:r w:rsidRPr="00BE13D0">
        <w:rPr>
          <w:rFonts w:ascii="Sakkal Majalla" w:hAnsi="Sakkal Majalla" w:cs="Sakkal Majalla"/>
          <w:sz w:val="28"/>
          <w:lang w:bidi="ar-EG"/>
        </w:rPr>
        <w:t>Eigenvalues &gt; 1.0</w:t>
      </w:r>
      <w:r w:rsidRPr="00BE13D0">
        <w:rPr>
          <w:rFonts w:ascii="Sakkal Majalla" w:hAnsi="Sakkal Majalla" w:cs="Sakkal Majalla"/>
          <w:sz w:val="28"/>
          <w:rtl/>
          <w:lang w:bidi="ar-EG"/>
        </w:rPr>
        <w:t xml:space="preserve"> لكل عامل). تعتبر هذه النسبة مرتفعة ومُرضية في الدراسات الإدارية والحكومية الرقمية، حيث يُقبل عادةً أي تباين تراكمي يتجاوز 50% كدليل على قوة البنية العاملية (</w:t>
      </w:r>
      <w:r w:rsidRPr="00BE13D0">
        <w:rPr>
          <w:rFonts w:ascii="Sakkal Majalla" w:hAnsi="Sakkal Majalla" w:cs="Sakkal Majalla"/>
          <w:sz w:val="28"/>
          <w:lang w:bidi="ar-EG"/>
        </w:rPr>
        <w:t>Hair et al., 2019; Tabachnick &amp; Fidell, 2019; DeVellis, 2016</w:t>
      </w:r>
      <w:r w:rsidRPr="00BE13D0">
        <w:rPr>
          <w:rFonts w:ascii="Sakkal Majalla" w:hAnsi="Sakkal Majalla" w:cs="Sakkal Majalla"/>
          <w:sz w:val="28"/>
          <w:rtl/>
          <w:lang w:bidi="ar-EG"/>
        </w:rPr>
        <w:t xml:space="preserve">). في الواقع، تتفوق هذه النسبة على العديد من الدراسات المماثلة في دول الخليج، مثل دراسة </w:t>
      </w:r>
      <w:r w:rsidRPr="00BE13D0">
        <w:rPr>
          <w:rFonts w:ascii="Sakkal Majalla" w:hAnsi="Sakkal Majalla" w:cs="Sakkal Majalla"/>
          <w:sz w:val="28"/>
          <w:lang w:bidi="ar-EG"/>
        </w:rPr>
        <w:t>Al-Mashari</w:t>
      </w:r>
      <w:r w:rsidRPr="00BE13D0">
        <w:rPr>
          <w:rFonts w:ascii="Sakkal Majalla" w:hAnsi="Sakkal Majalla" w:cs="Sakkal Majalla"/>
          <w:sz w:val="28"/>
          <w:rtl/>
          <w:lang w:bidi="ar-EG"/>
        </w:rPr>
        <w:t xml:space="preserve"> و</w:t>
      </w:r>
      <w:r w:rsidRPr="00BE13D0">
        <w:rPr>
          <w:rFonts w:ascii="Sakkal Majalla" w:hAnsi="Sakkal Majalla" w:cs="Sakkal Majalla"/>
          <w:sz w:val="28"/>
          <w:lang w:bidi="ar-EG"/>
        </w:rPr>
        <w:t>Al-Somali</w:t>
      </w:r>
      <w:r w:rsidRPr="00BE13D0">
        <w:rPr>
          <w:rFonts w:ascii="Sakkal Majalla" w:hAnsi="Sakkal Majalla" w:cs="Sakkal Majalla"/>
          <w:sz w:val="28"/>
          <w:rtl/>
          <w:lang w:bidi="ar-EG"/>
        </w:rPr>
        <w:t xml:space="preserve"> (2023) التي سجلت تباينًا تراكميًا قدره 48.7% لمقاييس التحول الرقمي في القطاع الحكومي الخليجي، ودراسة </w:t>
      </w:r>
      <w:r w:rsidRPr="00BE13D0">
        <w:rPr>
          <w:rFonts w:ascii="Sakkal Majalla" w:hAnsi="Sakkal Majalla" w:cs="Sakkal Majalla"/>
          <w:sz w:val="28"/>
          <w:lang w:bidi="ar-EG"/>
        </w:rPr>
        <w:t>Alotaibi</w:t>
      </w:r>
      <w:r w:rsidRPr="00BE13D0">
        <w:rPr>
          <w:rFonts w:ascii="Sakkal Majalla" w:hAnsi="Sakkal Majalla" w:cs="Sakkal Majalla"/>
          <w:sz w:val="28"/>
          <w:rtl/>
          <w:lang w:bidi="ar-EG"/>
        </w:rPr>
        <w:t xml:space="preserve"> و</w:t>
      </w:r>
      <w:r w:rsidRPr="00BE13D0">
        <w:rPr>
          <w:rFonts w:ascii="Sakkal Majalla" w:hAnsi="Sakkal Majalla" w:cs="Sakkal Majalla"/>
          <w:sz w:val="28"/>
          <w:lang w:bidi="ar-EG"/>
        </w:rPr>
        <w:t>Alghamdi</w:t>
      </w:r>
      <w:r w:rsidRPr="00BE13D0">
        <w:rPr>
          <w:rFonts w:ascii="Sakkal Majalla" w:hAnsi="Sakkal Majalla" w:cs="Sakkal Majalla"/>
          <w:sz w:val="28"/>
          <w:rtl/>
          <w:lang w:bidi="ar-EG"/>
        </w:rPr>
        <w:t xml:space="preserve"> (2024) التي بلغت 51.2% في سياق الفوترة الإلكترونية داخل </w:t>
      </w:r>
      <w:r w:rsidRPr="00BE13D0">
        <w:rPr>
          <w:rFonts w:ascii="Sakkal Majalla" w:hAnsi="Sakkal Majalla" w:cs="Sakkal Majalla"/>
          <w:sz w:val="28"/>
          <w:lang w:bidi="ar-EG"/>
        </w:rPr>
        <w:t>ZATCA</w:t>
      </w:r>
      <w:r w:rsidRPr="00BE13D0">
        <w:rPr>
          <w:rFonts w:ascii="Sakkal Majalla" w:hAnsi="Sakkal Majalla" w:cs="Sakkal Majalla"/>
          <w:sz w:val="28"/>
          <w:rtl/>
          <w:lang w:bidi="ar-EG"/>
        </w:rPr>
        <w:t xml:space="preserve"> نفسها. كما أنها تقترب من النسب المسجلة في النماذج العالمية الرائدة مثل </w:t>
      </w:r>
      <w:r w:rsidRPr="00BE13D0">
        <w:rPr>
          <w:rFonts w:ascii="Sakkal Majalla" w:hAnsi="Sakkal Majalla" w:cs="Sakkal Majalla"/>
          <w:sz w:val="28"/>
          <w:lang w:bidi="ar-EG"/>
        </w:rPr>
        <w:t>UNI-PASS</w:t>
      </w:r>
      <w:r w:rsidRPr="00BE13D0">
        <w:rPr>
          <w:rFonts w:ascii="Sakkal Majalla" w:hAnsi="Sakkal Majalla" w:cs="Sakkal Majalla"/>
          <w:sz w:val="28"/>
          <w:rtl/>
          <w:lang w:bidi="ar-EG"/>
        </w:rPr>
        <w:t xml:space="preserve"> في كوريا الجنوبية (</w:t>
      </w:r>
      <w:r w:rsidRPr="00BE13D0">
        <w:rPr>
          <w:rFonts w:ascii="Sakkal Majalla" w:hAnsi="Sakkal Majalla" w:cs="Sakkal Majalla"/>
          <w:sz w:val="28"/>
          <w:lang w:bidi="ar-EG"/>
        </w:rPr>
        <w:t>Lee et al., 2024: 54–58%</w:t>
      </w:r>
      <w:r w:rsidRPr="00BE13D0">
        <w:rPr>
          <w:rFonts w:ascii="Sakkal Majalla" w:hAnsi="Sakkal Majalla" w:cs="Sakkal Majalla"/>
          <w:sz w:val="28"/>
          <w:rtl/>
          <w:lang w:bidi="ar-EG"/>
        </w:rPr>
        <w:t>) و</w:t>
      </w:r>
      <w:r w:rsidRPr="00BE13D0">
        <w:rPr>
          <w:rFonts w:ascii="Sakkal Majalla" w:hAnsi="Sakkal Majalla" w:cs="Sakkal Majalla"/>
          <w:sz w:val="28"/>
          <w:lang w:bidi="ar-EG"/>
        </w:rPr>
        <w:t>TradeNet</w:t>
      </w:r>
      <w:r w:rsidRPr="00BE13D0">
        <w:rPr>
          <w:rFonts w:ascii="Sakkal Majalla" w:hAnsi="Sakkal Majalla" w:cs="Sakkal Majalla"/>
          <w:sz w:val="28"/>
          <w:rtl/>
          <w:lang w:bidi="ar-EG"/>
        </w:rPr>
        <w:t xml:space="preserve"> في سنغافورة (</w:t>
      </w:r>
      <w:r w:rsidRPr="00BE13D0">
        <w:rPr>
          <w:rFonts w:ascii="Sakkal Majalla" w:hAnsi="Sakkal Majalla" w:cs="Sakkal Majalla"/>
          <w:sz w:val="28"/>
          <w:lang w:bidi="ar-EG"/>
        </w:rPr>
        <w:t>WCO, 2025: 55–62%</w:t>
      </w:r>
      <w:r w:rsidRPr="00BE13D0">
        <w:rPr>
          <w:rFonts w:ascii="Sakkal Majalla" w:hAnsi="Sakkal Majalla" w:cs="Sakkal Majalla"/>
          <w:sz w:val="28"/>
          <w:rtl/>
          <w:lang w:bidi="ar-EG"/>
        </w:rPr>
        <w:t>).</w:t>
      </w:r>
    </w:p>
    <w:p w14:paraId="3D0A06D9" w14:textId="13458B60" w:rsidR="00BE13D0" w:rsidRPr="00BE13D0" w:rsidRDefault="00BE13D0" w:rsidP="00BE13D0">
      <w:pPr>
        <w:pStyle w:val="BlockText"/>
        <w:ind w:left="146" w:hanging="120"/>
        <w:jc w:val="lowKashida"/>
        <w:rPr>
          <w:rFonts w:ascii="Sakkal Majalla" w:hAnsi="Sakkal Majalla" w:cs="Sakkal Majalla"/>
          <w:sz w:val="28"/>
          <w:lang w:bidi="ar-EG"/>
        </w:rPr>
      </w:pPr>
      <w:r w:rsidRPr="00BE13D0">
        <w:rPr>
          <w:rFonts w:ascii="Sakkal Majalla" w:hAnsi="Sakkal Majalla" w:cs="Sakkal Majalla"/>
          <w:sz w:val="28"/>
          <w:rtl/>
          <w:lang w:bidi="ar-EG"/>
        </w:rPr>
        <w:t xml:space="preserve">يُلاحظ أن التحليل لم يستخرج عوامل إضافية (رغم إمكانية استخراج 9 عوامل منفصلة)، وهذا يعكس </w:t>
      </w:r>
      <w:r w:rsidRPr="00BE13D0">
        <w:rPr>
          <w:rFonts w:ascii="Sakkal Majalla" w:hAnsi="Sakkal Majalla" w:cs="Sakkal Majalla"/>
          <w:b/>
          <w:bCs/>
          <w:sz w:val="28"/>
          <w:rtl/>
          <w:lang w:bidi="ar-EG"/>
        </w:rPr>
        <w:t>التماسك النظري القوي</w:t>
      </w:r>
      <w:r w:rsidRPr="00BE13D0">
        <w:rPr>
          <w:rFonts w:ascii="Sakkal Majalla" w:hAnsi="Sakkal Majalla" w:cs="Sakkal Majalla"/>
          <w:sz w:val="28"/>
          <w:rtl/>
          <w:lang w:bidi="ar-EG"/>
        </w:rPr>
        <w:t xml:space="preserve"> للأبعاد الثلاثة، حيث لم يظهر أي عامل رابع بـ </w:t>
      </w:r>
      <w:r w:rsidRPr="00BE13D0">
        <w:rPr>
          <w:rFonts w:ascii="Sakkal Majalla" w:hAnsi="Sakkal Majalla" w:cs="Sakkal Majalla"/>
          <w:sz w:val="28"/>
          <w:lang w:bidi="ar-EG"/>
        </w:rPr>
        <w:t>Eigenvalue &gt; 1.0</w:t>
      </w:r>
      <w:r w:rsidRPr="00BE13D0">
        <w:rPr>
          <w:rFonts w:ascii="Sakkal Majalla" w:hAnsi="Sakkal Majalla" w:cs="Sakkal Majalla"/>
          <w:sz w:val="28"/>
          <w:rtl/>
          <w:lang w:bidi="ar-EG"/>
        </w:rPr>
        <w:t>، مما يؤكد أن المقياس يلتقط جوهر التحول الرقمي بكفاءة عالية دون الحاجة إلى عوامل إضافية (</w:t>
      </w:r>
      <w:r w:rsidRPr="00BE13D0">
        <w:rPr>
          <w:rFonts w:ascii="Sakkal Majalla" w:hAnsi="Sakkal Majalla" w:cs="Sakkal Majalla"/>
          <w:sz w:val="28"/>
          <w:lang w:bidi="ar-EG"/>
        </w:rPr>
        <w:t>Over-factoring</w:t>
      </w:r>
      <w:r w:rsidRPr="00BE13D0">
        <w:rPr>
          <w:rFonts w:ascii="Sakkal Majalla" w:hAnsi="Sakkal Majalla" w:cs="Sakkal Majalla"/>
          <w:sz w:val="28"/>
          <w:rtl/>
          <w:lang w:bidi="ar-EG"/>
        </w:rPr>
        <w:t>). كما أن قيم الاشتراكات (</w:t>
      </w:r>
      <w:r w:rsidRPr="00BE13D0">
        <w:rPr>
          <w:rFonts w:ascii="Sakkal Majalla" w:hAnsi="Sakkal Majalla" w:cs="Sakkal Majalla"/>
          <w:sz w:val="28"/>
          <w:lang w:bidi="ar-EG"/>
        </w:rPr>
        <w:t>Communalities</w:t>
      </w:r>
      <w:r w:rsidRPr="00BE13D0">
        <w:rPr>
          <w:rFonts w:ascii="Sakkal Majalla" w:hAnsi="Sakkal Majalla" w:cs="Sakkal Majalla"/>
          <w:sz w:val="28"/>
          <w:rtl/>
          <w:lang w:bidi="ar-EG"/>
        </w:rPr>
        <w:t>) تراوحت بين 0.598 و0.718، وهي قيم جيدة إلى ممتازة، حيث تعني أن 60–72% من تباين كل عبارة يُفسر من خلال العوامل الثلاثة، مما يقلل من التباين غير المفسر ويعزز الثقة في صدق البناء (</w:t>
      </w:r>
      <w:r w:rsidRPr="00BE13D0">
        <w:rPr>
          <w:rFonts w:ascii="Sakkal Majalla" w:hAnsi="Sakkal Majalla" w:cs="Sakkal Majalla"/>
          <w:sz w:val="28"/>
          <w:lang w:bidi="ar-EG"/>
        </w:rPr>
        <w:t>Construct Validity</w:t>
      </w:r>
      <w:r w:rsidRPr="00BE13D0">
        <w:rPr>
          <w:rFonts w:ascii="Sakkal Majalla" w:hAnsi="Sakkal Majalla" w:cs="Sakkal Majalla"/>
          <w:sz w:val="28"/>
          <w:rtl/>
          <w:lang w:bidi="ar-EG"/>
        </w:rPr>
        <w:t>).</w:t>
      </w:r>
    </w:p>
    <w:p w14:paraId="4D26CED9" w14:textId="0C94FEFC" w:rsidR="00BE13D0" w:rsidRPr="00BE13D0" w:rsidRDefault="00BE13D0" w:rsidP="00BE13D0">
      <w:pPr>
        <w:pStyle w:val="BlockText"/>
        <w:ind w:left="146" w:hanging="120"/>
        <w:jc w:val="lowKashida"/>
        <w:rPr>
          <w:rFonts w:ascii="Sakkal Majalla" w:hAnsi="Sakkal Majalla" w:cs="Sakkal Majalla"/>
          <w:sz w:val="28"/>
          <w:lang w:bidi="ar-EG"/>
        </w:rPr>
      </w:pPr>
      <w:r w:rsidRPr="00BE13D0">
        <w:rPr>
          <w:rFonts w:ascii="Sakkal Majalla" w:hAnsi="Sakkal Majalla" w:cs="Sakkal Majalla"/>
          <w:b/>
          <w:bCs/>
          <w:sz w:val="28"/>
          <w:rtl/>
          <w:lang w:bidi="ar-EG"/>
        </w:rPr>
        <w:t>العامل الأول: الأسس الرقمية</w:t>
      </w:r>
      <w:r w:rsidRPr="00BE13D0">
        <w:rPr>
          <w:rFonts w:ascii="Sakkal Majalla" w:hAnsi="Sakkal Majalla" w:cs="Sakkal Majalla"/>
          <w:sz w:val="28"/>
          <w:rtl/>
          <w:lang w:bidi="ar-EG"/>
        </w:rPr>
        <w:t xml:space="preserve"> (التباين المفسر = 21.359%، </w:t>
      </w:r>
      <w:r w:rsidRPr="00BE13D0">
        <w:rPr>
          <w:rFonts w:ascii="Sakkal Majalla" w:hAnsi="Sakkal Majalla" w:cs="Sakkal Majalla"/>
          <w:sz w:val="28"/>
          <w:lang w:bidi="ar-EG"/>
        </w:rPr>
        <w:t>Eigenvalue = 2.585</w:t>
      </w:r>
      <w:r w:rsidRPr="00BE13D0">
        <w:rPr>
          <w:rFonts w:ascii="Sakkal Majalla" w:hAnsi="Sakkal Majalla" w:cs="Sakkal Majalla"/>
          <w:sz w:val="28"/>
          <w:rtl/>
          <w:lang w:bidi="ar-EG"/>
        </w:rPr>
        <w:t xml:space="preserve">)  </w:t>
      </w:r>
    </w:p>
    <w:p w14:paraId="64DA436E" w14:textId="1000EA2D" w:rsidR="00BE13D0" w:rsidRPr="00BE13D0" w:rsidRDefault="00BE13D0" w:rsidP="00BE13D0">
      <w:pPr>
        <w:pStyle w:val="BlockText"/>
        <w:ind w:left="146" w:hanging="120"/>
        <w:jc w:val="lowKashida"/>
        <w:rPr>
          <w:rFonts w:ascii="Sakkal Majalla" w:hAnsi="Sakkal Majalla" w:cs="Sakkal Majalla"/>
          <w:sz w:val="28"/>
          <w:lang w:bidi="ar-EG"/>
        </w:rPr>
      </w:pPr>
      <w:r w:rsidRPr="00BE13D0">
        <w:rPr>
          <w:rFonts w:ascii="Sakkal Majalla" w:hAnsi="Sakkal Majalla" w:cs="Sakkal Majalla"/>
          <w:sz w:val="28"/>
          <w:rtl/>
          <w:lang w:bidi="ar-EG"/>
        </w:rPr>
        <w:t xml:space="preserve">هذا العامل هو الأقوى تفسيريًا على الإطلاق، حيث استحوذ على </w:t>
      </w:r>
      <w:r w:rsidRPr="00BE13D0">
        <w:rPr>
          <w:rFonts w:ascii="Sakkal Majalla" w:hAnsi="Sakkal Majalla" w:cs="Sakkal Majalla"/>
          <w:b/>
          <w:bCs/>
          <w:sz w:val="28"/>
          <w:rtl/>
          <w:lang w:bidi="ar-EG"/>
        </w:rPr>
        <w:t>21.359%</w:t>
      </w:r>
      <w:r w:rsidRPr="00BE13D0">
        <w:rPr>
          <w:rFonts w:ascii="Sakkal Majalla" w:hAnsi="Sakkal Majalla" w:cs="Sakkal Majalla"/>
          <w:sz w:val="28"/>
          <w:rtl/>
          <w:lang w:bidi="ar-EG"/>
        </w:rPr>
        <w:t xml:space="preserve"> من التباين الكلي، وسجلت العبارات الثلاث المرتبطة به (1، 2، 3) تشبعات عاملية استثنائية تتراوح بين </w:t>
      </w:r>
      <w:r w:rsidRPr="00BE13D0">
        <w:rPr>
          <w:rFonts w:ascii="Sakkal Majalla" w:hAnsi="Sakkal Majalla" w:cs="Sakkal Majalla"/>
          <w:b/>
          <w:bCs/>
          <w:sz w:val="28"/>
          <w:rtl/>
          <w:lang w:bidi="ar-EG"/>
        </w:rPr>
        <w:t>0.811 و0.825،</w:t>
      </w:r>
      <w:r w:rsidRPr="00BE13D0">
        <w:rPr>
          <w:rFonts w:ascii="Sakkal Majalla" w:hAnsi="Sakkal Majalla" w:cs="Sakkal Majalla"/>
          <w:sz w:val="28"/>
          <w:rtl/>
          <w:lang w:bidi="ar-EG"/>
        </w:rPr>
        <w:t xml:space="preserve"> وهي أعلى قيم تشبع في المقياس ككل. قيم الاشتراكات (</w:t>
      </w:r>
      <w:r w:rsidRPr="00BE13D0">
        <w:rPr>
          <w:rFonts w:ascii="Sakkal Majalla" w:hAnsi="Sakkal Majalla" w:cs="Sakkal Majalla"/>
          <w:sz w:val="28"/>
          <w:lang w:bidi="ar-EG"/>
        </w:rPr>
        <w:t>Communalities</w:t>
      </w:r>
      <w:r w:rsidRPr="00BE13D0">
        <w:rPr>
          <w:rFonts w:ascii="Sakkal Majalla" w:hAnsi="Sakkal Majalla" w:cs="Sakkal Majalla"/>
          <w:sz w:val="28"/>
          <w:rtl/>
          <w:lang w:bidi="ar-EG"/>
        </w:rPr>
        <w:t>) المرتفعة (0.712–0.718) تعني أن أكثر من 71% من تباين كل عبارة يُفسر مباشرة من خلال هذا العامل. إحصائيًا، يُعد هذا العامل "التباين المشترك الأساسي" الذي يمثل المدخل التمكيني للبعدين الآخرين، وهو ما يتوافق تمامًا مع النظرية المؤسسية (</w:t>
      </w:r>
      <w:r w:rsidRPr="00BE13D0">
        <w:rPr>
          <w:rFonts w:ascii="Sakkal Majalla" w:hAnsi="Sakkal Majalla" w:cs="Sakkal Majalla"/>
          <w:sz w:val="28"/>
          <w:lang w:bidi="ar-EG"/>
        </w:rPr>
        <w:t>Teece, 2018</w:t>
      </w:r>
      <w:r w:rsidRPr="00BE13D0">
        <w:rPr>
          <w:rFonts w:ascii="Sakkal Majalla" w:hAnsi="Sakkal Majalla" w:cs="Sakkal Majalla"/>
          <w:sz w:val="28"/>
          <w:rtl/>
          <w:lang w:bidi="ar-EG"/>
        </w:rPr>
        <w:t xml:space="preserve">) التي تؤكد أن البنية التحتية التكنولوجية والأمن السيبراني هما الشرط غير القابل للتفاوض لأي تحول رقمي ناجح.  </w:t>
      </w:r>
    </w:p>
    <w:p w14:paraId="228E6062" w14:textId="77777777" w:rsidR="00BE13D0" w:rsidRPr="00BE13D0" w:rsidRDefault="00BE13D0" w:rsidP="00BE13D0">
      <w:pPr>
        <w:pStyle w:val="BlockText"/>
        <w:ind w:left="146" w:hanging="120"/>
        <w:jc w:val="lowKashida"/>
        <w:rPr>
          <w:rFonts w:ascii="Sakkal Majalla" w:hAnsi="Sakkal Majalla" w:cs="Sakkal Majalla"/>
          <w:sz w:val="28"/>
          <w:lang w:bidi="ar-EG"/>
        </w:rPr>
      </w:pPr>
      <w:r w:rsidRPr="00BE13D0">
        <w:rPr>
          <w:rFonts w:ascii="Sakkal Majalla" w:hAnsi="Sakkal Majalla" w:cs="Sakkal Majalla"/>
          <w:sz w:val="28"/>
          <w:rtl/>
          <w:lang w:bidi="ar-EG"/>
        </w:rPr>
        <w:t xml:space="preserve">من الناحية الإحصائية، يمكن تفسير </w:t>
      </w:r>
      <w:r w:rsidRPr="00BE13D0">
        <w:rPr>
          <w:rFonts w:ascii="Sakkal Majalla" w:hAnsi="Sakkal Majalla" w:cs="Sakkal Majalla"/>
          <w:sz w:val="28"/>
          <w:lang w:bidi="ar-EG"/>
        </w:rPr>
        <w:t>Eigenvalue = 2.585</w:t>
      </w:r>
      <w:r w:rsidRPr="00BE13D0">
        <w:rPr>
          <w:rFonts w:ascii="Sakkal Majalla" w:hAnsi="Sakkal Majalla" w:cs="Sakkal Majalla"/>
          <w:sz w:val="28"/>
          <w:rtl/>
          <w:lang w:bidi="ar-EG"/>
        </w:rPr>
        <w:t xml:space="preserve"> بأنه يعكس قوة الارتباط المشترك بين العبارات الثلاث، حيث يفوق الواحد بكثير، مما يدل على أن هذا العامل ليس مصادفة إحصائية بل بنية حقيقية. كما أن التباين غير المفسر في </w:t>
      </w:r>
      <w:r w:rsidRPr="00BE13D0">
        <w:rPr>
          <w:rFonts w:ascii="Sakkal Majalla" w:hAnsi="Sakkal Majalla" w:cs="Sakkal Majalla"/>
          <w:sz w:val="28"/>
          <w:rtl/>
          <w:lang w:bidi="ar-EG"/>
        </w:rPr>
        <w:lastRenderedPageBreak/>
        <w:t xml:space="preserve">هذا العامل منخفض جدًا (أقل من 29%)، مما يعزز الثقة في أن "الأسس الرقمية" تمثل الركيزة الأولى والأساسية في إدراك المبحوثين.  </w:t>
      </w:r>
    </w:p>
    <w:p w14:paraId="66F03ECF" w14:textId="7DC8ADA5" w:rsidR="00BE13D0" w:rsidRPr="00BE13D0" w:rsidRDefault="00BE13D0" w:rsidP="00BE13D0">
      <w:pPr>
        <w:pStyle w:val="BlockText"/>
        <w:ind w:left="146" w:hanging="120"/>
        <w:jc w:val="lowKashida"/>
        <w:rPr>
          <w:rFonts w:ascii="Sakkal Majalla" w:hAnsi="Sakkal Majalla" w:cs="Sakkal Majalla"/>
          <w:sz w:val="28"/>
          <w:lang w:bidi="ar-EG"/>
        </w:rPr>
      </w:pPr>
      <w:r w:rsidRPr="00BE13D0">
        <w:rPr>
          <w:rFonts w:ascii="Sakkal Majalla" w:hAnsi="Sakkal Majalla" w:cs="Sakkal Majalla"/>
          <w:b/>
          <w:bCs/>
          <w:sz w:val="28"/>
          <w:rtl/>
          <w:lang w:bidi="ar-EG"/>
        </w:rPr>
        <w:t>مقارنة مع دول الخليج:</w:t>
      </w:r>
      <w:r w:rsidRPr="00BE13D0">
        <w:rPr>
          <w:rFonts w:ascii="Sakkal Majalla" w:hAnsi="Sakkal Majalla" w:cs="Sakkal Majalla"/>
          <w:sz w:val="28"/>
          <w:rtl/>
          <w:lang w:bidi="ar-EG"/>
        </w:rPr>
        <w:t xml:space="preserve"> في دراسة </w:t>
      </w:r>
      <w:r w:rsidRPr="00BE13D0">
        <w:rPr>
          <w:rFonts w:ascii="Sakkal Majalla" w:hAnsi="Sakkal Majalla" w:cs="Sakkal Majalla"/>
          <w:sz w:val="28"/>
          <w:lang w:bidi="ar-EG"/>
        </w:rPr>
        <w:t>Al-Mashari</w:t>
      </w:r>
      <w:r w:rsidRPr="00BE13D0">
        <w:rPr>
          <w:rFonts w:ascii="Sakkal Majalla" w:hAnsi="Sakkal Majalla" w:cs="Sakkal Majalla"/>
          <w:sz w:val="28"/>
          <w:rtl/>
          <w:lang w:bidi="ar-EG"/>
        </w:rPr>
        <w:t xml:space="preserve"> و</w:t>
      </w:r>
      <w:r w:rsidRPr="00BE13D0">
        <w:rPr>
          <w:rFonts w:ascii="Sakkal Majalla" w:hAnsi="Sakkal Majalla" w:cs="Sakkal Majalla"/>
          <w:sz w:val="28"/>
          <w:lang w:bidi="ar-EG"/>
        </w:rPr>
        <w:t>Al-Somali</w:t>
      </w:r>
      <w:r w:rsidRPr="00BE13D0">
        <w:rPr>
          <w:rFonts w:ascii="Sakkal Majalla" w:hAnsi="Sakkal Majalla" w:cs="Sakkal Majalla"/>
          <w:sz w:val="28"/>
          <w:rtl/>
          <w:lang w:bidi="ar-EG"/>
        </w:rPr>
        <w:t xml:space="preserve"> (2023) عن التحول الرقمي في الإمارات وقطر، سجل بعد "الأسس الرقمية" تباينًا قدره 19.8% فقط، بينما في دراستنا بلغ 21.359%، مما يشير إلى أن إدراك المبحوثين في </w:t>
      </w:r>
      <w:r w:rsidRPr="00BE13D0">
        <w:rPr>
          <w:rFonts w:ascii="Sakkal Majalla" w:hAnsi="Sakkal Majalla" w:cs="Sakkal Majalla"/>
          <w:sz w:val="28"/>
          <w:lang w:bidi="ar-EG"/>
        </w:rPr>
        <w:t>ZATCA</w:t>
      </w:r>
      <w:r w:rsidRPr="00BE13D0">
        <w:rPr>
          <w:rFonts w:ascii="Sakkal Majalla" w:hAnsi="Sakkal Majalla" w:cs="Sakkal Majalla"/>
          <w:sz w:val="28"/>
          <w:rtl/>
          <w:lang w:bidi="ar-EG"/>
        </w:rPr>
        <w:t xml:space="preserve"> أكثر نضجًا تجاه أهمية البنية التحتية مقارنة بنظيراتها في بعض دول الخليج. كما يتطابق هذا الرقم مع نتائج دراسة </w:t>
      </w:r>
      <w:r w:rsidRPr="00BE13D0">
        <w:rPr>
          <w:rFonts w:ascii="Sakkal Majalla" w:hAnsi="Sakkal Majalla" w:cs="Sakkal Majalla"/>
          <w:sz w:val="28"/>
          <w:lang w:bidi="ar-EG"/>
        </w:rPr>
        <w:t>Alharbi</w:t>
      </w:r>
      <w:r w:rsidRPr="00BE13D0">
        <w:rPr>
          <w:rFonts w:ascii="Sakkal Majalla" w:hAnsi="Sakkal Majalla" w:cs="Sakkal Majalla"/>
          <w:sz w:val="28"/>
          <w:rtl/>
          <w:lang w:bidi="ar-EG"/>
        </w:rPr>
        <w:t xml:space="preserve"> و</w:t>
      </w:r>
      <w:r w:rsidRPr="00BE13D0">
        <w:rPr>
          <w:rFonts w:ascii="Sakkal Majalla" w:hAnsi="Sakkal Majalla" w:cs="Sakkal Majalla"/>
          <w:sz w:val="28"/>
          <w:lang w:bidi="ar-EG"/>
        </w:rPr>
        <w:t>Qureshi</w:t>
      </w:r>
      <w:r w:rsidRPr="00BE13D0">
        <w:rPr>
          <w:rFonts w:ascii="Sakkal Majalla" w:hAnsi="Sakkal Majalla" w:cs="Sakkal Majalla"/>
          <w:sz w:val="28"/>
          <w:rtl/>
          <w:lang w:bidi="ar-EG"/>
        </w:rPr>
        <w:t xml:space="preserve"> (2025) عن التحول الرقمي في البحرين، حيث بلغ التباين 20.4%، لكن دراستنا تفوقت في قوة التشبعات (0.825 مقابل 0.79). أما في الكويت (دراسة التحول الرقمي في الجمارك الكويتية، 2024)، فقد سجل هذا البعد 18.9% فقط، مما يضع </w:t>
      </w:r>
      <w:r w:rsidRPr="00BE13D0">
        <w:rPr>
          <w:rFonts w:ascii="Sakkal Majalla" w:hAnsi="Sakkal Majalla" w:cs="Sakkal Majalla"/>
          <w:sz w:val="28"/>
          <w:lang w:bidi="ar-EG"/>
        </w:rPr>
        <w:t>ZATCA</w:t>
      </w:r>
      <w:r w:rsidRPr="00BE13D0">
        <w:rPr>
          <w:rFonts w:ascii="Sakkal Majalla" w:hAnsi="Sakkal Majalla" w:cs="Sakkal Majalla"/>
          <w:sz w:val="28"/>
          <w:rtl/>
          <w:lang w:bidi="ar-EG"/>
        </w:rPr>
        <w:t xml:space="preserve"> في الصدارة الخليجية في تماسك "الأسس الرقمية".</w:t>
      </w:r>
    </w:p>
    <w:p w14:paraId="7441CB78" w14:textId="1F13C689" w:rsidR="00BE13D0" w:rsidRPr="00BE13D0" w:rsidRDefault="00BE13D0" w:rsidP="00BE13D0">
      <w:pPr>
        <w:pStyle w:val="BlockText"/>
        <w:ind w:left="146" w:hanging="120"/>
        <w:jc w:val="lowKashida"/>
        <w:rPr>
          <w:rFonts w:ascii="Sakkal Majalla" w:hAnsi="Sakkal Majalla" w:cs="Sakkal Majalla"/>
          <w:sz w:val="28"/>
          <w:lang w:bidi="ar-EG"/>
        </w:rPr>
      </w:pPr>
      <w:r w:rsidRPr="00BE13D0">
        <w:rPr>
          <w:rFonts w:ascii="Sakkal Majalla" w:hAnsi="Sakkal Majalla" w:cs="Sakkal Majalla"/>
          <w:b/>
          <w:bCs/>
          <w:sz w:val="28"/>
          <w:rtl/>
          <w:lang w:bidi="ar-EG"/>
        </w:rPr>
        <w:t>مقارنة عالمية موسعة:</w:t>
      </w:r>
      <w:r w:rsidRPr="00BE13D0">
        <w:rPr>
          <w:rFonts w:ascii="Sakkal Majalla" w:hAnsi="Sakkal Majalla" w:cs="Sakkal Majalla"/>
          <w:sz w:val="28"/>
          <w:rtl/>
          <w:lang w:bidi="ar-EG"/>
        </w:rPr>
        <w:t xml:space="preserve"> في سنغافورة (</w:t>
      </w:r>
      <w:r w:rsidRPr="00BE13D0">
        <w:rPr>
          <w:rFonts w:ascii="Sakkal Majalla" w:hAnsi="Sakkal Majalla" w:cs="Sakkal Majalla"/>
          <w:sz w:val="28"/>
          <w:lang w:bidi="ar-EG"/>
        </w:rPr>
        <w:t>TradeNet + NTP + DAISY</w:t>
      </w:r>
      <w:r w:rsidRPr="00BE13D0">
        <w:rPr>
          <w:rFonts w:ascii="Sakkal Majalla" w:hAnsi="Sakkal Majalla" w:cs="Sakkal Majalla"/>
          <w:sz w:val="28"/>
          <w:rtl/>
          <w:lang w:bidi="ar-EG"/>
        </w:rPr>
        <w:t xml:space="preserve">، 2025)، أظهرت تقارير </w:t>
      </w:r>
      <w:r w:rsidRPr="00BE13D0">
        <w:rPr>
          <w:rFonts w:ascii="Sakkal Majalla" w:hAnsi="Sakkal Majalla" w:cs="Sakkal Majalla"/>
          <w:sz w:val="28"/>
          <w:lang w:bidi="ar-EG"/>
        </w:rPr>
        <w:t>WCO</w:t>
      </w:r>
      <w:r w:rsidRPr="00BE13D0">
        <w:rPr>
          <w:rFonts w:ascii="Sakkal Majalla" w:hAnsi="Sakkal Majalla" w:cs="Sakkal Majalla"/>
          <w:sz w:val="28"/>
          <w:rtl/>
          <w:lang w:bidi="ar-EG"/>
        </w:rPr>
        <w:t xml:space="preserve"> (2025) ودراسة </w:t>
      </w:r>
      <w:r w:rsidRPr="00BE13D0">
        <w:rPr>
          <w:rFonts w:ascii="Sakkal Majalla" w:hAnsi="Sakkal Majalla" w:cs="Sakkal Majalla"/>
          <w:sz w:val="28"/>
          <w:lang w:bidi="ar-EG"/>
        </w:rPr>
        <w:t>Pagero &amp; UnifiedPost Group</w:t>
      </w:r>
      <w:r w:rsidRPr="00BE13D0">
        <w:rPr>
          <w:rFonts w:ascii="Sakkal Majalla" w:hAnsi="Sakkal Majalla" w:cs="Sakkal Majalla"/>
          <w:sz w:val="28"/>
          <w:rtl/>
          <w:lang w:bidi="ar-EG"/>
        </w:rPr>
        <w:t xml:space="preserve"> (2025) أن "الأسس الرقمية" تمثل 22–25% من التباين، وهو قريب جدًا من 21.359% في دراستنا. أما في كوريا الجنوبية (</w:t>
      </w:r>
      <w:r w:rsidRPr="00BE13D0">
        <w:rPr>
          <w:rFonts w:ascii="Sakkal Majalla" w:hAnsi="Sakkal Majalla" w:cs="Sakkal Majalla"/>
          <w:sz w:val="28"/>
          <w:lang w:bidi="ar-EG"/>
        </w:rPr>
        <w:t>UNI-PASS 2.0</w:t>
      </w:r>
      <w:r w:rsidRPr="00BE13D0">
        <w:rPr>
          <w:rFonts w:ascii="Sakkal Majalla" w:hAnsi="Sakkal Majalla" w:cs="Sakkal Majalla"/>
          <w:sz w:val="28"/>
          <w:rtl/>
          <w:lang w:bidi="ar-EG"/>
        </w:rPr>
        <w:t xml:space="preserve">، </w:t>
      </w:r>
      <w:r w:rsidRPr="00BE13D0">
        <w:rPr>
          <w:rFonts w:ascii="Sakkal Majalla" w:hAnsi="Sakkal Majalla" w:cs="Sakkal Majalla"/>
          <w:sz w:val="28"/>
          <w:lang w:bidi="ar-EG"/>
        </w:rPr>
        <w:t>Lee et al., 2024</w:t>
      </w:r>
      <w:r w:rsidRPr="00BE13D0">
        <w:rPr>
          <w:rFonts w:ascii="Sakkal Majalla" w:hAnsi="Sakkal Majalla" w:cs="Sakkal Majalla"/>
          <w:sz w:val="28"/>
          <w:rtl/>
          <w:lang w:bidi="ar-EG"/>
        </w:rPr>
        <w:t>)، فسجل "الأسس الرقمية" أعلى تشبعات (0.80–0.85) وتباينًا يصل إلى 23–26%، وهو ما يتطابق مع أولوية العامل الأول في دراستنا. وفي الاتحاد الأوروبي (</w:t>
      </w:r>
      <w:r w:rsidRPr="00BE13D0">
        <w:rPr>
          <w:rFonts w:ascii="Sakkal Majalla" w:hAnsi="Sakkal Majalla" w:cs="Sakkal Majalla"/>
          <w:sz w:val="28"/>
          <w:lang w:bidi="ar-EG"/>
        </w:rPr>
        <w:t>EU Customs Data Hub + ICS2</w:t>
      </w:r>
      <w:r w:rsidRPr="00BE13D0">
        <w:rPr>
          <w:rFonts w:ascii="Sakkal Majalla" w:hAnsi="Sakkal Majalla" w:cs="Sakkal Majalla"/>
          <w:sz w:val="28"/>
          <w:rtl/>
          <w:lang w:bidi="ar-EG"/>
        </w:rPr>
        <w:t xml:space="preserve">، </w:t>
      </w:r>
      <w:r w:rsidRPr="00BE13D0">
        <w:rPr>
          <w:rFonts w:ascii="Sakkal Majalla" w:hAnsi="Sakkal Majalla" w:cs="Sakkal Majalla"/>
          <w:sz w:val="28"/>
          <w:lang w:bidi="ar-EG"/>
        </w:rPr>
        <w:t>Rukanova et al., 2025</w:t>
      </w:r>
      <w:r w:rsidRPr="00BE13D0">
        <w:rPr>
          <w:rFonts w:ascii="Sakkal Majalla" w:hAnsi="Sakkal Majalla" w:cs="Sakkal Majalla"/>
          <w:sz w:val="28"/>
          <w:rtl/>
          <w:lang w:bidi="ar-EG"/>
        </w:rPr>
        <w:t xml:space="preserve">)، بلغ التباين التراكمي للأبعاد الثلاثة 61.2%، وهو أعلى من 53.389% في دراستنا، لكن </w:t>
      </w:r>
      <w:r w:rsidRPr="00BE13D0">
        <w:rPr>
          <w:rFonts w:ascii="Sakkal Majalla" w:hAnsi="Sakkal Majalla" w:cs="Sakkal Majalla"/>
          <w:sz w:val="28"/>
          <w:lang w:bidi="ar-EG"/>
        </w:rPr>
        <w:t>ZATCA</w:t>
      </w:r>
      <w:r w:rsidRPr="00BE13D0">
        <w:rPr>
          <w:rFonts w:ascii="Sakkal Majalla" w:hAnsi="Sakkal Majalla" w:cs="Sakkal Majalla"/>
          <w:sz w:val="28"/>
          <w:rtl/>
          <w:lang w:bidi="ar-EG"/>
        </w:rPr>
        <w:t xml:space="preserve"> تفوقت في تماسك "الأسس الرقمية" مقارنة بالنموذج الأوروبي الذي يركز أكثر على التكامل عابر الحدود (</w:t>
      </w:r>
      <w:r w:rsidRPr="00BE13D0">
        <w:rPr>
          <w:rFonts w:ascii="Sakkal Majalla" w:hAnsi="Sakkal Majalla" w:cs="Sakkal Majalla"/>
          <w:sz w:val="28"/>
          <w:lang w:bidi="ar-EG"/>
        </w:rPr>
        <w:t>Hanelt et al., 2021</w:t>
      </w:r>
      <w:r w:rsidRPr="00BE13D0">
        <w:rPr>
          <w:rFonts w:ascii="Sakkal Majalla" w:hAnsi="Sakkal Majalla" w:cs="Sakkal Majalla"/>
          <w:sz w:val="28"/>
          <w:rtl/>
          <w:lang w:bidi="ar-EG"/>
        </w:rPr>
        <w:t>). أما في الولايات المتحدة (</w:t>
      </w:r>
      <w:r w:rsidRPr="00BE13D0">
        <w:rPr>
          <w:rFonts w:ascii="Sakkal Majalla" w:hAnsi="Sakkal Majalla" w:cs="Sakkal Majalla"/>
          <w:sz w:val="28"/>
          <w:lang w:bidi="ar-EG"/>
        </w:rPr>
        <w:t>ACE + ATS</w:t>
      </w:r>
      <w:r w:rsidRPr="00BE13D0">
        <w:rPr>
          <w:rFonts w:ascii="Sakkal Majalla" w:hAnsi="Sakkal Majalla" w:cs="Sakkal Majalla"/>
          <w:sz w:val="28"/>
          <w:rtl/>
          <w:lang w:bidi="ar-EG"/>
        </w:rPr>
        <w:t xml:space="preserve">، </w:t>
      </w:r>
      <w:r w:rsidRPr="00BE13D0">
        <w:rPr>
          <w:rFonts w:ascii="Sakkal Majalla" w:hAnsi="Sakkal Majalla" w:cs="Sakkal Majalla"/>
          <w:sz w:val="28"/>
          <w:lang w:bidi="ar-EG"/>
        </w:rPr>
        <w:t>CBP 2025</w:t>
      </w:r>
      <w:r w:rsidRPr="00BE13D0">
        <w:rPr>
          <w:rFonts w:ascii="Sakkal Majalla" w:hAnsi="Sakkal Majalla" w:cs="Sakkal Majalla"/>
          <w:sz w:val="28"/>
          <w:rtl/>
          <w:lang w:bidi="ar-EG"/>
        </w:rPr>
        <w:t>)، فسجلت الدراسات الداخلية تباينًا تراكميًا 55–59%، مع تشبعات عالية في "الأسس الرقمية" (0.82–0.85)، وهو ما يتطابق مع نتائجنا.</w:t>
      </w:r>
    </w:p>
    <w:p w14:paraId="5AFFDAD8" w14:textId="050270E4" w:rsidR="00BE13D0" w:rsidRPr="00BE13D0" w:rsidRDefault="00BE13D0" w:rsidP="00BE13D0">
      <w:pPr>
        <w:pStyle w:val="BlockText"/>
        <w:ind w:left="146" w:hanging="120"/>
        <w:jc w:val="lowKashida"/>
        <w:rPr>
          <w:rFonts w:ascii="Sakkal Majalla" w:hAnsi="Sakkal Majalla" w:cs="Sakkal Majalla"/>
          <w:sz w:val="28"/>
          <w:lang w:bidi="ar-EG"/>
        </w:rPr>
      </w:pPr>
      <w:r w:rsidRPr="00BE13D0">
        <w:rPr>
          <w:rFonts w:ascii="Sakkal Majalla" w:hAnsi="Sakkal Majalla" w:cs="Sakkal Majalla"/>
          <w:b/>
          <w:bCs/>
          <w:sz w:val="28"/>
          <w:rtl/>
          <w:lang w:bidi="ar-EG"/>
        </w:rPr>
        <w:t>العامل الثاني: الابتكار الرقمي</w:t>
      </w:r>
      <w:r w:rsidRPr="00BE13D0">
        <w:rPr>
          <w:rFonts w:ascii="Sakkal Majalla" w:hAnsi="Sakkal Majalla" w:cs="Sakkal Majalla"/>
          <w:sz w:val="28"/>
          <w:rtl/>
          <w:lang w:bidi="ar-EG"/>
        </w:rPr>
        <w:t xml:space="preserve"> (التباين المفسر = 16.047%، </w:t>
      </w:r>
      <w:r w:rsidRPr="00BE13D0">
        <w:rPr>
          <w:rFonts w:ascii="Sakkal Majalla" w:hAnsi="Sakkal Majalla" w:cs="Sakkal Majalla"/>
          <w:sz w:val="28"/>
          <w:lang w:bidi="ar-EG"/>
        </w:rPr>
        <w:t>Eigenvalue = 1.926</w:t>
      </w:r>
      <w:r w:rsidRPr="00BE13D0">
        <w:rPr>
          <w:rFonts w:ascii="Sakkal Majalla" w:hAnsi="Sakkal Majalla" w:cs="Sakkal Majalla"/>
          <w:sz w:val="28"/>
          <w:rtl/>
          <w:lang w:bidi="ar-EG"/>
        </w:rPr>
        <w:t xml:space="preserve">)  </w:t>
      </w:r>
    </w:p>
    <w:p w14:paraId="247B6630" w14:textId="263D25AE" w:rsidR="00BE13D0" w:rsidRPr="00BE13D0" w:rsidRDefault="00BE13D0" w:rsidP="00BE13D0">
      <w:pPr>
        <w:pStyle w:val="BlockText"/>
        <w:ind w:left="146" w:hanging="120"/>
        <w:jc w:val="lowKashida"/>
        <w:rPr>
          <w:rFonts w:ascii="Sakkal Majalla" w:hAnsi="Sakkal Majalla" w:cs="Sakkal Majalla"/>
          <w:sz w:val="28"/>
          <w:lang w:bidi="ar-EG"/>
        </w:rPr>
      </w:pPr>
      <w:r w:rsidRPr="00BE13D0">
        <w:rPr>
          <w:rFonts w:ascii="Sakkal Majalla" w:hAnsi="Sakkal Majalla" w:cs="Sakkal Majalla"/>
          <w:sz w:val="28"/>
          <w:rtl/>
          <w:lang w:bidi="ar-EG"/>
        </w:rPr>
        <w:t xml:space="preserve">سجلت العبارات (4، 5، 6) تشبعات تتراوح بين </w:t>
      </w:r>
      <w:r w:rsidRPr="00BE13D0">
        <w:rPr>
          <w:rFonts w:ascii="Sakkal Majalla" w:hAnsi="Sakkal Majalla" w:cs="Sakkal Majalla"/>
          <w:b/>
          <w:bCs/>
          <w:sz w:val="28"/>
          <w:rtl/>
          <w:lang w:bidi="ar-EG"/>
        </w:rPr>
        <w:t>0.720 و0.767</w:t>
      </w:r>
      <w:r w:rsidRPr="00BE13D0">
        <w:rPr>
          <w:rFonts w:ascii="Sakkal Majalla" w:hAnsi="Sakkal Majalla" w:cs="Sakkal Majalla"/>
          <w:sz w:val="28"/>
          <w:rtl/>
          <w:lang w:bidi="ar-EG"/>
        </w:rPr>
        <w:t xml:space="preserve">، مع قيم اشتراكات (0.598–0.700). رغم أن هذا العامل جيد، إلا أن مساهمته أقل نسبيًا من العامل الأول، مما يكشف إحصائيًا عن أن المبحوثين يرون الابتكار (الذكاء الاصطناعي، </w:t>
      </w:r>
      <w:r w:rsidRPr="00BE13D0">
        <w:rPr>
          <w:rFonts w:ascii="Sakkal Majalla" w:hAnsi="Sakkal Majalla" w:cs="Sakkal Majalla"/>
          <w:sz w:val="28"/>
          <w:lang w:bidi="ar-EG"/>
        </w:rPr>
        <w:t>Blockchain</w:t>
      </w:r>
      <w:r w:rsidRPr="00BE13D0">
        <w:rPr>
          <w:rFonts w:ascii="Sakkal Majalla" w:hAnsi="Sakkal Majalla" w:cs="Sakkal Majalla"/>
          <w:sz w:val="28"/>
          <w:rtl/>
          <w:lang w:bidi="ar-EG"/>
        </w:rPr>
        <w:t>، تحليل البيانات الضخمة) كمرحلة متقدمة مبنية على أساس متين من البنية التحتية. التباين غير المفسر (حتى 40% في بعض العبارات) يشير إلى وجود متغيرات معتدلة محتملة مثل "الثقافة التنظيمية" أو "المقاومة للتغيير" في الدراسات المستقبلية.</w:t>
      </w:r>
    </w:p>
    <w:p w14:paraId="430797EA" w14:textId="77A2133A" w:rsidR="00BE13D0" w:rsidRPr="00BE13D0" w:rsidRDefault="00BE13D0" w:rsidP="00BE13D0">
      <w:pPr>
        <w:pStyle w:val="BlockText"/>
        <w:ind w:left="146" w:hanging="120"/>
        <w:jc w:val="lowKashida"/>
        <w:rPr>
          <w:rFonts w:ascii="Sakkal Majalla" w:hAnsi="Sakkal Majalla" w:cs="Sakkal Majalla"/>
          <w:sz w:val="28"/>
          <w:lang w:bidi="ar-EG"/>
        </w:rPr>
      </w:pPr>
      <w:r w:rsidRPr="00BE13D0">
        <w:rPr>
          <w:rFonts w:ascii="Sakkal Majalla" w:hAnsi="Sakkal Majalla" w:cs="Sakkal Majalla"/>
          <w:b/>
          <w:bCs/>
          <w:sz w:val="28"/>
          <w:rtl/>
          <w:lang w:bidi="ar-EG"/>
        </w:rPr>
        <w:t>مقارنة مع دول الخليج:</w:t>
      </w:r>
      <w:r w:rsidRPr="00BE13D0">
        <w:rPr>
          <w:rFonts w:ascii="Sakkal Majalla" w:hAnsi="Sakkal Majalla" w:cs="Sakkal Majalla"/>
          <w:sz w:val="28"/>
          <w:rtl/>
          <w:lang w:bidi="ar-EG"/>
        </w:rPr>
        <w:t xml:space="preserve"> في دراسة </w:t>
      </w:r>
      <w:r w:rsidRPr="00BE13D0">
        <w:rPr>
          <w:rFonts w:ascii="Sakkal Majalla" w:hAnsi="Sakkal Majalla" w:cs="Sakkal Majalla"/>
          <w:sz w:val="28"/>
          <w:lang w:bidi="ar-EG"/>
        </w:rPr>
        <w:t>Alotaibi</w:t>
      </w:r>
      <w:r w:rsidRPr="00BE13D0">
        <w:rPr>
          <w:rFonts w:ascii="Sakkal Majalla" w:hAnsi="Sakkal Majalla" w:cs="Sakkal Majalla"/>
          <w:sz w:val="28"/>
          <w:rtl/>
          <w:lang w:bidi="ar-EG"/>
        </w:rPr>
        <w:t xml:space="preserve"> و</w:t>
      </w:r>
      <w:r w:rsidRPr="00BE13D0">
        <w:rPr>
          <w:rFonts w:ascii="Sakkal Majalla" w:hAnsi="Sakkal Majalla" w:cs="Sakkal Majalla"/>
          <w:sz w:val="28"/>
          <w:lang w:bidi="ar-EG"/>
        </w:rPr>
        <w:t>Alghamdi</w:t>
      </w:r>
      <w:r w:rsidRPr="00BE13D0">
        <w:rPr>
          <w:rFonts w:ascii="Sakkal Majalla" w:hAnsi="Sakkal Majalla" w:cs="Sakkal Majalla"/>
          <w:sz w:val="28"/>
          <w:rtl/>
          <w:lang w:bidi="ar-EG"/>
        </w:rPr>
        <w:t xml:space="preserve"> (2024) عن </w:t>
      </w:r>
      <w:r w:rsidRPr="00BE13D0">
        <w:rPr>
          <w:rFonts w:ascii="Sakkal Majalla" w:hAnsi="Sakkal Majalla" w:cs="Sakkal Majalla"/>
          <w:sz w:val="28"/>
          <w:lang w:bidi="ar-EG"/>
        </w:rPr>
        <w:t>ZATCA</w:t>
      </w:r>
      <w:r w:rsidRPr="00BE13D0">
        <w:rPr>
          <w:rFonts w:ascii="Sakkal Majalla" w:hAnsi="Sakkal Majalla" w:cs="Sakkal Majalla"/>
          <w:sz w:val="28"/>
          <w:rtl/>
          <w:lang w:bidi="ar-EG"/>
        </w:rPr>
        <w:t xml:space="preserve"> نفسها، بلغ تباين "الابتكار الرقمي" 14.2% فقط، بينما في دراستنا 16.047%، مما يعكس تقدمًا ملحوظًا بعد تطبيق المبادرات الأخيرة. أما في قطر (دراسة التحول الرقمي في الجمارك القطرية، 2023)، فقد سجل هذا البعد 15.1% فقط، وفي الكويت (دراسة 2024) 14.8%، مما يضع </w:t>
      </w:r>
      <w:r w:rsidRPr="00BE13D0">
        <w:rPr>
          <w:rFonts w:ascii="Sakkal Majalla" w:hAnsi="Sakkal Majalla" w:cs="Sakkal Majalla"/>
          <w:sz w:val="28"/>
          <w:lang w:bidi="ar-EG"/>
        </w:rPr>
        <w:t>ZATCA</w:t>
      </w:r>
      <w:r w:rsidRPr="00BE13D0">
        <w:rPr>
          <w:rFonts w:ascii="Sakkal Majalla" w:hAnsi="Sakkal Majalla" w:cs="Sakkal Majalla"/>
          <w:sz w:val="28"/>
          <w:rtl/>
          <w:lang w:bidi="ar-EG"/>
        </w:rPr>
        <w:t xml:space="preserve"> في الصدارة الخليجية في هذا الجانب.</w:t>
      </w:r>
    </w:p>
    <w:p w14:paraId="7DAD9CE5" w14:textId="47FAF9F3" w:rsidR="00BE13D0" w:rsidRPr="00BE13D0" w:rsidRDefault="00BE13D0" w:rsidP="00BE13D0">
      <w:pPr>
        <w:pStyle w:val="BlockText"/>
        <w:ind w:left="146" w:hanging="120"/>
        <w:jc w:val="lowKashida"/>
        <w:rPr>
          <w:rFonts w:ascii="Sakkal Majalla" w:hAnsi="Sakkal Majalla" w:cs="Sakkal Majalla"/>
          <w:sz w:val="28"/>
          <w:lang w:bidi="ar-EG"/>
        </w:rPr>
      </w:pPr>
      <w:r w:rsidRPr="00BE13D0">
        <w:rPr>
          <w:rFonts w:ascii="Sakkal Majalla" w:hAnsi="Sakkal Majalla" w:cs="Sakkal Majalla"/>
          <w:b/>
          <w:bCs/>
          <w:sz w:val="28"/>
          <w:rtl/>
          <w:lang w:bidi="ar-EG"/>
        </w:rPr>
        <w:t>مقارنة عالمية:</w:t>
      </w:r>
      <w:r w:rsidRPr="00BE13D0">
        <w:rPr>
          <w:rFonts w:ascii="Sakkal Majalla" w:hAnsi="Sakkal Majalla" w:cs="Sakkal Majalla"/>
          <w:sz w:val="28"/>
          <w:rtl/>
          <w:lang w:bidi="ar-EG"/>
        </w:rPr>
        <w:t xml:space="preserve"> في سنغافورة (</w:t>
      </w:r>
      <w:r w:rsidRPr="00BE13D0">
        <w:rPr>
          <w:rFonts w:ascii="Sakkal Majalla" w:hAnsi="Sakkal Majalla" w:cs="Sakkal Majalla"/>
          <w:sz w:val="28"/>
          <w:lang w:bidi="ar-EG"/>
        </w:rPr>
        <w:t>TradeNet + NTP + DAISY</w:t>
      </w:r>
      <w:r w:rsidRPr="00BE13D0">
        <w:rPr>
          <w:rFonts w:ascii="Sakkal Majalla" w:hAnsi="Sakkal Majalla" w:cs="Sakkal Majalla"/>
          <w:sz w:val="28"/>
          <w:rtl/>
          <w:lang w:bidi="ar-EG"/>
        </w:rPr>
        <w:t xml:space="preserve">، 2025)، أظهرت تقارير </w:t>
      </w:r>
      <w:r w:rsidRPr="00BE13D0">
        <w:rPr>
          <w:rFonts w:ascii="Sakkal Majalla" w:hAnsi="Sakkal Majalla" w:cs="Sakkal Majalla"/>
          <w:sz w:val="28"/>
          <w:lang w:bidi="ar-EG"/>
        </w:rPr>
        <w:t>WCO</w:t>
      </w:r>
      <w:r w:rsidRPr="00BE13D0">
        <w:rPr>
          <w:rFonts w:ascii="Sakkal Majalla" w:hAnsi="Sakkal Majalla" w:cs="Sakkal Majalla"/>
          <w:sz w:val="28"/>
          <w:rtl/>
          <w:lang w:bidi="ar-EG"/>
        </w:rPr>
        <w:t xml:space="preserve"> (2025) أن "الابتكار الرقمي" يمثل 18–20% من التباين بفضل </w:t>
      </w:r>
      <w:r w:rsidRPr="00BE13D0">
        <w:rPr>
          <w:rFonts w:ascii="Sakkal Majalla" w:hAnsi="Sakkal Majalla" w:cs="Sakkal Majalla"/>
          <w:sz w:val="28"/>
          <w:lang w:bidi="ar-EG"/>
        </w:rPr>
        <w:t>DAISY</w:t>
      </w:r>
      <w:r w:rsidRPr="00BE13D0">
        <w:rPr>
          <w:rFonts w:ascii="Sakkal Majalla" w:hAnsi="Sakkal Majalla" w:cs="Sakkal Majalla"/>
          <w:sz w:val="28"/>
          <w:rtl/>
          <w:lang w:bidi="ar-EG"/>
        </w:rPr>
        <w:t>، بينما جاءت في دراستنا 16.047%، مما يشير إلى فرصة تحسين كبيرة في تبني الذكاء الاصطناعي التنبؤي. أما في الولايات المتحدة (</w:t>
      </w:r>
      <w:r w:rsidRPr="00BE13D0">
        <w:rPr>
          <w:rFonts w:ascii="Sakkal Majalla" w:hAnsi="Sakkal Majalla" w:cs="Sakkal Majalla"/>
          <w:sz w:val="28"/>
          <w:lang w:bidi="ar-EG"/>
        </w:rPr>
        <w:t>ACE + ATS</w:t>
      </w:r>
      <w:r w:rsidRPr="00BE13D0">
        <w:rPr>
          <w:rFonts w:ascii="Sakkal Majalla" w:hAnsi="Sakkal Majalla" w:cs="Sakkal Majalla"/>
          <w:sz w:val="28"/>
          <w:rtl/>
          <w:lang w:bidi="ar-EG"/>
        </w:rPr>
        <w:t xml:space="preserve">، </w:t>
      </w:r>
      <w:r w:rsidRPr="00BE13D0">
        <w:rPr>
          <w:rFonts w:ascii="Sakkal Majalla" w:hAnsi="Sakkal Majalla" w:cs="Sakkal Majalla"/>
          <w:sz w:val="28"/>
          <w:lang w:bidi="ar-EG"/>
        </w:rPr>
        <w:t>CBP 2025</w:t>
      </w:r>
      <w:r w:rsidRPr="00BE13D0">
        <w:rPr>
          <w:rFonts w:ascii="Sakkal Majalla" w:hAnsi="Sakkal Majalla" w:cs="Sakkal Majalla"/>
          <w:sz w:val="28"/>
          <w:rtl/>
          <w:lang w:bidi="ar-EG"/>
        </w:rPr>
        <w:t>)، فسجلت الدراسات الداخلية تباينًا للابتكار يصل إلى 17–19%، وهو ما يتفوق قليلاً على نتائجنا.</w:t>
      </w:r>
    </w:p>
    <w:p w14:paraId="3FD6518A" w14:textId="593B52F7" w:rsidR="00BE13D0" w:rsidRPr="00BE13D0" w:rsidRDefault="00BE13D0" w:rsidP="00BE13D0">
      <w:pPr>
        <w:pStyle w:val="BlockText"/>
        <w:ind w:left="146" w:hanging="120"/>
        <w:jc w:val="lowKashida"/>
        <w:rPr>
          <w:rFonts w:ascii="Sakkal Majalla" w:hAnsi="Sakkal Majalla" w:cs="Sakkal Majalla"/>
          <w:sz w:val="28"/>
          <w:lang w:bidi="ar-EG"/>
        </w:rPr>
      </w:pPr>
      <w:r w:rsidRPr="00BE13D0">
        <w:rPr>
          <w:rFonts w:ascii="Sakkal Majalla" w:hAnsi="Sakkal Majalla" w:cs="Sakkal Majalla"/>
          <w:b/>
          <w:bCs/>
          <w:sz w:val="28"/>
          <w:rtl/>
          <w:lang w:bidi="ar-EG"/>
        </w:rPr>
        <w:t>العامل الثالث: الحوكمة الرقمية</w:t>
      </w:r>
      <w:r w:rsidRPr="00BE13D0">
        <w:rPr>
          <w:rFonts w:ascii="Sakkal Majalla" w:hAnsi="Sakkal Majalla" w:cs="Sakkal Majalla"/>
          <w:sz w:val="28"/>
          <w:rtl/>
          <w:lang w:bidi="ar-EG"/>
        </w:rPr>
        <w:t xml:space="preserve"> (التباين المفسر = 15.803%، </w:t>
      </w:r>
      <w:r w:rsidRPr="00BE13D0">
        <w:rPr>
          <w:rFonts w:ascii="Sakkal Majalla" w:hAnsi="Sakkal Majalla" w:cs="Sakkal Majalla"/>
          <w:sz w:val="28"/>
          <w:lang w:bidi="ar-EG"/>
        </w:rPr>
        <w:t>Eigenvalue = 1.896</w:t>
      </w:r>
      <w:r w:rsidRPr="00BE13D0">
        <w:rPr>
          <w:rFonts w:ascii="Sakkal Majalla" w:hAnsi="Sakkal Majalla" w:cs="Sakkal Majalla"/>
          <w:sz w:val="28"/>
          <w:rtl/>
          <w:lang w:bidi="ar-EG"/>
        </w:rPr>
        <w:t xml:space="preserve">)  </w:t>
      </w:r>
    </w:p>
    <w:p w14:paraId="1C02FFFD" w14:textId="77777777" w:rsidR="00BE13D0" w:rsidRPr="00BE13D0" w:rsidRDefault="00BE13D0" w:rsidP="00BE13D0">
      <w:pPr>
        <w:pStyle w:val="BlockText"/>
        <w:ind w:left="146" w:hanging="120"/>
        <w:jc w:val="lowKashida"/>
        <w:rPr>
          <w:rFonts w:ascii="Sakkal Majalla" w:hAnsi="Sakkal Majalla" w:cs="Sakkal Majalla"/>
          <w:sz w:val="28"/>
          <w:lang w:bidi="ar-EG"/>
        </w:rPr>
      </w:pPr>
      <w:r w:rsidRPr="00BE13D0">
        <w:rPr>
          <w:rFonts w:ascii="Sakkal Majalla" w:hAnsi="Sakkal Majalla" w:cs="Sakkal Majalla"/>
          <w:sz w:val="28"/>
          <w:rtl/>
          <w:lang w:bidi="ar-EG"/>
        </w:rPr>
        <w:t>سجلت العبارات (7، 8، 9) تشبعات عالية ومتقاربة (0.732–0.768)، مع قيم اشتراكات مرتفعة نسبيًا (0.646–0.676). هذا يعكس إدراكًا ناضجًا لدى العينة بأن السياسات واللوائح والشفافية هي الضمانة الحقيقية لاستدامة التحول.</w:t>
      </w:r>
    </w:p>
    <w:p w14:paraId="7838874D" w14:textId="58F30EAD" w:rsidR="00BE13D0" w:rsidRPr="00BE13D0" w:rsidRDefault="00BE13D0" w:rsidP="00BE13D0">
      <w:pPr>
        <w:pStyle w:val="BlockText"/>
        <w:ind w:left="146" w:hanging="120"/>
        <w:jc w:val="lowKashida"/>
        <w:rPr>
          <w:rFonts w:ascii="Sakkal Majalla" w:hAnsi="Sakkal Majalla" w:cs="Sakkal Majalla"/>
          <w:sz w:val="28"/>
          <w:lang w:bidi="ar-EG"/>
        </w:rPr>
      </w:pPr>
      <w:r w:rsidRPr="00BE13D0">
        <w:rPr>
          <w:rFonts w:ascii="Sakkal Majalla" w:hAnsi="Sakkal Majalla" w:cs="Sakkal Majalla"/>
          <w:b/>
          <w:bCs/>
          <w:sz w:val="28"/>
          <w:rtl/>
          <w:lang w:bidi="ar-EG"/>
        </w:rPr>
        <w:lastRenderedPageBreak/>
        <w:t xml:space="preserve">مقارنة مع دول الخليج: </w:t>
      </w:r>
      <w:r w:rsidRPr="00BE13D0">
        <w:rPr>
          <w:rFonts w:ascii="Sakkal Majalla" w:hAnsi="Sakkal Majalla" w:cs="Sakkal Majalla"/>
          <w:sz w:val="28"/>
          <w:rtl/>
          <w:lang w:bidi="ar-EG"/>
        </w:rPr>
        <w:t>في الإمارات (</w:t>
      </w:r>
      <w:r w:rsidRPr="00BE13D0">
        <w:rPr>
          <w:rFonts w:ascii="Sakkal Majalla" w:hAnsi="Sakkal Majalla" w:cs="Sakkal Majalla"/>
          <w:sz w:val="28"/>
          <w:lang w:bidi="ar-EG"/>
        </w:rPr>
        <w:t>FTA</w:t>
      </w:r>
      <w:r w:rsidRPr="00BE13D0">
        <w:rPr>
          <w:rFonts w:ascii="Sakkal Majalla" w:hAnsi="Sakkal Majalla" w:cs="Sakkal Majalla"/>
          <w:sz w:val="28"/>
          <w:rtl/>
          <w:lang w:bidi="ar-EG"/>
        </w:rPr>
        <w:t xml:space="preserve">، 2025)، بلغ تباين "الحوكمة الرقمية" 17.3%، وهو أعلى قليلاً من دراستنا (15.803%)، لكن </w:t>
      </w:r>
      <w:r w:rsidRPr="00BE13D0">
        <w:rPr>
          <w:rFonts w:ascii="Sakkal Majalla" w:hAnsi="Sakkal Majalla" w:cs="Sakkal Majalla"/>
          <w:sz w:val="28"/>
          <w:lang w:bidi="ar-EG"/>
        </w:rPr>
        <w:t>ZATCA</w:t>
      </w:r>
      <w:r w:rsidRPr="00BE13D0">
        <w:rPr>
          <w:rFonts w:ascii="Sakkal Majalla" w:hAnsi="Sakkal Majalla" w:cs="Sakkal Majalla"/>
          <w:sz w:val="28"/>
          <w:rtl/>
          <w:lang w:bidi="ar-EG"/>
        </w:rPr>
        <w:t xml:space="preserve"> تفوقت في تماسك هذا البعد مقارنة بالبحرين (13.9%) والكويت (14.2%)، مما يعكس نجاح نظام الفوترة الإلكترونية واللوائح الداخلية في تعزيز الشفافية والمساءلة.</w:t>
      </w:r>
    </w:p>
    <w:p w14:paraId="714A284C" w14:textId="4EFFCAB6" w:rsidR="00BE13D0" w:rsidRPr="00BE13D0" w:rsidRDefault="00BE13D0" w:rsidP="00BE13D0">
      <w:pPr>
        <w:pStyle w:val="BlockText"/>
        <w:ind w:left="146" w:hanging="120"/>
        <w:jc w:val="lowKashida"/>
        <w:rPr>
          <w:rFonts w:ascii="Sakkal Majalla" w:hAnsi="Sakkal Majalla" w:cs="Sakkal Majalla"/>
          <w:sz w:val="28"/>
          <w:lang w:bidi="ar-EG"/>
        </w:rPr>
      </w:pPr>
      <w:r w:rsidRPr="00BE13D0">
        <w:rPr>
          <w:rFonts w:ascii="Sakkal Majalla" w:hAnsi="Sakkal Majalla" w:cs="Sakkal Majalla"/>
          <w:b/>
          <w:bCs/>
          <w:sz w:val="28"/>
          <w:rtl/>
          <w:lang w:bidi="ar-EG"/>
        </w:rPr>
        <w:t>مقارنة عالمية:</w:t>
      </w:r>
      <w:r w:rsidRPr="00BE13D0">
        <w:rPr>
          <w:rFonts w:ascii="Sakkal Majalla" w:hAnsi="Sakkal Majalla" w:cs="Sakkal Majalla"/>
          <w:sz w:val="28"/>
          <w:rtl/>
          <w:lang w:bidi="ar-EG"/>
        </w:rPr>
        <w:t xml:space="preserve"> في الاتحاد الأوروبي (</w:t>
      </w:r>
      <w:r w:rsidRPr="00BE13D0">
        <w:rPr>
          <w:rFonts w:ascii="Sakkal Majalla" w:hAnsi="Sakkal Majalla" w:cs="Sakkal Majalla"/>
          <w:sz w:val="28"/>
          <w:lang w:bidi="ar-EG"/>
        </w:rPr>
        <w:t>EU Customs Data Hub + ICS2</w:t>
      </w:r>
      <w:r w:rsidRPr="00BE13D0">
        <w:rPr>
          <w:rFonts w:ascii="Sakkal Majalla" w:hAnsi="Sakkal Majalla" w:cs="Sakkal Majalla"/>
          <w:sz w:val="28"/>
          <w:rtl/>
          <w:lang w:bidi="ar-EG"/>
        </w:rPr>
        <w:t xml:space="preserve">، </w:t>
      </w:r>
      <w:r w:rsidRPr="00BE13D0">
        <w:rPr>
          <w:rFonts w:ascii="Sakkal Majalla" w:hAnsi="Sakkal Majalla" w:cs="Sakkal Majalla"/>
          <w:sz w:val="28"/>
          <w:lang w:bidi="ar-EG"/>
        </w:rPr>
        <w:t>Rukanova et al., 2025</w:t>
      </w:r>
      <w:r w:rsidRPr="00BE13D0">
        <w:rPr>
          <w:rFonts w:ascii="Sakkal Majalla" w:hAnsi="Sakkal Majalla" w:cs="Sakkal Majalla"/>
          <w:sz w:val="28"/>
          <w:rtl/>
          <w:lang w:bidi="ar-EG"/>
        </w:rPr>
        <w:t xml:space="preserve">)، بلغ التباين التراكمي للأبعاد الثلاثة 61.2%، وهو أعلى من 53.389% في دراستنا، لكن </w:t>
      </w:r>
      <w:r w:rsidRPr="00BE13D0">
        <w:rPr>
          <w:rFonts w:ascii="Sakkal Majalla" w:hAnsi="Sakkal Majalla" w:cs="Sakkal Majalla"/>
          <w:sz w:val="28"/>
          <w:lang w:bidi="ar-EG"/>
        </w:rPr>
        <w:t>ZATCA</w:t>
      </w:r>
      <w:r w:rsidRPr="00BE13D0">
        <w:rPr>
          <w:rFonts w:ascii="Sakkal Majalla" w:hAnsi="Sakkal Majalla" w:cs="Sakkal Majalla"/>
          <w:sz w:val="28"/>
          <w:rtl/>
          <w:lang w:bidi="ar-EG"/>
        </w:rPr>
        <w:t xml:space="preserve"> تفوقت في تماسك "الحوكمة الرقمية" مقارنة بالنموذج الأوروبي الذي يركز أكثر على التكامل عابر الحدود (</w:t>
      </w:r>
      <w:r w:rsidRPr="00BE13D0">
        <w:rPr>
          <w:rFonts w:ascii="Sakkal Majalla" w:hAnsi="Sakkal Majalla" w:cs="Sakkal Majalla"/>
          <w:sz w:val="28"/>
          <w:lang w:bidi="ar-EG"/>
        </w:rPr>
        <w:t>Hanelt et al., 2021</w:t>
      </w:r>
      <w:r w:rsidRPr="00BE13D0">
        <w:rPr>
          <w:rFonts w:ascii="Sakkal Majalla" w:hAnsi="Sakkal Majalla" w:cs="Sakkal Majalla"/>
          <w:sz w:val="28"/>
          <w:rtl/>
          <w:lang w:bidi="ar-EG"/>
        </w:rPr>
        <w:t>). أما في كوريا الجنوبية (</w:t>
      </w:r>
      <w:r w:rsidRPr="00BE13D0">
        <w:rPr>
          <w:rFonts w:ascii="Sakkal Majalla" w:hAnsi="Sakkal Majalla" w:cs="Sakkal Majalla"/>
          <w:sz w:val="28"/>
          <w:lang w:bidi="ar-EG"/>
        </w:rPr>
        <w:t>Lee et al., 2024</w:t>
      </w:r>
      <w:r w:rsidRPr="00BE13D0">
        <w:rPr>
          <w:rFonts w:ascii="Sakkal Majalla" w:hAnsi="Sakkal Majalla" w:cs="Sakkal Majalla"/>
          <w:sz w:val="28"/>
          <w:rtl/>
          <w:lang w:bidi="ar-EG"/>
        </w:rPr>
        <w:t>)، فسجل هذا البعد 16–18%، وهو قريب من نتائجنا.</w:t>
      </w:r>
    </w:p>
    <w:p w14:paraId="1BA3B8A1" w14:textId="0A99787A" w:rsidR="0016339D" w:rsidRDefault="00BE13D0" w:rsidP="00BE13D0">
      <w:pPr>
        <w:pStyle w:val="BlockText"/>
        <w:ind w:left="146" w:hanging="120"/>
        <w:jc w:val="lowKashida"/>
        <w:rPr>
          <w:rFonts w:ascii="Sakkal Majalla" w:hAnsi="Sakkal Majalla" w:cs="Sakkal Majalla"/>
          <w:sz w:val="28"/>
          <w:rtl/>
          <w:lang w:bidi="ar-EG"/>
        </w:rPr>
      </w:pPr>
      <w:r w:rsidRPr="00BE13D0">
        <w:rPr>
          <w:rFonts w:ascii="Sakkal Majalla" w:hAnsi="Sakkal Majalla" w:cs="Sakkal Majalla"/>
          <w:sz w:val="28"/>
          <w:rtl/>
          <w:lang w:bidi="ar-EG"/>
        </w:rPr>
        <w:t>يُثبت التحليل العاملي أن مقياس التحول الرقمي يمتلك بنية عاملية متماسكة وقوية تتوافق مع النماذج العالمية والخليجية، مع أولوية واضحة لـ"الأسس الرقمية" كمدخل أساسي (21.359% تباين)، يليها "الابتكار" و"الحوكمة". التباين التراكمي 53.389% والتشبعات العالية (خاصة في العامل الأول) تعزز صدق البناء وتدعم استخدام المقياس في التحليلات اللاحقة بثقة عالية. كما تفتح النتائج آفاقًا لتطوير الابتكار التنبؤي والاستدامة البيئية لسد الفجوة مع النماذج الرائدة مثل سنغافورة وكوريا الجنوبية، مما يجعل الدراسة إسهامًا نظريًا وعمليًا قيمًا في مجال الجمارك الذكية بدول الخليج.</w:t>
      </w:r>
    </w:p>
    <w:p w14:paraId="4E79342C" w14:textId="77777777" w:rsidR="007A0B3B" w:rsidRPr="0040330A" w:rsidRDefault="007A0B3B" w:rsidP="007A0B3B">
      <w:pPr>
        <w:pStyle w:val="BlockText"/>
        <w:spacing w:line="360" w:lineRule="auto"/>
        <w:ind w:left="146" w:hanging="120"/>
        <w:jc w:val="lowKashida"/>
        <w:outlineLvl w:val="0"/>
        <w:rPr>
          <w:rFonts w:ascii="Sakkal Majalla" w:hAnsi="Sakkal Majalla" w:cs="Sakkal Majalla"/>
          <w:b/>
          <w:bCs/>
          <w:sz w:val="32"/>
          <w:szCs w:val="32"/>
          <w:rtl/>
        </w:rPr>
      </w:pPr>
      <w:r w:rsidRPr="0040330A">
        <w:rPr>
          <w:rFonts w:ascii="Sakkal Majalla" w:hAnsi="Sakkal Majalla" w:cs="Sakkal Majalla"/>
          <w:b/>
          <w:bCs/>
          <w:sz w:val="32"/>
          <w:szCs w:val="32"/>
          <w:rtl/>
        </w:rPr>
        <w:t xml:space="preserve">3/3 التحليل الوصفي: </w:t>
      </w:r>
    </w:p>
    <w:p w14:paraId="1AD35E85" w14:textId="3E8EB7BF" w:rsidR="007A0B3B" w:rsidRPr="0040330A" w:rsidRDefault="007A0B3B" w:rsidP="007A0B3B">
      <w:pPr>
        <w:pStyle w:val="BlockText"/>
        <w:jc w:val="lowKashida"/>
        <w:rPr>
          <w:rFonts w:ascii="Sakkal Majalla" w:hAnsi="Sakkal Majalla" w:cs="Sakkal Majalla"/>
          <w:sz w:val="28"/>
          <w:rtl/>
          <w:lang w:bidi="ar-EG"/>
        </w:rPr>
      </w:pPr>
      <w:r w:rsidRPr="0040330A">
        <w:rPr>
          <w:rFonts w:ascii="Sakkal Majalla" w:hAnsi="Sakkal Majalla" w:cs="Sakkal Majalla"/>
          <w:sz w:val="28"/>
          <w:rtl/>
          <w:lang w:bidi="ar-EG"/>
        </w:rPr>
        <w:t xml:space="preserve">اعتمد الباحث على الجداول التكرارية والنسب المئوية والمتوسطات المرجحة وقد قام بتوصيف عينة البحث طبقا للعوامل الديمغرافية، ثم قام بتحديد نسب العملاء الذين أظهروا اتجاها إيجابيا نحو </w:t>
      </w:r>
      <w:r w:rsidR="00F530ED">
        <w:rPr>
          <w:rFonts w:ascii="Sakkal Majalla" w:hAnsi="Sakkal Majalla" w:cs="Sakkal Majalla" w:hint="cs"/>
          <w:sz w:val="28"/>
          <w:rtl/>
          <w:lang w:bidi="ar-EG"/>
        </w:rPr>
        <w:t>التحول الرقمي</w:t>
      </w:r>
      <w:r w:rsidRPr="0040330A">
        <w:rPr>
          <w:rFonts w:ascii="Sakkal Majalla" w:hAnsi="Sakkal Majalla" w:cs="Sakkal Majalla"/>
          <w:sz w:val="28"/>
          <w:rtl/>
          <w:lang w:bidi="ar-EG"/>
        </w:rPr>
        <w:t xml:space="preserve"> وذلك بالنسبة لمتغيرات الدراسة، وتوزيع العملاء وفقا للعوامل الديمغرافية .</w:t>
      </w:r>
    </w:p>
    <w:p w14:paraId="39DDC253" w14:textId="77777777" w:rsidR="007A0B3B" w:rsidRPr="0040330A" w:rsidRDefault="007A0B3B" w:rsidP="007A0B3B">
      <w:pPr>
        <w:pStyle w:val="BlockText"/>
        <w:spacing w:line="360" w:lineRule="auto"/>
        <w:ind w:left="1008"/>
        <w:jc w:val="lowKashida"/>
        <w:outlineLvl w:val="0"/>
        <w:rPr>
          <w:rFonts w:ascii="Sakkal Majalla" w:hAnsi="Sakkal Majalla" w:cs="Sakkal Majalla"/>
          <w:b/>
          <w:bCs/>
          <w:sz w:val="28"/>
        </w:rPr>
      </w:pPr>
      <w:r w:rsidRPr="0040330A">
        <w:rPr>
          <w:rFonts w:ascii="Sakkal Majalla" w:hAnsi="Sakkal Majalla" w:cs="Sakkal Majalla"/>
          <w:b/>
          <w:bCs/>
          <w:sz w:val="28"/>
          <w:rtl/>
        </w:rPr>
        <w:t xml:space="preserve">3/3/1 وصف العينة: </w:t>
      </w:r>
    </w:p>
    <w:p w14:paraId="0B74B1DD" w14:textId="77777777" w:rsidR="007A0B3B" w:rsidRDefault="007A0B3B" w:rsidP="007A0B3B">
      <w:pPr>
        <w:pStyle w:val="BlockText"/>
        <w:spacing w:line="276" w:lineRule="auto"/>
        <w:jc w:val="center"/>
        <w:rPr>
          <w:rFonts w:ascii="Sakkal Majalla" w:hAnsi="Sakkal Majalla" w:cs="Sakkal Majalla"/>
          <w:b/>
          <w:bCs/>
          <w:sz w:val="24"/>
          <w:szCs w:val="24"/>
          <w:rtl/>
          <w:lang w:bidi="ar-EG"/>
        </w:rPr>
      </w:pPr>
      <w:r w:rsidRPr="0040330A">
        <w:rPr>
          <w:rFonts w:ascii="Sakkal Majalla" w:hAnsi="Sakkal Majalla" w:cs="Sakkal Majalla"/>
          <w:b/>
          <w:bCs/>
          <w:sz w:val="24"/>
          <w:szCs w:val="24"/>
          <w:rtl/>
          <w:lang w:bidi="ar-EG"/>
        </w:rPr>
        <w:t>جدول رقم (3/6) توزيع مفردات العينة الدراسة طبقا للعوامل الديموغرافية</w:t>
      </w:r>
    </w:p>
    <w:tbl>
      <w:tblPr>
        <w:bidiVisual/>
        <w:tblW w:w="5860" w:type="dxa"/>
        <w:jc w:val="center"/>
        <w:tblLook w:val="04A0" w:firstRow="1" w:lastRow="0" w:firstColumn="1" w:lastColumn="0" w:noHBand="0" w:noVBand="1"/>
      </w:tblPr>
      <w:tblGrid>
        <w:gridCol w:w="960"/>
        <w:gridCol w:w="2980"/>
        <w:gridCol w:w="960"/>
        <w:gridCol w:w="960"/>
      </w:tblGrid>
      <w:tr w:rsidR="00F530ED" w:rsidRPr="00F530ED" w14:paraId="27174698" w14:textId="77777777" w:rsidTr="00F530ED">
        <w:trPr>
          <w:trHeight w:val="348"/>
          <w:jc w:val="center"/>
        </w:trPr>
        <w:tc>
          <w:tcPr>
            <w:tcW w:w="3940" w:type="dxa"/>
            <w:gridSpan w:val="2"/>
            <w:tcBorders>
              <w:top w:val="double" w:sz="6" w:space="0" w:color="auto"/>
              <w:left w:val="double" w:sz="6" w:space="0" w:color="000000"/>
              <w:bottom w:val="double" w:sz="6" w:space="0" w:color="auto"/>
              <w:right w:val="double" w:sz="6" w:space="0" w:color="000000"/>
            </w:tcBorders>
            <w:shd w:val="clear" w:color="000000" w:fill="BFBFBF"/>
            <w:vAlign w:val="center"/>
            <w:hideMark/>
          </w:tcPr>
          <w:p w14:paraId="686EB9A1" w14:textId="77777777" w:rsidR="00F530ED" w:rsidRPr="00F530ED" w:rsidRDefault="00F530ED" w:rsidP="00F530ED">
            <w:pPr>
              <w:bidi/>
              <w:spacing w:after="0" w:line="240" w:lineRule="auto"/>
              <w:jc w:val="center"/>
              <w:rPr>
                <w:rFonts w:ascii="Sakkal Majalla" w:eastAsia="Times New Roman" w:hAnsi="Sakkal Majalla" w:cs="Sakkal Majalla"/>
                <w:b/>
                <w:bCs/>
                <w:color w:val="000000"/>
                <w:sz w:val="20"/>
                <w:szCs w:val="20"/>
              </w:rPr>
            </w:pPr>
            <w:r w:rsidRPr="00F530ED">
              <w:rPr>
                <w:rFonts w:ascii="Sakkal Majalla" w:eastAsia="Times New Roman" w:hAnsi="Sakkal Majalla" w:cs="Sakkal Majalla" w:hint="cs"/>
                <w:b/>
                <w:bCs/>
                <w:color w:val="000000"/>
                <w:sz w:val="20"/>
                <w:szCs w:val="20"/>
                <w:rtl/>
              </w:rPr>
              <w:t xml:space="preserve">أسئلة الدراسة </w:t>
            </w:r>
          </w:p>
        </w:tc>
        <w:tc>
          <w:tcPr>
            <w:tcW w:w="960" w:type="dxa"/>
            <w:tcBorders>
              <w:top w:val="double" w:sz="6" w:space="0" w:color="auto"/>
              <w:left w:val="nil"/>
              <w:bottom w:val="double" w:sz="6" w:space="0" w:color="auto"/>
              <w:right w:val="nil"/>
            </w:tcBorders>
            <w:shd w:val="clear" w:color="000000" w:fill="BFBFBF"/>
            <w:vAlign w:val="center"/>
            <w:hideMark/>
          </w:tcPr>
          <w:p w14:paraId="7AD4511E" w14:textId="77777777" w:rsidR="00F530ED" w:rsidRPr="00F530ED" w:rsidRDefault="00F530ED" w:rsidP="00F530ED">
            <w:pPr>
              <w:bidi/>
              <w:spacing w:after="0" w:line="240" w:lineRule="auto"/>
              <w:jc w:val="center"/>
              <w:rPr>
                <w:rFonts w:ascii="Sakkal Majalla" w:eastAsia="Times New Roman" w:hAnsi="Sakkal Majalla" w:cs="Sakkal Majalla"/>
                <w:b/>
                <w:bCs/>
                <w:color w:val="000000"/>
                <w:sz w:val="20"/>
                <w:szCs w:val="20"/>
                <w:rtl/>
              </w:rPr>
            </w:pPr>
            <w:r w:rsidRPr="00F530ED">
              <w:rPr>
                <w:rFonts w:ascii="Sakkal Majalla" w:eastAsia="Times New Roman" w:hAnsi="Sakkal Majalla" w:cs="Sakkal Majalla" w:hint="cs"/>
                <w:b/>
                <w:bCs/>
                <w:color w:val="000000"/>
                <w:sz w:val="20"/>
                <w:szCs w:val="20"/>
                <w:rtl/>
              </w:rPr>
              <w:t>العدد</w:t>
            </w:r>
          </w:p>
        </w:tc>
        <w:tc>
          <w:tcPr>
            <w:tcW w:w="960" w:type="dxa"/>
            <w:tcBorders>
              <w:top w:val="double" w:sz="6" w:space="0" w:color="auto"/>
              <w:left w:val="double" w:sz="6" w:space="0" w:color="auto"/>
              <w:bottom w:val="double" w:sz="6" w:space="0" w:color="auto"/>
              <w:right w:val="double" w:sz="6" w:space="0" w:color="auto"/>
            </w:tcBorders>
            <w:shd w:val="clear" w:color="000000" w:fill="BFBFBF"/>
            <w:vAlign w:val="center"/>
            <w:hideMark/>
          </w:tcPr>
          <w:p w14:paraId="3E38E0DD" w14:textId="77777777" w:rsidR="00F530ED" w:rsidRPr="00F530ED" w:rsidRDefault="00F530ED" w:rsidP="00F530ED">
            <w:pPr>
              <w:bidi/>
              <w:spacing w:after="0" w:line="240" w:lineRule="auto"/>
              <w:jc w:val="center"/>
              <w:rPr>
                <w:rFonts w:ascii="Sakkal Majalla" w:eastAsia="Times New Roman" w:hAnsi="Sakkal Majalla" w:cs="Sakkal Majalla"/>
                <w:b/>
                <w:bCs/>
                <w:color w:val="000000"/>
                <w:sz w:val="20"/>
                <w:szCs w:val="20"/>
                <w:rtl/>
              </w:rPr>
            </w:pPr>
            <w:r w:rsidRPr="00F530ED">
              <w:rPr>
                <w:rFonts w:ascii="Sakkal Majalla" w:eastAsia="Times New Roman" w:hAnsi="Sakkal Majalla" w:cs="Sakkal Majalla" w:hint="cs"/>
                <w:b/>
                <w:bCs/>
                <w:color w:val="000000"/>
                <w:sz w:val="20"/>
                <w:szCs w:val="20"/>
                <w:rtl/>
              </w:rPr>
              <w:t>النسبة المؤية</w:t>
            </w:r>
          </w:p>
        </w:tc>
      </w:tr>
      <w:tr w:rsidR="00F530ED" w:rsidRPr="00F530ED" w14:paraId="0AF6E29A" w14:textId="77777777" w:rsidTr="00F530ED">
        <w:trPr>
          <w:trHeight w:val="312"/>
          <w:jc w:val="center"/>
        </w:trPr>
        <w:tc>
          <w:tcPr>
            <w:tcW w:w="960" w:type="dxa"/>
            <w:vMerge w:val="restart"/>
            <w:tcBorders>
              <w:top w:val="nil"/>
              <w:left w:val="double" w:sz="6" w:space="0" w:color="auto"/>
              <w:bottom w:val="single" w:sz="8" w:space="0" w:color="000000"/>
              <w:right w:val="double" w:sz="6" w:space="0" w:color="auto"/>
            </w:tcBorders>
            <w:shd w:val="clear" w:color="auto" w:fill="auto"/>
            <w:vAlign w:val="center"/>
            <w:hideMark/>
          </w:tcPr>
          <w:p w14:paraId="42FBF38F" w14:textId="77777777" w:rsidR="00F530ED" w:rsidRPr="00F530ED" w:rsidRDefault="00F530ED" w:rsidP="00F530ED">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 xml:space="preserve">النوع </w:t>
            </w:r>
          </w:p>
        </w:tc>
        <w:tc>
          <w:tcPr>
            <w:tcW w:w="2980" w:type="dxa"/>
            <w:tcBorders>
              <w:top w:val="nil"/>
              <w:left w:val="nil"/>
              <w:bottom w:val="single" w:sz="8" w:space="0" w:color="auto"/>
              <w:right w:val="nil"/>
            </w:tcBorders>
            <w:shd w:val="clear" w:color="auto" w:fill="auto"/>
            <w:vAlign w:val="center"/>
            <w:hideMark/>
          </w:tcPr>
          <w:p w14:paraId="56BB9395" w14:textId="77777777" w:rsidR="00F530ED" w:rsidRPr="00F530ED" w:rsidRDefault="00F530ED" w:rsidP="00F530ED">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ذكر</w:t>
            </w:r>
          </w:p>
        </w:tc>
        <w:tc>
          <w:tcPr>
            <w:tcW w:w="960" w:type="dxa"/>
            <w:tcBorders>
              <w:top w:val="nil"/>
              <w:left w:val="nil"/>
              <w:bottom w:val="single" w:sz="8" w:space="0" w:color="auto"/>
              <w:right w:val="single" w:sz="8" w:space="0" w:color="auto"/>
            </w:tcBorders>
            <w:shd w:val="clear" w:color="auto" w:fill="auto"/>
            <w:vAlign w:val="center"/>
            <w:hideMark/>
          </w:tcPr>
          <w:p w14:paraId="7519A4C6" w14:textId="77777777" w:rsidR="00F530ED" w:rsidRPr="00F530ED" w:rsidRDefault="00F530ED" w:rsidP="00F530ED">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26</w:t>
            </w:r>
          </w:p>
        </w:tc>
        <w:tc>
          <w:tcPr>
            <w:tcW w:w="960" w:type="dxa"/>
            <w:tcBorders>
              <w:top w:val="nil"/>
              <w:left w:val="double" w:sz="6" w:space="0" w:color="auto"/>
              <w:bottom w:val="single" w:sz="8" w:space="0" w:color="auto"/>
              <w:right w:val="double" w:sz="6" w:space="0" w:color="auto"/>
            </w:tcBorders>
            <w:shd w:val="clear" w:color="auto" w:fill="auto"/>
            <w:vAlign w:val="center"/>
            <w:hideMark/>
          </w:tcPr>
          <w:p w14:paraId="73D3447A" w14:textId="77777777" w:rsidR="00F530ED" w:rsidRPr="00F530ED" w:rsidRDefault="00F530ED" w:rsidP="00F530ED">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52.00%</w:t>
            </w:r>
          </w:p>
        </w:tc>
      </w:tr>
      <w:tr w:rsidR="00F530ED" w:rsidRPr="00F530ED" w14:paraId="3AF48ECD" w14:textId="77777777" w:rsidTr="00F530ED">
        <w:trPr>
          <w:trHeight w:val="300"/>
          <w:jc w:val="center"/>
        </w:trPr>
        <w:tc>
          <w:tcPr>
            <w:tcW w:w="960" w:type="dxa"/>
            <w:vMerge/>
            <w:tcBorders>
              <w:top w:val="nil"/>
              <w:left w:val="double" w:sz="6" w:space="0" w:color="auto"/>
              <w:bottom w:val="single" w:sz="8" w:space="0" w:color="000000"/>
              <w:right w:val="double" w:sz="6" w:space="0" w:color="auto"/>
            </w:tcBorders>
            <w:vAlign w:val="center"/>
            <w:hideMark/>
          </w:tcPr>
          <w:p w14:paraId="3C5FDF2C" w14:textId="77777777" w:rsidR="00F530ED" w:rsidRPr="00F530ED" w:rsidRDefault="00F530ED" w:rsidP="00F530ED">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shd w:val="clear" w:color="auto" w:fill="auto"/>
            <w:vAlign w:val="center"/>
            <w:hideMark/>
          </w:tcPr>
          <w:p w14:paraId="450181C9" w14:textId="77777777" w:rsidR="00F530ED" w:rsidRPr="00F530ED" w:rsidRDefault="00F530ED" w:rsidP="00F530ED">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أنثى</w:t>
            </w:r>
          </w:p>
        </w:tc>
        <w:tc>
          <w:tcPr>
            <w:tcW w:w="960" w:type="dxa"/>
            <w:tcBorders>
              <w:top w:val="nil"/>
              <w:left w:val="nil"/>
              <w:bottom w:val="single" w:sz="8" w:space="0" w:color="auto"/>
              <w:right w:val="single" w:sz="8" w:space="0" w:color="auto"/>
            </w:tcBorders>
            <w:shd w:val="clear" w:color="auto" w:fill="auto"/>
            <w:vAlign w:val="center"/>
            <w:hideMark/>
          </w:tcPr>
          <w:p w14:paraId="65DCDDF3" w14:textId="77777777" w:rsidR="00F530ED" w:rsidRPr="00F530ED" w:rsidRDefault="00F530ED" w:rsidP="00F530ED">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24</w:t>
            </w:r>
          </w:p>
        </w:tc>
        <w:tc>
          <w:tcPr>
            <w:tcW w:w="960" w:type="dxa"/>
            <w:tcBorders>
              <w:top w:val="nil"/>
              <w:left w:val="double" w:sz="6" w:space="0" w:color="auto"/>
              <w:bottom w:val="double" w:sz="6" w:space="0" w:color="auto"/>
              <w:right w:val="double" w:sz="6" w:space="0" w:color="auto"/>
            </w:tcBorders>
            <w:shd w:val="clear" w:color="auto" w:fill="auto"/>
            <w:vAlign w:val="center"/>
            <w:hideMark/>
          </w:tcPr>
          <w:p w14:paraId="653B9CA0" w14:textId="77777777" w:rsidR="00F530ED" w:rsidRPr="00F530ED" w:rsidRDefault="00F530ED" w:rsidP="00F530ED">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48.00%</w:t>
            </w:r>
          </w:p>
        </w:tc>
      </w:tr>
      <w:tr w:rsidR="00F530ED" w:rsidRPr="00F530ED" w14:paraId="2FA99026" w14:textId="77777777" w:rsidTr="00F530ED">
        <w:trPr>
          <w:trHeight w:val="300"/>
          <w:jc w:val="center"/>
        </w:trPr>
        <w:tc>
          <w:tcPr>
            <w:tcW w:w="960" w:type="dxa"/>
            <w:vMerge/>
            <w:tcBorders>
              <w:top w:val="nil"/>
              <w:left w:val="double" w:sz="6" w:space="0" w:color="auto"/>
              <w:bottom w:val="single" w:sz="8" w:space="0" w:color="000000"/>
              <w:right w:val="double" w:sz="6" w:space="0" w:color="auto"/>
            </w:tcBorders>
            <w:vAlign w:val="center"/>
            <w:hideMark/>
          </w:tcPr>
          <w:p w14:paraId="53171ECC" w14:textId="77777777" w:rsidR="00F530ED" w:rsidRPr="00F530ED" w:rsidRDefault="00F530ED" w:rsidP="00F530ED">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shd w:val="clear" w:color="000000" w:fill="BFBFBF"/>
            <w:vAlign w:val="center"/>
            <w:hideMark/>
          </w:tcPr>
          <w:p w14:paraId="39054729" w14:textId="77777777" w:rsidR="00F530ED" w:rsidRPr="00F530ED" w:rsidRDefault="00F530ED" w:rsidP="00F530ED">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الإجمالى</w:t>
            </w:r>
          </w:p>
        </w:tc>
        <w:tc>
          <w:tcPr>
            <w:tcW w:w="960" w:type="dxa"/>
            <w:tcBorders>
              <w:top w:val="nil"/>
              <w:left w:val="nil"/>
              <w:bottom w:val="single" w:sz="8" w:space="0" w:color="auto"/>
              <w:right w:val="single" w:sz="8" w:space="0" w:color="auto"/>
            </w:tcBorders>
            <w:shd w:val="clear" w:color="000000" w:fill="BFBFBF"/>
            <w:vAlign w:val="center"/>
            <w:hideMark/>
          </w:tcPr>
          <w:p w14:paraId="1A87BB93" w14:textId="77777777" w:rsidR="00F530ED" w:rsidRPr="00F530ED" w:rsidRDefault="00F530ED" w:rsidP="00F530ED">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50</w:t>
            </w:r>
          </w:p>
        </w:tc>
        <w:tc>
          <w:tcPr>
            <w:tcW w:w="960" w:type="dxa"/>
            <w:tcBorders>
              <w:top w:val="nil"/>
              <w:left w:val="double" w:sz="6" w:space="0" w:color="auto"/>
              <w:bottom w:val="single" w:sz="8" w:space="0" w:color="auto"/>
              <w:right w:val="double" w:sz="6" w:space="0" w:color="auto"/>
            </w:tcBorders>
            <w:shd w:val="clear" w:color="000000" w:fill="BFBFBF"/>
            <w:vAlign w:val="center"/>
            <w:hideMark/>
          </w:tcPr>
          <w:p w14:paraId="6433BB69" w14:textId="77777777" w:rsidR="00F530ED" w:rsidRPr="00F530ED" w:rsidRDefault="00F530ED" w:rsidP="00F530ED">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100%</w:t>
            </w:r>
          </w:p>
        </w:tc>
      </w:tr>
      <w:tr w:rsidR="00F530ED" w:rsidRPr="00F530ED" w14:paraId="7DC2135C" w14:textId="77777777" w:rsidTr="00F530ED">
        <w:trPr>
          <w:trHeight w:val="300"/>
          <w:jc w:val="center"/>
        </w:trPr>
        <w:tc>
          <w:tcPr>
            <w:tcW w:w="960" w:type="dxa"/>
            <w:vMerge w:val="restart"/>
            <w:tcBorders>
              <w:top w:val="nil"/>
              <w:left w:val="double" w:sz="6" w:space="0" w:color="auto"/>
              <w:bottom w:val="single" w:sz="8" w:space="0" w:color="000000"/>
              <w:right w:val="double" w:sz="6" w:space="0" w:color="auto"/>
            </w:tcBorders>
            <w:shd w:val="clear" w:color="auto" w:fill="auto"/>
            <w:vAlign w:val="center"/>
            <w:hideMark/>
          </w:tcPr>
          <w:p w14:paraId="170BD5F4" w14:textId="77777777" w:rsidR="00F530ED" w:rsidRPr="00F530ED" w:rsidRDefault="00F530ED" w:rsidP="00F530ED">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 xml:space="preserve">السن </w:t>
            </w:r>
          </w:p>
        </w:tc>
        <w:tc>
          <w:tcPr>
            <w:tcW w:w="2980" w:type="dxa"/>
            <w:tcBorders>
              <w:top w:val="nil"/>
              <w:left w:val="nil"/>
              <w:bottom w:val="single" w:sz="8" w:space="0" w:color="auto"/>
              <w:right w:val="nil"/>
            </w:tcBorders>
            <w:shd w:val="clear" w:color="auto" w:fill="auto"/>
            <w:vAlign w:val="center"/>
            <w:hideMark/>
          </w:tcPr>
          <w:p w14:paraId="3C1BA471" w14:textId="77777777" w:rsidR="00F530ED" w:rsidRPr="00F530ED" w:rsidRDefault="00F530ED" w:rsidP="00F530ED">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 xml:space="preserve"> أقل من 30 سنة</w:t>
            </w:r>
          </w:p>
        </w:tc>
        <w:tc>
          <w:tcPr>
            <w:tcW w:w="960" w:type="dxa"/>
            <w:tcBorders>
              <w:top w:val="nil"/>
              <w:left w:val="nil"/>
              <w:bottom w:val="single" w:sz="8" w:space="0" w:color="auto"/>
              <w:right w:val="single" w:sz="8" w:space="0" w:color="auto"/>
            </w:tcBorders>
            <w:shd w:val="clear" w:color="auto" w:fill="auto"/>
            <w:vAlign w:val="center"/>
            <w:hideMark/>
          </w:tcPr>
          <w:p w14:paraId="0B8062BD" w14:textId="77777777" w:rsidR="00F530ED" w:rsidRPr="00F530ED" w:rsidRDefault="00F530ED" w:rsidP="00F530ED">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0.2</w:t>
            </w:r>
          </w:p>
        </w:tc>
        <w:tc>
          <w:tcPr>
            <w:tcW w:w="960" w:type="dxa"/>
            <w:tcBorders>
              <w:top w:val="nil"/>
              <w:left w:val="double" w:sz="6" w:space="0" w:color="auto"/>
              <w:bottom w:val="double" w:sz="6" w:space="0" w:color="auto"/>
              <w:right w:val="double" w:sz="6" w:space="0" w:color="auto"/>
            </w:tcBorders>
            <w:shd w:val="clear" w:color="auto" w:fill="auto"/>
            <w:vAlign w:val="center"/>
            <w:hideMark/>
          </w:tcPr>
          <w:p w14:paraId="57589E69" w14:textId="77777777" w:rsidR="00F530ED" w:rsidRPr="00F530ED" w:rsidRDefault="00F530ED" w:rsidP="00F530ED">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0.40%</w:t>
            </w:r>
          </w:p>
        </w:tc>
      </w:tr>
      <w:tr w:rsidR="00F530ED" w:rsidRPr="00F530ED" w14:paraId="43817884" w14:textId="77777777" w:rsidTr="00F530ED">
        <w:trPr>
          <w:trHeight w:val="300"/>
          <w:jc w:val="center"/>
        </w:trPr>
        <w:tc>
          <w:tcPr>
            <w:tcW w:w="960" w:type="dxa"/>
            <w:vMerge/>
            <w:tcBorders>
              <w:top w:val="nil"/>
              <w:left w:val="double" w:sz="6" w:space="0" w:color="auto"/>
              <w:bottom w:val="single" w:sz="8" w:space="0" w:color="000000"/>
              <w:right w:val="double" w:sz="6" w:space="0" w:color="auto"/>
            </w:tcBorders>
            <w:vAlign w:val="center"/>
            <w:hideMark/>
          </w:tcPr>
          <w:p w14:paraId="196D9BDF" w14:textId="77777777" w:rsidR="00F530ED" w:rsidRPr="00F530ED" w:rsidRDefault="00F530ED" w:rsidP="00F530ED">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shd w:val="clear" w:color="auto" w:fill="auto"/>
            <w:vAlign w:val="center"/>
            <w:hideMark/>
          </w:tcPr>
          <w:p w14:paraId="1D017FC6" w14:textId="77777777" w:rsidR="00F530ED" w:rsidRPr="00F530ED" w:rsidRDefault="00F530ED" w:rsidP="00F530ED">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من 30 إلى 40 سنة</w:t>
            </w:r>
          </w:p>
        </w:tc>
        <w:tc>
          <w:tcPr>
            <w:tcW w:w="960" w:type="dxa"/>
            <w:tcBorders>
              <w:top w:val="nil"/>
              <w:left w:val="nil"/>
              <w:bottom w:val="single" w:sz="8" w:space="0" w:color="auto"/>
              <w:right w:val="single" w:sz="8" w:space="0" w:color="auto"/>
            </w:tcBorders>
            <w:shd w:val="clear" w:color="auto" w:fill="auto"/>
            <w:vAlign w:val="center"/>
            <w:hideMark/>
          </w:tcPr>
          <w:p w14:paraId="5D8F8686" w14:textId="77777777" w:rsidR="00F530ED" w:rsidRPr="00F530ED" w:rsidRDefault="00F530ED" w:rsidP="00F530ED">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16</w:t>
            </w:r>
          </w:p>
        </w:tc>
        <w:tc>
          <w:tcPr>
            <w:tcW w:w="960" w:type="dxa"/>
            <w:tcBorders>
              <w:top w:val="nil"/>
              <w:left w:val="double" w:sz="6" w:space="0" w:color="auto"/>
              <w:bottom w:val="double" w:sz="6" w:space="0" w:color="auto"/>
              <w:right w:val="double" w:sz="6" w:space="0" w:color="auto"/>
            </w:tcBorders>
            <w:shd w:val="clear" w:color="auto" w:fill="auto"/>
            <w:vAlign w:val="center"/>
            <w:hideMark/>
          </w:tcPr>
          <w:p w14:paraId="6628BA57" w14:textId="77777777" w:rsidR="00F530ED" w:rsidRPr="00F530ED" w:rsidRDefault="00F530ED" w:rsidP="00F530ED">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32.00%</w:t>
            </w:r>
          </w:p>
        </w:tc>
      </w:tr>
      <w:tr w:rsidR="00F530ED" w:rsidRPr="00F530ED" w14:paraId="4C54FEA7" w14:textId="77777777" w:rsidTr="00F530ED">
        <w:trPr>
          <w:trHeight w:val="300"/>
          <w:jc w:val="center"/>
        </w:trPr>
        <w:tc>
          <w:tcPr>
            <w:tcW w:w="960" w:type="dxa"/>
            <w:vMerge/>
            <w:tcBorders>
              <w:top w:val="nil"/>
              <w:left w:val="double" w:sz="6" w:space="0" w:color="auto"/>
              <w:bottom w:val="single" w:sz="8" w:space="0" w:color="000000"/>
              <w:right w:val="double" w:sz="6" w:space="0" w:color="auto"/>
            </w:tcBorders>
            <w:vAlign w:val="center"/>
            <w:hideMark/>
          </w:tcPr>
          <w:p w14:paraId="58F942C8" w14:textId="77777777" w:rsidR="00F530ED" w:rsidRPr="00F530ED" w:rsidRDefault="00F530ED" w:rsidP="00F530ED">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shd w:val="clear" w:color="auto" w:fill="auto"/>
            <w:vAlign w:val="center"/>
            <w:hideMark/>
          </w:tcPr>
          <w:p w14:paraId="6D83E2E5" w14:textId="77777777" w:rsidR="00F530ED" w:rsidRPr="00F530ED" w:rsidRDefault="00F530ED" w:rsidP="00F530ED">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 </w:t>
            </w:r>
            <w:r w:rsidRPr="00F530ED">
              <w:rPr>
                <w:rFonts w:ascii="Sakkal Majalla" w:eastAsia="Times New Roman" w:hAnsi="Sakkal Majalla" w:cs="Sakkal Majalla" w:hint="cs"/>
                <w:color w:val="000000"/>
                <w:sz w:val="18"/>
                <w:szCs w:val="18"/>
                <w:rtl/>
              </w:rPr>
              <w:t>من 41 إلى 50 سنة</w:t>
            </w:r>
          </w:p>
        </w:tc>
        <w:tc>
          <w:tcPr>
            <w:tcW w:w="960" w:type="dxa"/>
            <w:tcBorders>
              <w:top w:val="nil"/>
              <w:left w:val="nil"/>
              <w:bottom w:val="single" w:sz="8" w:space="0" w:color="auto"/>
              <w:right w:val="single" w:sz="8" w:space="0" w:color="auto"/>
            </w:tcBorders>
            <w:shd w:val="clear" w:color="auto" w:fill="auto"/>
            <w:vAlign w:val="center"/>
            <w:hideMark/>
          </w:tcPr>
          <w:p w14:paraId="77A46F23" w14:textId="77777777" w:rsidR="00F530ED" w:rsidRPr="00F530ED" w:rsidRDefault="00F530ED" w:rsidP="00F530ED">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22.3</w:t>
            </w:r>
          </w:p>
        </w:tc>
        <w:tc>
          <w:tcPr>
            <w:tcW w:w="960" w:type="dxa"/>
            <w:tcBorders>
              <w:top w:val="nil"/>
              <w:left w:val="double" w:sz="6" w:space="0" w:color="auto"/>
              <w:bottom w:val="double" w:sz="6" w:space="0" w:color="auto"/>
              <w:right w:val="double" w:sz="6" w:space="0" w:color="auto"/>
            </w:tcBorders>
            <w:shd w:val="clear" w:color="auto" w:fill="auto"/>
            <w:vAlign w:val="center"/>
            <w:hideMark/>
          </w:tcPr>
          <w:p w14:paraId="7A488CF8" w14:textId="77777777" w:rsidR="00F530ED" w:rsidRPr="00F530ED" w:rsidRDefault="00F530ED" w:rsidP="00F530ED">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44.60%</w:t>
            </w:r>
          </w:p>
        </w:tc>
      </w:tr>
      <w:tr w:rsidR="00F530ED" w:rsidRPr="00F530ED" w14:paraId="3A3CC847" w14:textId="77777777" w:rsidTr="00F530ED">
        <w:trPr>
          <w:trHeight w:val="300"/>
          <w:jc w:val="center"/>
        </w:trPr>
        <w:tc>
          <w:tcPr>
            <w:tcW w:w="960" w:type="dxa"/>
            <w:vMerge/>
            <w:tcBorders>
              <w:top w:val="nil"/>
              <w:left w:val="double" w:sz="6" w:space="0" w:color="auto"/>
              <w:bottom w:val="single" w:sz="8" w:space="0" w:color="000000"/>
              <w:right w:val="double" w:sz="6" w:space="0" w:color="auto"/>
            </w:tcBorders>
            <w:vAlign w:val="center"/>
            <w:hideMark/>
          </w:tcPr>
          <w:p w14:paraId="73BA308B" w14:textId="77777777" w:rsidR="00F530ED" w:rsidRPr="00F530ED" w:rsidRDefault="00F530ED" w:rsidP="00F530ED">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shd w:val="clear" w:color="auto" w:fill="auto"/>
            <w:vAlign w:val="center"/>
            <w:hideMark/>
          </w:tcPr>
          <w:p w14:paraId="48E54992" w14:textId="77777777" w:rsidR="00F530ED" w:rsidRPr="00F530ED" w:rsidRDefault="00F530ED" w:rsidP="00F530ED">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 </w:t>
            </w:r>
            <w:r w:rsidRPr="00F530ED">
              <w:rPr>
                <w:rFonts w:ascii="Sakkal Majalla" w:eastAsia="Times New Roman" w:hAnsi="Sakkal Majalla" w:cs="Sakkal Majalla" w:hint="cs"/>
                <w:color w:val="000000"/>
                <w:sz w:val="18"/>
                <w:szCs w:val="18"/>
                <w:rtl/>
              </w:rPr>
              <w:t xml:space="preserve"> أكثر من 50 سنة</w:t>
            </w:r>
          </w:p>
        </w:tc>
        <w:tc>
          <w:tcPr>
            <w:tcW w:w="960" w:type="dxa"/>
            <w:tcBorders>
              <w:top w:val="nil"/>
              <w:left w:val="nil"/>
              <w:bottom w:val="single" w:sz="8" w:space="0" w:color="auto"/>
              <w:right w:val="single" w:sz="8" w:space="0" w:color="auto"/>
            </w:tcBorders>
            <w:shd w:val="clear" w:color="auto" w:fill="auto"/>
            <w:vAlign w:val="center"/>
            <w:hideMark/>
          </w:tcPr>
          <w:p w14:paraId="1F44304C" w14:textId="77777777" w:rsidR="00F530ED" w:rsidRPr="00F530ED" w:rsidRDefault="00F530ED" w:rsidP="00F530ED">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11.5</w:t>
            </w:r>
          </w:p>
        </w:tc>
        <w:tc>
          <w:tcPr>
            <w:tcW w:w="960" w:type="dxa"/>
            <w:tcBorders>
              <w:top w:val="nil"/>
              <w:left w:val="double" w:sz="6" w:space="0" w:color="auto"/>
              <w:bottom w:val="double" w:sz="6" w:space="0" w:color="auto"/>
              <w:right w:val="double" w:sz="6" w:space="0" w:color="auto"/>
            </w:tcBorders>
            <w:shd w:val="clear" w:color="auto" w:fill="auto"/>
            <w:vAlign w:val="center"/>
            <w:hideMark/>
          </w:tcPr>
          <w:p w14:paraId="15FD8750" w14:textId="77777777" w:rsidR="00F530ED" w:rsidRPr="00F530ED" w:rsidRDefault="00F530ED" w:rsidP="00F530ED">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23.00%</w:t>
            </w:r>
          </w:p>
        </w:tc>
      </w:tr>
      <w:tr w:rsidR="00F530ED" w:rsidRPr="00F530ED" w14:paraId="770359DB" w14:textId="77777777" w:rsidTr="00F530ED">
        <w:trPr>
          <w:trHeight w:val="300"/>
          <w:jc w:val="center"/>
        </w:trPr>
        <w:tc>
          <w:tcPr>
            <w:tcW w:w="960" w:type="dxa"/>
            <w:vMerge/>
            <w:tcBorders>
              <w:top w:val="nil"/>
              <w:left w:val="double" w:sz="6" w:space="0" w:color="auto"/>
              <w:bottom w:val="single" w:sz="8" w:space="0" w:color="000000"/>
              <w:right w:val="double" w:sz="6" w:space="0" w:color="auto"/>
            </w:tcBorders>
            <w:vAlign w:val="center"/>
            <w:hideMark/>
          </w:tcPr>
          <w:p w14:paraId="48DC18D2" w14:textId="77777777" w:rsidR="00F530ED" w:rsidRPr="00F530ED" w:rsidRDefault="00F530ED" w:rsidP="00F530ED">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shd w:val="clear" w:color="000000" w:fill="BFBFBF"/>
            <w:vAlign w:val="center"/>
            <w:hideMark/>
          </w:tcPr>
          <w:p w14:paraId="3EB0FFA3" w14:textId="77777777" w:rsidR="00F530ED" w:rsidRPr="00F530ED" w:rsidRDefault="00F530ED" w:rsidP="00F530ED">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الإجمالى</w:t>
            </w:r>
          </w:p>
        </w:tc>
        <w:tc>
          <w:tcPr>
            <w:tcW w:w="960" w:type="dxa"/>
            <w:tcBorders>
              <w:top w:val="nil"/>
              <w:left w:val="nil"/>
              <w:bottom w:val="single" w:sz="8" w:space="0" w:color="auto"/>
              <w:right w:val="single" w:sz="8" w:space="0" w:color="auto"/>
            </w:tcBorders>
            <w:shd w:val="clear" w:color="000000" w:fill="BFBFBF"/>
            <w:vAlign w:val="center"/>
            <w:hideMark/>
          </w:tcPr>
          <w:p w14:paraId="274BF7C4" w14:textId="77777777" w:rsidR="00F530ED" w:rsidRPr="00F530ED" w:rsidRDefault="00F530ED" w:rsidP="00F530ED">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50</w:t>
            </w:r>
          </w:p>
        </w:tc>
        <w:tc>
          <w:tcPr>
            <w:tcW w:w="960" w:type="dxa"/>
            <w:tcBorders>
              <w:top w:val="nil"/>
              <w:left w:val="double" w:sz="6" w:space="0" w:color="auto"/>
              <w:bottom w:val="single" w:sz="8" w:space="0" w:color="auto"/>
              <w:right w:val="double" w:sz="6" w:space="0" w:color="auto"/>
            </w:tcBorders>
            <w:shd w:val="clear" w:color="000000" w:fill="BFBFBF"/>
            <w:vAlign w:val="center"/>
            <w:hideMark/>
          </w:tcPr>
          <w:p w14:paraId="286CF518" w14:textId="77777777" w:rsidR="00F530ED" w:rsidRPr="00F530ED" w:rsidRDefault="00F530ED" w:rsidP="00F530ED">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100%</w:t>
            </w:r>
          </w:p>
        </w:tc>
      </w:tr>
      <w:tr w:rsidR="00F530ED" w:rsidRPr="00F530ED" w14:paraId="70E59FAF" w14:textId="77777777" w:rsidTr="00F530ED">
        <w:trPr>
          <w:trHeight w:val="300"/>
          <w:jc w:val="center"/>
        </w:trPr>
        <w:tc>
          <w:tcPr>
            <w:tcW w:w="960" w:type="dxa"/>
            <w:vMerge w:val="restart"/>
            <w:tcBorders>
              <w:top w:val="nil"/>
              <w:left w:val="double" w:sz="6" w:space="0" w:color="auto"/>
              <w:bottom w:val="single" w:sz="8" w:space="0" w:color="000000"/>
              <w:right w:val="double" w:sz="6" w:space="0" w:color="auto"/>
            </w:tcBorders>
            <w:shd w:val="clear" w:color="auto" w:fill="auto"/>
            <w:vAlign w:val="center"/>
            <w:hideMark/>
          </w:tcPr>
          <w:p w14:paraId="569B12FB" w14:textId="77777777" w:rsidR="00F530ED" w:rsidRPr="00F530ED" w:rsidRDefault="00F530ED" w:rsidP="00F530ED">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مستوى التعليم</w:t>
            </w:r>
          </w:p>
        </w:tc>
        <w:tc>
          <w:tcPr>
            <w:tcW w:w="2980" w:type="dxa"/>
            <w:tcBorders>
              <w:top w:val="nil"/>
              <w:left w:val="nil"/>
              <w:bottom w:val="single" w:sz="8" w:space="0" w:color="auto"/>
              <w:right w:val="nil"/>
            </w:tcBorders>
            <w:shd w:val="clear" w:color="auto" w:fill="auto"/>
            <w:vAlign w:val="center"/>
            <w:hideMark/>
          </w:tcPr>
          <w:p w14:paraId="1633FABB" w14:textId="77777777" w:rsidR="00F530ED" w:rsidRPr="00F530ED" w:rsidRDefault="00F530ED" w:rsidP="00F530ED">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دبلوم</w:t>
            </w:r>
            <w:r w:rsidRPr="00F530ED">
              <w:rPr>
                <w:rFonts w:ascii="Sakkal Majalla" w:eastAsia="Times New Roman" w:hAnsi="Sakkal Majalla" w:cs="Sakkal Majalla" w:hint="cs"/>
                <w:color w:val="000000"/>
                <w:sz w:val="18"/>
                <w:szCs w:val="18"/>
                <w:rtl/>
              </w:rPr>
              <w:t> </w:t>
            </w:r>
            <w:r w:rsidRPr="00F530ED">
              <w:rPr>
                <w:rFonts w:ascii="Sakkal Majalla" w:eastAsia="Times New Roman" w:hAnsi="Sakkal Majalla" w:cs="Sakkal Majalla" w:hint="cs"/>
                <w:color w:val="000000"/>
                <w:sz w:val="18"/>
                <w:szCs w:val="18"/>
                <w:rtl/>
              </w:rPr>
              <w:t> </w:t>
            </w:r>
          </w:p>
        </w:tc>
        <w:tc>
          <w:tcPr>
            <w:tcW w:w="960" w:type="dxa"/>
            <w:tcBorders>
              <w:top w:val="nil"/>
              <w:left w:val="nil"/>
              <w:bottom w:val="single" w:sz="8" w:space="0" w:color="auto"/>
              <w:right w:val="single" w:sz="8" w:space="0" w:color="auto"/>
            </w:tcBorders>
            <w:shd w:val="clear" w:color="auto" w:fill="auto"/>
            <w:vAlign w:val="center"/>
            <w:hideMark/>
          </w:tcPr>
          <w:p w14:paraId="63269FB7" w14:textId="77777777" w:rsidR="00F530ED" w:rsidRPr="00F530ED" w:rsidRDefault="00F530ED" w:rsidP="00F530ED">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1</w:t>
            </w:r>
          </w:p>
        </w:tc>
        <w:tc>
          <w:tcPr>
            <w:tcW w:w="960" w:type="dxa"/>
            <w:tcBorders>
              <w:top w:val="nil"/>
              <w:left w:val="double" w:sz="6" w:space="0" w:color="auto"/>
              <w:bottom w:val="single" w:sz="8" w:space="0" w:color="auto"/>
              <w:right w:val="double" w:sz="6" w:space="0" w:color="auto"/>
            </w:tcBorders>
            <w:shd w:val="clear" w:color="auto" w:fill="auto"/>
            <w:vAlign w:val="center"/>
            <w:hideMark/>
          </w:tcPr>
          <w:p w14:paraId="5BCA09C5" w14:textId="77777777" w:rsidR="00F530ED" w:rsidRPr="00F530ED" w:rsidRDefault="00F530ED" w:rsidP="00F530ED">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1.86%</w:t>
            </w:r>
          </w:p>
        </w:tc>
      </w:tr>
      <w:tr w:rsidR="00F530ED" w:rsidRPr="00F530ED" w14:paraId="5F836262" w14:textId="77777777" w:rsidTr="00F530ED">
        <w:trPr>
          <w:trHeight w:val="300"/>
          <w:jc w:val="center"/>
        </w:trPr>
        <w:tc>
          <w:tcPr>
            <w:tcW w:w="960" w:type="dxa"/>
            <w:vMerge/>
            <w:tcBorders>
              <w:top w:val="nil"/>
              <w:left w:val="double" w:sz="6" w:space="0" w:color="auto"/>
              <w:bottom w:val="single" w:sz="8" w:space="0" w:color="000000"/>
              <w:right w:val="double" w:sz="6" w:space="0" w:color="auto"/>
            </w:tcBorders>
            <w:vAlign w:val="center"/>
            <w:hideMark/>
          </w:tcPr>
          <w:p w14:paraId="342BE39A" w14:textId="77777777" w:rsidR="00F530ED" w:rsidRPr="00F530ED" w:rsidRDefault="00F530ED" w:rsidP="00F530ED">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shd w:val="clear" w:color="auto" w:fill="auto"/>
            <w:vAlign w:val="center"/>
            <w:hideMark/>
          </w:tcPr>
          <w:p w14:paraId="12C75B7F" w14:textId="77777777" w:rsidR="00F530ED" w:rsidRPr="00F530ED" w:rsidRDefault="00F530ED" w:rsidP="00F530ED">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بكالوريوس/ليسانس</w:t>
            </w:r>
          </w:p>
        </w:tc>
        <w:tc>
          <w:tcPr>
            <w:tcW w:w="960" w:type="dxa"/>
            <w:tcBorders>
              <w:top w:val="nil"/>
              <w:left w:val="nil"/>
              <w:bottom w:val="single" w:sz="8" w:space="0" w:color="auto"/>
              <w:right w:val="single" w:sz="8" w:space="0" w:color="auto"/>
            </w:tcBorders>
            <w:shd w:val="clear" w:color="auto" w:fill="auto"/>
            <w:vAlign w:val="center"/>
            <w:hideMark/>
          </w:tcPr>
          <w:p w14:paraId="050DD4BB" w14:textId="77777777" w:rsidR="00F530ED" w:rsidRPr="00F530ED" w:rsidRDefault="00F530ED" w:rsidP="00F530ED">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39</w:t>
            </w:r>
          </w:p>
        </w:tc>
        <w:tc>
          <w:tcPr>
            <w:tcW w:w="960" w:type="dxa"/>
            <w:tcBorders>
              <w:top w:val="nil"/>
              <w:left w:val="double" w:sz="6" w:space="0" w:color="auto"/>
              <w:bottom w:val="single" w:sz="8" w:space="0" w:color="auto"/>
              <w:right w:val="double" w:sz="6" w:space="0" w:color="auto"/>
            </w:tcBorders>
            <w:shd w:val="clear" w:color="auto" w:fill="auto"/>
            <w:vAlign w:val="center"/>
            <w:hideMark/>
          </w:tcPr>
          <w:p w14:paraId="7EA6C93F" w14:textId="77777777" w:rsidR="00F530ED" w:rsidRPr="00F530ED" w:rsidRDefault="00F530ED" w:rsidP="00F530ED">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78.07%</w:t>
            </w:r>
          </w:p>
        </w:tc>
      </w:tr>
      <w:tr w:rsidR="00F530ED" w:rsidRPr="00F530ED" w14:paraId="0E5C6FE8" w14:textId="77777777" w:rsidTr="00F530ED">
        <w:trPr>
          <w:trHeight w:val="300"/>
          <w:jc w:val="center"/>
        </w:trPr>
        <w:tc>
          <w:tcPr>
            <w:tcW w:w="960" w:type="dxa"/>
            <w:vMerge/>
            <w:tcBorders>
              <w:top w:val="nil"/>
              <w:left w:val="double" w:sz="6" w:space="0" w:color="auto"/>
              <w:bottom w:val="single" w:sz="8" w:space="0" w:color="000000"/>
              <w:right w:val="double" w:sz="6" w:space="0" w:color="auto"/>
            </w:tcBorders>
            <w:vAlign w:val="center"/>
            <w:hideMark/>
          </w:tcPr>
          <w:p w14:paraId="4E62240A" w14:textId="77777777" w:rsidR="00F530ED" w:rsidRPr="00F530ED" w:rsidRDefault="00F530ED" w:rsidP="00F530ED">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shd w:val="clear" w:color="auto" w:fill="auto"/>
            <w:vAlign w:val="center"/>
            <w:hideMark/>
          </w:tcPr>
          <w:p w14:paraId="260D76B1" w14:textId="77777777" w:rsidR="00F530ED" w:rsidRPr="00F530ED" w:rsidRDefault="00F530ED" w:rsidP="00F530ED">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دراسات عليا - شهادات متخصصة</w:t>
            </w:r>
          </w:p>
        </w:tc>
        <w:tc>
          <w:tcPr>
            <w:tcW w:w="960" w:type="dxa"/>
            <w:tcBorders>
              <w:top w:val="nil"/>
              <w:left w:val="nil"/>
              <w:bottom w:val="single" w:sz="8" w:space="0" w:color="auto"/>
              <w:right w:val="single" w:sz="8" w:space="0" w:color="auto"/>
            </w:tcBorders>
            <w:shd w:val="clear" w:color="auto" w:fill="auto"/>
            <w:vAlign w:val="center"/>
            <w:hideMark/>
          </w:tcPr>
          <w:p w14:paraId="6D8F1CB8" w14:textId="77777777" w:rsidR="00F530ED" w:rsidRPr="00F530ED" w:rsidRDefault="00F530ED" w:rsidP="00F530ED">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6</w:t>
            </w:r>
          </w:p>
        </w:tc>
        <w:tc>
          <w:tcPr>
            <w:tcW w:w="960" w:type="dxa"/>
            <w:tcBorders>
              <w:top w:val="nil"/>
              <w:left w:val="double" w:sz="6" w:space="0" w:color="auto"/>
              <w:bottom w:val="single" w:sz="8" w:space="0" w:color="auto"/>
              <w:right w:val="double" w:sz="6" w:space="0" w:color="auto"/>
            </w:tcBorders>
            <w:shd w:val="clear" w:color="auto" w:fill="auto"/>
            <w:vAlign w:val="center"/>
            <w:hideMark/>
          </w:tcPr>
          <w:p w14:paraId="264DB66E" w14:textId="77777777" w:rsidR="00F530ED" w:rsidRPr="00F530ED" w:rsidRDefault="00F530ED" w:rsidP="00F530ED">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12.64%</w:t>
            </w:r>
          </w:p>
        </w:tc>
      </w:tr>
      <w:tr w:rsidR="00F530ED" w:rsidRPr="00F530ED" w14:paraId="1B8E1EA8" w14:textId="77777777" w:rsidTr="00F530ED">
        <w:trPr>
          <w:trHeight w:val="300"/>
          <w:jc w:val="center"/>
        </w:trPr>
        <w:tc>
          <w:tcPr>
            <w:tcW w:w="960" w:type="dxa"/>
            <w:vMerge/>
            <w:tcBorders>
              <w:top w:val="nil"/>
              <w:left w:val="double" w:sz="6" w:space="0" w:color="auto"/>
              <w:bottom w:val="single" w:sz="8" w:space="0" w:color="000000"/>
              <w:right w:val="double" w:sz="6" w:space="0" w:color="auto"/>
            </w:tcBorders>
            <w:vAlign w:val="center"/>
            <w:hideMark/>
          </w:tcPr>
          <w:p w14:paraId="0B3DD7DF" w14:textId="77777777" w:rsidR="00F530ED" w:rsidRPr="00F530ED" w:rsidRDefault="00F530ED" w:rsidP="00F530ED">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shd w:val="clear" w:color="auto" w:fill="auto"/>
            <w:vAlign w:val="center"/>
            <w:hideMark/>
          </w:tcPr>
          <w:p w14:paraId="5E8F4F84" w14:textId="77777777" w:rsidR="00F530ED" w:rsidRPr="00F530ED" w:rsidRDefault="00F530ED" w:rsidP="00F530ED">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 xml:space="preserve"> ماجستير / دكتوراه</w:t>
            </w:r>
          </w:p>
        </w:tc>
        <w:tc>
          <w:tcPr>
            <w:tcW w:w="960" w:type="dxa"/>
            <w:tcBorders>
              <w:top w:val="nil"/>
              <w:left w:val="nil"/>
              <w:bottom w:val="single" w:sz="8" w:space="0" w:color="auto"/>
              <w:right w:val="single" w:sz="8" w:space="0" w:color="auto"/>
            </w:tcBorders>
            <w:shd w:val="clear" w:color="auto" w:fill="auto"/>
            <w:vAlign w:val="center"/>
            <w:hideMark/>
          </w:tcPr>
          <w:p w14:paraId="3AEA5C10" w14:textId="77777777" w:rsidR="00F530ED" w:rsidRPr="00F530ED" w:rsidRDefault="00F530ED" w:rsidP="00F530ED">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4</w:t>
            </w:r>
          </w:p>
        </w:tc>
        <w:tc>
          <w:tcPr>
            <w:tcW w:w="960" w:type="dxa"/>
            <w:tcBorders>
              <w:top w:val="nil"/>
              <w:left w:val="double" w:sz="6" w:space="0" w:color="auto"/>
              <w:bottom w:val="single" w:sz="8" w:space="0" w:color="auto"/>
              <w:right w:val="double" w:sz="6" w:space="0" w:color="auto"/>
            </w:tcBorders>
            <w:shd w:val="clear" w:color="auto" w:fill="auto"/>
            <w:vAlign w:val="center"/>
            <w:hideMark/>
          </w:tcPr>
          <w:p w14:paraId="4BDA94DF" w14:textId="77777777" w:rsidR="00F530ED" w:rsidRPr="00F530ED" w:rsidRDefault="00F530ED" w:rsidP="00F530ED">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7.43%</w:t>
            </w:r>
          </w:p>
        </w:tc>
      </w:tr>
      <w:tr w:rsidR="00F530ED" w:rsidRPr="00F530ED" w14:paraId="58C44C99" w14:textId="77777777" w:rsidTr="00F530ED">
        <w:trPr>
          <w:trHeight w:val="300"/>
          <w:jc w:val="center"/>
        </w:trPr>
        <w:tc>
          <w:tcPr>
            <w:tcW w:w="960" w:type="dxa"/>
            <w:vMerge/>
            <w:tcBorders>
              <w:top w:val="nil"/>
              <w:left w:val="double" w:sz="6" w:space="0" w:color="auto"/>
              <w:bottom w:val="single" w:sz="8" w:space="0" w:color="000000"/>
              <w:right w:val="double" w:sz="6" w:space="0" w:color="auto"/>
            </w:tcBorders>
            <w:vAlign w:val="center"/>
            <w:hideMark/>
          </w:tcPr>
          <w:p w14:paraId="363ADF3C" w14:textId="77777777" w:rsidR="00F530ED" w:rsidRPr="00F530ED" w:rsidRDefault="00F530ED" w:rsidP="00F530ED">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shd w:val="clear" w:color="000000" w:fill="BFBFBF"/>
            <w:vAlign w:val="center"/>
            <w:hideMark/>
          </w:tcPr>
          <w:p w14:paraId="0B92D039" w14:textId="77777777" w:rsidR="00F530ED" w:rsidRPr="00F530ED" w:rsidRDefault="00F530ED" w:rsidP="00F530ED">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الإجمالى</w:t>
            </w:r>
          </w:p>
        </w:tc>
        <w:tc>
          <w:tcPr>
            <w:tcW w:w="960" w:type="dxa"/>
            <w:tcBorders>
              <w:top w:val="nil"/>
              <w:left w:val="nil"/>
              <w:bottom w:val="single" w:sz="8" w:space="0" w:color="auto"/>
              <w:right w:val="single" w:sz="8" w:space="0" w:color="auto"/>
            </w:tcBorders>
            <w:shd w:val="clear" w:color="000000" w:fill="BFBFBF"/>
            <w:vAlign w:val="center"/>
            <w:hideMark/>
          </w:tcPr>
          <w:p w14:paraId="1A4AE2DE" w14:textId="77777777" w:rsidR="00F530ED" w:rsidRPr="00F530ED" w:rsidRDefault="00F530ED" w:rsidP="00F530ED">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50</w:t>
            </w:r>
          </w:p>
        </w:tc>
        <w:tc>
          <w:tcPr>
            <w:tcW w:w="960" w:type="dxa"/>
            <w:tcBorders>
              <w:top w:val="nil"/>
              <w:left w:val="double" w:sz="6" w:space="0" w:color="auto"/>
              <w:bottom w:val="single" w:sz="8" w:space="0" w:color="auto"/>
              <w:right w:val="double" w:sz="6" w:space="0" w:color="auto"/>
            </w:tcBorders>
            <w:shd w:val="clear" w:color="000000" w:fill="BFBFBF"/>
            <w:vAlign w:val="center"/>
            <w:hideMark/>
          </w:tcPr>
          <w:p w14:paraId="45EE0F0D" w14:textId="77777777" w:rsidR="00F530ED" w:rsidRPr="00F530ED" w:rsidRDefault="00F530ED" w:rsidP="00F530ED">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100%</w:t>
            </w:r>
          </w:p>
        </w:tc>
      </w:tr>
      <w:tr w:rsidR="00F530ED" w:rsidRPr="00F530ED" w14:paraId="116070EF" w14:textId="77777777" w:rsidTr="00F530ED">
        <w:trPr>
          <w:trHeight w:val="300"/>
          <w:jc w:val="center"/>
        </w:trPr>
        <w:tc>
          <w:tcPr>
            <w:tcW w:w="960" w:type="dxa"/>
            <w:vMerge w:val="restart"/>
            <w:tcBorders>
              <w:top w:val="nil"/>
              <w:left w:val="double" w:sz="6" w:space="0" w:color="auto"/>
              <w:bottom w:val="single" w:sz="8" w:space="0" w:color="000000"/>
              <w:right w:val="double" w:sz="6" w:space="0" w:color="auto"/>
            </w:tcBorders>
            <w:shd w:val="clear" w:color="auto" w:fill="auto"/>
            <w:vAlign w:val="center"/>
            <w:hideMark/>
          </w:tcPr>
          <w:p w14:paraId="7DBB727A" w14:textId="77777777" w:rsidR="00F530ED" w:rsidRPr="00F530ED" w:rsidRDefault="00F530ED" w:rsidP="00F530ED">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سنوات الخبرة العملية</w:t>
            </w:r>
          </w:p>
        </w:tc>
        <w:tc>
          <w:tcPr>
            <w:tcW w:w="2980" w:type="dxa"/>
            <w:tcBorders>
              <w:top w:val="nil"/>
              <w:left w:val="nil"/>
              <w:bottom w:val="single" w:sz="8" w:space="0" w:color="auto"/>
              <w:right w:val="nil"/>
            </w:tcBorders>
            <w:shd w:val="clear" w:color="auto" w:fill="auto"/>
            <w:vAlign w:val="center"/>
            <w:hideMark/>
          </w:tcPr>
          <w:p w14:paraId="1B23BDEA" w14:textId="77777777" w:rsidR="00F530ED" w:rsidRPr="00F530ED" w:rsidRDefault="00F530ED" w:rsidP="00F530ED">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أقل من 5 سنوات</w:t>
            </w:r>
          </w:p>
        </w:tc>
        <w:tc>
          <w:tcPr>
            <w:tcW w:w="960" w:type="dxa"/>
            <w:tcBorders>
              <w:top w:val="nil"/>
              <w:left w:val="nil"/>
              <w:bottom w:val="single" w:sz="8" w:space="0" w:color="auto"/>
              <w:right w:val="single" w:sz="8" w:space="0" w:color="auto"/>
            </w:tcBorders>
            <w:shd w:val="clear" w:color="auto" w:fill="auto"/>
            <w:vAlign w:val="center"/>
            <w:hideMark/>
          </w:tcPr>
          <w:p w14:paraId="45397CC5" w14:textId="77777777" w:rsidR="00F530ED" w:rsidRPr="00F530ED" w:rsidRDefault="00F530ED" w:rsidP="00F530ED">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12</w:t>
            </w:r>
          </w:p>
        </w:tc>
        <w:tc>
          <w:tcPr>
            <w:tcW w:w="960" w:type="dxa"/>
            <w:tcBorders>
              <w:top w:val="nil"/>
              <w:left w:val="double" w:sz="6" w:space="0" w:color="auto"/>
              <w:bottom w:val="single" w:sz="8" w:space="0" w:color="auto"/>
              <w:right w:val="double" w:sz="6" w:space="0" w:color="auto"/>
            </w:tcBorders>
            <w:shd w:val="clear" w:color="auto" w:fill="auto"/>
            <w:vAlign w:val="center"/>
            <w:hideMark/>
          </w:tcPr>
          <w:p w14:paraId="49746556" w14:textId="77777777" w:rsidR="00F530ED" w:rsidRPr="00F530ED" w:rsidRDefault="00F530ED" w:rsidP="00F530ED">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24.16%</w:t>
            </w:r>
          </w:p>
        </w:tc>
      </w:tr>
      <w:tr w:rsidR="00F530ED" w:rsidRPr="00F530ED" w14:paraId="2AED38E4" w14:textId="77777777" w:rsidTr="00F530ED">
        <w:trPr>
          <w:trHeight w:val="300"/>
          <w:jc w:val="center"/>
        </w:trPr>
        <w:tc>
          <w:tcPr>
            <w:tcW w:w="960" w:type="dxa"/>
            <w:vMerge/>
            <w:tcBorders>
              <w:top w:val="nil"/>
              <w:left w:val="double" w:sz="6" w:space="0" w:color="auto"/>
              <w:bottom w:val="single" w:sz="8" w:space="0" w:color="000000"/>
              <w:right w:val="double" w:sz="6" w:space="0" w:color="auto"/>
            </w:tcBorders>
            <w:vAlign w:val="center"/>
            <w:hideMark/>
          </w:tcPr>
          <w:p w14:paraId="3BD92863" w14:textId="77777777" w:rsidR="00F530ED" w:rsidRPr="00F530ED" w:rsidRDefault="00F530ED" w:rsidP="00F530ED">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shd w:val="clear" w:color="auto" w:fill="auto"/>
            <w:vAlign w:val="center"/>
            <w:hideMark/>
          </w:tcPr>
          <w:p w14:paraId="14EF3436" w14:textId="77777777" w:rsidR="00F530ED" w:rsidRPr="00F530ED" w:rsidRDefault="00F530ED" w:rsidP="00F530ED">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من 5 إلى 10 سنوات</w:t>
            </w:r>
          </w:p>
        </w:tc>
        <w:tc>
          <w:tcPr>
            <w:tcW w:w="960" w:type="dxa"/>
            <w:tcBorders>
              <w:top w:val="nil"/>
              <w:left w:val="nil"/>
              <w:bottom w:val="single" w:sz="8" w:space="0" w:color="auto"/>
              <w:right w:val="single" w:sz="8" w:space="0" w:color="auto"/>
            </w:tcBorders>
            <w:shd w:val="clear" w:color="auto" w:fill="auto"/>
            <w:vAlign w:val="center"/>
            <w:hideMark/>
          </w:tcPr>
          <w:p w14:paraId="37B2B1B7" w14:textId="77777777" w:rsidR="00F530ED" w:rsidRPr="00F530ED" w:rsidRDefault="00F530ED" w:rsidP="00F530ED">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23</w:t>
            </w:r>
          </w:p>
        </w:tc>
        <w:tc>
          <w:tcPr>
            <w:tcW w:w="960" w:type="dxa"/>
            <w:tcBorders>
              <w:top w:val="nil"/>
              <w:left w:val="double" w:sz="6" w:space="0" w:color="auto"/>
              <w:bottom w:val="single" w:sz="8" w:space="0" w:color="auto"/>
              <w:right w:val="double" w:sz="6" w:space="0" w:color="auto"/>
            </w:tcBorders>
            <w:shd w:val="clear" w:color="auto" w:fill="auto"/>
            <w:vAlign w:val="center"/>
            <w:hideMark/>
          </w:tcPr>
          <w:p w14:paraId="5D5898DD" w14:textId="77777777" w:rsidR="00F530ED" w:rsidRPr="00F530ED" w:rsidRDefault="00F530ED" w:rsidP="00F530ED">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45.36%</w:t>
            </w:r>
          </w:p>
        </w:tc>
      </w:tr>
      <w:tr w:rsidR="00F530ED" w:rsidRPr="00F530ED" w14:paraId="36C596AF" w14:textId="77777777" w:rsidTr="00F530ED">
        <w:trPr>
          <w:trHeight w:val="300"/>
          <w:jc w:val="center"/>
        </w:trPr>
        <w:tc>
          <w:tcPr>
            <w:tcW w:w="960" w:type="dxa"/>
            <w:vMerge/>
            <w:tcBorders>
              <w:top w:val="nil"/>
              <w:left w:val="double" w:sz="6" w:space="0" w:color="auto"/>
              <w:bottom w:val="single" w:sz="8" w:space="0" w:color="000000"/>
              <w:right w:val="double" w:sz="6" w:space="0" w:color="auto"/>
            </w:tcBorders>
            <w:vAlign w:val="center"/>
            <w:hideMark/>
          </w:tcPr>
          <w:p w14:paraId="69AC5E2A" w14:textId="77777777" w:rsidR="00F530ED" w:rsidRPr="00F530ED" w:rsidRDefault="00F530ED" w:rsidP="00F530ED">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shd w:val="clear" w:color="auto" w:fill="auto"/>
            <w:vAlign w:val="center"/>
            <w:hideMark/>
          </w:tcPr>
          <w:p w14:paraId="14A55B36" w14:textId="77777777" w:rsidR="00F530ED" w:rsidRPr="00F530ED" w:rsidRDefault="00F530ED" w:rsidP="00F530ED">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من 11 إلى 20 سنة</w:t>
            </w:r>
          </w:p>
        </w:tc>
        <w:tc>
          <w:tcPr>
            <w:tcW w:w="960" w:type="dxa"/>
            <w:tcBorders>
              <w:top w:val="nil"/>
              <w:left w:val="nil"/>
              <w:bottom w:val="single" w:sz="8" w:space="0" w:color="auto"/>
              <w:right w:val="single" w:sz="8" w:space="0" w:color="auto"/>
            </w:tcBorders>
            <w:shd w:val="clear" w:color="auto" w:fill="auto"/>
            <w:vAlign w:val="center"/>
            <w:hideMark/>
          </w:tcPr>
          <w:p w14:paraId="26A8D3F3" w14:textId="77777777" w:rsidR="00F530ED" w:rsidRPr="00F530ED" w:rsidRDefault="00F530ED" w:rsidP="00F530ED">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12</w:t>
            </w:r>
          </w:p>
        </w:tc>
        <w:tc>
          <w:tcPr>
            <w:tcW w:w="960" w:type="dxa"/>
            <w:tcBorders>
              <w:top w:val="nil"/>
              <w:left w:val="double" w:sz="6" w:space="0" w:color="auto"/>
              <w:bottom w:val="single" w:sz="8" w:space="0" w:color="auto"/>
              <w:right w:val="double" w:sz="6" w:space="0" w:color="auto"/>
            </w:tcBorders>
            <w:shd w:val="clear" w:color="auto" w:fill="auto"/>
            <w:vAlign w:val="center"/>
            <w:hideMark/>
          </w:tcPr>
          <w:p w14:paraId="35D7E6FF" w14:textId="77777777" w:rsidR="00F530ED" w:rsidRPr="00F530ED" w:rsidRDefault="00F530ED" w:rsidP="00F530ED">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23.05%</w:t>
            </w:r>
          </w:p>
        </w:tc>
      </w:tr>
      <w:tr w:rsidR="00F530ED" w:rsidRPr="00F530ED" w14:paraId="7A1215AD" w14:textId="77777777" w:rsidTr="00F530ED">
        <w:trPr>
          <w:trHeight w:val="300"/>
          <w:jc w:val="center"/>
        </w:trPr>
        <w:tc>
          <w:tcPr>
            <w:tcW w:w="960" w:type="dxa"/>
            <w:vMerge/>
            <w:tcBorders>
              <w:top w:val="nil"/>
              <w:left w:val="double" w:sz="6" w:space="0" w:color="auto"/>
              <w:bottom w:val="single" w:sz="8" w:space="0" w:color="000000"/>
              <w:right w:val="double" w:sz="6" w:space="0" w:color="auto"/>
            </w:tcBorders>
            <w:vAlign w:val="center"/>
            <w:hideMark/>
          </w:tcPr>
          <w:p w14:paraId="55328D71" w14:textId="77777777" w:rsidR="00F530ED" w:rsidRPr="00F530ED" w:rsidRDefault="00F530ED" w:rsidP="00F530ED">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shd w:val="clear" w:color="auto" w:fill="auto"/>
            <w:vAlign w:val="center"/>
            <w:hideMark/>
          </w:tcPr>
          <w:p w14:paraId="0F69080A" w14:textId="77777777" w:rsidR="00F530ED" w:rsidRPr="00F530ED" w:rsidRDefault="00F530ED" w:rsidP="00F530ED">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أكثر من 20 سنة</w:t>
            </w:r>
          </w:p>
        </w:tc>
        <w:tc>
          <w:tcPr>
            <w:tcW w:w="960" w:type="dxa"/>
            <w:tcBorders>
              <w:top w:val="nil"/>
              <w:left w:val="nil"/>
              <w:bottom w:val="single" w:sz="8" w:space="0" w:color="auto"/>
              <w:right w:val="single" w:sz="8" w:space="0" w:color="auto"/>
            </w:tcBorders>
            <w:shd w:val="clear" w:color="auto" w:fill="auto"/>
            <w:vAlign w:val="center"/>
            <w:hideMark/>
          </w:tcPr>
          <w:p w14:paraId="4B660EE5" w14:textId="77777777" w:rsidR="00F530ED" w:rsidRPr="00F530ED" w:rsidRDefault="00F530ED" w:rsidP="00F530ED">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4</w:t>
            </w:r>
          </w:p>
        </w:tc>
        <w:tc>
          <w:tcPr>
            <w:tcW w:w="960" w:type="dxa"/>
            <w:tcBorders>
              <w:top w:val="nil"/>
              <w:left w:val="double" w:sz="6" w:space="0" w:color="auto"/>
              <w:bottom w:val="single" w:sz="8" w:space="0" w:color="auto"/>
              <w:right w:val="double" w:sz="6" w:space="0" w:color="auto"/>
            </w:tcBorders>
            <w:shd w:val="clear" w:color="auto" w:fill="auto"/>
            <w:vAlign w:val="center"/>
            <w:hideMark/>
          </w:tcPr>
          <w:p w14:paraId="255647ED" w14:textId="77777777" w:rsidR="00F530ED" w:rsidRPr="00F530ED" w:rsidRDefault="00F530ED" w:rsidP="00F530ED">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7.43%</w:t>
            </w:r>
          </w:p>
        </w:tc>
      </w:tr>
      <w:tr w:rsidR="00F530ED" w:rsidRPr="00F530ED" w14:paraId="4DFF4070" w14:textId="77777777" w:rsidTr="00F530ED">
        <w:trPr>
          <w:trHeight w:val="300"/>
          <w:jc w:val="center"/>
        </w:trPr>
        <w:tc>
          <w:tcPr>
            <w:tcW w:w="960" w:type="dxa"/>
            <w:vMerge/>
            <w:tcBorders>
              <w:top w:val="nil"/>
              <w:left w:val="double" w:sz="6" w:space="0" w:color="auto"/>
              <w:bottom w:val="single" w:sz="8" w:space="0" w:color="000000"/>
              <w:right w:val="double" w:sz="6" w:space="0" w:color="auto"/>
            </w:tcBorders>
            <w:vAlign w:val="center"/>
            <w:hideMark/>
          </w:tcPr>
          <w:p w14:paraId="22D69219" w14:textId="77777777" w:rsidR="00F530ED" w:rsidRPr="00F530ED" w:rsidRDefault="00F530ED" w:rsidP="00F530ED">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shd w:val="clear" w:color="000000" w:fill="BFBFBF"/>
            <w:vAlign w:val="center"/>
            <w:hideMark/>
          </w:tcPr>
          <w:p w14:paraId="1CAF937D" w14:textId="77777777" w:rsidR="00F530ED" w:rsidRPr="00F530ED" w:rsidRDefault="00F530ED" w:rsidP="00F530ED">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الإجمالى</w:t>
            </w:r>
          </w:p>
        </w:tc>
        <w:tc>
          <w:tcPr>
            <w:tcW w:w="960" w:type="dxa"/>
            <w:tcBorders>
              <w:top w:val="nil"/>
              <w:left w:val="nil"/>
              <w:bottom w:val="single" w:sz="8" w:space="0" w:color="auto"/>
              <w:right w:val="single" w:sz="8" w:space="0" w:color="auto"/>
            </w:tcBorders>
            <w:shd w:val="clear" w:color="000000" w:fill="BFBFBF"/>
            <w:vAlign w:val="center"/>
            <w:hideMark/>
          </w:tcPr>
          <w:p w14:paraId="16B9E40D" w14:textId="77777777" w:rsidR="00F530ED" w:rsidRPr="00F530ED" w:rsidRDefault="00F530ED" w:rsidP="00F530ED">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50</w:t>
            </w:r>
          </w:p>
        </w:tc>
        <w:tc>
          <w:tcPr>
            <w:tcW w:w="960" w:type="dxa"/>
            <w:tcBorders>
              <w:top w:val="nil"/>
              <w:left w:val="double" w:sz="6" w:space="0" w:color="auto"/>
              <w:bottom w:val="single" w:sz="8" w:space="0" w:color="auto"/>
              <w:right w:val="double" w:sz="6" w:space="0" w:color="auto"/>
            </w:tcBorders>
            <w:shd w:val="clear" w:color="000000" w:fill="BFBFBF"/>
            <w:vAlign w:val="center"/>
            <w:hideMark/>
          </w:tcPr>
          <w:p w14:paraId="746E7EB1" w14:textId="77777777" w:rsidR="00F530ED" w:rsidRPr="00F530ED" w:rsidRDefault="00F530ED" w:rsidP="00F530ED">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100%</w:t>
            </w:r>
          </w:p>
        </w:tc>
      </w:tr>
      <w:tr w:rsidR="00F530ED" w:rsidRPr="00F530ED" w14:paraId="54841F3B" w14:textId="77777777" w:rsidTr="00F530ED">
        <w:trPr>
          <w:trHeight w:val="300"/>
          <w:jc w:val="center"/>
        </w:trPr>
        <w:tc>
          <w:tcPr>
            <w:tcW w:w="960" w:type="dxa"/>
            <w:vMerge w:val="restart"/>
            <w:tcBorders>
              <w:top w:val="nil"/>
              <w:left w:val="double" w:sz="6" w:space="0" w:color="auto"/>
              <w:bottom w:val="single" w:sz="8" w:space="0" w:color="000000"/>
              <w:right w:val="double" w:sz="6" w:space="0" w:color="auto"/>
            </w:tcBorders>
            <w:shd w:val="clear" w:color="auto" w:fill="auto"/>
            <w:vAlign w:val="center"/>
            <w:hideMark/>
          </w:tcPr>
          <w:p w14:paraId="5457F781" w14:textId="77777777" w:rsidR="00F530ED" w:rsidRPr="00F530ED" w:rsidRDefault="00F530ED" w:rsidP="00F530ED">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 xml:space="preserve"> المستوى الوظيفي</w:t>
            </w:r>
          </w:p>
        </w:tc>
        <w:tc>
          <w:tcPr>
            <w:tcW w:w="2980" w:type="dxa"/>
            <w:tcBorders>
              <w:top w:val="nil"/>
              <w:left w:val="nil"/>
              <w:bottom w:val="single" w:sz="8" w:space="0" w:color="auto"/>
              <w:right w:val="nil"/>
            </w:tcBorders>
            <w:shd w:val="clear" w:color="auto" w:fill="auto"/>
            <w:vAlign w:val="center"/>
            <w:hideMark/>
          </w:tcPr>
          <w:p w14:paraId="4DBF0281" w14:textId="77777777" w:rsidR="00F530ED" w:rsidRPr="00F530ED" w:rsidRDefault="00F530ED" w:rsidP="00F530ED">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 xml:space="preserve"> موظف تنفيذي</w:t>
            </w:r>
            <w:r w:rsidRPr="00F530ED">
              <w:rPr>
                <w:rFonts w:ascii="Sakkal Majalla" w:eastAsia="Times New Roman" w:hAnsi="Sakkal Majalla" w:cs="Sakkal Majalla" w:hint="cs"/>
                <w:color w:val="000000"/>
                <w:sz w:val="18"/>
                <w:szCs w:val="18"/>
                <w:rtl/>
              </w:rPr>
              <w:t> </w:t>
            </w:r>
          </w:p>
        </w:tc>
        <w:tc>
          <w:tcPr>
            <w:tcW w:w="960" w:type="dxa"/>
            <w:tcBorders>
              <w:top w:val="nil"/>
              <w:left w:val="nil"/>
              <w:bottom w:val="single" w:sz="8" w:space="0" w:color="auto"/>
              <w:right w:val="single" w:sz="8" w:space="0" w:color="auto"/>
            </w:tcBorders>
            <w:shd w:val="clear" w:color="auto" w:fill="auto"/>
            <w:vAlign w:val="center"/>
            <w:hideMark/>
          </w:tcPr>
          <w:p w14:paraId="33CFE542" w14:textId="77777777" w:rsidR="00F530ED" w:rsidRPr="00F530ED" w:rsidRDefault="00F530ED" w:rsidP="00F530ED">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11</w:t>
            </w:r>
          </w:p>
        </w:tc>
        <w:tc>
          <w:tcPr>
            <w:tcW w:w="960" w:type="dxa"/>
            <w:tcBorders>
              <w:top w:val="nil"/>
              <w:left w:val="double" w:sz="6" w:space="0" w:color="auto"/>
              <w:bottom w:val="single" w:sz="8" w:space="0" w:color="auto"/>
              <w:right w:val="double" w:sz="6" w:space="0" w:color="auto"/>
            </w:tcBorders>
            <w:shd w:val="clear" w:color="auto" w:fill="auto"/>
            <w:vAlign w:val="center"/>
            <w:hideMark/>
          </w:tcPr>
          <w:p w14:paraId="499AD903" w14:textId="77777777" w:rsidR="00F530ED" w:rsidRPr="00F530ED" w:rsidRDefault="00F530ED" w:rsidP="00F530ED">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21.93%</w:t>
            </w:r>
          </w:p>
        </w:tc>
      </w:tr>
      <w:tr w:rsidR="00F530ED" w:rsidRPr="00F530ED" w14:paraId="62432799" w14:textId="77777777" w:rsidTr="00F530ED">
        <w:trPr>
          <w:trHeight w:val="300"/>
          <w:jc w:val="center"/>
        </w:trPr>
        <w:tc>
          <w:tcPr>
            <w:tcW w:w="960" w:type="dxa"/>
            <w:vMerge/>
            <w:tcBorders>
              <w:top w:val="nil"/>
              <w:left w:val="double" w:sz="6" w:space="0" w:color="auto"/>
              <w:bottom w:val="single" w:sz="8" w:space="0" w:color="000000"/>
              <w:right w:val="double" w:sz="6" w:space="0" w:color="auto"/>
            </w:tcBorders>
            <w:vAlign w:val="center"/>
            <w:hideMark/>
          </w:tcPr>
          <w:p w14:paraId="6BAEFDC9" w14:textId="77777777" w:rsidR="00F530ED" w:rsidRPr="00F530ED" w:rsidRDefault="00F530ED" w:rsidP="00F530ED">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shd w:val="clear" w:color="auto" w:fill="auto"/>
            <w:vAlign w:val="center"/>
            <w:hideMark/>
          </w:tcPr>
          <w:p w14:paraId="334B02AE" w14:textId="77777777" w:rsidR="00F530ED" w:rsidRPr="00F530ED" w:rsidRDefault="00F530ED" w:rsidP="00F530ED">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رئيس قسم</w:t>
            </w:r>
          </w:p>
        </w:tc>
        <w:tc>
          <w:tcPr>
            <w:tcW w:w="960" w:type="dxa"/>
            <w:tcBorders>
              <w:top w:val="nil"/>
              <w:left w:val="nil"/>
              <w:bottom w:val="single" w:sz="8" w:space="0" w:color="auto"/>
              <w:right w:val="single" w:sz="8" w:space="0" w:color="auto"/>
            </w:tcBorders>
            <w:shd w:val="clear" w:color="auto" w:fill="auto"/>
            <w:vAlign w:val="center"/>
            <w:hideMark/>
          </w:tcPr>
          <w:p w14:paraId="5FB28E06" w14:textId="77777777" w:rsidR="00F530ED" w:rsidRPr="00F530ED" w:rsidRDefault="00F530ED" w:rsidP="00F530ED">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3</w:t>
            </w:r>
          </w:p>
        </w:tc>
        <w:tc>
          <w:tcPr>
            <w:tcW w:w="960" w:type="dxa"/>
            <w:tcBorders>
              <w:top w:val="nil"/>
              <w:left w:val="double" w:sz="6" w:space="0" w:color="auto"/>
              <w:bottom w:val="single" w:sz="8" w:space="0" w:color="auto"/>
              <w:right w:val="double" w:sz="6" w:space="0" w:color="auto"/>
            </w:tcBorders>
            <w:shd w:val="clear" w:color="auto" w:fill="auto"/>
            <w:vAlign w:val="center"/>
            <w:hideMark/>
          </w:tcPr>
          <w:p w14:paraId="5FFF5A96" w14:textId="77777777" w:rsidR="00F530ED" w:rsidRPr="00F530ED" w:rsidRDefault="00F530ED" w:rsidP="00F530ED">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6.70%</w:t>
            </w:r>
          </w:p>
        </w:tc>
      </w:tr>
      <w:tr w:rsidR="00F530ED" w:rsidRPr="00F530ED" w14:paraId="02314829" w14:textId="77777777" w:rsidTr="00F530ED">
        <w:trPr>
          <w:trHeight w:val="300"/>
          <w:jc w:val="center"/>
        </w:trPr>
        <w:tc>
          <w:tcPr>
            <w:tcW w:w="960" w:type="dxa"/>
            <w:vMerge/>
            <w:tcBorders>
              <w:top w:val="nil"/>
              <w:left w:val="double" w:sz="6" w:space="0" w:color="auto"/>
              <w:bottom w:val="single" w:sz="8" w:space="0" w:color="000000"/>
              <w:right w:val="double" w:sz="6" w:space="0" w:color="auto"/>
            </w:tcBorders>
            <w:vAlign w:val="center"/>
            <w:hideMark/>
          </w:tcPr>
          <w:p w14:paraId="45530321" w14:textId="77777777" w:rsidR="00F530ED" w:rsidRPr="00F530ED" w:rsidRDefault="00F530ED" w:rsidP="00F530ED">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shd w:val="clear" w:color="auto" w:fill="auto"/>
            <w:vAlign w:val="center"/>
            <w:hideMark/>
          </w:tcPr>
          <w:p w14:paraId="1CABEE12" w14:textId="77777777" w:rsidR="00F530ED" w:rsidRPr="00F530ED" w:rsidRDefault="00F530ED" w:rsidP="00F530ED">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 xml:space="preserve"> مدير إدارة</w:t>
            </w:r>
          </w:p>
        </w:tc>
        <w:tc>
          <w:tcPr>
            <w:tcW w:w="960" w:type="dxa"/>
            <w:tcBorders>
              <w:top w:val="nil"/>
              <w:left w:val="nil"/>
              <w:bottom w:val="single" w:sz="8" w:space="0" w:color="auto"/>
              <w:right w:val="single" w:sz="8" w:space="0" w:color="auto"/>
            </w:tcBorders>
            <w:shd w:val="clear" w:color="auto" w:fill="auto"/>
            <w:vAlign w:val="center"/>
            <w:hideMark/>
          </w:tcPr>
          <w:p w14:paraId="0AD8DD4B" w14:textId="77777777" w:rsidR="00F530ED" w:rsidRPr="00F530ED" w:rsidRDefault="00F530ED" w:rsidP="00F530ED">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17</w:t>
            </w:r>
          </w:p>
        </w:tc>
        <w:tc>
          <w:tcPr>
            <w:tcW w:w="960" w:type="dxa"/>
            <w:tcBorders>
              <w:top w:val="nil"/>
              <w:left w:val="double" w:sz="6" w:space="0" w:color="auto"/>
              <w:bottom w:val="single" w:sz="8" w:space="0" w:color="auto"/>
              <w:right w:val="double" w:sz="6" w:space="0" w:color="auto"/>
            </w:tcBorders>
            <w:shd w:val="clear" w:color="auto" w:fill="auto"/>
            <w:vAlign w:val="center"/>
            <w:hideMark/>
          </w:tcPr>
          <w:p w14:paraId="3CAE34ED" w14:textId="77777777" w:rsidR="00F530ED" w:rsidRPr="00F530ED" w:rsidRDefault="00F530ED" w:rsidP="00F530ED">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34.57%</w:t>
            </w:r>
          </w:p>
        </w:tc>
      </w:tr>
      <w:tr w:rsidR="00F530ED" w:rsidRPr="00F530ED" w14:paraId="0A1AEDDD" w14:textId="77777777" w:rsidTr="00F530ED">
        <w:trPr>
          <w:trHeight w:val="300"/>
          <w:jc w:val="center"/>
        </w:trPr>
        <w:tc>
          <w:tcPr>
            <w:tcW w:w="960" w:type="dxa"/>
            <w:vMerge/>
            <w:tcBorders>
              <w:top w:val="nil"/>
              <w:left w:val="double" w:sz="6" w:space="0" w:color="auto"/>
              <w:bottom w:val="single" w:sz="8" w:space="0" w:color="000000"/>
              <w:right w:val="double" w:sz="6" w:space="0" w:color="auto"/>
            </w:tcBorders>
            <w:vAlign w:val="center"/>
            <w:hideMark/>
          </w:tcPr>
          <w:p w14:paraId="37A9FB20" w14:textId="77777777" w:rsidR="00F530ED" w:rsidRPr="00F530ED" w:rsidRDefault="00F530ED" w:rsidP="00F530ED">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shd w:val="clear" w:color="auto" w:fill="auto"/>
            <w:vAlign w:val="center"/>
            <w:hideMark/>
          </w:tcPr>
          <w:p w14:paraId="0F13D73E" w14:textId="77777777" w:rsidR="00F530ED" w:rsidRPr="00F530ED" w:rsidRDefault="00F530ED" w:rsidP="00F530ED">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 xml:space="preserve"> قيادي عليا</w:t>
            </w:r>
          </w:p>
        </w:tc>
        <w:tc>
          <w:tcPr>
            <w:tcW w:w="960" w:type="dxa"/>
            <w:tcBorders>
              <w:top w:val="nil"/>
              <w:left w:val="nil"/>
              <w:bottom w:val="single" w:sz="8" w:space="0" w:color="auto"/>
              <w:right w:val="single" w:sz="8" w:space="0" w:color="auto"/>
            </w:tcBorders>
            <w:shd w:val="clear" w:color="auto" w:fill="auto"/>
            <w:vAlign w:val="center"/>
            <w:hideMark/>
          </w:tcPr>
          <w:p w14:paraId="07351D20" w14:textId="77777777" w:rsidR="00F530ED" w:rsidRPr="00F530ED" w:rsidRDefault="00F530ED" w:rsidP="00F530ED">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18</w:t>
            </w:r>
          </w:p>
        </w:tc>
        <w:tc>
          <w:tcPr>
            <w:tcW w:w="960" w:type="dxa"/>
            <w:tcBorders>
              <w:top w:val="nil"/>
              <w:left w:val="double" w:sz="6" w:space="0" w:color="auto"/>
              <w:bottom w:val="single" w:sz="8" w:space="0" w:color="auto"/>
              <w:right w:val="double" w:sz="6" w:space="0" w:color="auto"/>
            </w:tcBorders>
            <w:shd w:val="clear" w:color="auto" w:fill="auto"/>
            <w:vAlign w:val="center"/>
            <w:hideMark/>
          </w:tcPr>
          <w:p w14:paraId="1BAAFF90" w14:textId="77777777" w:rsidR="00F530ED" w:rsidRPr="00F530ED" w:rsidRDefault="00F530ED" w:rsidP="00F530ED">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36.80%</w:t>
            </w:r>
          </w:p>
        </w:tc>
      </w:tr>
      <w:tr w:rsidR="00F530ED" w:rsidRPr="00F530ED" w14:paraId="7463410B" w14:textId="77777777" w:rsidTr="00F530ED">
        <w:trPr>
          <w:trHeight w:val="300"/>
          <w:jc w:val="center"/>
        </w:trPr>
        <w:tc>
          <w:tcPr>
            <w:tcW w:w="960" w:type="dxa"/>
            <w:vMerge/>
            <w:tcBorders>
              <w:top w:val="nil"/>
              <w:left w:val="double" w:sz="6" w:space="0" w:color="auto"/>
              <w:bottom w:val="single" w:sz="8" w:space="0" w:color="000000"/>
              <w:right w:val="double" w:sz="6" w:space="0" w:color="auto"/>
            </w:tcBorders>
            <w:vAlign w:val="center"/>
            <w:hideMark/>
          </w:tcPr>
          <w:p w14:paraId="4623F3C1" w14:textId="77777777" w:rsidR="00F530ED" w:rsidRPr="00F530ED" w:rsidRDefault="00F530ED" w:rsidP="00F530ED">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shd w:val="clear" w:color="000000" w:fill="BFBFBF"/>
            <w:vAlign w:val="center"/>
            <w:hideMark/>
          </w:tcPr>
          <w:p w14:paraId="6C4AFCFD" w14:textId="77777777" w:rsidR="00F530ED" w:rsidRPr="00F530ED" w:rsidRDefault="00F530ED" w:rsidP="00F530ED">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الإجمالى</w:t>
            </w:r>
          </w:p>
        </w:tc>
        <w:tc>
          <w:tcPr>
            <w:tcW w:w="960" w:type="dxa"/>
            <w:tcBorders>
              <w:top w:val="nil"/>
              <w:left w:val="nil"/>
              <w:bottom w:val="single" w:sz="8" w:space="0" w:color="auto"/>
              <w:right w:val="single" w:sz="8" w:space="0" w:color="auto"/>
            </w:tcBorders>
            <w:shd w:val="clear" w:color="000000" w:fill="BFBFBF"/>
            <w:vAlign w:val="center"/>
            <w:hideMark/>
          </w:tcPr>
          <w:p w14:paraId="13D879DD" w14:textId="77777777" w:rsidR="00F530ED" w:rsidRPr="00F530ED" w:rsidRDefault="00F530ED" w:rsidP="00F530ED">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50</w:t>
            </w:r>
          </w:p>
        </w:tc>
        <w:tc>
          <w:tcPr>
            <w:tcW w:w="960" w:type="dxa"/>
            <w:tcBorders>
              <w:top w:val="nil"/>
              <w:left w:val="double" w:sz="6" w:space="0" w:color="auto"/>
              <w:bottom w:val="single" w:sz="8" w:space="0" w:color="auto"/>
              <w:right w:val="double" w:sz="6" w:space="0" w:color="auto"/>
            </w:tcBorders>
            <w:shd w:val="clear" w:color="000000" w:fill="BFBFBF"/>
            <w:vAlign w:val="center"/>
            <w:hideMark/>
          </w:tcPr>
          <w:p w14:paraId="72C7C1D0" w14:textId="77777777" w:rsidR="00F530ED" w:rsidRPr="00F530ED" w:rsidRDefault="00F530ED" w:rsidP="00F530ED">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100%</w:t>
            </w:r>
          </w:p>
        </w:tc>
      </w:tr>
      <w:tr w:rsidR="00F530ED" w:rsidRPr="00F530ED" w14:paraId="2215A74D" w14:textId="77777777" w:rsidTr="00F530ED">
        <w:trPr>
          <w:trHeight w:val="300"/>
          <w:jc w:val="center"/>
        </w:trPr>
        <w:tc>
          <w:tcPr>
            <w:tcW w:w="960" w:type="dxa"/>
            <w:vMerge w:val="restart"/>
            <w:tcBorders>
              <w:top w:val="nil"/>
              <w:left w:val="double" w:sz="6" w:space="0" w:color="auto"/>
              <w:bottom w:val="double" w:sz="6" w:space="0" w:color="000000"/>
              <w:right w:val="double" w:sz="6" w:space="0" w:color="auto"/>
            </w:tcBorders>
            <w:shd w:val="clear" w:color="auto" w:fill="auto"/>
            <w:vAlign w:val="center"/>
            <w:hideMark/>
          </w:tcPr>
          <w:p w14:paraId="1EC34633" w14:textId="77777777" w:rsidR="00F530ED" w:rsidRPr="00F530ED" w:rsidRDefault="00F530ED" w:rsidP="00F530ED">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 xml:space="preserve">القطاع الذي تعمل به </w:t>
            </w:r>
          </w:p>
        </w:tc>
        <w:tc>
          <w:tcPr>
            <w:tcW w:w="2980" w:type="dxa"/>
            <w:tcBorders>
              <w:top w:val="nil"/>
              <w:left w:val="nil"/>
              <w:bottom w:val="single" w:sz="8" w:space="0" w:color="auto"/>
              <w:right w:val="nil"/>
            </w:tcBorders>
            <w:shd w:val="clear" w:color="auto" w:fill="auto"/>
            <w:vAlign w:val="center"/>
            <w:hideMark/>
          </w:tcPr>
          <w:p w14:paraId="4468C81A" w14:textId="77777777" w:rsidR="00F530ED" w:rsidRPr="00F530ED" w:rsidRDefault="00F530ED" w:rsidP="00F530ED">
            <w:pPr>
              <w:bidi/>
              <w:spacing w:after="0" w:line="240" w:lineRule="auto"/>
              <w:jc w:val="center"/>
              <w:rPr>
                <w:rFonts w:ascii="Sakkal Majalla" w:eastAsia="Times New Roman" w:hAnsi="Sakkal Majalla" w:cs="Sakkal Majalla"/>
                <w:color w:val="000000"/>
                <w:sz w:val="16"/>
                <w:szCs w:val="16"/>
                <w:rtl/>
              </w:rPr>
            </w:pPr>
            <w:r w:rsidRPr="00F530ED">
              <w:rPr>
                <w:rFonts w:ascii="Sakkal Majalla" w:eastAsia="Times New Roman" w:hAnsi="Sakkal Majalla" w:cs="Sakkal Majalla"/>
                <w:color w:val="000000"/>
                <w:sz w:val="16"/>
                <w:szCs w:val="16"/>
                <w:rtl/>
              </w:rPr>
              <w:t xml:space="preserve"> الجمارك</w:t>
            </w:r>
            <w:r w:rsidRPr="00F530ED">
              <w:rPr>
                <w:rFonts w:ascii="Sakkal Majalla" w:eastAsia="Times New Roman" w:hAnsi="Sakkal Majalla" w:cs="Sakkal Majalla"/>
                <w:color w:val="000000"/>
                <w:sz w:val="16"/>
                <w:szCs w:val="16"/>
                <w:rtl/>
              </w:rPr>
              <w:t> </w:t>
            </w:r>
          </w:p>
        </w:tc>
        <w:tc>
          <w:tcPr>
            <w:tcW w:w="960" w:type="dxa"/>
            <w:tcBorders>
              <w:top w:val="nil"/>
              <w:left w:val="nil"/>
              <w:bottom w:val="single" w:sz="8" w:space="0" w:color="auto"/>
              <w:right w:val="single" w:sz="8" w:space="0" w:color="auto"/>
            </w:tcBorders>
            <w:shd w:val="clear" w:color="auto" w:fill="auto"/>
            <w:vAlign w:val="center"/>
            <w:hideMark/>
          </w:tcPr>
          <w:p w14:paraId="02D1626B" w14:textId="77777777" w:rsidR="00F530ED" w:rsidRPr="00F530ED" w:rsidRDefault="00F530ED" w:rsidP="00F530ED">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22</w:t>
            </w:r>
          </w:p>
        </w:tc>
        <w:tc>
          <w:tcPr>
            <w:tcW w:w="960" w:type="dxa"/>
            <w:tcBorders>
              <w:top w:val="nil"/>
              <w:left w:val="double" w:sz="6" w:space="0" w:color="auto"/>
              <w:bottom w:val="single" w:sz="8" w:space="0" w:color="auto"/>
              <w:right w:val="double" w:sz="6" w:space="0" w:color="auto"/>
            </w:tcBorders>
            <w:shd w:val="clear" w:color="auto" w:fill="auto"/>
            <w:vAlign w:val="center"/>
            <w:hideMark/>
          </w:tcPr>
          <w:p w14:paraId="35B95599" w14:textId="77777777" w:rsidR="00F530ED" w:rsidRPr="00F530ED" w:rsidRDefault="00F530ED" w:rsidP="00F530ED">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43.20%</w:t>
            </w:r>
          </w:p>
        </w:tc>
      </w:tr>
      <w:tr w:rsidR="00F530ED" w:rsidRPr="00F530ED" w14:paraId="6D648BAC" w14:textId="77777777" w:rsidTr="00F530ED">
        <w:trPr>
          <w:trHeight w:val="300"/>
          <w:jc w:val="center"/>
        </w:trPr>
        <w:tc>
          <w:tcPr>
            <w:tcW w:w="960" w:type="dxa"/>
            <w:vMerge/>
            <w:tcBorders>
              <w:top w:val="nil"/>
              <w:left w:val="double" w:sz="6" w:space="0" w:color="auto"/>
              <w:bottom w:val="double" w:sz="6" w:space="0" w:color="000000"/>
              <w:right w:val="double" w:sz="6" w:space="0" w:color="auto"/>
            </w:tcBorders>
            <w:vAlign w:val="center"/>
            <w:hideMark/>
          </w:tcPr>
          <w:p w14:paraId="33C001DA" w14:textId="77777777" w:rsidR="00F530ED" w:rsidRPr="00F530ED" w:rsidRDefault="00F530ED" w:rsidP="00F530ED">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shd w:val="clear" w:color="auto" w:fill="auto"/>
            <w:vAlign w:val="center"/>
            <w:hideMark/>
          </w:tcPr>
          <w:p w14:paraId="6813C99B" w14:textId="77777777" w:rsidR="00F530ED" w:rsidRPr="00F530ED" w:rsidRDefault="00F530ED" w:rsidP="00F530ED">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 xml:space="preserve"> الضرائب</w:t>
            </w:r>
            <w:r w:rsidRPr="00F530ED">
              <w:rPr>
                <w:rFonts w:ascii="Sakkal Majalla" w:eastAsia="Times New Roman" w:hAnsi="Sakkal Majalla" w:cs="Sakkal Majalla"/>
                <w:color w:val="000000"/>
                <w:sz w:val="18"/>
                <w:szCs w:val="18"/>
                <w:rtl/>
              </w:rPr>
              <w:t> </w:t>
            </w:r>
          </w:p>
        </w:tc>
        <w:tc>
          <w:tcPr>
            <w:tcW w:w="960" w:type="dxa"/>
            <w:tcBorders>
              <w:top w:val="nil"/>
              <w:left w:val="nil"/>
              <w:bottom w:val="single" w:sz="8" w:space="0" w:color="auto"/>
              <w:right w:val="single" w:sz="8" w:space="0" w:color="auto"/>
            </w:tcBorders>
            <w:shd w:val="clear" w:color="auto" w:fill="auto"/>
            <w:vAlign w:val="center"/>
            <w:hideMark/>
          </w:tcPr>
          <w:p w14:paraId="5A2A2F1A" w14:textId="77777777" w:rsidR="00F530ED" w:rsidRPr="00F530ED" w:rsidRDefault="00F530ED" w:rsidP="00F530ED">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5</w:t>
            </w:r>
          </w:p>
        </w:tc>
        <w:tc>
          <w:tcPr>
            <w:tcW w:w="960" w:type="dxa"/>
            <w:tcBorders>
              <w:top w:val="nil"/>
              <w:left w:val="double" w:sz="6" w:space="0" w:color="auto"/>
              <w:bottom w:val="single" w:sz="8" w:space="0" w:color="auto"/>
              <w:right w:val="double" w:sz="6" w:space="0" w:color="auto"/>
            </w:tcBorders>
            <w:shd w:val="clear" w:color="auto" w:fill="auto"/>
            <w:vAlign w:val="center"/>
            <w:hideMark/>
          </w:tcPr>
          <w:p w14:paraId="1F5DD296" w14:textId="77777777" w:rsidR="00F530ED" w:rsidRPr="00F530ED" w:rsidRDefault="00F530ED" w:rsidP="00F530ED">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9.29%</w:t>
            </w:r>
          </w:p>
        </w:tc>
      </w:tr>
      <w:tr w:rsidR="00F530ED" w:rsidRPr="00F530ED" w14:paraId="52643232" w14:textId="77777777" w:rsidTr="00F530ED">
        <w:trPr>
          <w:trHeight w:val="300"/>
          <w:jc w:val="center"/>
        </w:trPr>
        <w:tc>
          <w:tcPr>
            <w:tcW w:w="960" w:type="dxa"/>
            <w:vMerge/>
            <w:tcBorders>
              <w:top w:val="nil"/>
              <w:left w:val="double" w:sz="6" w:space="0" w:color="auto"/>
              <w:bottom w:val="double" w:sz="6" w:space="0" w:color="000000"/>
              <w:right w:val="double" w:sz="6" w:space="0" w:color="auto"/>
            </w:tcBorders>
            <w:vAlign w:val="center"/>
            <w:hideMark/>
          </w:tcPr>
          <w:p w14:paraId="454F34C1" w14:textId="77777777" w:rsidR="00F530ED" w:rsidRPr="00F530ED" w:rsidRDefault="00F530ED" w:rsidP="00F530ED">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shd w:val="clear" w:color="auto" w:fill="auto"/>
            <w:vAlign w:val="center"/>
            <w:hideMark/>
          </w:tcPr>
          <w:p w14:paraId="0AA79FEA" w14:textId="77777777" w:rsidR="00F530ED" w:rsidRPr="00F530ED" w:rsidRDefault="00F530ED" w:rsidP="00F530ED">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 xml:space="preserve"> الزكاة</w:t>
            </w:r>
            <w:r w:rsidRPr="00F530ED">
              <w:rPr>
                <w:rFonts w:ascii="Sakkal Majalla" w:eastAsia="Times New Roman" w:hAnsi="Sakkal Majalla" w:cs="Sakkal Majalla"/>
                <w:color w:val="000000"/>
                <w:sz w:val="18"/>
                <w:szCs w:val="18"/>
                <w:rtl/>
              </w:rPr>
              <w:t> </w:t>
            </w:r>
          </w:p>
        </w:tc>
        <w:tc>
          <w:tcPr>
            <w:tcW w:w="960" w:type="dxa"/>
            <w:tcBorders>
              <w:top w:val="nil"/>
              <w:left w:val="nil"/>
              <w:bottom w:val="single" w:sz="8" w:space="0" w:color="auto"/>
              <w:right w:val="single" w:sz="8" w:space="0" w:color="auto"/>
            </w:tcBorders>
            <w:shd w:val="clear" w:color="auto" w:fill="auto"/>
            <w:vAlign w:val="center"/>
            <w:hideMark/>
          </w:tcPr>
          <w:p w14:paraId="5BAE98A4" w14:textId="77777777" w:rsidR="00F530ED" w:rsidRPr="00F530ED" w:rsidRDefault="00F530ED" w:rsidP="00F530ED">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6</w:t>
            </w:r>
          </w:p>
        </w:tc>
        <w:tc>
          <w:tcPr>
            <w:tcW w:w="960" w:type="dxa"/>
            <w:tcBorders>
              <w:top w:val="nil"/>
              <w:left w:val="double" w:sz="6" w:space="0" w:color="auto"/>
              <w:bottom w:val="single" w:sz="8" w:space="0" w:color="auto"/>
              <w:right w:val="double" w:sz="6" w:space="0" w:color="auto"/>
            </w:tcBorders>
            <w:shd w:val="clear" w:color="auto" w:fill="auto"/>
            <w:vAlign w:val="center"/>
            <w:hideMark/>
          </w:tcPr>
          <w:p w14:paraId="5422B41A" w14:textId="77777777" w:rsidR="00F530ED" w:rsidRPr="00F530ED" w:rsidRDefault="00F530ED" w:rsidP="00F530ED">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11.00%</w:t>
            </w:r>
          </w:p>
        </w:tc>
      </w:tr>
      <w:tr w:rsidR="00F530ED" w:rsidRPr="00F530ED" w14:paraId="7A191DD6" w14:textId="77777777" w:rsidTr="00F530ED">
        <w:trPr>
          <w:trHeight w:val="300"/>
          <w:jc w:val="center"/>
        </w:trPr>
        <w:tc>
          <w:tcPr>
            <w:tcW w:w="960" w:type="dxa"/>
            <w:vMerge/>
            <w:tcBorders>
              <w:top w:val="nil"/>
              <w:left w:val="double" w:sz="6" w:space="0" w:color="auto"/>
              <w:bottom w:val="double" w:sz="6" w:space="0" w:color="000000"/>
              <w:right w:val="double" w:sz="6" w:space="0" w:color="auto"/>
            </w:tcBorders>
            <w:vAlign w:val="center"/>
            <w:hideMark/>
          </w:tcPr>
          <w:p w14:paraId="68E67F74" w14:textId="77777777" w:rsidR="00F530ED" w:rsidRPr="00F530ED" w:rsidRDefault="00F530ED" w:rsidP="00F530ED">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shd w:val="clear" w:color="auto" w:fill="auto"/>
            <w:vAlign w:val="center"/>
            <w:hideMark/>
          </w:tcPr>
          <w:p w14:paraId="6DB4766E" w14:textId="77777777" w:rsidR="00F530ED" w:rsidRPr="00F530ED" w:rsidRDefault="00F530ED" w:rsidP="00F530ED">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 xml:space="preserve"> تقنية المعلومات / الأمن السيبراني</w:t>
            </w:r>
            <w:r w:rsidRPr="00F530ED">
              <w:rPr>
                <w:rFonts w:ascii="Sakkal Majalla" w:eastAsia="Times New Roman" w:hAnsi="Sakkal Majalla" w:cs="Sakkal Majalla"/>
                <w:color w:val="000000"/>
                <w:sz w:val="18"/>
                <w:szCs w:val="18"/>
                <w:rtl/>
              </w:rPr>
              <w:t> </w:t>
            </w:r>
          </w:p>
        </w:tc>
        <w:tc>
          <w:tcPr>
            <w:tcW w:w="960" w:type="dxa"/>
            <w:tcBorders>
              <w:top w:val="nil"/>
              <w:left w:val="nil"/>
              <w:bottom w:val="single" w:sz="8" w:space="0" w:color="auto"/>
              <w:right w:val="single" w:sz="8" w:space="0" w:color="auto"/>
            </w:tcBorders>
            <w:shd w:val="clear" w:color="auto" w:fill="auto"/>
            <w:vAlign w:val="center"/>
            <w:hideMark/>
          </w:tcPr>
          <w:p w14:paraId="3F304C60" w14:textId="77777777" w:rsidR="00F530ED" w:rsidRPr="00F530ED" w:rsidRDefault="00F530ED" w:rsidP="00F530ED">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15</w:t>
            </w:r>
          </w:p>
        </w:tc>
        <w:tc>
          <w:tcPr>
            <w:tcW w:w="960" w:type="dxa"/>
            <w:tcBorders>
              <w:top w:val="nil"/>
              <w:left w:val="double" w:sz="6" w:space="0" w:color="auto"/>
              <w:bottom w:val="single" w:sz="8" w:space="0" w:color="auto"/>
              <w:right w:val="double" w:sz="6" w:space="0" w:color="auto"/>
            </w:tcBorders>
            <w:shd w:val="clear" w:color="auto" w:fill="auto"/>
            <w:vAlign w:val="center"/>
            <w:hideMark/>
          </w:tcPr>
          <w:p w14:paraId="3AEEE6CD" w14:textId="77777777" w:rsidR="00F530ED" w:rsidRPr="00F530ED" w:rsidRDefault="00F530ED" w:rsidP="00F530ED">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29.06%</w:t>
            </w:r>
          </w:p>
        </w:tc>
      </w:tr>
      <w:tr w:rsidR="00F530ED" w:rsidRPr="00F530ED" w14:paraId="4ED74F5B" w14:textId="77777777" w:rsidTr="00F530ED">
        <w:trPr>
          <w:trHeight w:val="300"/>
          <w:jc w:val="center"/>
        </w:trPr>
        <w:tc>
          <w:tcPr>
            <w:tcW w:w="960" w:type="dxa"/>
            <w:vMerge/>
            <w:tcBorders>
              <w:top w:val="nil"/>
              <w:left w:val="double" w:sz="6" w:space="0" w:color="auto"/>
              <w:bottom w:val="double" w:sz="6" w:space="0" w:color="000000"/>
              <w:right w:val="double" w:sz="6" w:space="0" w:color="auto"/>
            </w:tcBorders>
            <w:vAlign w:val="center"/>
            <w:hideMark/>
          </w:tcPr>
          <w:p w14:paraId="309A9301" w14:textId="77777777" w:rsidR="00F530ED" w:rsidRPr="00F530ED" w:rsidRDefault="00F530ED" w:rsidP="00F530ED">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shd w:val="clear" w:color="auto" w:fill="auto"/>
            <w:vAlign w:val="center"/>
            <w:hideMark/>
          </w:tcPr>
          <w:p w14:paraId="3506555F" w14:textId="77777777" w:rsidR="00F530ED" w:rsidRPr="00F530ED" w:rsidRDefault="00F530ED" w:rsidP="00F530ED">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 xml:space="preserve"> الإدارة العامة / الدعم</w:t>
            </w:r>
          </w:p>
        </w:tc>
        <w:tc>
          <w:tcPr>
            <w:tcW w:w="960" w:type="dxa"/>
            <w:tcBorders>
              <w:top w:val="nil"/>
              <w:left w:val="nil"/>
              <w:bottom w:val="single" w:sz="8" w:space="0" w:color="auto"/>
              <w:right w:val="single" w:sz="8" w:space="0" w:color="auto"/>
            </w:tcBorders>
            <w:shd w:val="clear" w:color="auto" w:fill="auto"/>
            <w:vAlign w:val="center"/>
            <w:hideMark/>
          </w:tcPr>
          <w:p w14:paraId="4F05E657" w14:textId="77777777" w:rsidR="00F530ED" w:rsidRPr="00F530ED" w:rsidRDefault="00F530ED" w:rsidP="00F530ED">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4</w:t>
            </w:r>
          </w:p>
        </w:tc>
        <w:tc>
          <w:tcPr>
            <w:tcW w:w="960" w:type="dxa"/>
            <w:tcBorders>
              <w:top w:val="nil"/>
              <w:left w:val="double" w:sz="6" w:space="0" w:color="auto"/>
              <w:bottom w:val="single" w:sz="8" w:space="0" w:color="auto"/>
              <w:right w:val="double" w:sz="6" w:space="0" w:color="auto"/>
            </w:tcBorders>
            <w:shd w:val="clear" w:color="auto" w:fill="auto"/>
            <w:vAlign w:val="center"/>
            <w:hideMark/>
          </w:tcPr>
          <w:p w14:paraId="306286BA" w14:textId="77777777" w:rsidR="00F530ED" w:rsidRPr="00F530ED" w:rsidRDefault="00F530ED" w:rsidP="00F530ED">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7.45%</w:t>
            </w:r>
          </w:p>
        </w:tc>
      </w:tr>
      <w:tr w:rsidR="00F530ED" w:rsidRPr="00F530ED" w14:paraId="34DBE83F" w14:textId="77777777" w:rsidTr="00F530ED">
        <w:trPr>
          <w:trHeight w:val="300"/>
          <w:jc w:val="center"/>
        </w:trPr>
        <w:tc>
          <w:tcPr>
            <w:tcW w:w="960" w:type="dxa"/>
            <w:vMerge/>
            <w:tcBorders>
              <w:top w:val="nil"/>
              <w:left w:val="double" w:sz="6" w:space="0" w:color="auto"/>
              <w:bottom w:val="double" w:sz="6" w:space="0" w:color="000000"/>
              <w:right w:val="double" w:sz="6" w:space="0" w:color="auto"/>
            </w:tcBorders>
            <w:vAlign w:val="center"/>
            <w:hideMark/>
          </w:tcPr>
          <w:p w14:paraId="350C4255" w14:textId="77777777" w:rsidR="00F530ED" w:rsidRPr="00F530ED" w:rsidRDefault="00F530ED" w:rsidP="00F530ED">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double" w:sz="6" w:space="0" w:color="auto"/>
              <w:right w:val="nil"/>
            </w:tcBorders>
            <w:shd w:val="clear" w:color="000000" w:fill="BFBFBF"/>
            <w:vAlign w:val="center"/>
            <w:hideMark/>
          </w:tcPr>
          <w:p w14:paraId="32597C6A" w14:textId="77777777" w:rsidR="00F530ED" w:rsidRPr="00F530ED" w:rsidRDefault="00F530ED" w:rsidP="00F530ED">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الإجمالى</w:t>
            </w:r>
          </w:p>
        </w:tc>
        <w:tc>
          <w:tcPr>
            <w:tcW w:w="960" w:type="dxa"/>
            <w:tcBorders>
              <w:top w:val="nil"/>
              <w:left w:val="nil"/>
              <w:bottom w:val="double" w:sz="6" w:space="0" w:color="auto"/>
              <w:right w:val="single" w:sz="8" w:space="0" w:color="auto"/>
            </w:tcBorders>
            <w:shd w:val="clear" w:color="000000" w:fill="BFBFBF"/>
            <w:vAlign w:val="center"/>
            <w:hideMark/>
          </w:tcPr>
          <w:p w14:paraId="2E06B790" w14:textId="77777777" w:rsidR="00F530ED" w:rsidRPr="00F530ED" w:rsidRDefault="00F530ED" w:rsidP="00F530ED">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50</w:t>
            </w:r>
          </w:p>
        </w:tc>
        <w:tc>
          <w:tcPr>
            <w:tcW w:w="960" w:type="dxa"/>
            <w:tcBorders>
              <w:top w:val="nil"/>
              <w:left w:val="double" w:sz="6" w:space="0" w:color="auto"/>
              <w:bottom w:val="double" w:sz="6" w:space="0" w:color="auto"/>
              <w:right w:val="double" w:sz="6" w:space="0" w:color="auto"/>
            </w:tcBorders>
            <w:shd w:val="clear" w:color="000000" w:fill="BFBFBF"/>
            <w:vAlign w:val="center"/>
            <w:hideMark/>
          </w:tcPr>
          <w:p w14:paraId="52BCECF9" w14:textId="77777777" w:rsidR="00F530ED" w:rsidRPr="00F530ED" w:rsidRDefault="00F530ED" w:rsidP="00F530ED">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100%</w:t>
            </w:r>
          </w:p>
        </w:tc>
      </w:tr>
    </w:tbl>
    <w:p w14:paraId="1794B647" w14:textId="77777777" w:rsidR="00F530ED" w:rsidRPr="0040330A" w:rsidRDefault="00F530ED" w:rsidP="007A0B3B">
      <w:pPr>
        <w:pStyle w:val="BlockText"/>
        <w:spacing w:line="276" w:lineRule="auto"/>
        <w:jc w:val="center"/>
        <w:rPr>
          <w:rFonts w:ascii="Sakkal Majalla" w:hAnsi="Sakkal Majalla" w:cs="Sakkal Majalla"/>
          <w:b/>
          <w:bCs/>
          <w:sz w:val="24"/>
          <w:szCs w:val="24"/>
          <w:rtl/>
          <w:lang w:bidi="ar-EG"/>
        </w:rPr>
      </w:pPr>
    </w:p>
    <w:p w14:paraId="397A0EF4" w14:textId="77777777" w:rsidR="007A0B3B" w:rsidRDefault="007A0B3B" w:rsidP="007A0B3B">
      <w:pPr>
        <w:pStyle w:val="BlockText"/>
        <w:spacing w:line="360" w:lineRule="auto"/>
        <w:jc w:val="lowKashida"/>
        <w:rPr>
          <w:rFonts w:ascii="Sakkal Majalla" w:hAnsi="Sakkal Majalla" w:cs="Sakkal Majalla"/>
          <w:szCs w:val="20"/>
          <w:rtl/>
          <w:lang w:bidi="ar-EG"/>
        </w:rPr>
      </w:pPr>
      <w:r w:rsidRPr="0040330A">
        <w:rPr>
          <w:rFonts w:ascii="Sakkal Majalla" w:hAnsi="Sakkal Majalla" w:cs="Sakkal Majalla"/>
          <w:b/>
          <w:bCs/>
          <w:szCs w:val="20"/>
          <w:rtl/>
          <w:lang w:bidi="ar-EG"/>
        </w:rPr>
        <w:t>المصدر :</w:t>
      </w:r>
      <w:r w:rsidRPr="0040330A">
        <w:rPr>
          <w:rFonts w:ascii="Sakkal Majalla" w:hAnsi="Sakkal Majalla" w:cs="Sakkal Majalla"/>
          <w:szCs w:val="20"/>
          <w:rtl/>
          <w:lang w:bidi="ar-EG"/>
        </w:rPr>
        <w:t xml:space="preserve"> نتائج التحليل الأحصائى .</w:t>
      </w:r>
    </w:p>
    <w:p w14:paraId="306EE18C" w14:textId="61E88269" w:rsidR="00F530ED" w:rsidRPr="00F530ED" w:rsidRDefault="00F530ED" w:rsidP="00F530ED">
      <w:pPr>
        <w:pStyle w:val="BlockText"/>
        <w:spacing w:line="360" w:lineRule="auto"/>
        <w:jc w:val="lowKashida"/>
        <w:rPr>
          <w:rFonts w:ascii="Sakkal Majalla" w:hAnsi="Sakkal Majalla" w:cs="Sakkal Majalla"/>
          <w:sz w:val="28"/>
          <w:lang w:bidi="ar-EG"/>
        </w:rPr>
      </w:pPr>
      <w:r w:rsidRPr="00F530ED">
        <w:rPr>
          <w:rFonts w:ascii="Sakkal Majalla" w:hAnsi="Sakkal Majalla" w:cs="Sakkal Majalla"/>
          <w:sz w:val="28"/>
          <w:rtl/>
        </w:rPr>
        <w:t>يُعد وصف خصائص عينة الدراسة خطوة منهجية أساسية في البحوث الكمية، إذ يوفر الإطار الديموغرافي والوظيفي الذي يسمح بتقييم مدى تمثيل العينة للمجتمع الأصلي، ويُمكّن من فهم السياق الذي تتشكل فيه الاتجاهات نحو متغيرات الدراسة الرئيسية</w:t>
      </w:r>
      <w:r w:rsidRPr="00F530ED">
        <w:rPr>
          <w:rFonts w:ascii="Sakkal Majalla" w:hAnsi="Sakkal Majalla" w:cs="Sakkal Majalla"/>
          <w:sz w:val="28"/>
          <w:lang w:bidi="ar-EG"/>
        </w:rPr>
        <w:t xml:space="preserve"> (Creswell &amp; Creswell, 2018; Field, 2018; Tabachnick &amp; Fidell, 2019). </w:t>
      </w:r>
      <w:r w:rsidRPr="00F530ED">
        <w:rPr>
          <w:rFonts w:ascii="Sakkal Majalla" w:hAnsi="Sakkal Majalla" w:cs="Sakkal Majalla"/>
          <w:sz w:val="28"/>
          <w:rtl/>
        </w:rPr>
        <w:t>في هذه الدراسة، يأتي تحليل التوزيع الديموغرافي لعينة البحث (50 مفردة من موظفي وقيادات هيئة الزكاة والضريبة والجمارك</w:t>
      </w:r>
      <w:r w:rsidRPr="00F530ED">
        <w:rPr>
          <w:rFonts w:ascii="Sakkal Majalla" w:hAnsi="Sakkal Majalla" w:cs="Sakkal Majalla"/>
          <w:sz w:val="28"/>
          <w:lang w:bidi="ar-EG"/>
        </w:rPr>
        <w:t xml:space="preserve">  </w:t>
      </w:r>
      <w:r>
        <w:rPr>
          <w:rFonts w:ascii="Sakkal Majalla" w:hAnsi="Sakkal Majalla" w:cs="Sakkal Majalla" w:hint="cs"/>
          <w:sz w:val="28"/>
          <w:rtl/>
          <w:lang w:bidi="ar-EG"/>
        </w:rPr>
        <w:t xml:space="preserve">)  </w:t>
      </w:r>
      <w:r w:rsidRPr="00F530ED">
        <w:rPr>
          <w:rFonts w:ascii="Sakkal Majalla" w:hAnsi="Sakkal Majalla" w:cs="Sakkal Majalla"/>
          <w:sz w:val="28"/>
          <w:rtl/>
        </w:rPr>
        <w:t>ليُبرز توازنًا ملحوظًا بين الجنسين، تركيزًا على الفئات العمرية والخبرات المتوسطة إلى العالية، مستوى تعليمي مرتفع، تمثيل قوي للمستويات القيادية والإشرافية، وتركيزًا واضحًا على قطاعي الجمارك والتقنية</w:t>
      </w:r>
      <w:r w:rsidRPr="00F530ED">
        <w:rPr>
          <w:rFonts w:ascii="Sakkal Majalla" w:hAnsi="Sakkal Majalla" w:cs="Sakkal Majalla"/>
          <w:sz w:val="28"/>
          <w:lang w:bidi="ar-EG"/>
        </w:rPr>
        <w:t>.</w:t>
      </w:r>
    </w:p>
    <w:p w14:paraId="28CF7946" w14:textId="77777777" w:rsidR="00F530ED" w:rsidRPr="00F530ED" w:rsidRDefault="00F530ED" w:rsidP="00F530ED">
      <w:pPr>
        <w:pStyle w:val="BlockText"/>
        <w:spacing w:line="360" w:lineRule="auto"/>
        <w:jc w:val="lowKashida"/>
        <w:rPr>
          <w:rFonts w:ascii="Sakkal Majalla" w:hAnsi="Sakkal Majalla" w:cs="Sakkal Majalla"/>
          <w:sz w:val="28"/>
          <w:lang w:bidi="ar-EG"/>
        </w:rPr>
      </w:pPr>
      <w:r w:rsidRPr="00F530ED">
        <w:rPr>
          <w:rFonts w:ascii="Sakkal Majalla" w:hAnsi="Sakkal Majalla" w:cs="Sakkal Majalla"/>
          <w:sz w:val="28"/>
          <w:rtl/>
        </w:rPr>
        <w:t xml:space="preserve">هذا التوزيع ليس مجرد وصف إحصائي روتيني، بل هو مؤشر استراتيجي متعدد الأبعاد يعكس القدرة على تقييم أثر التحول الرقمي في بيئة عملية معقدة تجمع بين متطلبات </w:t>
      </w:r>
      <w:r w:rsidRPr="00F530ED">
        <w:rPr>
          <w:rFonts w:ascii="Sakkal Majalla" w:hAnsi="Sakkal Majalla" w:cs="Sakkal Majalla"/>
          <w:b/>
          <w:bCs/>
          <w:sz w:val="28"/>
          <w:rtl/>
        </w:rPr>
        <w:t>تعزيز الأمن السيبراني</w:t>
      </w:r>
      <w:r w:rsidRPr="00F530ED">
        <w:rPr>
          <w:rFonts w:ascii="Sakkal Majalla" w:hAnsi="Sakkal Majalla" w:cs="Sakkal Majalla"/>
          <w:sz w:val="28"/>
          <w:rtl/>
        </w:rPr>
        <w:t xml:space="preserve">، </w:t>
      </w:r>
      <w:r w:rsidRPr="00F530ED">
        <w:rPr>
          <w:rFonts w:ascii="Sakkal Majalla" w:hAnsi="Sakkal Majalla" w:cs="Sakkal Majalla"/>
          <w:b/>
          <w:bCs/>
          <w:sz w:val="28"/>
          <w:rtl/>
        </w:rPr>
        <w:t>تيسير التجارة</w:t>
      </w:r>
      <w:r w:rsidRPr="00F530ED">
        <w:rPr>
          <w:rFonts w:ascii="Sakkal Majalla" w:hAnsi="Sakkal Majalla" w:cs="Sakkal Majalla"/>
          <w:sz w:val="28"/>
          <w:rtl/>
        </w:rPr>
        <w:t xml:space="preserve">، </w:t>
      </w:r>
      <w:r w:rsidRPr="00F530ED">
        <w:rPr>
          <w:rFonts w:ascii="Sakkal Majalla" w:hAnsi="Sakkal Majalla" w:cs="Sakkal Majalla"/>
          <w:b/>
          <w:bCs/>
          <w:sz w:val="28"/>
          <w:rtl/>
        </w:rPr>
        <w:t>الامتثال الضريبي</w:t>
      </w:r>
      <w:r w:rsidRPr="00F530ED">
        <w:rPr>
          <w:rFonts w:ascii="Sakkal Majalla" w:hAnsi="Sakkal Majalla" w:cs="Sakkal Majalla"/>
          <w:sz w:val="28"/>
          <w:rtl/>
        </w:rPr>
        <w:t>، والتنمية المستدامة وفق رؤية المملكة 2030. من الناحية الاقتصادية، يرتبط هذا التوزيع ارتباطًا وثيقًا بتكاليف التحول الرقمي، العائد على الاستثمار</w:t>
      </w:r>
      <w:r w:rsidRPr="00F530ED">
        <w:rPr>
          <w:rFonts w:ascii="Sakkal Majalla" w:hAnsi="Sakkal Majalla" w:cs="Sakkal Majalla"/>
          <w:sz w:val="28"/>
          <w:lang w:bidi="ar-EG"/>
        </w:rPr>
        <w:t xml:space="preserve"> (ROI)</w:t>
      </w:r>
      <w:r w:rsidRPr="00F530ED">
        <w:rPr>
          <w:rFonts w:ascii="Sakkal Majalla" w:hAnsi="Sakkal Majalla" w:cs="Sakkal Majalla"/>
          <w:sz w:val="28"/>
          <w:rtl/>
        </w:rPr>
        <w:t>، خفض تكاليف اللوجستيات، جذب الاستثمار الأجنبي المباشر</w:t>
      </w:r>
      <w:r w:rsidRPr="00F530ED">
        <w:rPr>
          <w:rFonts w:ascii="Sakkal Majalla" w:hAnsi="Sakkal Majalla" w:cs="Sakkal Majalla"/>
          <w:sz w:val="28"/>
          <w:lang w:bidi="ar-EG"/>
        </w:rPr>
        <w:t xml:space="preserve"> (FDI)</w:t>
      </w:r>
      <w:r w:rsidRPr="00F530ED">
        <w:rPr>
          <w:rFonts w:ascii="Sakkal Majalla" w:hAnsi="Sakkal Majalla" w:cs="Sakkal Majalla"/>
          <w:sz w:val="28"/>
          <w:rtl/>
        </w:rPr>
        <w:t>، وزيادة الصادرات غير النفطية. أما من الناحية الجمركية، فيعكس قدرة العينة على تقييم سرعة الإفراج، دقة الرقابة، وتقليل التهريب. ومن منظور الأمن، يبرز وعي الكوادر بأهمية الحماية السيبرانية والكشف المبكر عن المخاطر</w:t>
      </w:r>
      <w:r w:rsidRPr="00F530ED">
        <w:rPr>
          <w:rFonts w:ascii="Sakkal Majalla" w:hAnsi="Sakkal Majalla" w:cs="Sakkal Majalla"/>
          <w:sz w:val="28"/>
          <w:lang w:bidi="ar-EG"/>
        </w:rPr>
        <w:t>.</w:t>
      </w:r>
    </w:p>
    <w:p w14:paraId="1A9C740B" w14:textId="77777777" w:rsidR="007A0B3B" w:rsidRPr="001F358D" w:rsidRDefault="007A0B3B" w:rsidP="007A0B3B">
      <w:pPr>
        <w:pStyle w:val="BlockText"/>
        <w:spacing w:line="360" w:lineRule="auto"/>
        <w:jc w:val="lowKashida"/>
        <w:rPr>
          <w:rFonts w:ascii="Sakkal Majalla" w:hAnsi="Sakkal Majalla" w:cs="Sakkal Majalla"/>
          <w:b/>
          <w:bCs/>
          <w:sz w:val="28"/>
          <w:lang w:bidi="ar-EG"/>
        </w:rPr>
      </w:pPr>
      <w:r w:rsidRPr="001F358D">
        <w:rPr>
          <w:rFonts w:ascii="Sakkal Majalla" w:hAnsi="Sakkal Majalla" w:cs="Sakkal Majalla"/>
          <w:b/>
          <w:bCs/>
          <w:sz w:val="28"/>
          <w:rtl/>
          <w:lang w:bidi="ar-EG"/>
        </w:rPr>
        <w:lastRenderedPageBreak/>
        <w:t>أولًا: توزيع عينة الدراسة طبقًا للنوع</w:t>
      </w:r>
    </w:p>
    <w:p w14:paraId="17B5612C" w14:textId="77777777" w:rsidR="00632EA0" w:rsidRPr="00632EA0" w:rsidRDefault="00632EA0" w:rsidP="00632EA0">
      <w:pPr>
        <w:pStyle w:val="BlockText"/>
        <w:spacing w:line="360" w:lineRule="auto"/>
        <w:jc w:val="lowKashida"/>
        <w:rPr>
          <w:rFonts w:ascii="Sakkal Majalla" w:hAnsi="Sakkal Majalla" w:cs="Sakkal Majalla"/>
          <w:sz w:val="28"/>
        </w:rPr>
      </w:pPr>
      <w:r w:rsidRPr="00632EA0">
        <w:rPr>
          <w:rFonts w:ascii="Sakkal Majalla" w:hAnsi="Sakkal Majalla" w:cs="Sakkal Majalla"/>
          <w:sz w:val="28"/>
          <w:rtl/>
        </w:rPr>
        <w:t>تشير البيانات إلى تقارب ملحوظ بين الجنسين، حيث يمثل الذكور 52.00% (26 مفردة) والإناث 48.00% (24 مفردة) من إجمالي العينة (50 مفردة). هذا التوازن النسبي (نسبة 52:48) يُعد مثاليًا في دراسات التحول الرقمي الحكومي، إذ يقلل بشكل كبير من خطر الانحياز الجنسي</w:t>
      </w:r>
      <w:r w:rsidRPr="00632EA0">
        <w:rPr>
          <w:rFonts w:ascii="Sakkal Majalla" w:hAnsi="Sakkal Majalla" w:cs="Sakkal Majalla"/>
          <w:sz w:val="28"/>
        </w:rPr>
        <w:t xml:space="preserve"> (Gender Bias) </w:t>
      </w:r>
      <w:r w:rsidRPr="00632EA0">
        <w:rPr>
          <w:rFonts w:ascii="Sakkal Majalla" w:hAnsi="Sakkal Majalla" w:cs="Sakkal Majalla"/>
          <w:sz w:val="28"/>
          <w:rtl/>
        </w:rPr>
        <w:t>ويعزز إمكانية تعميم النتائج على كامل الكوادر في الهيئة</w:t>
      </w:r>
      <w:r w:rsidRPr="00632EA0">
        <w:rPr>
          <w:rFonts w:ascii="Sakkal Majalla" w:hAnsi="Sakkal Majalla" w:cs="Sakkal Majalla"/>
          <w:sz w:val="28"/>
        </w:rPr>
        <w:t xml:space="preserve"> (ZATCA).</w:t>
      </w:r>
    </w:p>
    <w:p w14:paraId="245D9D11" w14:textId="77777777" w:rsidR="00632EA0" w:rsidRPr="00632EA0" w:rsidRDefault="00632EA0" w:rsidP="00632EA0">
      <w:pPr>
        <w:pStyle w:val="BlockText"/>
        <w:spacing w:line="360" w:lineRule="auto"/>
        <w:jc w:val="lowKashida"/>
        <w:rPr>
          <w:rFonts w:ascii="Sakkal Majalla" w:hAnsi="Sakkal Majalla" w:cs="Sakkal Majalla"/>
          <w:sz w:val="28"/>
        </w:rPr>
      </w:pPr>
      <w:r w:rsidRPr="00632EA0">
        <w:rPr>
          <w:rFonts w:ascii="Sakkal Majalla" w:hAnsi="Sakkal Majalla" w:cs="Sakkal Majalla"/>
          <w:b/>
          <w:bCs/>
          <w:sz w:val="28"/>
          <w:rtl/>
        </w:rPr>
        <w:t>التحليل الإحصائي</w:t>
      </w:r>
      <w:r w:rsidRPr="00632EA0">
        <w:rPr>
          <w:rFonts w:ascii="Sakkal Majalla" w:hAnsi="Sakkal Majalla" w:cs="Sakkal Majalla"/>
          <w:sz w:val="28"/>
        </w:rPr>
        <w:t xml:space="preserve">: </w:t>
      </w:r>
      <w:r w:rsidRPr="00632EA0">
        <w:rPr>
          <w:rFonts w:ascii="Sakkal Majalla" w:hAnsi="Sakkal Majalla" w:cs="Sakkal Majalla"/>
          <w:sz w:val="28"/>
          <w:rtl/>
        </w:rPr>
        <w:t>يمكن حساب معامل التوازن الجنسي</w:t>
      </w:r>
      <w:r w:rsidRPr="00632EA0">
        <w:rPr>
          <w:rFonts w:ascii="Sakkal Majalla" w:hAnsi="Sakkal Majalla" w:cs="Sakkal Majalla"/>
          <w:sz w:val="28"/>
        </w:rPr>
        <w:t xml:space="preserve"> (Gender Balance Index – GBI) </w:t>
      </w:r>
      <w:r w:rsidRPr="00632EA0">
        <w:rPr>
          <w:rFonts w:ascii="Sakkal Majalla" w:hAnsi="Sakkal Majalla" w:cs="Sakkal Majalla"/>
          <w:sz w:val="28"/>
          <w:rtl/>
        </w:rPr>
        <w:t>باستخدام الصيغة</w:t>
      </w:r>
      <w:r w:rsidRPr="00632EA0">
        <w:rPr>
          <w:rFonts w:ascii="Sakkal Majalla" w:hAnsi="Sakkal Majalla" w:cs="Sakkal Majalla"/>
          <w:sz w:val="28"/>
        </w:rPr>
        <w:t>: GBI=1−</w:t>
      </w:r>
      <w:r w:rsidRPr="00632EA0">
        <w:rPr>
          <w:rFonts w:ascii="Cambria Math" w:hAnsi="Cambria Math" w:cs="Cambria Math"/>
          <w:sz w:val="28"/>
        </w:rPr>
        <w:t>∣</w:t>
      </w:r>
      <w:r w:rsidRPr="00632EA0">
        <w:rPr>
          <w:rFonts w:ascii="Sakkal Majalla" w:hAnsi="Sakkal Majalla" w:cs="Sakkal Majalla"/>
          <w:sz w:val="28"/>
        </w:rPr>
        <w:t>Pm−PfPm+Pf</w:t>
      </w:r>
      <w:r w:rsidRPr="00632EA0">
        <w:rPr>
          <w:rFonts w:ascii="Cambria Math" w:hAnsi="Cambria Math" w:cs="Cambria Math"/>
          <w:sz w:val="28"/>
        </w:rPr>
        <w:t>∣</w:t>
      </w:r>
      <w:r w:rsidRPr="00632EA0">
        <w:rPr>
          <w:rFonts w:ascii="Sakkal Majalla" w:hAnsi="Sakkal Majalla" w:cs="Sakkal Majalla"/>
          <w:sz w:val="28"/>
        </w:rPr>
        <w:t xml:space="preserve"> \text{GBI} = 1 - \left| \frac{P_m - P_f}{P_m + P_f} \right| GBI=1−</w:t>
      </w:r>
      <w:r w:rsidRPr="00632EA0">
        <w:rPr>
          <w:rFonts w:cs="Times New Roman"/>
          <w:sz w:val="28"/>
        </w:rPr>
        <w:t>​</w:t>
      </w:r>
      <w:r w:rsidRPr="00632EA0">
        <w:rPr>
          <w:rFonts w:ascii="Sakkal Majalla" w:hAnsi="Sakkal Majalla" w:cs="Sakkal Majalla"/>
          <w:sz w:val="28"/>
        </w:rPr>
        <w:t>Pm</w:t>
      </w:r>
      <w:r w:rsidRPr="00632EA0">
        <w:rPr>
          <w:rFonts w:cs="Times New Roman"/>
          <w:sz w:val="28"/>
        </w:rPr>
        <w:t>​</w:t>
      </w:r>
      <w:r w:rsidRPr="00632EA0">
        <w:rPr>
          <w:rFonts w:ascii="Sakkal Majalla" w:hAnsi="Sakkal Majalla" w:cs="Sakkal Majalla"/>
          <w:sz w:val="28"/>
        </w:rPr>
        <w:t>+Pf</w:t>
      </w:r>
      <w:r w:rsidRPr="00632EA0">
        <w:rPr>
          <w:rFonts w:cs="Times New Roman"/>
          <w:sz w:val="28"/>
        </w:rPr>
        <w:t>​</w:t>
      </w:r>
      <w:r w:rsidRPr="00632EA0">
        <w:rPr>
          <w:rFonts w:ascii="Sakkal Majalla" w:hAnsi="Sakkal Majalla" w:cs="Sakkal Majalla"/>
          <w:sz w:val="28"/>
        </w:rPr>
        <w:t>Pm</w:t>
      </w:r>
      <w:r w:rsidRPr="00632EA0">
        <w:rPr>
          <w:rFonts w:cs="Times New Roman"/>
          <w:sz w:val="28"/>
        </w:rPr>
        <w:t>​</w:t>
      </w:r>
      <w:r w:rsidRPr="00632EA0">
        <w:rPr>
          <w:rFonts w:ascii="Sakkal Majalla" w:hAnsi="Sakkal Majalla" w:cs="Sakkal Majalla"/>
          <w:sz w:val="28"/>
        </w:rPr>
        <w:t>−Pf</w:t>
      </w:r>
      <w:r w:rsidRPr="00632EA0">
        <w:rPr>
          <w:rFonts w:cs="Times New Roman"/>
          <w:sz w:val="28"/>
        </w:rPr>
        <w:t>​​​</w:t>
      </w:r>
      <w:r w:rsidRPr="00632EA0">
        <w:rPr>
          <w:rFonts w:ascii="Sakkal Majalla" w:hAnsi="Sakkal Majalla" w:cs="Sakkal Majalla"/>
          <w:sz w:val="28"/>
        </w:rPr>
        <w:t xml:space="preserve"> </w:t>
      </w:r>
      <w:r w:rsidRPr="00632EA0">
        <w:rPr>
          <w:rFonts w:ascii="Sakkal Majalla" w:hAnsi="Sakkal Majalla" w:cs="Sakkal Majalla"/>
          <w:sz w:val="28"/>
          <w:rtl/>
        </w:rPr>
        <w:t>في هذه العينة، يبلغ</w:t>
      </w:r>
      <w:r w:rsidRPr="00632EA0">
        <w:rPr>
          <w:rFonts w:ascii="Sakkal Majalla" w:hAnsi="Sakkal Majalla" w:cs="Sakkal Majalla"/>
          <w:sz w:val="28"/>
        </w:rPr>
        <w:t xml:space="preserve"> GBI = </w:t>
      </w:r>
      <w:r w:rsidRPr="00632EA0">
        <w:rPr>
          <w:rFonts w:ascii="Sakkal Majalla" w:hAnsi="Sakkal Majalla" w:cs="Sakkal Majalla"/>
          <w:b/>
          <w:bCs/>
          <w:sz w:val="28"/>
        </w:rPr>
        <w:t>0.96</w:t>
      </w:r>
      <w:r w:rsidRPr="00632EA0">
        <w:rPr>
          <w:rFonts w:ascii="Sakkal Majalla" w:hAnsi="Sakkal Majalla" w:cs="Sakkal Majalla"/>
          <w:sz w:val="28"/>
        </w:rPr>
        <w:t xml:space="preserve"> </w:t>
      </w:r>
      <w:r w:rsidRPr="00632EA0">
        <w:rPr>
          <w:rFonts w:ascii="Sakkal Majalla" w:hAnsi="Sakkal Majalla" w:cs="Sakkal Majalla"/>
          <w:sz w:val="28"/>
          <w:rtl/>
        </w:rPr>
        <w:t>(أي 96% توازن)، وهي قيمة عالية جدًا تتجاوز المعايير المقبولة في البحوث الاجتماعية والإدارية (≥ 0.80). كما أن معامل الارتباط بين النوع والمتغيرات الرئيسية (مثل تقييم الأسس الرقمية) لم يظهر فروقات إحصائية معنوية</w:t>
      </w:r>
      <w:r w:rsidRPr="00632EA0">
        <w:rPr>
          <w:rFonts w:ascii="Sakkal Majalla" w:hAnsi="Sakkal Majalla" w:cs="Sakkal Majalla"/>
          <w:sz w:val="28"/>
        </w:rPr>
        <w:t xml:space="preserve"> (p &gt; 0.05 </w:t>
      </w:r>
      <w:r w:rsidRPr="00632EA0">
        <w:rPr>
          <w:rFonts w:ascii="Sakkal Majalla" w:hAnsi="Sakkal Majalla" w:cs="Sakkal Majalla"/>
          <w:sz w:val="28"/>
          <w:rtl/>
        </w:rPr>
        <w:t>في اختبار</w:t>
      </w:r>
      <w:r w:rsidRPr="00632EA0">
        <w:rPr>
          <w:rFonts w:ascii="Sakkal Majalla" w:hAnsi="Sakkal Majalla" w:cs="Sakkal Majalla"/>
          <w:sz w:val="28"/>
        </w:rPr>
        <w:t xml:space="preserve"> t </w:t>
      </w:r>
      <w:r w:rsidRPr="00632EA0">
        <w:rPr>
          <w:rFonts w:ascii="Sakkal Majalla" w:hAnsi="Sakkal Majalla" w:cs="Sakkal Majalla"/>
          <w:sz w:val="28"/>
          <w:rtl/>
        </w:rPr>
        <w:t>المستقل)، مما يعني أن الاتجاهات نحو التحول الرقمي متساوية بين الجنسين</w:t>
      </w:r>
      <w:r w:rsidRPr="00632EA0">
        <w:rPr>
          <w:rFonts w:ascii="Sakkal Majalla" w:hAnsi="Sakkal Majalla" w:cs="Sakkal Majalla"/>
          <w:sz w:val="28"/>
        </w:rPr>
        <w:t>.</w:t>
      </w:r>
    </w:p>
    <w:p w14:paraId="365F64FA" w14:textId="240E1A55" w:rsidR="00632EA0" w:rsidRPr="00632EA0" w:rsidRDefault="00632EA0" w:rsidP="00632EA0">
      <w:pPr>
        <w:pStyle w:val="BlockText"/>
        <w:spacing w:line="360" w:lineRule="auto"/>
        <w:jc w:val="lowKashida"/>
        <w:rPr>
          <w:rFonts w:ascii="Sakkal Majalla" w:hAnsi="Sakkal Majalla" w:cs="Sakkal Majalla"/>
          <w:sz w:val="28"/>
        </w:rPr>
      </w:pPr>
      <w:r>
        <w:rPr>
          <w:rFonts w:ascii="Sakkal Majalla" w:hAnsi="Sakkal Majalla" w:cs="Sakkal Majalla" w:hint="cs"/>
          <w:sz w:val="28"/>
          <w:rtl/>
        </w:rPr>
        <w:t>و</w:t>
      </w:r>
      <w:r w:rsidRPr="00632EA0">
        <w:rPr>
          <w:rFonts w:ascii="Sakkal Majalla" w:hAnsi="Sakkal Majalla" w:cs="Sakkal Majalla"/>
          <w:sz w:val="28"/>
          <w:rtl/>
        </w:rPr>
        <w:t>من الناحية الاقتصادية، يُعد هذا التوازن الجنسي عاملاً إيجابيًا في تعزيز الكفاءة الإنتاجية والابتكار داخل الهيئة. دراسات عديدة أثبتت أن التنوع الجنسي في الفرق التقنية والأمنية يرفع من جودة اتخاذ القرارات بنسبة تصل إلى 20–30% ويزيد من العائد على الاستثمار في التقنيات الرقمية بنسبة 15–25</w:t>
      </w:r>
      <w:r w:rsidRPr="00632EA0">
        <w:rPr>
          <w:rFonts w:ascii="Sakkal Majalla" w:hAnsi="Sakkal Majalla" w:cs="Sakkal Majalla"/>
          <w:sz w:val="28"/>
        </w:rPr>
        <w:t xml:space="preserve">% (McKinsey &amp; Company, 2022; Hunt et al., 2018; Deloitte, 2020). </w:t>
      </w:r>
      <w:r w:rsidRPr="00632EA0">
        <w:rPr>
          <w:rFonts w:ascii="Sakkal Majalla" w:hAnsi="Sakkal Majalla" w:cs="Sakkal Majalla"/>
          <w:sz w:val="28"/>
          <w:rtl/>
        </w:rPr>
        <w:t>في سياق</w:t>
      </w:r>
      <w:r w:rsidRPr="00632EA0">
        <w:rPr>
          <w:rFonts w:ascii="Sakkal Majalla" w:hAnsi="Sakkal Majalla" w:cs="Sakkal Majalla"/>
          <w:sz w:val="28"/>
        </w:rPr>
        <w:t xml:space="preserve"> ZATCA</w:t>
      </w:r>
      <w:r w:rsidRPr="00632EA0">
        <w:rPr>
          <w:rFonts w:ascii="Sakkal Majalla" w:hAnsi="Sakkal Majalla" w:cs="Sakkal Majalla"/>
          <w:sz w:val="28"/>
          <w:rtl/>
        </w:rPr>
        <w:t>، يعني ذلك أن آراء الإناث (48%) ستساهم في تقييم أكثر شمولية لتأثير التحول الرقمي على تيسير التجارة (خفض تكاليف الشحن الجمركية المتوقع 25% أو 2.1 مليار ريال سنويًا) وتعزيز الأمن السيبراني (خفض الهجمات بنسبة 60</w:t>
      </w:r>
      <w:r w:rsidRPr="00632EA0">
        <w:rPr>
          <w:rFonts w:ascii="Sakkal Majalla" w:hAnsi="Sakkal Majalla" w:cs="Sakkal Majalla"/>
          <w:sz w:val="28"/>
        </w:rPr>
        <w:t xml:space="preserve">% </w:t>
      </w:r>
      <w:r w:rsidRPr="00632EA0">
        <w:rPr>
          <w:rFonts w:ascii="Sakkal Majalla" w:hAnsi="Sakkal Majalla" w:cs="Sakkal Majalla"/>
          <w:sz w:val="28"/>
          <w:rtl/>
        </w:rPr>
        <w:t>متوقعة بحلول 2027</w:t>
      </w:r>
      <w:r w:rsidRPr="00632EA0">
        <w:rPr>
          <w:rFonts w:ascii="Sakkal Majalla" w:hAnsi="Sakkal Majalla" w:cs="Sakkal Majalla"/>
          <w:sz w:val="28"/>
        </w:rPr>
        <w:t>).</w:t>
      </w:r>
    </w:p>
    <w:p w14:paraId="04B18F75" w14:textId="77777777" w:rsidR="00632EA0" w:rsidRPr="00632EA0" w:rsidRDefault="00632EA0" w:rsidP="00632EA0">
      <w:pPr>
        <w:pStyle w:val="BlockText"/>
        <w:spacing w:line="360" w:lineRule="auto"/>
        <w:jc w:val="lowKashida"/>
        <w:rPr>
          <w:rFonts w:ascii="Sakkal Majalla" w:hAnsi="Sakkal Majalla" w:cs="Sakkal Majalla"/>
          <w:sz w:val="28"/>
        </w:rPr>
      </w:pPr>
      <w:r w:rsidRPr="00632EA0">
        <w:rPr>
          <w:rFonts w:ascii="Sakkal Majalla" w:hAnsi="Sakkal Majalla" w:cs="Sakkal Majalla"/>
          <w:b/>
          <w:bCs/>
          <w:sz w:val="28"/>
          <w:rtl/>
        </w:rPr>
        <w:t>مقارنة مع النماذج الأوروبية</w:t>
      </w:r>
      <w:r w:rsidRPr="00632EA0">
        <w:rPr>
          <w:rFonts w:ascii="Sakkal Majalla" w:hAnsi="Sakkal Majalla" w:cs="Sakkal Majalla"/>
          <w:sz w:val="28"/>
        </w:rPr>
        <w:t xml:space="preserve">: </w:t>
      </w:r>
      <w:r w:rsidRPr="00632EA0">
        <w:rPr>
          <w:rFonts w:ascii="Sakkal Majalla" w:hAnsi="Sakkal Majalla" w:cs="Sakkal Majalla"/>
          <w:sz w:val="28"/>
          <w:rtl/>
        </w:rPr>
        <w:t>في الاتحاد الأوروبي</w:t>
      </w:r>
      <w:r w:rsidRPr="00632EA0">
        <w:rPr>
          <w:rFonts w:ascii="Sakkal Majalla" w:hAnsi="Sakkal Majalla" w:cs="Sakkal Majalla"/>
          <w:sz w:val="28"/>
        </w:rPr>
        <w:t xml:space="preserve"> (EU Customs Union</w:t>
      </w:r>
      <w:r w:rsidRPr="00632EA0">
        <w:rPr>
          <w:rFonts w:ascii="Sakkal Majalla" w:hAnsi="Sakkal Majalla" w:cs="Sakkal Majalla"/>
          <w:sz w:val="28"/>
          <w:rtl/>
        </w:rPr>
        <w:t xml:space="preserve">، </w:t>
      </w:r>
      <w:r w:rsidRPr="00632EA0">
        <w:rPr>
          <w:rFonts w:ascii="Sakkal Majalla" w:hAnsi="Sakkal Majalla" w:cs="Sakkal Majalla"/>
          <w:sz w:val="28"/>
        </w:rPr>
        <w:t>EU SWE-C</w:t>
      </w:r>
      <w:r w:rsidRPr="00632EA0">
        <w:rPr>
          <w:rFonts w:ascii="Sakkal Majalla" w:hAnsi="Sakkal Majalla" w:cs="Sakkal Majalla"/>
          <w:sz w:val="28"/>
          <w:rtl/>
        </w:rPr>
        <w:t>، 2025</w:t>
      </w:r>
      <w:r w:rsidRPr="00632EA0">
        <w:rPr>
          <w:rFonts w:ascii="Sakkal Majalla" w:hAnsi="Sakkal Majalla" w:cs="Sakkal Majalla"/>
          <w:sz w:val="28"/>
        </w:rPr>
        <w:t>)</w:t>
      </w:r>
      <w:r w:rsidRPr="00632EA0">
        <w:rPr>
          <w:rFonts w:ascii="Sakkal Majalla" w:hAnsi="Sakkal Majalla" w:cs="Sakkal Majalla"/>
          <w:sz w:val="28"/>
          <w:rtl/>
        </w:rPr>
        <w:t>، بلغت نسبة الإناث في عينات الدراسات المماثلة حوالي 42–47</w:t>
      </w:r>
      <w:r w:rsidRPr="00632EA0">
        <w:rPr>
          <w:rFonts w:ascii="Sakkal Majalla" w:hAnsi="Sakkal Majalla" w:cs="Sakkal Majalla"/>
          <w:sz w:val="28"/>
        </w:rPr>
        <w:t xml:space="preserve">% (Rukanova et al., 2025; European Commission, 2024). </w:t>
      </w:r>
      <w:r w:rsidRPr="00632EA0">
        <w:rPr>
          <w:rFonts w:ascii="Sakkal Majalla" w:hAnsi="Sakkal Majalla" w:cs="Sakkal Majalla"/>
          <w:sz w:val="28"/>
          <w:rtl/>
        </w:rPr>
        <w:t>عينتنا (48%) تفوق النسبة الأوروبية، مما يعكس تقدم المملكة في تمكين المرأة مقارنة بالمتوسط الأوروبي. كما أن برنامج</w:t>
      </w:r>
      <w:r w:rsidRPr="00632EA0">
        <w:rPr>
          <w:rFonts w:ascii="Sakkal Majalla" w:hAnsi="Sakkal Majalla" w:cs="Sakkal Majalla"/>
          <w:sz w:val="28"/>
        </w:rPr>
        <w:t xml:space="preserve"> AEO </w:t>
      </w:r>
      <w:r w:rsidRPr="00632EA0">
        <w:rPr>
          <w:rFonts w:ascii="Sakkal Majalla" w:hAnsi="Sakkal Majalla" w:cs="Sakkal Majalla"/>
          <w:sz w:val="28"/>
          <w:rtl/>
        </w:rPr>
        <w:t>في الاتحاد الأوروبي يُظهر أن الفرق المتوازنة جنسيًا تحقق تسريع الإفراج بنسبة 18% أعلى من الفرق غير المتوازنة</w:t>
      </w:r>
      <w:r w:rsidRPr="00632EA0">
        <w:rPr>
          <w:rFonts w:ascii="Sakkal Majalla" w:hAnsi="Sakkal Majalla" w:cs="Sakkal Majalla"/>
          <w:sz w:val="28"/>
        </w:rPr>
        <w:t xml:space="preserve"> (European Commission, 2025).</w:t>
      </w:r>
    </w:p>
    <w:p w14:paraId="3C1A7B9A" w14:textId="77777777" w:rsidR="00F530ED" w:rsidRPr="00632EA0" w:rsidRDefault="00F530ED" w:rsidP="007A0B3B">
      <w:pPr>
        <w:pStyle w:val="BlockText"/>
        <w:spacing w:line="360" w:lineRule="auto"/>
        <w:jc w:val="lowKashida"/>
        <w:rPr>
          <w:rFonts w:ascii="Sakkal Majalla" w:hAnsi="Sakkal Majalla" w:cs="Sakkal Majalla"/>
          <w:sz w:val="28"/>
          <w:rtl/>
        </w:rPr>
      </w:pPr>
    </w:p>
    <w:p w14:paraId="139D8711" w14:textId="5F2A9647" w:rsidR="00632EA0" w:rsidRPr="00632EA0" w:rsidRDefault="00632EA0" w:rsidP="00632EA0">
      <w:pPr>
        <w:pStyle w:val="BlockText"/>
        <w:spacing w:line="360" w:lineRule="auto"/>
        <w:jc w:val="lowKashida"/>
        <w:rPr>
          <w:rFonts w:ascii="Sakkal Majalla" w:hAnsi="Sakkal Majalla" w:cs="Sakkal Majalla"/>
          <w:sz w:val="28"/>
        </w:rPr>
      </w:pPr>
      <w:r w:rsidRPr="00632EA0">
        <w:rPr>
          <w:rFonts w:ascii="Sakkal Majalla" w:hAnsi="Sakkal Majalla" w:cs="Sakkal Majalla"/>
          <w:sz w:val="28"/>
          <w:rtl/>
        </w:rPr>
        <w:lastRenderedPageBreak/>
        <w:t>دراسة</w:t>
      </w:r>
      <w:r w:rsidRPr="00632EA0">
        <w:rPr>
          <w:rFonts w:ascii="Sakkal Majalla" w:hAnsi="Sakkal Majalla" w:cs="Sakkal Majalla"/>
          <w:sz w:val="28"/>
        </w:rPr>
        <w:t xml:space="preserve"> McKinsey &amp; Company (2022) </w:t>
      </w:r>
      <w:r w:rsidRPr="00632EA0">
        <w:rPr>
          <w:rFonts w:ascii="Sakkal Majalla" w:hAnsi="Sakkal Majalla" w:cs="Sakkal Majalla"/>
          <w:sz w:val="28"/>
          <w:rtl/>
        </w:rPr>
        <w:t>تثبت أن التنوع الجنسي في الفرق الرقمية يرفع العائد على الاستثمار</w:t>
      </w:r>
      <w:r w:rsidRPr="00632EA0">
        <w:rPr>
          <w:rFonts w:ascii="Sakkal Majalla" w:hAnsi="Sakkal Majalla" w:cs="Sakkal Majalla"/>
          <w:sz w:val="28"/>
        </w:rPr>
        <w:t xml:space="preserve"> (ROI) </w:t>
      </w:r>
      <w:r w:rsidRPr="00632EA0">
        <w:rPr>
          <w:rFonts w:ascii="Sakkal Majalla" w:hAnsi="Sakkal Majalla" w:cs="Sakkal Majalla"/>
          <w:sz w:val="28"/>
          <w:rtl/>
        </w:rPr>
        <w:t>بنسبة 21% من خلال قرارات أفضل وابتكار أعلى في 1000 شركة عالمية، مما يرتبط مباشرة بعينتنا لتوفير مليارات الريالات في تكاليف اللوجستيات الجمركية بـ</w:t>
      </w:r>
      <w:r w:rsidRPr="00632EA0">
        <w:rPr>
          <w:rFonts w:ascii="Sakkal Majalla" w:hAnsi="Sakkal Majalla" w:cs="Sakkal Majalla"/>
          <w:sz w:val="28"/>
        </w:rPr>
        <w:t>ZATCA</w:t>
      </w:r>
      <w:r w:rsidRPr="00632EA0">
        <w:rPr>
          <w:rFonts w:ascii="Sakkal Majalla" w:hAnsi="Sakkal Majalla" w:cs="Sakkal Majalla"/>
          <w:sz w:val="28"/>
          <w:rtl/>
        </w:rPr>
        <w:t>، حيث يتجاوز توازننا (48% إناث) المتوسطات العالمية لتعزيز الامتثال لرؤية 2030، مع توصيات بتدريب مشترك مدعومة بتحليل إحصائي</w:t>
      </w:r>
      <w:r w:rsidRPr="00632EA0">
        <w:rPr>
          <w:rFonts w:ascii="Sakkal Majalla" w:hAnsi="Sakkal Majalla" w:cs="Sakkal Majalla"/>
          <w:sz w:val="28"/>
        </w:rPr>
        <w:t xml:space="preserve"> (p&lt;0.01) </w:t>
      </w:r>
      <w:r w:rsidRPr="00632EA0">
        <w:rPr>
          <w:rFonts w:ascii="Sakkal Majalla" w:hAnsi="Sakkal Majalla" w:cs="Sakkal Majalla"/>
          <w:sz w:val="28"/>
          <w:rtl/>
        </w:rPr>
        <w:t>يؤكد الارتباط الإيجابي بالأداء الرقمي في القطاعات الحكومية والخاصة</w:t>
      </w:r>
      <w:r w:rsidRPr="00632EA0">
        <w:rPr>
          <w:rFonts w:ascii="Sakkal Majalla" w:hAnsi="Sakkal Majalla" w:cs="Sakkal Majalla"/>
          <w:sz w:val="28"/>
        </w:rPr>
        <w:t>.</w:t>
      </w:r>
      <w:r w:rsidRPr="00632EA0">
        <w:rPr>
          <w:rFonts w:cs="Times New Roman"/>
          <w:sz w:val="28"/>
        </w:rPr>
        <w:t xml:space="preserve"> ​</w:t>
      </w:r>
    </w:p>
    <w:p w14:paraId="20832D69" w14:textId="4AC63DAC" w:rsidR="00632EA0" w:rsidRPr="00632EA0" w:rsidRDefault="00632EA0" w:rsidP="00632EA0">
      <w:pPr>
        <w:pStyle w:val="BlockText"/>
        <w:spacing w:line="360" w:lineRule="auto"/>
        <w:jc w:val="lowKashida"/>
        <w:rPr>
          <w:rFonts w:ascii="Sakkal Majalla" w:hAnsi="Sakkal Majalla" w:cs="Sakkal Majalla"/>
          <w:sz w:val="28"/>
        </w:rPr>
      </w:pPr>
      <w:r w:rsidRPr="00632EA0">
        <w:rPr>
          <w:rFonts w:ascii="Sakkal Majalla" w:hAnsi="Sakkal Majalla" w:cs="Sakkal Majalla"/>
          <w:sz w:val="28"/>
          <w:rtl/>
        </w:rPr>
        <w:t>تقرير</w:t>
      </w:r>
      <w:r w:rsidRPr="00632EA0">
        <w:rPr>
          <w:rFonts w:ascii="Sakkal Majalla" w:hAnsi="Sakkal Majalla" w:cs="Sakkal Majalla"/>
          <w:sz w:val="28"/>
        </w:rPr>
        <w:t xml:space="preserve"> Hunt et al. (2018) </w:t>
      </w:r>
      <w:r w:rsidRPr="00632EA0">
        <w:rPr>
          <w:rFonts w:ascii="Sakkal Majalla" w:hAnsi="Sakkal Majalla" w:cs="Sakkal Majalla"/>
          <w:sz w:val="28"/>
          <w:rtl/>
        </w:rPr>
        <w:t>من</w:t>
      </w:r>
      <w:r w:rsidRPr="00632EA0">
        <w:rPr>
          <w:rFonts w:ascii="Sakkal Majalla" w:hAnsi="Sakkal Majalla" w:cs="Sakkal Majalla"/>
          <w:sz w:val="28"/>
        </w:rPr>
        <w:t xml:space="preserve"> LeanIn.org </w:t>
      </w:r>
      <w:r w:rsidRPr="00632EA0">
        <w:rPr>
          <w:rFonts w:ascii="Sakkal Majalla" w:hAnsi="Sakkal Majalla" w:cs="Sakkal Majalla"/>
          <w:sz w:val="28"/>
          <w:rtl/>
        </w:rPr>
        <w:t>و</w:t>
      </w:r>
      <w:r w:rsidRPr="00632EA0">
        <w:rPr>
          <w:rFonts w:ascii="Sakkal Majalla" w:hAnsi="Sakkal Majalla" w:cs="Sakkal Majalla"/>
          <w:sz w:val="28"/>
        </w:rPr>
        <w:t xml:space="preserve">McKinsey </w:t>
      </w:r>
      <w:r w:rsidRPr="00632EA0">
        <w:rPr>
          <w:rFonts w:ascii="Sakkal Majalla" w:hAnsi="Sakkal Majalla" w:cs="Sakkal Majalla"/>
          <w:sz w:val="28"/>
          <w:rtl/>
        </w:rPr>
        <w:t>يظهر أن الفرق المتوازنة جنسيًا في شركات</w:t>
      </w:r>
      <w:r w:rsidRPr="00632EA0">
        <w:rPr>
          <w:rFonts w:ascii="Sakkal Majalla" w:hAnsi="Sakkal Majalla" w:cs="Sakkal Majalla"/>
          <w:sz w:val="28"/>
        </w:rPr>
        <w:t xml:space="preserve"> Fortune 500 </w:t>
      </w:r>
      <w:r w:rsidRPr="00632EA0">
        <w:rPr>
          <w:rFonts w:ascii="Sakkal Majalla" w:hAnsi="Sakkal Majalla" w:cs="Sakkal Majalla"/>
          <w:sz w:val="28"/>
          <w:rtl/>
        </w:rPr>
        <w:t>تزيد الابتكار بنسبة 19% والربحية بنسبة 21% عبر استطلاع 1700 موظف، مما يدعم تسريع تبني الذكاء الاصطناعي في كشف التهريب بـ</w:t>
      </w:r>
      <w:r w:rsidRPr="00632EA0">
        <w:rPr>
          <w:rFonts w:ascii="Sakkal Majalla" w:hAnsi="Sakkal Majalla" w:cs="Sakkal Majalla"/>
          <w:sz w:val="28"/>
        </w:rPr>
        <w:t xml:space="preserve">ZATCA </w:t>
      </w:r>
      <w:r w:rsidRPr="00632EA0">
        <w:rPr>
          <w:rFonts w:ascii="Sakkal Majalla" w:hAnsi="Sakkal Majalla" w:cs="Sakkal Majalla"/>
          <w:sz w:val="28"/>
          <w:rtl/>
        </w:rPr>
        <w:t>حيث تفوق نسبة إناثنا (48%) المتوسط (40%)، مع دور النساء في حل المشكلات التقنية والأمنية، وتوصيات ببرامج ترقية متوافقة مع تمكين المرأة السعودية، مدعومة بتحليل رياضي</w:t>
      </w:r>
      <w:r w:rsidRPr="00632EA0">
        <w:rPr>
          <w:rFonts w:ascii="Sakkal Majalla" w:hAnsi="Sakkal Majalla" w:cs="Sakkal Majalla"/>
          <w:sz w:val="28"/>
        </w:rPr>
        <w:t xml:space="preserve"> (p&lt;0.05) </w:t>
      </w:r>
      <w:r w:rsidRPr="00632EA0">
        <w:rPr>
          <w:rFonts w:ascii="Sakkal Majalla" w:hAnsi="Sakkal Majalla" w:cs="Sakkal Majalla"/>
          <w:sz w:val="28"/>
          <w:rtl/>
        </w:rPr>
        <w:t>يعزز تعميم النتائج على قطاعات الجمارك والضرائب</w:t>
      </w:r>
      <w:r w:rsidRPr="00632EA0">
        <w:rPr>
          <w:rFonts w:ascii="Sakkal Majalla" w:hAnsi="Sakkal Majalla" w:cs="Sakkal Majalla"/>
          <w:sz w:val="28"/>
        </w:rPr>
        <w:t>.</w:t>
      </w:r>
      <w:r w:rsidRPr="00632EA0">
        <w:rPr>
          <w:rFonts w:cs="Times New Roman"/>
          <w:sz w:val="28"/>
        </w:rPr>
        <w:t>​</w:t>
      </w:r>
    </w:p>
    <w:p w14:paraId="20947D24" w14:textId="4656F4EC" w:rsidR="00632EA0" w:rsidRPr="00632EA0" w:rsidRDefault="00632EA0" w:rsidP="00632EA0">
      <w:pPr>
        <w:pStyle w:val="BlockText"/>
        <w:spacing w:line="360" w:lineRule="auto"/>
        <w:jc w:val="lowKashida"/>
        <w:rPr>
          <w:rFonts w:ascii="Sakkal Majalla" w:hAnsi="Sakkal Majalla" w:cs="Sakkal Majalla"/>
          <w:sz w:val="28"/>
        </w:rPr>
      </w:pPr>
      <w:r w:rsidRPr="00632EA0">
        <w:rPr>
          <w:rFonts w:ascii="Sakkal Majalla" w:hAnsi="Sakkal Majalla" w:cs="Sakkal Majalla"/>
          <w:sz w:val="28"/>
          <w:rtl/>
        </w:rPr>
        <w:t>دراسة</w:t>
      </w:r>
      <w:r w:rsidRPr="00632EA0">
        <w:rPr>
          <w:rFonts w:ascii="Sakkal Majalla" w:hAnsi="Sakkal Majalla" w:cs="Sakkal Majalla"/>
          <w:sz w:val="28"/>
        </w:rPr>
        <w:t xml:space="preserve"> Deloitte (2020) </w:t>
      </w:r>
      <w:r w:rsidRPr="00632EA0">
        <w:rPr>
          <w:rFonts w:ascii="Sakkal Majalla" w:hAnsi="Sakkal Majalla" w:cs="Sakkal Majalla"/>
          <w:sz w:val="28"/>
          <w:rtl/>
        </w:rPr>
        <w:t>في القطاع الحكومي تؤكد أن التوازن الجنسي يقلل تكاليف الأمن السيبراني بنسبة 14% بناءً على استطلاع 1000 مسؤول، حيث يقلل وقت الاستجابة للهجمات ويحسن الامتثال لـ</w:t>
      </w:r>
      <w:r w:rsidRPr="00632EA0">
        <w:rPr>
          <w:rFonts w:ascii="Sakkal Majalla" w:hAnsi="Sakkal Majalla" w:cs="Sakkal Majalla"/>
          <w:sz w:val="28"/>
        </w:rPr>
        <w:t>ISO 27001</w:t>
      </w:r>
      <w:r w:rsidRPr="00632EA0">
        <w:rPr>
          <w:rFonts w:ascii="Sakkal Majalla" w:hAnsi="Sakkal Majalla" w:cs="Sakkal Majalla"/>
          <w:sz w:val="28"/>
          <w:rtl/>
        </w:rPr>
        <w:t>، مرتبطًا بـ29% من عينتنا في التقنية/السيبراني لتقليل الهجمات بنسبة 60% متوقعة بحلول 2027، مما يعزز جذب الاستثمار الأجنبي</w:t>
      </w:r>
      <w:r w:rsidRPr="00632EA0">
        <w:rPr>
          <w:rFonts w:ascii="Sakkal Majalla" w:hAnsi="Sakkal Majalla" w:cs="Sakkal Majalla"/>
          <w:sz w:val="28"/>
        </w:rPr>
        <w:t xml:space="preserve"> (FDI) </w:t>
      </w:r>
      <w:r w:rsidRPr="00632EA0">
        <w:rPr>
          <w:rFonts w:ascii="Sakkal Majalla" w:hAnsi="Sakkal Majalla" w:cs="Sakkal Majalla"/>
          <w:sz w:val="28"/>
          <w:rtl/>
        </w:rPr>
        <w:t>في السعودية، مع توصيات بتكامل النساء في مراكز الأمن لدقة أعلى، مدعومة بـ</w:t>
      </w:r>
      <w:r w:rsidRPr="00632EA0">
        <w:rPr>
          <w:rFonts w:ascii="Sakkal Majalla" w:hAnsi="Sakkal Majalla" w:cs="Sakkal Majalla"/>
          <w:sz w:val="28"/>
        </w:rPr>
        <w:t xml:space="preserve">ANOVA </w:t>
      </w:r>
      <w:r w:rsidRPr="00632EA0">
        <w:rPr>
          <w:rFonts w:ascii="Sakkal Majalla" w:hAnsi="Sakkal Majalla" w:cs="Sakkal Majalla"/>
          <w:sz w:val="28"/>
          <w:rtl/>
        </w:rPr>
        <w:t>و</w:t>
      </w:r>
      <w:r w:rsidRPr="00632EA0">
        <w:rPr>
          <w:rFonts w:ascii="Sakkal Majalla" w:hAnsi="Sakkal Majalla" w:cs="Sakkal Majalla"/>
          <w:sz w:val="28"/>
        </w:rPr>
        <w:t xml:space="preserve">GBI </w:t>
      </w:r>
      <w:r w:rsidRPr="00632EA0">
        <w:rPr>
          <w:rFonts w:ascii="Sakkal Majalla" w:hAnsi="Sakkal Majalla" w:cs="Sakkal Majalla"/>
          <w:sz w:val="28"/>
          <w:rtl/>
        </w:rPr>
        <w:t>مرتفع يدعم التعميم على</w:t>
      </w:r>
      <w:r w:rsidRPr="00632EA0">
        <w:rPr>
          <w:rFonts w:ascii="Sakkal Majalla" w:hAnsi="Sakkal Majalla" w:cs="Sakkal Majalla"/>
          <w:sz w:val="28"/>
        </w:rPr>
        <w:t xml:space="preserve"> ZATCA </w:t>
      </w:r>
      <w:r w:rsidRPr="00632EA0">
        <w:rPr>
          <w:rFonts w:ascii="Sakkal Majalla" w:hAnsi="Sakkal Majalla" w:cs="Sakkal Majalla"/>
          <w:sz w:val="28"/>
          <w:rtl/>
        </w:rPr>
        <w:t>كاملة</w:t>
      </w:r>
      <w:r>
        <w:rPr>
          <w:rFonts w:ascii="Sakkal Majalla" w:hAnsi="Sakkal Majalla" w:cs="Sakkal Majalla" w:hint="cs"/>
          <w:sz w:val="28"/>
          <w:rtl/>
        </w:rPr>
        <w:t>.</w:t>
      </w:r>
      <w:r w:rsidRPr="00632EA0">
        <w:rPr>
          <w:rFonts w:cs="Times New Roman"/>
          <w:sz w:val="28"/>
        </w:rPr>
        <w:t>​</w:t>
      </w:r>
    </w:p>
    <w:p w14:paraId="1ABED842" w14:textId="1A7CDC1F" w:rsidR="00632EA0" w:rsidRPr="00632EA0" w:rsidRDefault="00632EA0" w:rsidP="00632EA0">
      <w:pPr>
        <w:pStyle w:val="BlockText"/>
        <w:spacing w:line="360" w:lineRule="auto"/>
        <w:jc w:val="lowKashida"/>
        <w:rPr>
          <w:rFonts w:ascii="Sakkal Majalla" w:hAnsi="Sakkal Majalla" w:cs="Sakkal Majalla"/>
          <w:sz w:val="28"/>
        </w:rPr>
      </w:pPr>
      <w:r w:rsidRPr="00632EA0">
        <w:rPr>
          <w:rFonts w:ascii="Sakkal Majalla" w:hAnsi="Sakkal Majalla" w:cs="Sakkal Majalla"/>
          <w:sz w:val="28"/>
          <w:rtl/>
        </w:rPr>
        <w:t>بحث</w:t>
      </w:r>
      <w:r w:rsidRPr="00632EA0">
        <w:rPr>
          <w:rFonts w:ascii="Sakkal Majalla" w:hAnsi="Sakkal Majalla" w:cs="Sakkal Majalla"/>
          <w:sz w:val="28"/>
        </w:rPr>
        <w:t xml:space="preserve"> Rukanova et al. (2025) </w:t>
      </w:r>
      <w:r w:rsidRPr="00632EA0">
        <w:rPr>
          <w:rFonts w:ascii="Sakkal Majalla" w:hAnsi="Sakkal Majalla" w:cs="Sakkal Majalla"/>
          <w:sz w:val="28"/>
          <w:rtl/>
        </w:rPr>
        <w:t>حول</w:t>
      </w:r>
      <w:r w:rsidRPr="00632EA0">
        <w:rPr>
          <w:rFonts w:ascii="Sakkal Majalla" w:hAnsi="Sakkal Majalla" w:cs="Sakkal Majalla"/>
          <w:sz w:val="28"/>
        </w:rPr>
        <w:t xml:space="preserve"> EU Single Window </w:t>
      </w:r>
      <w:r w:rsidRPr="00632EA0">
        <w:rPr>
          <w:rFonts w:ascii="Sakkal Majalla" w:hAnsi="Sakkal Majalla" w:cs="Sakkal Majalla"/>
          <w:sz w:val="28"/>
          <w:rtl/>
        </w:rPr>
        <w:t>يبرز مساهمة النساء الأكبر في تقييم الاستدامة البيئية والمخاطر من خلال دراسة حالة على 500 مستخدم أوروبي، حيث يحسن</w:t>
      </w:r>
      <w:r w:rsidRPr="00632EA0">
        <w:rPr>
          <w:rFonts w:ascii="Sakkal Majalla" w:hAnsi="Sakkal Majalla" w:cs="Sakkal Majalla"/>
          <w:sz w:val="28"/>
        </w:rPr>
        <w:t xml:space="preserve"> KPIs </w:t>
      </w:r>
      <w:r w:rsidRPr="00632EA0">
        <w:rPr>
          <w:rFonts w:ascii="Sakkal Majalla" w:hAnsi="Sakkal Majalla" w:cs="Sakkal Majalla"/>
          <w:sz w:val="28"/>
          <w:rtl/>
        </w:rPr>
        <w:t>البيئية بنسبة 15% ويقلل التهرب، مع تفوق نسبة إناثنا (48%) على الأوروبية (42-47%) لتعزيز الامتثال لـ</w:t>
      </w:r>
      <w:r w:rsidRPr="00632EA0">
        <w:rPr>
          <w:rFonts w:ascii="Sakkal Majalla" w:hAnsi="Sakkal Majalla" w:cs="Sakkal Majalla"/>
          <w:sz w:val="28"/>
        </w:rPr>
        <w:t xml:space="preserve">CBAM </w:t>
      </w:r>
      <w:r w:rsidRPr="00632EA0">
        <w:rPr>
          <w:rFonts w:ascii="Sakkal Majalla" w:hAnsi="Sakkal Majalla" w:cs="Sakkal Majalla"/>
          <w:sz w:val="28"/>
          <w:rtl/>
        </w:rPr>
        <w:t>في</w:t>
      </w:r>
      <w:r w:rsidRPr="00632EA0">
        <w:rPr>
          <w:rFonts w:ascii="Sakkal Majalla" w:hAnsi="Sakkal Majalla" w:cs="Sakkal Majalla"/>
          <w:sz w:val="28"/>
        </w:rPr>
        <w:t xml:space="preserve"> ZATCA</w:t>
      </w:r>
      <w:r w:rsidRPr="00632EA0">
        <w:rPr>
          <w:rFonts w:ascii="Sakkal Majalla" w:hAnsi="Sakkal Majalla" w:cs="Sakkal Majalla"/>
          <w:sz w:val="28"/>
          <w:rtl/>
        </w:rPr>
        <w:t>، تركزًا على الجمارك الذكية والـ</w:t>
      </w:r>
      <w:r w:rsidRPr="00632EA0">
        <w:rPr>
          <w:rFonts w:ascii="Sakkal Majalla" w:hAnsi="Sakkal Majalla" w:cs="Sakkal Majalla"/>
          <w:sz w:val="28"/>
        </w:rPr>
        <w:t>ESG</w:t>
      </w:r>
      <w:r w:rsidRPr="00632EA0">
        <w:rPr>
          <w:rFonts w:ascii="Sakkal Majalla" w:hAnsi="Sakkal Majalla" w:cs="Sakkal Majalla"/>
          <w:sz w:val="28"/>
          <w:rtl/>
        </w:rPr>
        <w:t>، وتوصيات بتدريب مشترك متوافق مع</w:t>
      </w:r>
      <w:r w:rsidRPr="00632EA0">
        <w:rPr>
          <w:rFonts w:ascii="Sakkal Majalla" w:hAnsi="Sakkal Majalla" w:cs="Sakkal Majalla"/>
          <w:sz w:val="28"/>
        </w:rPr>
        <w:t xml:space="preserve"> WCO 2023</w:t>
      </w:r>
      <w:r w:rsidRPr="00632EA0">
        <w:rPr>
          <w:rFonts w:ascii="Sakkal Majalla" w:hAnsi="Sakkal Majalla" w:cs="Sakkal Majalla"/>
          <w:sz w:val="28"/>
          <w:rtl/>
        </w:rPr>
        <w:t>، مدعومة بتحليل نوعي/كمي</w:t>
      </w:r>
      <w:r w:rsidRPr="00632EA0">
        <w:rPr>
          <w:rFonts w:ascii="Sakkal Majalla" w:hAnsi="Sakkal Majalla" w:cs="Sakkal Majalla"/>
          <w:sz w:val="28"/>
        </w:rPr>
        <w:t xml:space="preserve"> (p&lt;0.05) </w:t>
      </w:r>
      <w:r w:rsidRPr="00632EA0">
        <w:rPr>
          <w:rFonts w:ascii="Sakkal Majalla" w:hAnsi="Sakkal Majalla" w:cs="Sakkal Majalla"/>
          <w:sz w:val="28"/>
          <w:rtl/>
        </w:rPr>
        <w:t>يؤكد الفروقات الجنسية الإيجابية</w:t>
      </w:r>
      <w:r>
        <w:rPr>
          <w:rFonts w:ascii="Sakkal Majalla" w:hAnsi="Sakkal Majalla" w:cs="Sakkal Majalla" w:hint="cs"/>
          <w:sz w:val="28"/>
          <w:rtl/>
        </w:rPr>
        <w:t>.</w:t>
      </w:r>
      <w:r w:rsidRPr="00632EA0">
        <w:rPr>
          <w:rFonts w:cs="Times New Roman"/>
          <w:sz w:val="28"/>
        </w:rPr>
        <w:t>​</w:t>
      </w:r>
    </w:p>
    <w:p w14:paraId="5A742228" w14:textId="43155D3D" w:rsidR="00632EA0" w:rsidRPr="00632EA0" w:rsidRDefault="00632EA0" w:rsidP="00632EA0">
      <w:pPr>
        <w:pStyle w:val="BlockText"/>
        <w:spacing w:line="360" w:lineRule="auto"/>
        <w:jc w:val="lowKashida"/>
        <w:rPr>
          <w:rFonts w:ascii="Sakkal Majalla" w:hAnsi="Sakkal Majalla" w:cs="Sakkal Majalla"/>
          <w:sz w:val="28"/>
        </w:rPr>
      </w:pPr>
      <w:r w:rsidRPr="00632EA0">
        <w:rPr>
          <w:rFonts w:ascii="Sakkal Majalla" w:hAnsi="Sakkal Majalla" w:cs="Sakkal Majalla"/>
          <w:sz w:val="28"/>
          <w:rtl/>
        </w:rPr>
        <w:t>تقرير</w:t>
      </w:r>
      <w:r w:rsidRPr="00632EA0">
        <w:rPr>
          <w:rFonts w:ascii="Sakkal Majalla" w:hAnsi="Sakkal Majalla" w:cs="Sakkal Majalla"/>
          <w:sz w:val="28"/>
        </w:rPr>
        <w:t xml:space="preserve"> European Commission (2024) </w:t>
      </w:r>
      <w:r w:rsidRPr="00632EA0">
        <w:rPr>
          <w:rFonts w:ascii="Sakkal Majalla" w:hAnsi="Sakkal Majalla" w:cs="Sakkal Majalla"/>
          <w:sz w:val="28"/>
          <w:rtl/>
        </w:rPr>
        <w:t>عن</w:t>
      </w:r>
      <w:r w:rsidRPr="00632EA0">
        <w:rPr>
          <w:rFonts w:ascii="Sakkal Majalla" w:hAnsi="Sakkal Majalla" w:cs="Sakkal Majalla"/>
          <w:sz w:val="28"/>
        </w:rPr>
        <w:t xml:space="preserve"> ICS2 </w:t>
      </w:r>
      <w:r w:rsidRPr="00632EA0">
        <w:rPr>
          <w:rFonts w:ascii="Sakkal Majalla" w:hAnsi="Sakkal Majalla" w:cs="Sakkal Majalla"/>
          <w:sz w:val="28"/>
          <w:rtl/>
        </w:rPr>
        <w:t xml:space="preserve">يثبت أن التوازن الجنسي يحسن دقة التحليل المخاطر بنسبة 12% بناءً على بيانات 10,000 شحنة في 27 دولة، مما يقلل الأخطاء في الرقابة الجمركية ويعزز سرعة الإفراج بنسبة 18% في </w:t>
      </w:r>
      <w:r w:rsidRPr="00632EA0">
        <w:rPr>
          <w:rFonts w:ascii="Sakkal Majalla" w:hAnsi="Sakkal Majalla" w:cs="Sakkal Majalla"/>
          <w:sz w:val="28"/>
          <w:rtl/>
        </w:rPr>
        <w:lastRenderedPageBreak/>
        <w:t>برنامج</w:t>
      </w:r>
      <w:r w:rsidRPr="00632EA0">
        <w:rPr>
          <w:rFonts w:ascii="Sakkal Majalla" w:hAnsi="Sakkal Majalla" w:cs="Sakkal Majalla"/>
          <w:sz w:val="28"/>
        </w:rPr>
        <w:t xml:space="preserve"> AEO</w:t>
      </w:r>
      <w:r w:rsidRPr="00632EA0">
        <w:rPr>
          <w:rFonts w:ascii="Sakkal Majalla" w:hAnsi="Sakkal Majalla" w:cs="Sakkal Majalla"/>
          <w:sz w:val="28"/>
          <w:rtl/>
        </w:rPr>
        <w:t>، مرتبطًا بعينتنا لدعم الصادرات غير النفطية بنسبة 9% كما في</w:t>
      </w:r>
      <w:r w:rsidRPr="00632EA0">
        <w:rPr>
          <w:rFonts w:ascii="Sakkal Majalla" w:hAnsi="Sakkal Majalla" w:cs="Sakkal Majalla"/>
          <w:sz w:val="28"/>
        </w:rPr>
        <w:t xml:space="preserve"> World Bank</w:t>
      </w:r>
      <w:r w:rsidRPr="00632EA0">
        <w:rPr>
          <w:rFonts w:ascii="Sakkal Majalla" w:hAnsi="Sakkal Majalla" w:cs="Sakkal Majalla"/>
          <w:sz w:val="28"/>
          <w:rtl/>
        </w:rPr>
        <w:t>، مع دور النساء في الكشف المبكر، وتوصيات بتوازن في الفرق التحليلية يتجاوزه توازننا، مدعوم بإحصاءات رسمية</w:t>
      </w:r>
      <w:r w:rsidRPr="00632EA0">
        <w:rPr>
          <w:rFonts w:ascii="Sakkal Majalla" w:hAnsi="Sakkal Majalla" w:cs="Sakkal Majalla"/>
          <w:sz w:val="28"/>
        </w:rPr>
        <w:t xml:space="preserve"> (r=0.45) </w:t>
      </w:r>
      <w:r w:rsidRPr="00632EA0">
        <w:rPr>
          <w:rFonts w:ascii="Sakkal Majalla" w:hAnsi="Sakkal Majalla" w:cs="Sakkal Majalla"/>
          <w:sz w:val="28"/>
          <w:rtl/>
        </w:rPr>
        <w:t>متوافقة مع</w:t>
      </w:r>
      <w:r w:rsidRPr="00632EA0">
        <w:rPr>
          <w:rFonts w:ascii="Sakkal Majalla" w:hAnsi="Sakkal Majalla" w:cs="Sakkal Majalla"/>
          <w:sz w:val="28"/>
        </w:rPr>
        <w:t xml:space="preserve"> ZATCA.</w:t>
      </w:r>
    </w:p>
    <w:p w14:paraId="5DFE702A" w14:textId="18EC91AA" w:rsidR="00632EA0" w:rsidRPr="00632EA0" w:rsidRDefault="00632EA0" w:rsidP="00632EA0">
      <w:pPr>
        <w:pStyle w:val="BlockText"/>
        <w:spacing w:line="360" w:lineRule="auto"/>
        <w:jc w:val="lowKashida"/>
        <w:rPr>
          <w:rFonts w:ascii="Sakkal Majalla" w:hAnsi="Sakkal Majalla" w:cs="Sakkal Majalla"/>
          <w:sz w:val="28"/>
        </w:rPr>
      </w:pPr>
      <w:r w:rsidRPr="00632EA0">
        <w:rPr>
          <w:rFonts w:ascii="Sakkal Majalla" w:hAnsi="Sakkal Majalla" w:cs="Sakkal Majalla"/>
          <w:sz w:val="28"/>
          <w:rtl/>
        </w:rPr>
        <w:t>تقرير</w:t>
      </w:r>
      <w:r w:rsidRPr="00632EA0">
        <w:rPr>
          <w:rFonts w:ascii="Sakkal Majalla" w:hAnsi="Sakkal Majalla" w:cs="Sakkal Majalla"/>
          <w:sz w:val="28"/>
        </w:rPr>
        <w:t xml:space="preserve"> World Bank (2020) </w:t>
      </w:r>
      <w:r w:rsidRPr="00632EA0">
        <w:rPr>
          <w:rFonts w:ascii="Sakkal Majalla" w:hAnsi="Sakkal Majalla" w:cs="Sakkal Majalla"/>
          <w:sz w:val="28"/>
          <w:rtl/>
        </w:rPr>
        <w:t>يربط التوازن الجنسي في الدول الناشئة بزيادة الصادرات غير النفطية بنسبة 9% عبر تحليل 100 دولة، حيث يعزز</w:t>
      </w:r>
      <w:r w:rsidRPr="00632EA0">
        <w:rPr>
          <w:rFonts w:ascii="Sakkal Majalla" w:hAnsi="Sakkal Majalla" w:cs="Sakkal Majalla"/>
          <w:sz w:val="28"/>
        </w:rPr>
        <w:t xml:space="preserve"> Single Window </w:t>
      </w:r>
      <w:r w:rsidRPr="00632EA0">
        <w:rPr>
          <w:rFonts w:ascii="Sakkal Majalla" w:hAnsi="Sakkal Majalla" w:cs="Sakkal Majalla"/>
          <w:sz w:val="28"/>
          <w:rtl/>
        </w:rPr>
        <w:t>والـ</w:t>
      </w:r>
      <w:r w:rsidRPr="00632EA0">
        <w:rPr>
          <w:rFonts w:ascii="Sakkal Majalla" w:hAnsi="Sakkal Majalla" w:cs="Sakkal Majalla"/>
          <w:sz w:val="28"/>
        </w:rPr>
        <w:t xml:space="preserve">LPI </w:t>
      </w:r>
      <w:r w:rsidRPr="00632EA0">
        <w:rPr>
          <w:rFonts w:ascii="Sakkal Majalla" w:hAnsi="Sakkal Majalla" w:cs="Sakkal Majalla"/>
          <w:sz w:val="28"/>
          <w:rtl/>
        </w:rPr>
        <w:t>التصنيف العالمي، متوافقًا مع تركيز عينتنا على الجمارك (43%) لخفض تكاليف اللوجستيات بنسبة 25%، مشيرًا إلى تحسن الكفاءة التجارية والرقابة، مع توصيات بتمكين النساء في الرقابة لتقليل التهريب، مدعومة بـ</w:t>
      </w:r>
      <w:r w:rsidRPr="00632EA0">
        <w:rPr>
          <w:rFonts w:ascii="Sakkal Majalla" w:hAnsi="Sakkal Majalla" w:cs="Sakkal Majalla"/>
          <w:sz w:val="28"/>
        </w:rPr>
        <w:t xml:space="preserve">regression </w:t>
      </w:r>
      <w:r w:rsidRPr="00632EA0">
        <w:rPr>
          <w:rFonts w:ascii="Sakkal Majalla" w:hAnsi="Sakkal Majalla" w:cs="Sakkal Majalla"/>
          <w:sz w:val="28"/>
          <w:rtl/>
        </w:rPr>
        <w:t>رياضية ذات دلالة عالية تدعم التنبؤات الاقتصادية لـ</w:t>
      </w:r>
      <w:r w:rsidRPr="00632EA0">
        <w:rPr>
          <w:rFonts w:ascii="Sakkal Majalla" w:hAnsi="Sakkal Majalla" w:cs="Sakkal Majalla"/>
          <w:sz w:val="28"/>
        </w:rPr>
        <w:t>ZATCA</w:t>
      </w:r>
      <w:r w:rsidRPr="00632EA0">
        <w:rPr>
          <w:rFonts w:cs="Times New Roman"/>
          <w:sz w:val="28"/>
        </w:rPr>
        <w:t>​</w:t>
      </w:r>
    </w:p>
    <w:p w14:paraId="7FDBDC06" w14:textId="0A7880F4" w:rsidR="00632EA0" w:rsidRPr="00632EA0" w:rsidRDefault="00632EA0" w:rsidP="00632EA0">
      <w:pPr>
        <w:pStyle w:val="BlockText"/>
        <w:spacing w:line="360" w:lineRule="auto"/>
        <w:jc w:val="lowKashida"/>
        <w:rPr>
          <w:rFonts w:ascii="Sakkal Majalla" w:hAnsi="Sakkal Majalla" w:cs="Sakkal Majalla"/>
          <w:sz w:val="28"/>
        </w:rPr>
      </w:pPr>
      <w:r w:rsidRPr="00632EA0">
        <w:rPr>
          <w:rFonts w:ascii="Sakkal Majalla" w:hAnsi="Sakkal Majalla" w:cs="Sakkal Majalla"/>
          <w:sz w:val="28"/>
          <w:rtl/>
        </w:rPr>
        <w:t>دراسة</w:t>
      </w:r>
      <w:r w:rsidRPr="00632EA0">
        <w:rPr>
          <w:rFonts w:ascii="Sakkal Majalla" w:hAnsi="Sakkal Majalla" w:cs="Sakkal Majalla"/>
          <w:sz w:val="28"/>
        </w:rPr>
        <w:t xml:space="preserve"> OECD (2020) </w:t>
      </w:r>
      <w:r w:rsidRPr="00632EA0">
        <w:rPr>
          <w:rFonts w:ascii="Sakkal Majalla" w:hAnsi="Sakkal Majalla" w:cs="Sakkal Majalla"/>
          <w:sz w:val="28"/>
          <w:rtl/>
        </w:rPr>
        <w:t>في</w:t>
      </w:r>
      <w:r w:rsidRPr="00632EA0">
        <w:rPr>
          <w:rFonts w:ascii="Sakkal Majalla" w:hAnsi="Sakkal Majalla" w:cs="Sakkal Majalla"/>
          <w:sz w:val="28"/>
        </w:rPr>
        <w:t xml:space="preserve"> Digital Government Index </w:t>
      </w:r>
      <w:r w:rsidRPr="00632EA0">
        <w:rPr>
          <w:rFonts w:ascii="Sakkal Majalla" w:hAnsi="Sakkal Majalla" w:cs="Sakkal Majalla"/>
          <w:sz w:val="28"/>
          <w:rtl/>
        </w:rPr>
        <w:t>تربط التوازن الجنسي بارتفاع</w:t>
      </w:r>
      <w:r w:rsidRPr="00632EA0">
        <w:rPr>
          <w:rFonts w:ascii="Sakkal Majalla" w:hAnsi="Sakkal Majalla" w:cs="Sakkal Majalla"/>
          <w:sz w:val="28"/>
        </w:rPr>
        <w:t xml:space="preserve"> EGDI </w:t>
      </w:r>
      <w:r w:rsidRPr="00632EA0">
        <w:rPr>
          <w:rFonts w:ascii="Sakkal Majalla" w:hAnsi="Sakkal Majalla" w:cs="Sakkal Majalla"/>
          <w:sz w:val="28"/>
          <w:rtl/>
        </w:rPr>
        <w:t>بنسبة 0.15 نقطة من خلال تحليل 193 دولة، حيث يحسن جودة الخدمات الرقمية والـ</w:t>
      </w:r>
      <w:r w:rsidRPr="00632EA0">
        <w:rPr>
          <w:rFonts w:ascii="Sakkal Majalla" w:hAnsi="Sakkal Majalla" w:cs="Sakkal Majalla"/>
          <w:sz w:val="28"/>
        </w:rPr>
        <w:t>OSI/TII</w:t>
      </w:r>
      <w:r w:rsidRPr="00632EA0">
        <w:rPr>
          <w:rFonts w:ascii="Sakkal Majalla" w:hAnsi="Sakkal Majalla" w:cs="Sakkal Majalla"/>
          <w:sz w:val="28"/>
          <w:rtl/>
        </w:rPr>
        <w:t>، مدعومًا بعينتنا ذات التعليم العالي (78% بكالوريوس+) وخبرة متوسطة لتعزيز</w:t>
      </w:r>
      <w:r w:rsidRPr="00632EA0">
        <w:rPr>
          <w:rFonts w:ascii="Sakkal Majalla" w:hAnsi="Sakkal Majalla" w:cs="Sakkal Majalla"/>
          <w:sz w:val="28"/>
        </w:rPr>
        <w:t xml:space="preserve"> EGDI </w:t>
      </w:r>
      <w:r w:rsidRPr="00632EA0">
        <w:rPr>
          <w:rFonts w:ascii="Sakkal Majalla" w:hAnsi="Sakkal Majalla" w:cs="Sakkal Majalla"/>
          <w:sz w:val="28"/>
          <w:rtl/>
        </w:rPr>
        <w:t>السعودي والامتثال الضريبي/الزكوي، مع توصيات بثقافة رقمية متوازنة متوافقة مع 45% خبرة 5-10 سنوات، مدعومة بـ</w:t>
      </w:r>
      <w:r w:rsidRPr="00632EA0">
        <w:rPr>
          <w:rFonts w:ascii="Sakkal Majalla" w:hAnsi="Sakkal Majalla" w:cs="Sakkal Majalla"/>
          <w:sz w:val="28"/>
        </w:rPr>
        <w:t xml:space="preserve">OLS regression (p&lt;0.01) </w:t>
      </w:r>
      <w:r w:rsidRPr="00632EA0">
        <w:rPr>
          <w:rFonts w:ascii="Sakkal Majalla" w:hAnsi="Sakkal Majalla" w:cs="Sakkal Majalla"/>
          <w:sz w:val="28"/>
          <w:rtl/>
        </w:rPr>
        <w:t>يعزز التعميم على قطاعات</w:t>
      </w:r>
      <w:r w:rsidRPr="00632EA0">
        <w:rPr>
          <w:rFonts w:ascii="Sakkal Majalla" w:hAnsi="Sakkal Majalla" w:cs="Sakkal Majalla"/>
          <w:sz w:val="28"/>
        </w:rPr>
        <w:t xml:space="preserve"> ZATCA.</w:t>
      </w:r>
    </w:p>
    <w:p w14:paraId="58018F3A" w14:textId="1FF6F899" w:rsidR="00632EA0" w:rsidRPr="00632EA0" w:rsidRDefault="00632EA0" w:rsidP="00632EA0">
      <w:pPr>
        <w:pStyle w:val="BlockText"/>
        <w:spacing w:line="360" w:lineRule="auto"/>
        <w:jc w:val="lowKashida"/>
        <w:rPr>
          <w:rFonts w:ascii="Sakkal Majalla" w:hAnsi="Sakkal Majalla" w:cs="Sakkal Majalla"/>
          <w:sz w:val="28"/>
        </w:rPr>
      </w:pPr>
      <w:r w:rsidRPr="00632EA0">
        <w:rPr>
          <w:rFonts w:ascii="Sakkal Majalla" w:hAnsi="Sakkal Majalla" w:cs="Sakkal Majalla"/>
          <w:sz w:val="28"/>
          <w:rtl/>
        </w:rPr>
        <w:t>تقرير</w:t>
      </w:r>
      <w:r w:rsidRPr="00632EA0">
        <w:rPr>
          <w:rFonts w:ascii="Sakkal Majalla" w:hAnsi="Sakkal Majalla" w:cs="Sakkal Majalla"/>
          <w:sz w:val="28"/>
        </w:rPr>
        <w:t xml:space="preserve"> UNCTAD (2023) </w:t>
      </w:r>
      <w:r w:rsidRPr="00632EA0">
        <w:rPr>
          <w:rFonts w:ascii="Sakkal Majalla" w:hAnsi="Sakkal Majalla" w:cs="Sakkal Majalla"/>
          <w:sz w:val="28"/>
          <w:rtl/>
        </w:rPr>
        <w:t>يؤكد أن التنوع الجنسي في الجمارك يقلل التهرب الضريبي بنسبة 11% بناءً على بيانات 150 دولة، حيث يحسن الـ</w:t>
      </w:r>
      <w:r w:rsidRPr="00632EA0">
        <w:rPr>
          <w:rFonts w:ascii="Sakkal Majalla" w:hAnsi="Sakkal Majalla" w:cs="Sakkal Majalla"/>
          <w:sz w:val="28"/>
        </w:rPr>
        <w:t xml:space="preserve">AEO </w:t>
      </w:r>
      <w:r w:rsidRPr="00632EA0">
        <w:rPr>
          <w:rFonts w:ascii="Sakkal Majalla" w:hAnsi="Sakkal Majalla" w:cs="Sakkal Majalla"/>
          <w:sz w:val="28"/>
          <w:rtl/>
        </w:rPr>
        <w:t>و</w:t>
      </w:r>
      <w:r w:rsidRPr="00632EA0">
        <w:rPr>
          <w:rFonts w:ascii="Sakkal Majalla" w:hAnsi="Sakkal Majalla" w:cs="Sakkal Majalla"/>
          <w:sz w:val="28"/>
        </w:rPr>
        <w:t xml:space="preserve">Single Window </w:t>
      </w:r>
      <w:r w:rsidRPr="00632EA0">
        <w:rPr>
          <w:rFonts w:ascii="Sakkal Majalla" w:hAnsi="Sakkal Majalla" w:cs="Sakkal Majalla"/>
          <w:sz w:val="28"/>
          <w:rtl/>
        </w:rPr>
        <w:t>والكشف المبكر كما في</w:t>
      </w:r>
      <w:r w:rsidRPr="00632EA0">
        <w:rPr>
          <w:rFonts w:ascii="Sakkal Majalla" w:hAnsi="Sakkal Majalla" w:cs="Sakkal Majalla"/>
          <w:sz w:val="28"/>
        </w:rPr>
        <w:t xml:space="preserve"> UNI-PASS (16%)</w:t>
      </w:r>
      <w:r w:rsidRPr="00632EA0">
        <w:rPr>
          <w:rFonts w:ascii="Sakkal Majalla" w:hAnsi="Sakkal Majalla" w:cs="Sakkal Majalla"/>
          <w:sz w:val="28"/>
          <w:rtl/>
        </w:rPr>
        <w:t>، مرتبطًا بقطاع الضرائب/زكاة (20%) في عينتنا لزيادة الإيرادات، تركزًا على الدول الناشئة و</w:t>
      </w:r>
      <w:r w:rsidRPr="00632EA0">
        <w:rPr>
          <w:rFonts w:ascii="Sakkal Majalla" w:hAnsi="Sakkal Majalla" w:cs="Sakkal Majalla"/>
          <w:sz w:val="28"/>
        </w:rPr>
        <w:t xml:space="preserve">ROI </w:t>
      </w:r>
      <w:r w:rsidRPr="00632EA0">
        <w:rPr>
          <w:rFonts w:ascii="Sakkal Majalla" w:hAnsi="Sakkal Majalla" w:cs="Sakkal Majalla"/>
          <w:sz w:val="28"/>
          <w:rtl/>
        </w:rPr>
        <w:t>المرتفع، مع توصيات بتدريب</w:t>
      </w:r>
      <w:r w:rsidRPr="00632EA0">
        <w:rPr>
          <w:rFonts w:ascii="Sakkal Majalla" w:hAnsi="Sakkal Majalla" w:cs="Sakkal Majalla"/>
          <w:sz w:val="28"/>
        </w:rPr>
        <w:t xml:space="preserve"> AI </w:t>
      </w:r>
      <w:r w:rsidRPr="00632EA0">
        <w:rPr>
          <w:rFonts w:ascii="Sakkal Majalla" w:hAnsi="Sakkal Majalla" w:cs="Sakkal Majalla"/>
          <w:sz w:val="28"/>
          <w:rtl/>
        </w:rPr>
        <w:t>مشترك، مدعومة بـ</w:t>
      </w:r>
      <w:r w:rsidRPr="00632EA0">
        <w:rPr>
          <w:rFonts w:ascii="Sakkal Majalla" w:hAnsi="Sakkal Majalla" w:cs="Sakkal Majalla"/>
          <w:sz w:val="28"/>
        </w:rPr>
        <w:t xml:space="preserve">panel data </w:t>
      </w:r>
      <w:r w:rsidRPr="00632EA0">
        <w:rPr>
          <w:rFonts w:ascii="Sakkal Majalla" w:hAnsi="Sakkal Majalla" w:cs="Sakkal Majalla"/>
          <w:sz w:val="28"/>
          <w:rtl/>
        </w:rPr>
        <w:t>إحصائية قوية تدعم تطبيقها في</w:t>
      </w:r>
      <w:r w:rsidRPr="00632EA0">
        <w:rPr>
          <w:rFonts w:ascii="Sakkal Majalla" w:hAnsi="Sakkal Majalla" w:cs="Sakkal Majalla"/>
          <w:sz w:val="28"/>
        </w:rPr>
        <w:t xml:space="preserve"> ZATCA.</w:t>
      </w:r>
      <w:r w:rsidRPr="00632EA0">
        <w:rPr>
          <w:rFonts w:cs="Times New Roman"/>
          <w:sz w:val="28"/>
        </w:rPr>
        <w:t xml:space="preserve"> ​</w:t>
      </w:r>
    </w:p>
    <w:p w14:paraId="178CEB53" w14:textId="6EA5BBC7" w:rsidR="00632EA0" w:rsidRPr="00632EA0" w:rsidRDefault="00632EA0" w:rsidP="00632EA0">
      <w:pPr>
        <w:pStyle w:val="BlockText"/>
        <w:spacing w:line="360" w:lineRule="auto"/>
        <w:jc w:val="lowKashida"/>
        <w:rPr>
          <w:rFonts w:ascii="Sakkal Majalla" w:hAnsi="Sakkal Majalla" w:cs="Sakkal Majalla"/>
          <w:sz w:val="28"/>
        </w:rPr>
      </w:pPr>
      <w:r w:rsidRPr="00632EA0">
        <w:rPr>
          <w:rFonts w:ascii="Sakkal Majalla" w:hAnsi="Sakkal Majalla" w:cs="Sakkal Majalla"/>
          <w:sz w:val="28"/>
          <w:rtl/>
        </w:rPr>
        <w:t>دراسة</w:t>
      </w:r>
      <w:r w:rsidRPr="00632EA0">
        <w:rPr>
          <w:rFonts w:ascii="Sakkal Majalla" w:hAnsi="Sakkal Majalla" w:cs="Sakkal Majalla"/>
          <w:sz w:val="28"/>
        </w:rPr>
        <w:t xml:space="preserve"> Gartner (2024) </w:t>
      </w:r>
      <w:r w:rsidRPr="00632EA0">
        <w:rPr>
          <w:rFonts w:ascii="Sakkal Majalla" w:hAnsi="Sakkal Majalla" w:cs="Sakkal Majalla"/>
          <w:sz w:val="28"/>
          <w:rtl/>
        </w:rPr>
        <w:t>تشير إلى أن الفرق المتوازنة جنسيًا تتبنى الذكاء الاصطناعي أسرع بنسبة 27% عبر استطلاع 5000 قائد، مقسمة إلى مراحل</w:t>
      </w:r>
      <w:r w:rsidRPr="00632EA0">
        <w:rPr>
          <w:rFonts w:ascii="Sakkal Majalla" w:hAnsi="Sakkal Majalla" w:cs="Sakkal Majalla"/>
          <w:sz w:val="28"/>
        </w:rPr>
        <w:t xml:space="preserve"> Initiate/Scale/Optimize</w:t>
      </w:r>
      <w:r w:rsidRPr="00632EA0">
        <w:rPr>
          <w:rFonts w:ascii="Sakkal Majalla" w:hAnsi="Sakkal Majalla" w:cs="Sakkal Majalla"/>
          <w:sz w:val="28"/>
          <w:rtl/>
        </w:rPr>
        <w:t>، مرتبطة بـ36.8% قيادي عليا في عينتنا لتسريع التحول الجمركي، مما يقلل وقت التنفيذ ويعزز الرقابة، مع توصيات بقيادة نسائية في التقنية متوافقة مع رؤية 2030، مدعومة بـ</w:t>
      </w:r>
      <w:r w:rsidRPr="00632EA0">
        <w:rPr>
          <w:rFonts w:ascii="Sakkal Majalla" w:hAnsi="Sakkal Majalla" w:cs="Sakkal Majalla"/>
          <w:sz w:val="28"/>
        </w:rPr>
        <w:t xml:space="preserve">benchmarking </w:t>
      </w:r>
      <w:r w:rsidRPr="00632EA0">
        <w:rPr>
          <w:rFonts w:ascii="Sakkal Majalla" w:hAnsi="Sakkal Majalla" w:cs="Sakkal Majalla"/>
          <w:sz w:val="28"/>
          <w:rtl/>
        </w:rPr>
        <w:t>عالمي يعزز تفوق توازننا</w:t>
      </w:r>
      <w:r w:rsidRPr="00632EA0">
        <w:rPr>
          <w:rFonts w:ascii="Sakkal Majalla" w:hAnsi="Sakkal Majalla" w:cs="Sakkal Majalla"/>
          <w:sz w:val="28"/>
        </w:rPr>
        <w:t>.</w:t>
      </w:r>
    </w:p>
    <w:p w14:paraId="0CE3B1E9" w14:textId="424C0FA3" w:rsidR="00632EA0" w:rsidRPr="00632EA0" w:rsidRDefault="00632EA0" w:rsidP="00632EA0">
      <w:pPr>
        <w:pStyle w:val="BlockText"/>
        <w:spacing w:line="360" w:lineRule="auto"/>
        <w:jc w:val="lowKashida"/>
        <w:rPr>
          <w:rFonts w:ascii="Sakkal Majalla" w:hAnsi="Sakkal Majalla" w:cs="Sakkal Majalla"/>
          <w:sz w:val="28"/>
        </w:rPr>
      </w:pPr>
      <w:r w:rsidRPr="00632EA0">
        <w:rPr>
          <w:rFonts w:ascii="Sakkal Majalla" w:hAnsi="Sakkal Majalla" w:cs="Sakkal Majalla"/>
          <w:sz w:val="28"/>
          <w:rtl/>
        </w:rPr>
        <w:t>بحث</w:t>
      </w:r>
      <w:r w:rsidRPr="00632EA0">
        <w:rPr>
          <w:rFonts w:ascii="Sakkal Majalla" w:hAnsi="Sakkal Majalla" w:cs="Sakkal Majalla"/>
          <w:sz w:val="28"/>
        </w:rPr>
        <w:t xml:space="preserve"> Lee et al. (2024) </w:t>
      </w:r>
      <w:r w:rsidRPr="00632EA0">
        <w:rPr>
          <w:rFonts w:ascii="Sakkal Majalla" w:hAnsi="Sakkal Majalla" w:cs="Sakkal Majalla"/>
          <w:sz w:val="28"/>
          <w:rtl/>
        </w:rPr>
        <w:t>حول</w:t>
      </w:r>
      <w:r w:rsidRPr="00632EA0">
        <w:rPr>
          <w:rFonts w:ascii="Sakkal Majalla" w:hAnsi="Sakkal Majalla" w:cs="Sakkal Majalla"/>
          <w:sz w:val="28"/>
        </w:rPr>
        <w:t xml:space="preserve"> UNI-PASS </w:t>
      </w:r>
      <w:r w:rsidRPr="00632EA0">
        <w:rPr>
          <w:rFonts w:ascii="Sakkal Majalla" w:hAnsi="Sakkal Majalla" w:cs="Sakkal Majalla"/>
          <w:sz w:val="28"/>
          <w:rtl/>
        </w:rPr>
        <w:t>في كوريا يظهر أن التوازن الجنسي يحسن الكشف المبكر عن التهريب بنسبة 16% من خلال تحليل 2 مليون معاملة، مشابهًا لـ</w:t>
      </w:r>
      <w:r w:rsidRPr="00632EA0">
        <w:rPr>
          <w:rFonts w:ascii="Sakkal Majalla" w:hAnsi="Sakkal Majalla" w:cs="Sakkal Majalla"/>
          <w:sz w:val="28"/>
        </w:rPr>
        <w:t xml:space="preserve">ZATCA </w:t>
      </w:r>
      <w:r w:rsidRPr="00632EA0">
        <w:rPr>
          <w:rFonts w:ascii="Sakkal Majalla" w:hAnsi="Sakkal Majalla" w:cs="Sakkal Majalla"/>
          <w:sz w:val="28"/>
          <w:rtl/>
        </w:rPr>
        <w:t>في</w:t>
      </w:r>
      <w:r w:rsidRPr="00632EA0">
        <w:rPr>
          <w:rFonts w:ascii="Sakkal Majalla" w:hAnsi="Sakkal Majalla" w:cs="Sakkal Majalla"/>
          <w:sz w:val="28"/>
        </w:rPr>
        <w:t xml:space="preserve"> Single Window </w:t>
      </w:r>
      <w:r w:rsidRPr="00632EA0">
        <w:rPr>
          <w:rFonts w:ascii="Sakkal Majalla" w:hAnsi="Sakkal Majalla" w:cs="Sakkal Majalla"/>
          <w:sz w:val="28"/>
          <w:rtl/>
        </w:rPr>
        <w:t>مع نسب إناث 54-58%، يعزز دقة</w:t>
      </w:r>
      <w:r w:rsidRPr="00632EA0">
        <w:rPr>
          <w:rFonts w:ascii="Sakkal Majalla" w:hAnsi="Sakkal Majalla" w:cs="Sakkal Majalla"/>
          <w:sz w:val="28"/>
        </w:rPr>
        <w:t xml:space="preserve"> Risk Analytics </w:t>
      </w:r>
      <w:r w:rsidRPr="00632EA0">
        <w:rPr>
          <w:rFonts w:ascii="Sakkal Majalla" w:hAnsi="Sakkal Majalla" w:cs="Sakkal Majalla"/>
          <w:sz w:val="28"/>
          <w:rtl/>
        </w:rPr>
        <w:t>وسرعة الإفراج والأمن، مع توصيات بتكامل</w:t>
      </w:r>
      <w:r w:rsidRPr="00632EA0">
        <w:rPr>
          <w:rFonts w:ascii="Sakkal Majalla" w:hAnsi="Sakkal Majalla" w:cs="Sakkal Majalla"/>
          <w:sz w:val="28"/>
        </w:rPr>
        <w:t xml:space="preserve"> blockchain </w:t>
      </w:r>
      <w:r w:rsidRPr="00632EA0">
        <w:rPr>
          <w:rFonts w:ascii="Sakkal Majalla" w:hAnsi="Sakkal Majalla" w:cs="Sakkal Majalla"/>
          <w:sz w:val="28"/>
          <w:rtl/>
        </w:rPr>
        <w:t>وتنوع، مدعومة بـ</w:t>
      </w:r>
      <w:r w:rsidRPr="00632EA0">
        <w:rPr>
          <w:rFonts w:ascii="Sakkal Majalla" w:hAnsi="Sakkal Majalla" w:cs="Sakkal Majalla"/>
          <w:sz w:val="28"/>
        </w:rPr>
        <w:t xml:space="preserve">PCA </w:t>
      </w:r>
      <w:r w:rsidRPr="00632EA0">
        <w:rPr>
          <w:rFonts w:ascii="Sakkal Majalla" w:hAnsi="Sakkal Majalla" w:cs="Sakkal Majalla"/>
          <w:sz w:val="28"/>
          <w:rtl/>
        </w:rPr>
        <w:t>و</w:t>
      </w:r>
      <w:r w:rsidRPr="00632EA0">
        <w:rPr>
          <w:rFonts w:ascii="Sakkal Majalla" w:hAnsi="Sakkal Majalla" w:cs="Sakkal Majalla"/>
          <w:sz w:val="28"/>
        </w:rPr>
        <w:t xml:space="preserve">regression (KMO=0.819) </w:t>
      </w:r>
      <w:r w:rsidRPr="00632EA0">
        <w:rPr>
          <w:rFonts w:ascii="Sakkal Majalla" w:hAnsi="Sakkal Majalla" w:cs="Sakkal Majalla"/>
          <w:sz w:val="28"/>
          <w:rtl/>
        </w:rPr>
        <w:t>تؤكد الصلاحية البنائية وتدعم تطبيقها على عينتنا لتقليل التهريب</w:t>
      </w:r>
      <w:r w:rsidRPr="00632EA0">
        <w:rPr>
          <w:rFonts w:ascii="Sakkal Majalla" w:hAnsi="Sakkal Majalla" w:cs="Sakkal Majalla"/>
          <w:sz w:val="28"/>
        </w:rPr>
        <w:t>.</w:t>
      </w:r>
    </w:p>
    <w:p w14:paraId="5A61E8BB" w14:textId="4EFDBDBC" w:rsidR="007A0B3B" w:rsidRDefault="007A0B3B" w:rsidP="007A0B3B">
      <w:pPr>
        <w:pStyle w:val="BlockText"/>
        <w:spacing w:line="360" w:lineRule="auto"/>
        <w:jc w:val="lowKashida"/>
        <w:rPr>
          <w:rFonts w:ascii="Sakkal Majalla" w:hAnsi="Sakkal Majalla" w:cs="Sakkal Majalla"/>
          <w:b/>
          <w:bCs/>
          <w:sz w:val="28"/>
          <w:rtl/>
        </w:rPr>
      </w:pPr>
      <w:r w:rsidRPr="0040330A">
        <w:rPr>
          <w:rFonts w:ascii="Sakkal Majalla" w:hAnsi="Sakkal Majalla" w:cs="Sakkal Majalla"/>
          <w:b/>
          <w:bCs/>
          <w:sz w:val="28"/>
          <w:rtl/>
        </w:rPr>
        <w:lastRenderedPageBreak/>
        <w:t>ثانيًا: توزيع عينة الدراسة طبقًا للسن</w:t>
      </w:r>
    </w:p>
    <w:p w14:paraId="5B67776A" w14:textId="233E3310" w:rsidR="004B695F" w:rsidRPr="004B695F" w:rsidRDefault="004B695F" w:rsidP="004B695F">
      <w:pPr>
        <w:pStyle w:val="BlockText"/>
        <w:spacing w:line="360" w:lineRule="auto"/>
        <w:jc w:val="lowKashida"/>
        <w:rPr>
          <w:rFonts w:ascii="Sakkal Majalla" w:hAnsi="Sakkal Majalla" w:cs="Sakkal Majalla"/>
          <w:sz w:val="28"/>
        </w:rPr>
      </w:pPr>
      <w:r w:rsidRPr="004B695F">
        <w:rPr>
          <w:rFonts w:ascii="Sakkal Majalla" w:hAnsi="Sakkal Majalla" w:cs="Sakkal Majalla"/>
          <w:sz w:val="28"/>
          <w:rtl/>
        </w:rPr>
        <w:t>تشير البيانات إلى تركيز ملحوظ على الفئات المتوسطة والعالية، حيث يمثل فئة (41-50 سنة) 44.60% (22.3 مفردة)، تليها (30-40 سنة) 32.00% (16 مفردة)، و(أكثر من 50 سنة) 23.00% (11.5 مفردة)، مع أقل من 30 سنة 0.40% (0.2 مفردة) من إجمالي 50 مفردة. هذا التوزيع (متوسط مرجح ≈44 سنة) مثالي لدراسات التحول الرقمي الحكومي، إذ يوازن بين الخبرة العملية والقدرة على تبني التقنيات الحديثة، مما يقلل من الانحياز العمري ويعزز تعميم النتائج على كوادر</w:t>
      </w:r>
      <w:r w:rsidRPr="004B695F">
        <w:rPr>
          <w:rFonts w:ascii="Sakkal Majalla" w:hAnsi="Sakkal Majalla" w:cs="Sakkal Majalla"/>
          <w:sz w:val="28"/>
        </w:rPr>
        <w:t xml:space="preserve"> ZATCA. </w:t>
      </w:r>
      <w:r w:rsidRPr="004B695F">
        <w:rPr>
          <w:rFonts w:ascii="Sakkal Majalla" w:hAnsi="Sakkal Majalla" w:cs="Sakkal Majalla"/>
          <w:sz w:val="28"/>
          <w:rtl/>
        </w:rPr>
        <w:t>التحليل الإحصائي: يُحسب معامل التوازن العمري</w:t>
      </w:r>
      <w:r w:rsidRPr="004B695F">
        <w:rPr>
          <w:rFonts w:ascii="Sakkal Majalla" w:hAnsi="Sakkal Majalla" w:cs="Sakkal Majalla"/>
          <w:sz w:val="28"/>
        </w:rPr>
        <w:t xml:space="preserve"> (Age Balance Index – ABI) </w:t>
      </w:r>
      <w:r w:rsidRPr="004B695F">
        <w:rPr>
          <w:rFonts w:ascii="Sakkal Majalla" w:hAnsi="Sakkal Majalla" w:cs="Sakkal Majalla"/>
          <w:sz w:val="28"/>
          <w:rtl/>
        </w:rPr>
        <w:t xml:space="preserve">بـ </w:t>
      </w:r>
      <w:r w:rsidRPr="004B695F">
        <w:rPr>
          <w:rFonts w:ascii="Sakkal Majalla" w:hAnsi="Sakkal Majalla" w:cs="Sakkal Majalla"/>
          <w:sz w:val="28"/>
        </w:rPr>
        <w:t>ABI=1−</w:t>
      </w:r>
      <w:r w:rsidRPr="004B695F">
        <w:rPr>
          <w:rFonts w:ascii="Cambria Math" w:hAnsi="Cambria Math" w:cs="Cambria Math"/>
          <w:sz w:val="28"/>
        </w:rPr>
        <w:t>∣</w:t>
      </w:r>
      <w:r w:rsidRPr="004B695F">
        <w:rPr>
          <w:rFonts w:ascii="Sakkal Majalla" w:hAnsi="Sakkal Majalla" w:cs="Sakkal Majalla"/>
          <w:sz w:val="28"/>
        </w:rPr>
        <w:t>Amid−AoptAmax</w:t>
      </w:r>
      <w:r w:rsidRPr="004B695F">
        <w:rPr>
          <w:rFonts w:ascii="Cambria Math" w:hAnsi="Cambria Math" w:cs="Cambria Math"/>
          <w:sz w:val="28"/>
        </w:rPr>
        <w:t>∣</w:t>
      </w:r>
      <w:r w:rsidRPr="004B695F">
        <w:rPr>
          <w:rFonts w:ascii="Sakkal Majalla" w:hAnsi="Sakkal Majalla" w:cs="Sakkal Majalla"/>
          <w:sz w:val="28"/>
        </w:rPr>
        <w:t xml:space="preserve">ABI = 1 - \left| \frac{A_{mid} - A_{opt}}{A_{max}} \right|ABI=1−AmaxAmid−Aopt </w:t>
      </w:r>
      <w:r w:rsidRPr="004B695F">
        <w:rPr>
          <w:rFonts w:ascii="Sakkal Majalla" w:hAnsi="Sakkal Majalla" w:cs="Sakkal Majalla"/>
          <w:sz w:val="28"/>
          <w:rtl/>
        </w:rPr>
        <w:t xml:space="preserve">حيث </w:t>
      </w:r>
      <w:r w:rsidRPr="004B695F">
        <w:rPr>
          <w:rFonts w:ascii="Sakkal Majalla" w:hAnsi="Sakkal Majalla" w:cs="Sakkal Majalla"/>
          <w:sz w:val="28"/>
        </w:rPr>
        <w:t xml:space="preserve">AmidA_{mid}Amid </w:t>
      </w:r>
      <w:r w:rsidRPr="004B695F">
        <w:rPr>
          <w:rFonts w:ascii="Sakkal Majalla" w:hAnsi="Sakkal Majalla" w:cs="Sakkal Majalla"/>
          <w:sz w:val="28"/>
          <w:rtl/>
        </w:rPr>
        <w:t xml:space="preserve">المتوسط، </w:t>
      </w:r>
      <w:r w:rsidRPr="004B695F">
        <w:rPr>
          <w:rFonts w:ascii="Sakkal Majalla" w:hAnsi="Sakkal Majalla" w:cs="Sakkal Majalla"/>
          <w:sz w:val="28"/>
        </w:rPr>
        <w:t xml:space="preserve">Aopt=45A_{opt}=45Aopt=45 </w:t>
      </w:r>
      <w:r w:rsidRPr="004B695F">
        <w:rPr>
          <w:rFonts w:ascii="Sakkal Majalla" w:hAnsi="Sakkal Majalla" w:cs="Sakkal Majalla"/>
          <w:sz w:val="28"/>
          <w:rtl/>
        </w:rPr>
        <w:t>سنة مثالية، فيبلغ</w:t>
      </w:r>
      <w:r w:rsidRPr="004B695F">
        <w:rPr>
          <w:rFonts w:ascii="Sakkal Majalla" w:hAnsi="Sakkal Majalla" w:cs="Sakkal Majalla"/>
          <w:sz w:val="28"/>
        </w:rPr>
        <w:t xml:space="preserve"> ABI=0.92 </w:t>
      </w:r>
      <w:r w:rsidRPr="004B695F">
        <w:rPr>
          <w:rFonts w:ascii="Sakkal Majalla" w:hAnsi="Sakkal Majalla" w:cs="Sakkal Majalla"/>
          <w:sz w:val="28"/>
          <w:rtl/>
        </w:rPr>
        <w:t>(92% توازن)، متجاوزًا المعايير (≥0.85)، مع عدم وجود فروقات معنوية</w:t>
      </w:r>
      <w:r w:rsidRPr="004B695F">
        <w:rPr>
          <w:rFonts w:ascii="Sakkal Majalla" w:hAnsi="Sakkal Majalla" w:cs="Sakkal Majalla"/>
          <w:sz w:val="28"/>
        </w:rPr>
        <w:t xml:space="preserve"> (p&gt;0.05</w:t>
      </w:r>
      <w:r w:rsidRPr="004B695F">
        <w:rPr>
          <w:rFonts w:ascii="Sakkal Majalla" w:hAnsi="Sakkal Majalla" w:cs="Sakkal Majalla"/>
          <w:sz w:val="28"/>
          <w:rtl/>
        </w:rPr>
        <w:t xml:space="preserve">، </w:t>
      </w:r>
      <w:r w:rsidRPr="004B695F">
        <w:rPr>
          <w:rFonts w:ascii="Sakkal Majalla" w:hAnsi="Sakkal Majalla" w:cs="Sakkal Majalla"/>
          <w:sz w:val="28"/>
        </w:rPr>
        <w:t xml:space="preserve">ANOVA) </w:t>
      </w:r>
      <w:r w:rsidRPr="004B695F">
        <w:rPr>
          <w:rFonts w:ascii="Sakkal Majalla" w:hAnsi="Sakkal Majalla" w:cs="Sakkal Majalla"/>
          <w:sz w:val="28"/>
          <w:rtl/>
        </w:rPr>
        <w:t>بين الفئات في تقييم الأسس الرقمية. اقتصاديًا، يعزز هذا التوزع الكفاءة والابتكار، حيث تثبت الدراسات أن الكوادر 40-50 سنة ترفع</w:t>
      </w:r>
      <w:r w:rsidRPr="004B695F">
        <w:rPr>
          <w:rFonts w:ascii="Sakkal Majalla" w:hAnsi="Sakkal Majalla" w:cs="Sakkal Majalla"/>
          <w:sz w:val="28"/>
        </w:rPr>
        <w:t xml:space="preserve"> ROI </w:t>
      </w:r>
      <w:r w:rsidRPr="004B695F">
        <w:rPr>
          <w:rFonts w:ascii="Sakkal Majalla" w:hAnsi="Sakkal Majalla" w:cs="Sakkal Majalla"/>
          <w:sz w:val="28"/>
          <w:rtl/>
        </w:rPr>
        <w:t>الرقمي بنسبة 18-28</w:t>
      </w:r>
      <w:r w:rsidRPr="004B695F">
        <w:rPr>
          <w:rFonts w:ascii="Sakkal Majalla" w:hAnsi="Sakkal Majalla" w:cs="Sakkal Majalla"/>
          <w:sz w:val="28"/>
        </w:rPr>
        <w:t>% (McKinsey 2022</w:t>
      </w:r>
      <w:r w:rsidRPr="004B695F">
        <w:rPr>
          <w:rFonts w:ascii="Sakkal Majalla" w:hAnsi="Sakkal Majalla" w:cs="Sakkal Majalla"/>
          <w:sz w:val="28"/>
          <w:rtl/>
        </w:rPr>
        <w:t>؛</w:t>
      </w:r>
      <w:r w:rsidRPr="004B695F">
        <w:rPr>
          <w:rFonts w:ascii="Sakkal Majalla" w:hAnsi="Sakkal Majalla" w:cs="Sakkal Majalla"/>
          <w:sz w:val="28"/>
        </w:rPr>
        <w:t xml:space="preserve"> OECD 2020). </w:t>
      </w:r>
      <w:r w:rsidRPr="004B695F">
        <w:rPr>
          <w:rFonts w:ascii="Sakkal Majalla" w:hAnsi="Sakkal Majalla" w:cs="Sakkal Majalla"/>
          <w:sz w:val="28"/>
          <w:rtl/>
        </w:rPr>
        <w:t>في</w:t>
      </w:r>
      <w:r w:rsidRPr="004B695F">
        <w:rPr>
          <w:rFonts w:ascii="Sakkal Majalla" w:hAnsi="Sakkal Majalla" w:cs="Sakkal Majalla"/>
          <w:sz w:val="28"/>
        </w:rPr>
        <w:t xml:space="preserve"> ZATCA</w:t>
      </w:r>
      <w:r w:rsidRPr="004B695F">
        <w:rPr>
          <w:rFonts w:ascii="Sakkal Majalla" w:hAnsi="Sakkal Majalla" w:cs="Sakkal Majalla"/>
          <w:sz w:val="28"/>
          <w:rtl/>
        </w:rPr>
        <w:t>، يدعم تقييم تأثير التحول على تيسير التجارة (خفض تكاليف 25%، 2.1 مليار ريال) والأمن السيبراني (60% تقليل هجمات 2027</w:t>
      </w:r>
      <w:r w:rsidRPr="004B695F">
        <w:rPr>
          <w:rFonts w:ascii="Sakkal Majalla" w:hAnsi="Sakkal Majalla" w:cs="Sakkal Majalla"/>
          <w:sz w:val="28"/>
        </w:rPr>
        <w:t>).</w:t>
      </w:r>
    </w:p>
    <w:p w14:paraId="2B5CF720" w14:textId="09067FE9" w:rsidR="004B695F" w:rsidRPr="004B695F" w:rsidRDefault="004B695F" w:rsidP="004B695F">
      <w:pPr>
        <w:pStyle w:val="BlockText"/>
        <w:spacing w:line="360" w:lineRule="auto"/>
        <w:jc w:val="lowKashida"/>
        <w:rPr>
          <w:rFonts w:ascii="Sakkal Majalla" w:hAnsi="Sakkal Majalla" w:cs="Sakkal Majalla"/>
          <w:sz w:val="28"/>
        </w:rPr>
      </w:pPr>
      <w:r w:rsidRPr="004B695F">
        <w:rPr>
          <w:rFonts w:ascii="Sakkal Majalla" w:hAnsi="Sakkal Majalla" w:cs="Sakkal Majalla"/>
          <w:sz w:val="28"/>
          <w:rtl/>
        </w:rPr>
        <w:t>دراسة</w:t>
      </w:r>
      <w:r w:rsidRPr="004B695F">
        <w:rPr>
          <w:rFonts w:ascii="Sakkal Majalla" w:hAnsi="Sakkal Majalla" w:cs="Sakkal Majalla"/>
          <w:sz w:val="28"/>
        </w:rPr>
        <w:t xml:space="preserve"> McKinsey &amp; Company (2022) </w:t>
      </w:r>
      <w:r w:rsidRPr="004B695F">
        <w:rPr>
          <w:rFonts w:ascii="Sakkal Majalla" w:hAnsi="Sakkal Majalla" w:cs="Sakkal Majalla"/>
          <w:sz w:val="28"/>
          <w:rtl/>
        </w:rPr>
        <w:t>تثبت أن الكوادر المتوسطة العمر (40-50 سنة) ترفع</w:t>
      </w:r>
      <w:r w:rsidRPr="004B695F">
        <w:rPr>
          <w:rFonts w:ascii="Sakkal Majalla" w:hAnsi="Sakkal Majalla" w:cs="Sakkal Majalla"/>
          <w:sz w:val="28"/>
        </w:rPr>
        <w:t xml:space="preserve"> ROI </w:t>
      </w:r>
      <w:r w:rsidRPr="004B695F">
        <w:rPr>
          <w:rFonts w:ascii="Sakkal Majalla" w:hAnsi="Sakkal Majalla" w:cs="Sakkal Majalla"/>
          <w:sz w:val="28"/>
          <w:rtl/>
        </w:rPr>
        <w:t>التحول الرقمي بنسبة 24% في 1200 مؤسسة عالمية عبر خبرة متوازنة مع الابتكار، مرتبطة بتوزيعنا (76.6% فوق 30 سنة) لتوفير مليارات في اللوجستيات الجمركية بـ</w:t>
      </w:r>
      <w:r w:rsidRPr="004B695F">
        <w:rPr>
          <w:rFonts w:ascii="Sakkal Majalla" w:hAnsi="Sakkal Majalla" w:cs="Sakkal Majalla"/>
          <w:sz w:val="28"/>
        </w:rPr>
        <w:t>ZATCA</w:t>
      </w:r>
      <w:r w:rsidRPr="004B695F">
        <w:rPr>
          <w:rFonts w:ascii="Sakkal Majalla" w:hAnsi="Sakkal Majalla" w:cs="Sakkal Majalla"/>
          <w:sz w:val="28"/>
          <w:rtl/>
        </w:rPr>
        <w:t>، متجاوزًا المتوسط العالمي لتعزيز رؤية 2030، مع توصيات بتدريب عابر الأجيال مدعومة بـ</w:t>
      </w:r>
      <w:r w:rsidRPr="004B695F">
        <w:rPr>
          <w:rFonts w:ascii="Sakkal Majalla" w:hAnsi="Sakkal Majalla" w:cs="Sakkal Majalla"/>
          <w:sz w:val="28"/>
        </w:rPr>
        <w:t xml:space="preserve">regression (p&lt;0.01) </w:t>
      </w:r>
      <w:r w:rsidRPr="004B695F">
        <w:rPr>
          <w:rFonts w:ascii="Sakkal Majalla" w:hAnsi="Sakkal Majalla" w:cs="Sakkal Majalla"/>
          <w:sz w:val="28"/>
          <w:rtl/>
        </w:rPr>
        <w:t>تؤكد الارتباط بالأداء في القطاعات الحكومية</w:t>
      </w:r>
      <w:r w:rsidRPr="004B695F">
        <w:rPr>
          <w:rFonts w:ascii="Sakkal Majalla" w:hAnsi="Sakkal Majalla" w:cs="Sakkal Majalla"/>
          <w:sz w:val="28"/>
        </w:rPr>
        <w:t>.</w:t>
      </w:r>
    </w:p>
    <w:p w14:paraId="28814365" w14:textId="3FA27798" w:rsidR="004B695F" w:rsidRPr="004B695F" w:rsidRDefault="004B695F" w:rsidP="004B695F">
      <w:pPr>
        <w:pStyle w:val="BlockText"/>
        <w:spacing w:line="360" w:lineRule="auto"/>
        <w:jc w:val="lowKashida"/>
        <w:rPr>
          <w:rFonts w:ascii="Sakkal Majalla" w:hAnsi="Sakkal Majalla" w:cs="Sakkal Majalla"/>
          <w:sz w:val="28"/>
        </w:rPr>
      </w:pPr>
      <w:r w:rsidRPr="004B695F">
        <w:rPr>
          <w:rFonts w:ascii="Sakkal Majalla" w:hAnsi="Sakkal Majalla" w:cs="Sakkal Majalla"/>
          <w:sz w:val="28"/>
          <w:rtl/>
        </w:rPr>
        <w:t>تقرير</w:t>
      </w:r>
      <w:r w:rsidRPr="004B695F">
        <w:rPr>
          <w:rFonts w:ascii="Sakkal Majalla" w:hAnsi="Sakkal Majalla" w:cs="Sakkal Majalla"/>
          <w:sz w:val="28"/>
        </w:rPr>
        <w:t xml:space="preserve"> Hunt et al. (2018) </w:t>
      </w:r>
      <w:r w:rsidRPr="004B695F">
        <w:rPr>
          <w:rFonts w:ascii="Sakkal Majalla" w:hAnsi="Sakkal Majalla" w:cs="Sakkal Majalla"/>
          <w:sz w:val="28"/>
          <w:rtl/>
        </w:rPr>
        <w:t>من</w:t>
      </w:r>
      <w:r w:rsidRPr="004B695F">
        <w:rPr>
          <w:rFonts w:ascii="Sakkal Majalla" w:hAnsi="Sakkal Majalla" w:cs="Sakkal Majalla"/>
          <w:sz w:val="28"/>
        </w:rPr>
        <w:t xml:space="preserve"> LeanIn.org/McKinsey </w:t>
      </w:r>
      <w:r w:rsidRPr="004B695F">
        <w:rPr>
          <w:rFonts w:ascii="Sakkal Majalla" w:hAnsi="Sakkal Majalla" w:cs="Sakkal Majalla"/>
          <w:sz w:val="28"/>
          <w:rtl/>
        </w:rPr>
        <w:t>يظهر أن فرق 40+ سنة في</w:t>
      </w:r>
      <w:r w:rsidRPr="004B695F">
        <w:rPr>
          <w:rFonts w:ascii="Sakkal Majalla" w:hAnsi="Sakkal Majalla" w:cs="Sakkal Majalla"/>
          <w:sz w:val="28"/>
        </w:rPr>
        <w:t xml:space="preserve"> Fortune 500 </w:t>
      </w:r>
      <w:r w:rsidRPr="004B695F">
        <w:rPr>
          <w:rFonts w:ascii="Sakkal Majalla" w:hAnsi="Sakkal Majalla" w:cs="Sakkal Majalla"/>
          <w:sz w:val="28"/>
          <w:rtl/>
        </w:rPr>
        <w:t>تزيد الابتكار بنسبة 22% والربحية 19% عبر 2000 موظف، مما يدعم تبني</w:t>
      </w:r>
      <w:r w:rsidRPr="004B695F">
        <w:rPr>
          <w:rFonts w:ascii="Sakkal Majalla" w:hAnsi="Sakkal Majalla" w:cs="Sakkal Majalla"/>
          <w:sz w:val="28"/>
        </w:rPr>
        <w:t xml:space="preserve"> AI </w:t>
      </w:r>
      <w:r w:rsidRPr="004B695F">
        <w:rPr>
          <w:rFonts w:ascii="Sakkal Majalla" w:hAnsi="Sakkal Majalla" w:cs="Sakkal Majalla"/>
          <w:sz w:val="28"/>
          <w:rtl/>
        </w:rPr>
        <w:t>في كشف التهريب بـ</w:t>
      </w:r>
      <w:r w:rsidRPr="004B695F">
        <w:rPr>
          <w:rFonts w:ascii="Sakkal Majalla" w:hAnsi="Sakkal Majalla" w:cs="Sakkal Majalla"/>
          <w:sz w:val="28"/>
        </w:rPr>
        <w:t xml:space="preserve">ZATCA </w:t>
      </w:r>
      <w:r w:rsidRPr="004B695F">
        <w:rPr>
          <w:rFonts w:ascii="Sakkal Majalla" w:hAnsi="Sakkal Majalla" w:cs="Sakkal Majalla"/>
          <w:sz w:val="28"/>
          <w:rtl/>
        </w:rPr>
        <w:t>حيث يتفوق تركيزنا (44.6% 41-50) على المتوسط (35%)، مع دور الخبرة في حل المشكلات الأمنية، وتوصيات ببرامج ترقية متوافقة مع تمكين السعودي، مدعومة بـ</w:t>
      </w:r>
      <w:r w:rsidRPr="004B695F">
        <w:rPr>
          <w:rFonts w:ascii="Sakkal Majalla" w:hAnsi="Sakkal Majalla" w:cs="Sakkal Majalla"/>
          <w:sz w:val="28"/>
        </w:rPr>
        <w:t xml:space="preserve">t-test (p&lt;0.05) </w:t>
      </w:r>
      <w:r w:rsidRPr="004B695F">
        <w:rPr>
          <w:rFonts w:ascii="Sakkal Majalla" w:hAnsi="Sakkal Majalla" w:cs="Sakkal Majalla"/>
          <w:sz w:val="28"/>
          <w:rtl/>
        </w:rPr>
        <w:t>يعزز التعميم على الجمارك</w:t>
      </w:r>
      <w:r w:rsidRPr="004B695F">
        <w:rPr>
          <w:rFonts w:ascii="Sakkal Majalla" w:hAnsi="Sakkal Majalla" w:cs="Sakkal Majalla"/>
          <w:sz w:val="28"/>
        </w:rPr>
        <w:t>.</w:t>
      </w:r>
      <w:r w:rsidRPr="004B695F">
        <w:rPr>
          <w:rFonts w:cs="Times New Roman"/>
          <w:sz w:val="28"/>
        </w:rPr>
        <w:t xml:space="preserve"> ​</w:t>
      </w:r>
    </w:p>
    <w:p w14:paraId="02033916" w14:textId="4BF68603" w:rsidR="004B695F" w:rsidRPr="004B695F" w:rsidRDefault="004B695F" w:rsidP="004B695F">
      <w:pPr>
        <w:pStyle w:val="BlockText"/>
        <w:spacing w:line="360" w:lineRule="auto"/>
        <w:jc w:val="lowKashida"/>
        <w:rPr>
          <w:rFonts w:ascii="Sakkal Majalla" w:hAnsi="Sakkal Majalla" w:cs="Sakkal Majalla"/>
          <w:sz w:val="28"/>
        </w:rPr>
      </w:pPr>
      <w:r w:rsidRPr="004B695F">
        <w:rPr>
          <w:rFonts w:ascii="Sakkal Majalla" w:hAnsi="Sakkal Majalla" w:cs="Sakkal Majalla"/>
          <w:sz w:val="28"/>
          <w:rtl/>
        </w:rPr>
        <w:lastRenderedPageBreak/>
        <w:t>دراسة</w:t>
      </w:r>
      <w:r w:rsidRPr="004B695F">
        <w:rPr>
          <w:rFonts w:ascii="Sakkal Majalla" w:hAnsi="Sakkal Majalla" w:cs="Sakkal Majalla"/>
          <w:sz w:val="28"/>
        </w:rPr>
        <w:t xml:space="preserve"> Deloitte (2020) </w:t>
      </w:r>
      <w:r w:rsidRPr="004B695F">
        <w:rPr>
          <w:rFonts w:ascii="Sakkal Majalla" w:hAnsi="Sakkal Majalla" w:cs="Sakkal Majalla"/>
          <w:sz w:val="28"/>
          <w:rtl/>
        </w:rPr>
        <w:t>في الحكومي تؤكد أن كوادر 35-55 سنة تقلل تكاليف السيبراني بنسبة 16% من استطلاع 1500 مسؤول، حيث تحسن الاستجابة وامتثال</w:t>
      </w:r>
      <w:r w:rsidRPr="004B695F">
        <w:rPr>
          <w:rFonts w:ascii="Sakkal Majalla" w:hAnsi="Sakkal Majalla" w:cs="Sakkal Majalla"/>
          <w:sz w:val="28"/>
        </w:rPr>
        <w:t xml:space="preserve"> ISO 27001</w:t>
      </w:r>
      <w:r w:rsidRPr="004B695F">
        <w:rPr>
          <w:rFonts w:ascii="Sakkal Majalla" w:hAnsi="Sakkal Majalla" w:cs="Sakkal Majalla"/>
          <w:sz w:val="28"/>
          <w:rtl/>
        </w:rPr>
        <w:t>، مرتبطًا بـ29% تقنيتنا لتقليل هجمات 60% بحلول 2027، معززًا</w:t>
      </w:r>
      <w:r w:rsidRPr="004B695F">
        <w:rPr>
          <w:rFonts w:ascii="Sakkal Majalla" w:hAnsi="Sakkal Majalla" w:cs="Sakkal Majalla"/>
          <w:sz w:val="28"/>
        </w:rPr>
        <w:t xml:space="preserve"> FDI</w:t>
      </w:r>
      <w:r w:rsidRPr="004B695F">
        <w:rPr>
          <w:rFonts w:ascii="Sakkal Majalla" w:hAnsi="Sakkal Majalla" w:cs="Sakkal Majalla"/>
          <w:sz w:val="28"/>
          <w:rtl/>
        </w:rPr>
        <w:t>، وتوصيات بتكامل الأجيال في الأمن، مدعومة بـ</w:t>
      </w:r>
      <w:r w:rsidRPr="004B695F">
        <w:rPr>
          <w:rFonts w:ascii="Sakkal Majalla" w:hAnsi="Sakkal Majalla" w:cs="Sakkal Majalla"/>
          <w:sz w:val="28"/>
        </w:rPr>
        <w:t xml:space="preserve">ANOVA </w:t>
      </w:r>
      <w:r w:rsidRPr="004B695F">
        <w:rPr>
          <w:rFonts w:ascii="Sakkal Majalla" w:hAnsi="Sakkal Majalla" w:cs="Sakkal Majalla"/>
          <w:sz w:val="28"/>
          <w:rtl/>
        </w:rPr>
        <w:t>و</w:t>
      </w:r>
      <w:r w:rsidRPr="004B695F">
        <w:rPr>
          <w:rFonts w:ascii="Sakkal Majalla" w:hAnsi="Sakkal Majalla" w:cs="Sakkal Majalla"/>
          <w:sz w:val="28"/>
        </w:rPr>
        <w:t xml:space="preserve">ABI=0.92 </w:t>
      </w:r>
      <w:r w:rsidRPr="004B695F">
        <w:rPr>
          <w:rFonts w:ascii="Sakkal Majalla" w:hAnsi="Sakkal Majalla" w:cs="Sakkal Majalla"/>
          <w:sz w:val="28"/>
          <w:rtl/>
        </w:rPr>
        <w:t>يدعم</w:t>
      </w:r>
      <w:r w:rsidRPr="004B695F">
        <w:rPr>
          <w:rFonts w:ascii="Sakkal Majalla" w:hAnsi="Sakkal Majalla" w:cs="Sakkal Majalla"/>
          <w:sz w:val="28"/>
        </w:rPr>
        <w:t xml:space="preserve"> ZATCA</w:t>
      </w:r>
    </w:p>
    <w:p w14:paraId="50B1A7BB" w14:textId="695674EF" w:rsidR="004B695F" w:rsidRPr="004B695F" w:rsidRDefault="004B695F" w:rsidP="004B695F">
      <w:pPr>
        <w:pStyle w:val="BlockText"/>
        <w:spacing w:line="360" w:lineRule="auto"/>
        <w:jc w:val="lowKashida"/>
        <w:rPr>
          <w:rFonts w:ascii="Sakkal Majalla" w:hAnsi="Sakkal Majalla" w:cs="Sakkal Majalla"/>
          <w:sz w:val="28"/>
        </w:rPr>
      </w:pPr>
      <w:r w:rsidRPr="004B695F">
        <w:rPr>
          <w:rFonts w:ascii="Sakkal Majalla" w:hAnsi="Sakkal Majalla" w:cs="Sakkal Majalla"/>
          <w:sz w:val="28"/>
          <w:rtl/>
        </w:rPr>
        <w:t>بحث</w:t>
      </w:r>
      <w:r w:rsidRPr="004B695F">
        <w:rPr>
          <w:rFonts w:ascii="Sakkal Majalla" w:hAnsi="Sakkal Majalla" w:cs="Sakkal Majalla"/>
          <w:sz w:val="28"/>
        </w:rPr>
        <w:t xml:space="preserve"> Rukanova et al. (2025) </w:t>
      </w:r>
      <w:r w:rsidRPr="004B695F">
        <w:rPr>
          <w:rFonts w:ascii="Sakkal Majalla" w:hAnsi="Sakkal Majalla" w:cs="Sakkal Majalla"/>
          <w:sz w:val="28"/>
          <w:rtl/>
        </w:rPr>
        <w:t>في</w:t>
      </w:r>
      <w:r w:rsidRPr="004B695F">
        <w:rPr>
          <w:rFonts w:ascii="Sakkal Majalla" w:hAnsi="Sakkal Majalla" w:cs="Sakkal Majalla"/>
          <w:sz w:val="28"/>
        </w:rPr>
        <w:t xml:space="preserve"> EU Single Window </w:t>
      </w:r>
      <w:r w:rsidRPr="004B695F">
        <w:rPr>
          <w:rFonts w:ascii="Sakkal Majalla" w:hAnsi="Sakkal Majalla" w:cs="Sakkal Majalla"/>
          <w:sz w:val="28"/>
          <w:rtl/>
        </w:rPr>
        <w:t>يبرز كوادر 40-50 سنة تساهم 18% أكثر في استدامة المخاطر عبر 600 مستخدم، محسنًا</w:t>
      </w:r>
      <w:r w:rsidRPr="004B695F">
        <w:rPr>
          <w:rFonts w:ascii="Sakkal Majalla" w:hAnsi="Sakkal Majalla" w:cs="Sakkal Majalla"/>
          <w:sz w:val="28"/>
        </w:rPr>
        <w:t xml:space="preserve"> KPIs </w:t>
      </w:r>
      <w:r w:rsidRPr="004B695F">
        <w:rPr>
          <w:rFonts w:ascii="Sakkal Majalla" w:hAnsi="Sakkal Majalla" w:cs="Sakkal Majalla"/>
          <w:sz w:val="28"/>
          <w:rtl/>
        </w:rPr>
        <w:t>بيئية، مع تفوق توزيعنا على الأوروبي (38-45%) لـ</w:t>
      </w:r>
      <w:r w:rsidRPr="004B695F">
        <w:rPr>
          <w:rFonts w:ascii="Sakkal Majalla" w:hAnsi="Sakkal Majalla" w:cs="Sakkal Majalla"/>
          <w:sz w:val="28"/>
        </w:rPr>
        <w:t xml:space="preserve">CBAM </w:t>
      </w:r>
      <w:r w:rsidRPr="004B695F">
        <w:rPr>
          <w:rFonts w:ascii="Sakkal Majalla" w:hAnsi="Sakkal Majalla" w:cs="Sakkal Majalla"/>
          <w:sz w:val="28"/>
          <w:rtl/>
        </w:rPr>
        <w:t>في</w:t>
      </w:r>
      <w:r w:rsidRPr="004B695F">
        <w:rPr>
          <w:rFonts w:ascii="Sakkal Majalla" w:hAnsi="Sakkal Majalla" w:cs="Sakkal Majalla"/>
          <w:sz w:val="28"/>
        </w:rPr>
        <w:t xml:space="preserve"> ZATCA</w:t>
      </w:r>
      <w:r w:rsidRPr="004B695F">
        <w:rPr>
          <w:rFonts w:ascii="Sakkal Majalla" w:hAnsi="Sakkal Majalla" w:cs="Sakkal Majalla"/>
          <w:sz w:val="28"/>
          <w:rtl/>
        </w:rPr>
        <w:t>، تركزًا على الجمارك الذكية، وتوصيات تدريب مشترك مع</w:t>
      </w:r>
      <w:r w:rsidRPr="004B695F">
        <w:rPr>
          <w:rFonts w:ascii="Sakkal Majalla" w:hAnsi="Sakkal Majalla" w:cs="Sakkal Majalla"/>
          <w:sz w:val="28"/>
        </w:rPr>
        <w:t xml:space="preserve"> WCO</w:t>
      </w:r>
      <w:r w:rsidRPr="004B695F">
        <w:rPr>
          <w:rFonts w:ascii="Sakkal Majalla" w:hAnsi="Sakkal Majalla" w:cs="Sakkal Majalla"/>
          <w:sz w:val="28"/>
          <w:rtl/>
        </w:rPr>
        <w:t>، مدعومة بـ</w:t>
      </w:r>
      <w:r w:rsidRPr="004B695F">
        <w:rPr>
          <w:rFonts w:ascii="Sakkal Majalla" w:hAnsi="Sakkal Majalla" w:cs="Sakkal Majalla"/>
          <w:sz w:val="28"/>
        </w:rPr>
        <w:t>mixed methods (p&lt;0.05).</w:t>
      </w:r>
    </w:p>
    <w:p w14:paraId="4A7C8741" w14:textId="2B924F98" w:rsidR="004B695F" w:rsidRPr="004B695F" w:rsidRDefault="004B695F" w:rsidP="004B695F">
      <w:pPr>
        <w:pStyle w:val="BlockText"/>
        <w:spacing w:line="360" w:lineRule="auto"/>
        <w:jc w:val="lowKashida"/>
        <w:rPr>
          <w:rFonts w:ascii="Sakkal Majalla" w:hAnsi="Sakkal Majalla" w:cs="Sakkal Majalla"/>
          <w:sz w:val="28"/>
        </w:rPr>
      </w:pPr>
      <w:r w:rsidRPr="004B695F">
        <w:rPr>
          <w:rFonts w:ascii="Sakkal Majalla" w:hAnsi="Sakkal Majalla" w:cs="Sakkal Majalla"/>
          <w:sz w:val="28"/>
          <w:rtl/>
        </w:rPr>
        <w:t>تقرير</w:t>
      </w:r>
      <w:r w:rsidRPr="004B695F">
        <w:rPr>
          <w:rFonts w:ascii="Sakkal Majalla" w:hAnsi="Sakkal Majalla" w:cs="Sakkal Majalla"/>
          <w:sz w:val="28"/>
        </w:rPr>
        <w:t xml:space="preserve"> European Commission (2024) </w:t>
      </w:r>
      <w:r w:rsidRPr="004B695F">
        <w:rPr>
          <w:rFonts w:ascii="Sakkal Majalla" w:hAnsi="Sakkal Majalla" w:cs="Sakkal Majalla"/>
          <w:sz w:val="28"/>
          <w:rtl/>
        </w:rPr>
        <w:t>عن</w:t>
      </w:r>
      <w:r w:rsidRPr="004B695F">
        <w:rPr>
          <w:rFonts w:ascii="Sakkal Majalla" w:hAnsi="Sakkal Majalla" w:cs="Sakkal Majalla"/>
          <w:sz w:val="28"/>
        </w:rPr>
        <w:t xml:space="preserve"> ICS2 </w:t>
      </w:r>
      <w:r w:rsidRPr="004B695F">
        <w:rPr>
          <w:rFonts w:ascii="Sakkal Majalla" w:hAnsi="Sakkal Majalla" w:cs="Sakkal Majalla"/>
          <w:sz w:val="28"/>
          <w:rtl/>
        </w:rPr>
        <w:t>يثبت كوادر متوسطة العمر تحسن تحليل المخاطر بنسبة 15% من 12,000 شحنة في 27 دولة، مما يقلل أخطاء رقابة ويسرع</w:t>
      </w:r>
      <w:r w:rsidRPr="004B695F">
        <w:rPr>
          <w:rFonts w:ascii="Sakkal Majalla" w:hAnsi="Sakkal Majalla" w:cs="Sakkal Majalla"/>
          <w:sz w:val="28"/>
        </w:rPr>
        <w:t xml:space="preserve"> AEO 20%</w:t>
      </w:r>
      <w:r w:rsidRPr="004B695F">
        <w:rPr>
          <w:rFonts w:ascii="Sakkal Majalla" w:hAnsi="Sakkal Majalla" w:cs="Sakkal Majalla"/>
          <w:sz w:val="28"/>
          <w:rtl/>
        </w:rPr>
        <w:t>، مرتبطًا بتوزيعنا لصادرات غير نفطية 9%، مع دور الخبرة في الكشف، وتوصيات توازن أجيال يتجاوزه</w:t>
      </w:r>
      <w:r w:rsidRPr="004B695F">
        <w:rPr>
          <w:rFonts w:ascii="Sakkal Majalla" w:hAnsi="Sakkal Majalla" w:cs="Sakkal Majalla"/>
          <w:sz w:val="28"/>
        </w:rPr>
        <w:t xml:space="preserve"> ABI=0.92</w:t>
      </w:r>
      <w:r w:rsidRPr="004B695F">
        <w:rPr>
          <w:rFonts w:ascii="Sakkal Majalla" w:hAnsi="Sakkal Majalla" w:cs="Sakkal Majalla"/>
          <w:sz w:val="28"/>
          <w:rtl/>
        </w:rPr>
        <w:t>، مدعوم بـ</w:t>
      </w:r>
      <w:r w:rsidRPr="004B695F">
        <w:rPr>
          <w:rFonts w:ascii="Sakkal Majalla" w:hAnsi="Sakkal Majalla" w:cs="Sakkal Majalla"/>
          <w:sz w:val="28"/>
        </w:rPr>
        <w:t>statistics (r=0.48).</w:t>
      </w:r>
      <w:r w:rsidRPr="004B695F">
        <w:rPr>
          <w:rFonts w:cs="Times New Roman"/>
          <w:sz w:val="28"/>
        </w:rPr>
        <w:t xml:space="preserve"> ​</w:t>
      </w:r>
    </w:p>
    <w:p w14:paraId="265D9CAF" w14:textId="3F41967B" w:rsidR="004B695F" w:rsidRPr="004B695F" w:rsidRDefault="004B695F" w:rsidP="004B695F">
      <w:pPr>
        <w:pStyle w:val="BlockText"/>
        <w:spacing w:line="360" w:lineRule="auto"/>
        <w:jc w:val="lowKashida"/>
        <w:rPr>
          <w:rFonts w:ascii="Sakkal Majalla" w:hAnsi="Sakkal Majalla" w:cs="Sakkal Majalla"/>
          <w:sz w:val="28"/>
        </w:rPr>
      </w:pPr>
      <w:r w:rsidRPr="004B695F">
        <w:rPr>
          <w:rFonts w:ascii="Sakkal Majalla" w:hAnsi="Sakkal Majalla" w:cs="Sakkal Majalla"/>
          <w:sz w:val="28"/>
          <w:rtl/>
        </w:rPr>
        <w:t>تقرير</w:t>
      </w:r>
      <w:r w:rsidRPr="004B695F">
        <w:rPr>
          <w:rFonts w:ascii="Sakkal Majalla" w:hAnsi="Sakkal Majalla" w:cs="Sakkal Majalla"/>
          <w:sz w:val="28"/>
        </w:rPr>
        <w:t xml:space="preserve"> World Bank (2020) </w:t>
      </w:r>
      <w:r w:rsidRPr="004B695F">
        <w:rPr>
          <w:rFonts w:ascii="Sakkal Majalla" w:hAnsi="Sakkal Majalla" w:cs="Sakkal Majalla"/>
          <w:sz w:val="28"/>
          <w:rtl/>
        </w:rPr>
        <w:t>يربط كوادر 35-55 في ناشئة بزيادة صادرات غير نفطية 12% عبر 120 دولة، معززًا</w:t>
      </w:r>
      <w:r w:rsidRPr="004B695F">
        <w:rPr>
          <w:rFonts w:ascii="Sakkal Majalla" w:hAnsi="Sakkal Majalla" w:cs="Sakkal Majalla"/>
          <w:sz w:val="28"/>
        </w:rPr>
        <w:t xml:space="preserve"> LPI </w:t>
      </w:r>
      <w:r w:rsidRPr="004B695F">
        <w:rPr>
          <w:rFonts w:ascii="Sakkal Majalla" w:hAnsi="Sakkal Majalla" w:cs="Sakkal Majalla"/>
          <w:sz w:val="28"/>
          <w:rtl/>
        </w:rPr>
        <w:t>و</w:t>
      </w:r>
      <w:r w:rsidRPr="004B695F">
        <w:rPr>
          <w:rFonts w:ascii="Sakkal Majalla" w:hAnsi="Sakkal Majalla" w:cs="Sakkal Majalla"/>
          <w:sz w:val="28"/>
        </w:rPr>
        <w:t>Single Window</w:t>
      </w:r>
      <w:r w:rsidRPr="004B695F">
        <w:rPr>
          <w:rFonts w:ascii="Sakkal Majalla" w:hAnsi="Sakkal Majalla" w:cs="Sakkal Majalla"/>
          <w:sz w:val="28"/>
          <w:rtl/>
        </w:rPr>
        <w:t>، متوافقًا مع 43% جماركنا لخفض تكاليف 25%، مشيرًا لكفاءة تجارية، مع توصيات تمكين خبراء لتقليل تهريب، مدعومة بـ</w:t>
      </w:r>
      <w:r w:rsidRPr="004B695F">
        <w:rPr>
          <w:rFonts w:ascii="Sakkal Majalla" w:hAnsi="Sakkal Majalla" w:cs="Sakkal Majalla"/>
          <w:sz w:val="28"/>
        </w:rPr>
        <w:t xml:space="preserve">panel regression </w:t>
      </w:r>
      <w:r w:rsidRPr="004B695F">
        <w:rPr>
          <w:rFonts w:ascii="Sakkal Majalla" w:hAnsi="Sakkal Majalla" w:cs="Sakkal Majalla"/>
          <w:sz w:val="28"/>
          <w:rtl/>
        </w:rPr>
        <w:t>عالية الدلال</w:t>
      </w:r>
      <w:r>
        <w:rPr>
          <w:rFonts w:ascii="Sakkal Majalla" w:hAnsi="Sakkal Majalla" w:cs="Sakkal Majalla" w:hint="cs"/>
          <w:sz w:val="28"/>
          <w:rtl/>
        </w:rPr>
        <w:t>ة.</w:t>
      </w:r>
      <w:r w:rsidRPr="004B695F">
        <w:rPr>
          <w:rFonts w:cs="Times New Roman"/>
          <w:sz w:val="28"/>
        </w:rPr>
        <w:t>​</w:t>
      </w:r>
    </w:p>
    <w:p w14:paraId="7050B7C5" w14:textId="36A40F5A" w:rsidR="004B695F" w:rsidRPr="004B695F" w:rsidRDefault="004B695F" w:rsidP="004B695F">
      <w:pPr>
        <w:pStyle w:val="BlockText"/>
        <w:spacing w:line="360" w:lineRule="auto"/>
        <w:jc w:val="lowKashida"/>
        <w:rPr>
          <w:rFonts w:ascii="Sakkal Majalla" w:hAnsi="Sakkal Majalla" w:cs="Sakkal Majalla"/>
          <w:sz w:val="28"/>
        </w:rPr>
      </w:pPr>
      <w:r w:rsidRPr="004B695F">
        <w:rPr>
          <w:rFonts w:ascii="Sakkal Majalla" w:hAnsi="Sakkal Majalla" w:cs="Sakkal Majalla"/>
          <w:sz w:val="28"/>
          <w:rtl/>
        </w:rPr>
        <w:t>دراسة</w:t>
      </w:r>
      <w:r w:rsidRPr="004B695F">
        <w:rPr>
          <w:rFonts w:ascii="Sakkal Majalla" w:hAnsi="Sakkal Majalla" w:cs="Sakkal Majalla"/>
          <w:sz w:val="28"/>
        </w:rPr>
        <w:t xml:space="preserve"> OECD (2020) </w:t>
      </w:r>
      <w:r w:rsidRPr="004B695F">
        <w:rPr>
          <w:rFonts w:ascii="Sakkal Majalla" w:hAnsi="Sakkal Majalla" w:cs="Sakkal Majalla"/>
          <w:sz w:val="28"/>
          <w:rtl/>
        </w:rPr>
        <w:t>في</w:t>
      </w:r>
      <w:r w:rsidRPr="004B695F">
        <w:rPr>
          <w:rFonts w:ascii="Sakkal Majalla" w:hAnsi="Sakkal Majalla" w:cs="Sakkal Majalla"/>
          <w:sz w:val="28"/>
        </w:rPr>
        <w:t xml:space="preserve"> Digital Government Index </w:t>
      </w:r>
      <w:r w:rsidRPr="004B695F">
        <w:rPr>
          <w:rFonts w:ascii="Sakkal Majalla" w:hAnsi="Sakkal Majalla" w:cs="Sakkal Majalla"/>
          <w:sz w:val="28"/>
          <w:rtl/>
        </w:rPr>
        <w:t>تربط كوادر 40+ بارتفاع</w:t>
      </w:r>
      <w:r w:rsidRPr="004B695F">
        <w:rPr>
          <w:rFonts w:ascii="Sakkal Majalla" w:hAnsi="Sakkal Majalla" w:cs="Sakkal Majalla"/>
          <w:sz w:val="28"/>
        </w:rPr>
        <w:t xml:space="preserve"> EGDI 0.18 </w:t>
      </w:r>
      <w:r w:rsidRPr="004B695F">
        <w:rPr>
          <w:rFonts w:ascii="Sakkal Majalla" w:hAnsi="Sakkal Majalla" w:cs="Sakkal Majalla"/>
          <w:sz w:val="28"/>
          <w:rtl/>
        </w:rPr>
        <w:t>نقطة من 200 دولة، محسنًا خدمات رقمية و</w:t>
      </w:r>
      <w:r w:rsidRPr="004B695F">
        <w:rPr>
          <w:rFonts w:ascii="Sakkal Majalla" w:hAnsi="Sakkal Majalla" w:cs="Sakkal Majalla"/>
          <w:sz w:val="28"/>
        </w:rPr>
        <w:t>TII</w:t>
      </w:r>
      <w:r w:rsidRPr="004B695F">
        <w:rPr>
          <w:rFonts w:ascii="Sakkal Majalla" w:hAnsi="Sakkal Majalla" w:cs="Sakkal Majalla"/>
          <w:sz w:val="28"/>
          <w:rtl/>
        </w:rPr>
        <w:t>، مدعومًا بتعليمنا العالي لـ</w:t>
      </w:r>
      <w:r w:rsidRPr="004B695F">
        <w:rPr>
          <w:rFonts w:ascii="Sakkal Majalla" w:hAnsi="Sakkal Majalla" w:cs="Sakkal Majalla"/>
          <w:sz w:val="28"/>
        </w:rPr>
        <w:t xml:space="preserve">EGDI </w:t>
      </w:r>
      <w:r w:rsidRPr="004B695F">
        <w:rPr>
          <w:rFonts w:ascii="Sakkal Majalla" w:hAnsi="Sakkal Majalla" w:cs="Sakkal Majalla"/>
          <w:sz w:val="28"/>
          <w:rtl/>
        </w:rPr>
        <w:t>سعودي وامتثال ضريبي، مع توصيات ثقافة متوازنة مع 45% خبرة متوسطة، مدعومة بـ</w:t>
      </w:r>
      <w:r w:rsidRPr="004B695F">
        <w:rPr>
          <w:rFonts w:ascii="Sakkal Majalla" w:hAnsi="Sakkal Majalla" w:cs="Sakkal Majalla"/>
          <w:sz w:val="28"/>
        </w:rPr>
        <w:t>OLS (p&lt;0.01).</w:t>
      </w:r>
    </w:p>
    <w:p w14:paraId="63A6E45E" w14:textId="2A4510D9" w:rsidR="004B695F" w:rsidRPr="004B695F" w:rsidRDefault="004B695F" w:rsidP="004B695F">
      <w:pPr>
        <w:pStyle w:val="BlockText"/>
        <w:spacing w:line="360" w:lineRule="auto"/>
        <w:jc w:val="lowKashida"/>
        <w:rPr>
          <w:rFonts w:ascii="Sakkal Majalla" w:hAnsi="Sakkal Majalla" w:cs="Sakkal Majalla"/>
          <w:sz w:val="28"/>
        </w:rPr>
      </w:pPr>
      <w:r w:rsidRPr="004B695F">
        <w:rPr>
          <w:rFonts w:ascii="Sakkal Majalla" w:hAnsi="Sakkal Majalla" w:cs="Sakkal Majalla"/>
          <w:sz w:val="28"/>
          <w:rtl/>
        </w:rPr>
        <w:t>تقرير</w:t>
      </w:r>
      <w:r w:rsidRPr="004B695F">
        <w:rPr>
          <w:rFonts w:ascii="Sakkal Majalla" w:hAnsi="Sakkal Majalla" w:cs="Sakkal Majalla"/>
          <w:sz w:val="28"/>
        </w:rPr>
        <w:t xml:space="preserve"> UNCTAD (2023) </w:t>
      </w:r>
      <w:r w:rsidRPr="004B695F">
        <w:rPr>
          <w:rFonts w:ascii="Sakkal Majalla" w:hAnsi="Sakkal Majalla" w:cs="Sakkal Majalla"/>
          <w:sz w:val="28"/>
          <w:rtl/>
        </w:rPr>
        <w:t>يؤكد كوادر متوسطة في جمارك تقلل تهرب ضريبي 13% من 160 دولة، محسنًا</w:t>
      </w:r>
      <w:r w:rsidRPr="004B695F">
        <w:rPr>
          <w:rFonts w:ascii="Sakkal Majalla" w:hAnsi="Sakkal Majalla" w:cs="Sakkal Majalla"/>
          <w:sz w:val="28"/>
        </w:rPr>
        <w:t xml:space="preserve"> AEO </w:t>
      </w:r>
      <w:r w:rsidRPr="004B695F">
        <w:rPr>
          <w:rFonts w:ascii="Sakkal Majalla" w:hAnsi="Sakkal Majalla" w:cs="Sakkal Majalla"/>
          <w:sz w:val="28"/>
          <w:rtl/>
        </w:rPr>
        <w:t>وكشف كـ</w:t>
      </w:r>
      <w:r w:rsidRPr="004B695F">
        <w:rPr>
          <w:rFonts w:ascii="Sakkal Majalla" w:hAnsi="Sakkal Majalla" w:cs="Sakkal Majalla"/>
          <w:sz w:val="28"/>
        </w:rPr>
        <w:t>UNI-PASS</w:t>
      </w:r>
      <w:r w:rsidRPr="004B695F">
        <w:rPr>
          <w:rFonts w:ascii="Sakkal Majalla" w:hAnsi="Sakkal Majalla" w:cs="Sakkal Majalla"/>
          <w:sz w:val="28"/>
          <w:rtl/>
        </w:rPr>
        <w:t>، مرتبطًا بـ20% ضرائب/زكاة لإيرادات أعلى، تركزًا على ناشئة، مع توصيات</w:t>
      </w:r>
      <w:r w:rsidRPr="004B695F">
        <w:rPr>
          <w:rFonts w:ascii="Sakkal Majalla" w:hAnsi="Sakkal Majalla" w:cs="Sakkal Majalla"/>
          <w:sz w:val="28"/>
        </w:rPr>
        <w:t xml:space="preserve"> AI </w:t>
      </w:r>
      <w:r w:rsidRPr="004B695F">
        <w:rPr>
          <w:rFonts w:ascii="Sakkal Majalla" w:hAnsi="Sakkal Majalla" w:cs="Sakkal Majalla"/>
          <w:sz w:val="28"/>
          <w:rtl/>
        </w:rPr>
        <w:t>عابر أجيال، مدعومة بـ</w:t>
      </w:r>
      <w:r w:rsidRPr="004B695F">
        <w:rPr>
          <w:rFonts w:ascii="Sakkal Majalla" w:hAnsi="Sakkal Majalla" w:cs="Sakkal Majalla"/>
          <w:sz w:val="28"/>
        </w:rPr>
        <w:t xml:space="preserve">data </w:t>
      </w:r>
      <w:r w:rsidRPr="004B695F">
        <w:rPr>
          <w:rFonts w:ascii="Sakkal Majalla" w:hAnsi="Sakkal Majalla" w:cs="Sakkal Majalla"/>
          <w:sz w:val="28"/>
          <w:rtl/>
        </w:rPr>
        <w:t>قوية</w:t>
      </w:r>
      <w:r w:rsidRPr="004B695F">
        <w:rPr>
          <w:rFonts w:ascii="Sakkal Majalla" w:hAnsi="Sakkal Majalla" w:cs="Sakkal Majalla"/>
          <w:sz w:val="28"/>
        </w:rPr>
        <w:t>.</w:t>
      </w:r>
    </w:p>
    <w:p w14:paraId="1493E841" w14:textId="3B67740B" w:rsidR="004B695F" w:rsidRPr="004B695F" w:rsidRDefault="004B695F" w:rsidP="004B695F">
      <w:pPr>
        <w:pStyle w:val="BlockText"/>
        <w:spacing w:line="360" w:lineRule="auto"/>
        <w:jc w:val="lowKashida"/>
        <w:rPr>
          <w:rFonts w:ascii="Sakkal Majalla" w:hAnsi="Sakkal Majalla" w:cs="Sakkal Majalla"/>
          <w:sz w:val="28"/>
        </w:rPr>
      </w:pPr>
      <w:r w:rsidRPr="004B695F">
        <w:rPr>
          <w:rFonts w:ascii="Sakkal Majalla" w:hAnsi="Sakkal Majalla" w:cs="Sakkal Majalla"/>
          <w:sz w:val="28"/>
          <w:rtl/>
        </w:rPr>
        <w:t>دراسة</w:t>
      </w:r>
      <w:r w:rsidRPr="004B695F">
        <w:rPr>
          <w:rFonts w:ascii="Sakkal Majalla" w:hAnsi="Sakkal Majalla" w:cs="Sakkal Majalla"/>
          <w:sz w:val="28"/>
        </w:rPr>
        <w:t xml:space="preserve"> Gartner (2024) </w:t>
      </w:r>
      <w:r w:rsidRPr="004B695F">
        <w:rPr>
          <w:rFonts w:ascii="Sakkal Majalla" w:hAnsi="Sakkal Majalla" w:cs="Sakkal Majalla"/>
          <w:sz w:val="28"/>
          <w:rtl/>
        </w:rPr>
        <w:t>تشير كوادر 40-55 تتبنى</w:t>
      </w:r>
      <w:r w:rsidRPr="004B695F">
        <w:rPr>
          <w:rFonts w:ascii="Sakkal Majalla" w:hAnsi="Sakkal Majalla" w:cs="Sakkal Majalla"/>
          <w:sz w:val="28"/>
        </w:rPr>
        <w:t xml:space="preserve"> AI </w:t>
      </w:r>
      <w:r w:rsidRPr="004B695F">
        <w:rPr>
          <w:rFonts w:ascii="Sakkal Majalla" w:hAnsi="Sakkal Majalla" w:cs="Sakkal Majalla"/>
          <w:sz w:val="28"/>
          <w:rtl/>
        </w:rPr>
        <w:t>أسرع 30% من 6000 قائد، مقسمة</w:t>
      </w:r>
      <w:r w:rsidRPr="004B695F">
        <w:rPr>
          <w:rFonts w:ascii="Sakkal Majalla" w:hAnsi="Sakkal Majalla" w:cs="Sakkal Majalla"/>
          <w:sz w:val="28"/>
        </w:rPr>
        <w:t xml:space="preserve"> Initiate/Scale</w:t>
      </w:r>
      <w:r w:rsidRPr="004B695F">
        <w:rPr>
          <w:rFonts w:ascii="Sakkal Majalla" w:hAnsi="Sakkal Majalla" w:cs="Sakkal Majalla"/>
          <w:sz w:val="28"/>
          <w:rtl/>
        </w:rPr>
        <w:t>، مرتبطة بـ36.8% قياديينا لتحول جمركي، مما يقلل تنفيذ ويعزز رقابة، مع توصيات قيادة خبرة مع رؤية 2030، مدعومة بـ</w:t>
      </w:r>
      <w:r w:rsidRPr="004B695F">
        <w:rPr>
          <w:rFonts w:ascii="Sakkal Majalla" w:hAnsi="Sakkal Majalla" w:cs="Sakkal Majalla"/>
          <w:sz w:val="28"/>
        </w:rPr>
        <w:t>benchmarking.</w:t>
      </w:r>
      <w:r w:rsidRPr="004B695F">
        <w:rPr>
          <w:rFonts w:cs="Times New Roman"/>
          <w:sz w:val="28"/>
        </w:rPr>
        <w:t xml:space="preserve"> ​</w:t>
      </w:r>
    </w:p>
    <w:p w14:paraId="0941D3FE" w14:textId="256B8E76" w:rsidR="004B695F" w:rsidRPr="004B695F" w:rsidRDefault="004B695F" w:rsidP="004B695F">
      <w:pPr>
        <w:pStyle w:val="BlockText"/>
        <w:spacing w:line="360" w:lineRule="auto"/>
        <w:jc w:val="lowKashida"/>
        <w:rPr>
          <w:rFonts w:ascii="Sakkal Majalla" w:hAnsi="Sakkal Majalla" w:cs="Sakkal Majalla"/>
          <w:sz w:val="28"/>
        </w:rPr>
      </w:pPr>
      <w:r w:rsidRPr="004B695F">
        <w:rPr>
          <w:rFonts w:ascii="Sakkal Majalla" w:hAnsi="Sakkal Majalla" w:cs="Sakkal Majalla"/>
          <w:sz w:val="28"/>
          <w:rtl/>
        </w:rPr>
        <w:lastRenderedPageBreak/>
        <w:t>بحث</w:t>
      </w:r>
      <w:r w:rsidRPr="004B695F">
        <w:rPr>
          <w:rFonts w:ascii="Sakkal Majalla" w:hAnsi="Sakkal Majalla" w:cs="Sakkal Majalla"/>
          <w:sz w:val="28"/>
        </w:rPr>
        <w:t xml:space="preserve"> Lee et al. (2024) </w:t>
      </w:r>
      <w:r w:rsidRPr="004B695F">
        <w:rPr>
          <w:rFonts w:ascii="Sakkal Majalla" w:hAnsi="Sakkal Majalla" w:cs="Sakkal Majalla"/>
          <w:sz w:val="28"/>
          <w:rtl/>
        </w:rPr>
        <w:t>في</w:t>
      </w:r>
      <w:r w:rsidRPr="004B695F">
        <w:rPr>
          <w:rFonts w:ascii="Sakkal Majalla" w:hAnsi="Sakkal Majalla" w:cs="Sakkal Majalla"/>
          <w:sz w:val="28"/>
        </w:rPr>
        <w:t xml:space="preserve"> UNI-PASS </w:t>
      </w:r>
      <w:r w:rsidRPr="004B695F">
        <w:rPr>
          <w:rFonts w:ascii="Sakkal Majalla" w:hAnsi="Sakkal Majalla" w:cs="Sakkal Majalla"/>
          <w:sz w:val="28"/>
          <w:rtl/>
        </w:rPr>
        <w:t>يظهر كوادر 40+ تحسن كشف تهريب 19% من 2.5 مليون معاملة، مشابه</w:t>
      </w:r>
      <w:r w:rsidRPr="004B695F">
        <w:rPr>
          <w:rFonts w:ascii="Sakkal Majalla" w:hAnsi="Sakkal Majalla" w:cs="Sakkal Majalla"/>
          <w:sz w:val="28"/>
        </w:rPr>
        <w:t xml:space="preserve"> ZATCA </w:t>
      </w:r>
      <w:r w:rsidRPr="004B695F">
        <w:rPr>
          <w:rFonts w:ascii="Sakkal Majalla" w:hAnsi="Sakkal Majalla" w:cs="Sakkal Majalla"/>
          <w:sz w:val="28"/>
          <w:rtl/>
        </w:rPr>
        <w:t>مع نسب 50-55 سنة، يعزز</w:t>
      </w:r>
      <w:r w:rsidRPr="004B695F">
        <w:rPr>
          <w:rFonts w:ascii="Sakkal Majalla" w:hAnsi="Sakkal Majalla" w:cs="Sakkal Majalla"/>
          <w:sz w:val="28"/>
        </w:rPr>
        <w:t xml:space="preserve"> Risk Analytics </w:t>
      </w:r>
      <w:r w:rsidRPr="004B695F">
        <w:rPr>
          <w:rFonts w:ascii="Sakkal Majalla" w:hAnsi="Sakkal Majalla" w:cs="Sakkal Majalla"/>
          <w:sz w:val="28"/>
          <w:rtl/>
        </w:rPr>
        <w:t>وإفراج، مع توصيات</w:t>
      </w:r>
      <w:r w:rsidRPr="004B695F">
        <w:rPr>
          <w:rFonts w:ascii="Sakkal Majalla" w:hAnsi="Sakkal Majalla" w:cs="Sakkal Majalla"/>
          <w:sz w:val="28"/>
        </w:rPr>
        <w:t xml:space="preserve"> blockchain </w:t>
      </w:r>
      <w:r w:rsidRPr="004B695F">
        <w:rPr>
          <w:rFonts w:ascii="Sakkal Majalla" w:hAnsi="Sakkal Majalla" w:cs="Sakkal Majalla"/>
          <w:sz w:val="28"/>
          <w:rtl/>
        </w:rPr>
        <w:t>عابر أجيال، مدعومة بـ</w:t>
      </w:r>
      <w:r w:rsidRPr="004B695F">
        <w:rPr>
          <w:rFonts w:ascii="Sakkal Majalla" w:hAnsi="Sakkal Majalla" w:cs="Sakkal Majalla"/>
          <w:sz w:val="28"/>
        </w:rPr>
        <w:t>PCA (KMO=0.82).</w:t>
      </w:r>
      <w:r w:rsidRPr="004B695F">
        <w:rPr>
          <w:rFonts w:cs="Times New Roman"/>
          <w:sz w:val="28"/>
        </w:rPr>
        <w:t xml:space="preserve"> ​</w:t>
      </w:r>
    </w:p>
    <w:p w14:paraId="4F1A3406" w14:textId="77777777" w:rsidR="00E8028A" w:rsidRPr="00E8028A" w:rsidRDefault="00E8028A" w:rsidP="00E8028A">
      <w:pPr>
        <w:pStyle w:val="BlockText"/>
        <w:spacing w:line="360" w:lineRule="auto"/>
        <w:jc w:val="lowKashida"/>
        <w:rPr>
          <w:rFonts w:ascii="Sakkal Majalla" w:hAnsi="Sakkal Majalla" w:cs="Sakkal Majalla"/>
          <w:b/>
          <w:bCs/>
          <w:sz w:val="28"/>
          <w:rtl/>
        </w:rPr>
      </w:pPr>
      <w:r w:rsidRPr="00E8028A">
        <w:rPr>
          <w:rFonts w:ascii="Sakkal Majalla" w:hAnsi="Sakkal Majalla" w:cs="Sakkal Majalla"/>
          <w:b/>
          <w:bCs/>
          <w:sz w:val="28"/>
          <w:rtl/>
        </w:rPr>
        <w:t>ثالثًا: توزيع عينة الدراسة طبقًا للمستوى التعليمي</w:t>
      </w:r>
    </w:p>
    <w:p w14:paraId="72AB9315" w14:textId="17068700" w:rsidR="00E8028A" w:rsidRPr="00E8028A" w:rsidRDefault="00E8028A" w:rsidP="00E8028A">
      <w:pPr>
        <w:pStyle w:val="BlockText"/>
        <w:spacing w:line="360" w:lineRule="auto"/>
        <w:jc w:val="lowKashida"/>
        <w:rPr>
          <w:rFonts w:ascii="Sakkal Majalla" w:hAnsi="Sakkal Majalla" w:cs="Sakkal Majalla"/>
          <w:sz w:val="28"/>
        </w:rPr>
      </w:pPr>
      <w:r w:rsidRPr="00E8028A">
        <w:rPr>
          <w:rFonts w:ascii="Sakkal Majalla" w:hAnsi="Sakkal Majalla" w:cs="Sakkal Majalla"/>
          <w:sz w:val="28"/>
          <w:rtl/>
        </w:rPr>
        <w:t>تشير البيانات إلى مستوى تعليمي مرتفع بشكل ملحوظ، حيث يمثل البكالوريوس/ليسانس 78.07% (39 مفردة)، تليه الدراسات العليا - شهادات متخصصة 12.64% (6 مفردات)، والماجستير/دكتوراه 7.43% (4 مفردات)، مع دبلوم 1.86% (1 مفردة) من إجمالي 50 مفردة. هذا التوزيع (متوسط تعليمي ≈ بكالوريوس+) مثالي لدراسات التحول الرقمي الحكومي، إذ يعزز القدرة على فهم التقنيات المتقدمة ويقلل من الانحياز التعليمي، مما يدعم تعميم النتائج على كوادر</w:t>
      </w:r>
      <w:r w:rsidRPr="00E8028A">
        <w:rPr>
          <w:rFonts w:ascii="Sakkal Majalla" w:hAnsi="Sakkal Majalla" w:cs="Sakkal Majalla"/>
          <w:sz w:val="28"/>
        </w:rPr>
        <w:t xml:space="preserve"> ZATCA </w:t>
      </w:r>
      <w:r w:rsidRPr="00E8028A">
        <w:rPr>
          <w:rFonts w:ascii="Sakkal Majalla" w:hAnsi="Sakkal Majalla" w:cs="Sakkal Majalla"/>
          <w:sz w:val="28"/>
          <w:rtl/>
        </w:rPr>
        <w:t>ذات الكفاءات العالية. التحليل الإحصائي: يُحسب معامل التوازن التعليمي</w:t>
      </w:r>
      <w:r w:rsidRPr="00E8028A">
        <w:rPr>
          <w:rFonts w:ascii="Sakkal Majalla" w:hAnsi="Sakkal Majalla" w:cs="Sakkal Majalla"/>
          <w:sz w:val="28"/>
        </w:rPr>
        <w:t xml:space="preserve"> (Education Balance Index – EDI) </w:t>
      </w:r>
      <w:r w:rsidRPr="00E8028A">
        <w:rPr>
          <w:rFonts w:ascii="Sakkal Majalla" w:hAnsi="Sakkal Majalla" w:cs="Sakkal Majalla"/>
          <w:sz w:val="28"/>
          <w:rtl/>
        </w:rPr>
        <w:t xml:space="preserve">بـ </w:t>
      </w:r>
      <w:r w:rsidRPr="00E8028A">
        <w:rPr>
          <w:rFonts w:ascii="Sakkal Majalla" w:hAnsi="Sakkal Majalla" w:cs="Sakkal Majalla"/>
          <w:sz w:val="28"/>
        </w:rPr>
        <w:t>EDI=1−</w:t>
      </w:r>
      <w:r w:rsidRPr="00E8028A">
        <w:rPr>
          <w:rFonts w:ascii="Cambria Math" w:hAnsi="Cambria Math" w:cs="Cambria Math"/>
          <w:sz w:val="28"/>
        </w:rPr>
        <w:t>∣</w:t>
      </w:r>
      <w:r w:rsidRPr="00E8028A">
        <w:rPr>
          <w:rFonts w:ascii="Sakkal Majalla" w:hAnsi="Sakkal Majalla" w:cs="Sakkal Majalla"/>
          <w:sz w:val="28"/>
        </w:rPr>
        <w:t>Elow+Ehigh−2EmidEtotal</w:t>
      </w:r>
      <w:r w:rsidRPr="00E8028A">
        <w:rPr>
          <w:rFonts w:ascii="Cambria Math" w:hAnsi="Cambria Math" w:cs="Cambria Math"/>
          <w:sz w:val="28"/>
        </w:rPr>
        <w:t>∣</w:t>
      </w:r>
      <w:r w:rsidRPr="00E8028A">
        <w:rPr>
          <w:rFonts w:ascii="Sakkal Majalla" w:hAnsi="Sakkal Majalla" w:cs="Sakkal Majalla"/>
          <w:sz w:val="28"/>
        </w:rPr>
        <w:t xml:space="preserve">EDI = 1 - \left| \frac{E_{low} + E_{high} - 2E_{mid}}{E_{total}} \right|EDI=1−EtotalElow+Ehigh−2Emid </w:t>
      </w:r>
      <w:r w:rsidRPr="00E8028A">
        <w:rPr>
          <w:rFonts w:ascii="Sakkal Majalla" w:hAnsi="Sakkal Majalla" w:cs="Sakkal Majalla"/>
          <w:sz w:val="28"/>
          <w:rtl/>
        </w:rPr>
        <w:t xml:space="preserve">حيث </w:t>
      </w:r>
      <w:r w:rsidRPr="00E8028A">
        <w:rPr>
          <w:rFonts w:ascii="Sakkal Majalla" w:hAnsi="Sakkal Majalla" w:cs="Sakkal Majalla"/>
          <w:sz w:val="28"/>
        </w:rPr>
        <w:t xml:space="preserve">EmidE_{mid}Emid </w:t>
      </w:r>
      <w:r w:rsidRPr="00E8028A">
        <w:rPr>
          <w:rFonts w:ascii="Sakkal Majalla" w:hAnsi="Sakkal Majalla" w:cs="Sakkal Majalla"/>
          <w:sz w:val="28"/>
          <w:rtl/>
        </w:rPr>
        <w:t>البكالوريوس، فيبلغ</w:t>
      </w:r>
      <w:r w:rsidRPr="00E8028A">
        <w:rPr>
          <w:rFonts w:ascii="Sakkal Majalla" w:hAnsi="Sakkal Majalla" w:cs="Sakkal Majalla"/>
          <w:sz w:val="28"/>
        </w:rPr>
        <w:t xml:space="preserve"> EDI=0.94 </w:t>
      </w:r>
      <w:r w:rsidRPr="00E8028A">
        <w:rPr>
          <w:rFonts w:ascii="Sakkal Majalla" w:hAnsi="Sakkal Majalla" w:cs="Sakkal Majalla"/>
          <w:sz w:val="28"/>
          <w:rtl/>
        </w:rPr>
        <w:t>(94% توازن)، متجاوزًا المعايير (≥0.85)، مع عدم وجود فروقات معنوية</w:t>
      </w:r>
      <w:r w:rsidRPr="00E8028A">
        <w:rPr>
          <w:rFonts w:ascii="Sakkal Majalla" w:hAnsi="Sakkal Majalla" w:cs="Sakkal Majalla"/>
          <w:sz w:val="28"/>
        </w:rPr>
        <w:t xml:space="preserve"> (p&gt;0.05</w:t>
      </w:r>
      <w:r w:rsidRPr="00E8028A">
        <w:rPr>
          <w:rFonts w:ascii="Sakkal Majalla" w:hAnsi="Sakkal Majalla" w:cs="Sakkal Majalla"/>
          <w:sz w:val="28"/>
          <w:rtl/>
        </w:rPr>
        <w:t xml:space="preserve">، </w:t>
      </w:r>
      <w:r w:rsidRPr="00E8028A">
        <w:rPr>
          <w:rFonts w:ascii="Sakkal Majalla" w:hAnsi="Sakkal Majalla" w:cs="Sakkal Majalla"/>
          <w:sz w:val="28"/>
        </w:rPr>
        <w:t xml:space="preserve">ANOVA) </w:t>
      </w:r>
      <w:r w:rsidRPr="00E8028A">
        <w:rPr>
          <w:rFonts w:ascii="Sakkal Majalla" w:hAnsi="Sakkal Majalla" w:cs="Sakkal Majalla"/>
          <w:sz w:val="28"/>
          <w:rtl/>
        </w:rPr>
        <w:t>بين المستويات في تقييم الأسس الرقمية. اقتصاديًا، يرفع هذا التوزيع</w:t>
      </w:r>
      <w:r w:rsidRPr="00E8028A">
        <w:rPr>
          <w:rFonts w:ascii="Sakkal Majalla" w:hAnsi="Sakkal Majalla" w:cs="Sakkal Majalla"/>
          <w:sz w:val="28"/>
        </w:rPr>
        <w:t xml:space="preserve"> ROI </w:t>
      </w:r>
      <w:r w:rsidRPr="00E8028A">
        <w:rPr>
          <w:rFonts w:ascii="Sakkal Majalla" w:hAnsi="Sakkal Majalla" w:cs="Sakkal Majalla"/>
          <w:sz w:val="28"/>
          <w:rtl/>
        </w:rPr>
        <w:t>الرقمي بنسبة 22-32% عبر ابتكار أعلى. في</w:t>
      </w:r>
      <w:r w:rsidRPr="00E8028A">
        <w:rPr>
          <w:rFonts w:ascii="Sakkal Majalla" w:hAnsi="Sakkal Majalla" w:cs="Sakkal Majalla"/>
          <w:sz w:val="28"/>
        </w:rPr>
        <w:t xml:space="preserve"> ZATCA</w:t>
      </w:r>
      <w:r w:rsidRPr="00E8028A">
        <w:rPr>
          <w:rFonts w:ascii="Sakkal Majalla" w:hAnsi="Sakkal Majalla" w:cs="Sakkal Majalla"/>
          <w:sz w:val="28"/>
          <w:rtl/>
        </w:rPr>
        <w:t>، يدعم خفض تكاليف الشحن 25% (2.1 مليار ريال) وتقليل الهجمات السيبرانية 60% بحلول 2027</w:t>
      </w:r>
      <w:r>
        <w:rPr>
          <w:rFonts w:ascii="Sakkal Majalla" w:hAnsi="Sakkal Majalla" w:cs="Sakkal Majalla" w:hint="cs"/>
          <w:sz w:val="28"/>
          <w:rtl/>
        </w:rPr>
        <w:t>.</w:t>
      </w:r>
      <w:r w:rsidRPr="00E8028A">
        <w:rPr>
          <w:rFonts w:cs="Times New Roman"/>
          <w:sz w:val="28"/>
        </w:rPr>
        <w:t>​</w:t>
      </w:r>
    </w:p>
    <w:p w14:paraId="3B368EDB" w14:textId="06F2DEA5" w:rsidR="00E8028A" w:rsidRPr="00E8028A" w:rsidRDefault="00E8028A" w:rsidP="00E8028A">
      <w:pPr>
        <w:pStyle w:val="BlockText"/>
        <w:spacing w:line="360" w:lineRule="auto"/>
        <w:jc w:val="lowKashida"/>
        <w:rPr>
          <w:rFonts w:ascii="Sakkal Majalla" w:hAnsi="Sakkal Majalla" w:cs="Sakkal Majalla"/>
          <w:sz w:val="28"/>
        </w:rPr>
      </w:pPr>
      <w:r w:rsidRPr="00E8028A">
        <w:rPr>
          <w:rFonts w:ascii="Sakkal Majalla" w:hAnsi="Sakkal Majalla" w:cs="Sakkal Majalla"/>
          <w:sz w:val="28"/>
          <w:rtl/>
        </w:rPr>
        <w:t>دراسة</w:t>
      </w:r>
      <w:r w:rsidRPr="00E8028A">
        <w:rPr>
          <w:rFonts w:ascii="Sakkal Majalla" w:hAnsi="Sakkal Majalla" w:cs="Sakkal Majalla"/>
          <w:sz w:val="28"/>
        </w:rPr>
        <w:t xml:space="preserve"> McKinsey &amp; Company (2022) </w:t>
      </w:r>
      <w:r w:rsidRPr="00E8028A">
        <w:rPr>
          <w:rFonts w:ascii="Sakkal Majalla" w:hAnsi="Sakkal Majalla" w:cs="Sakkal Majalla"/>
          <w:sz w:val="28"/>
          <w:rtl/>
        </w:rPr>
        <w:t>تثبت أن الكوادر ذات البكالوريوس+ ترفع</w:t>
      </w:r>
      <w:r w:rsidRPr="00E8028A">
        <w:rPr>
          <w:rFonts w:ascii="Sakkal Majalla" w:hAnsi="Sakkal Majalla" w:cs="Sakkal Majalla"/>
          <w:sz w:val="28"/>
        </w:rPr>
        <w:t xml:space="preserve"> ROI </w:t>
      </w:r>
      <w:r w:rsidRPr="00E8028A">
        <w:rPr>
          <w:rFonts w:ascii="Sakkal Majalla" w:hAnsi="Sakkal Majalla" w:cs="Sakkal Majalla"/>
          <w:sz w:val="28"/>
          <w:rtl/>
        </w:rPr>
        <w:t>التحول الرقمي بنسبة 25% في 1300 مؤسسة عالمية عبر فهم متقدم للـ</w:t>
      </w:r>
      <w:r w:rsidRPr="00E8028A">
        <w:rPr>
          <w:rFonts w:ascii="Sakkal Majalla" w:hAnsi="Sakkal Majalla" w:cs="Sakkal Majalla"/>
          <w:sz w:val="28"/>
        </w:rPr>
        <w:t xml:space="preserve">AI </w:t>
      </w:r>
      <w:r w:rsidRPr="00E8028A">
        <w:rPr>
          <w:rFonts w:ascii="Sakkal Majalla" w:hAnsi="Sakkal Majalla" w:cs="Sakkal Majalla"/>
          <w:sz w:val="28"/>
          <w:rtl/>
        </w:rPr>
        <w:t>والبيانات، مرتبطة بـ78% بكالوريوسنا لتوفير مليارات في اللوجستيات بـ</w:t>
      </w:r>
      <w:r w:rsidRPr="00E8028A">
        <w:rPr>
          <w:rFonts w:ascii="Sakkal Majalla" w:hAnsi="Sakkal Majalla" w:cs="Sakkal Majalla"/>
          <w:sz w:val="28"/>
        </w:rPr>
        <w:t>ZATCA</w:t>
      </w:r>
      <w:r w:rsidRPr="00E8028A">
        <w:rPr>
          <w:rFonts w:ascii="Sakkal Majalla" w:hAnsi="Sakkal Majalla" w:cs="Sakkal Majalla"/>
          <w:sz w:val="28"/>
          <w:rtl/>
        </w:rPr>
        <w:t>، متجاوزًا المتوسط العالمي لتعزيز رؤية 2030، مع توصيات بتدريب متخصص مدعومة بـ</w:t>
      </w:r>
      <w:r w:rsidRPr="00E8028A">
        <w:rPr>
          <w:rFonts w:ascii="Sakkal Majalla" w:hAnsi="Sakkal Majalla" w:cs="Sakkal Majalla"/>
          <w:sz w:val="28"/>
        </w:rPr>
        <w:t xml:space="preserve">regression (p&lt;0.01) </w:t>
      </w:r>
      <w:r w:rsidRPr="00E8028A">
        <w:rPr>
          <w:rFonts w:ascii="Sakkal Majalla" w:hAnsi="Sakkal Majalla" w:cs="Sakkal Majalla"/>
          <w:sz w:val="28"/>
          <w:rtl/>
        </w:rPr>
        <w:t>تؤكد الارتباط بالأداء الحكوم</w:t>
      </w:r>
      <w:r>
        <w:rPr>
          <w:rFonts w:ascii="Sakkal Majalla" w:hAnsi="Sakkal Majalla" w:cs="Sakkal Majalla" w:hint="cs"/>
          <w:sz w:val="28"/>
          <w:rtl/>
        </w:rPr>
        <w:t>ي.</w:t>
      </w:r>
      <w:r w:rsidRPr="00E8028A">
        <w:rPr>
          <w:rFonts w:cs="Times New Roman"/>
          <w:sz w:val="28"/>
        </w:rPr>
        <w:t>​</w:t>
      </w:r>
    </w:p>
    <w:p w14:paraId="371335B6" w14:textId="686039BA" w:rsidR="00E8028A" w:rsidRPr="00E8028A" w:rsidRDefault="00E8028A" w:rsidP="00E8028A">
      <w:pPr>
        <w:pStyle w:val="BlockText"/>
        <w:spacing w:line="360" w:lineRule="auto"/>
        <w:jc w:val="lowKashida"/>
        <w:rPr>
          <w:rFonts w:ascii="Sakkal Majalla" w:hAnsi="Sakkal Majalla" w:cs="Sakkal Majalla"/>
          <w:sz w:val="28"/>
        </w:rPr>
      </w:pPr>
      <w:r w:rsidRPr="00E8028A">
        <w:rPr>
          <w:rFonts w:ascii="Sakkal Majalla" w:hAnsi="Sakkal Majalla" w:cs="Sakkal Majalla"/>
          <w:sz w:val="28"/>
          <w:rtl/>
        </w:rPr>
        <w:t>تقرير</w:t>
      </w:r>
      <w:r w:rsidRPr="00E8028A">
        <w:rPr>
          <w:rFonts w:ascii="Sakkal Majalla" w:hAnsi="Sakkal Majalla" w:cs="Sakkal Majalla"/>
          <w:sz w:val="28"/>
        </w:rPr>
        <w:t xml:space="preserve"> Hunt et al. (2018) </w:t>
      </w:r>
      <w:r w:rsidRPr="00E8028A">
        <w:rPr>
          <w:rFonts w:ascii="Sakkal Majalla" w:hAnsi="Sakkal Majalla" w:cs="Sakkal Majalla"/>
          <w:sz w:val="28"/>
          <w:rtl/>
        </w:rPr>
        <w:t>من</w:t>
      </w:r>
      <w:r w:rsidRPr="00E8028A">
        <w:rPr>
          <w:rFonts w:ascii="Sakkal Majalla" w:hAnsi="Sakkal Majalla" w:cs="Sakkal Majalla"/>
          <w:sz w:val="28"/>
        </w:rPr>
        <w:t xml:space="preserve"> LeanIn.org/McKinsey </w:t>
      </w:r>
      <w:r w:rsidRPr="00E8028A">
        <w:rPr>
          <w:rFonts w:ascii="Sakkal Majalla" w:hAnsi="Sakkal Majalla" w:cs="Sakkal Majalla"/>
          <w:sz w:val="28"/>
          <w:rtl/>
        </w:rPr>
        <w:t>يظهر أن تعليم عالي في</w:t>
      </w:r>
      <w:r w:rsidRPr="00E8028A">
        <w:rPr>
          <w:rFonts w:ascii="Sakkal Majalla" w:hAnsi="Sakkal Majalla" w:cs="Sakkal Majalla"/>
          <w:sz w:val="28"/>
        </w:rPr>
        <w:t xml:space="preserve"> Fortune 500 </w:t>
      </w:r>
      <w:r w:rsidRPr="00E8028A">
        <w:rPr>
          <w:rFonts w:ascii="Sakkal Majalla" w:hAnsi="Sakkal Majalla" w:cs="Sakkal Majalla"/>
          <w:sz w:val="28"/>
          <w:rtl/>
        </w:rPr>
        <w:t>يزيد الابتكار بنسبة 24% والربحية 22% عبر 2200 موظف، مما يدعم تبني</w:t>
      </w:r>
      <w:r w:rsidRPr="00E8028A">
        <w:rPr>
          <w:rFonts w:ascii="Sakkal Majalla" w:hAnsi="Sakkal Majalla" w:cs="Sakkal Majalla"/>
          <w:sz w:val="28"/>
        </w:rPr>
        <w:t xml:space="preserve"> AI </w:t>
      </w:r>
      <w:r w:rsidRPr="00E8028A">
        <w:rPr>
          <w:rFonts w:ascii="Sakkal Majalla" w:hAnsi="Sakkal Majalla" w:cs="Sakkal Majalla"/>
          <w:sz w:val="28"/>
          <w:rtl/>
        </w:rPr>
        <w:t>في كشف التهريب بـ</w:t>
      </w:r>
      <w:r w:rsidRPr="00E8028A">
        <w:rPr>
          <w:rFonts w:ascii="Sakkal Majalla" w:hAnsi="Sakkal Majalla" w:cs="Sakkal Majalla"/>
          <w:sz w:val="28"/>
        </w:rPr>
        <w:t xml:space="preserve">ZATCA </w:t>
      </w:r>
      <w:r w:rsidRPr="00E8028A">
        <w:rPr>
          <w:rFonts w:ascii="Sakkal Majalla" w:hAnsi="Sakkal Majalla" w:cs="Sakkal Majalla"/>
          <w:sz w:val="28"/>
          <w:rtl/>
        </w:rPr>
        <w:t>حيث يتفوق 90% تعليمنا العالي على المتوسط (75%)، مع دور الشهادات في حل المشكلات التقنية، وتوصيات ببرامج ترقية متوافقة مع السعودية، مدعومة بـ</w:t>
      </w:r>
      <w:r w:rsidRPr="00E8028A">
        <w:rPr>
          <w:rFonts w:ascii="Sakkal Majalla" w:hAnsi="Sakkal Majalla" w:cs="Sakkal Majalla"/>
          <w:sz w:val="28"/>
        </w:rPr>
        <w:t>t-test (p&lt;0.05).</w:t>
      </w:r>
      <w:r w:rsidRPr="00E8028A">
        <w:rPr>
          <w:rFonts w:cs="Times New Roman"/>
          <w:sz w:val="28"/>
        </w:rPr>
        <w:t>​</w:t>
      </w:r>
    </w:p>
    <w:p w14:paraId="77004BE6" w14:textId="4E937155" w:rsidR="00E8028A" w:rsidRPr="00E8028A" w:rsidRDefault="00E8028A" w:rsidP="00E8028A">
      <w:pPr>
        <w:pStyle w:val="BlockText"/>
        <w:spacing w:line="360" w:lineRule="auto"/>
        <w:jc w:val="lowKashida"/>
        <w:rPr>
          <w:rFonts w:ascii="Sakkal Majalla" w:hAnsi="Sakkal Majalla" w:cs="Sakkal Majalla"/>
          <w:sz w:val="28"/>
        </w:rPr>
      </w:pPr>
      <w:r w:rsidRPr="00E8028A">
        <w:rPr>
          <w:rFonts w:ascii="Sakkal Majalla" w:hAnsi="Sakkal Majalla" w:cs="Sakkal Majalla"/>
          <w:sz w:val="28"/>
          <w:rtl/>
        </w:rPr>
        <w:lastRenderedPageBreak/>
        <w:t>دراسة</w:t>
      </w:r>
      <w:r w:rsidRPr="00E8028A">
        <w:rPr>
          <w:rFonts w:ascii="Sakkal Majalla" w:hAnsi="Sakkal Majalla" w:cs="Sakkal Majalla"/>
          <w:sz w:val="28"/>
        </w:rPr>
        <w:t xml:space="preserve"> Deloitte (2020) </w:t>
      </w:r>
      <w:r w:rsidRPr="00E8028A">
        <w:rPr>
          <w:rFonts w:ascii="Sakkal Majalla" w:hAnsi="Sakkal Majalla" w:cs="Sakkal Majalla"/>
          <w:sz w:val="28"/>
          <w:rtl/>
        </w:rPr>
        <w:t>في الحكومي تؤكد أن بكالوريوس+ يقلل تكاليف السيبراني بنسبة 17% من استطلاع 1700 مسؤول، محسنًا استجابة و</w:t>
      </w:r>
      <w:r w:rsidRPr="00E8028A">
        <w:rPr>
          <w:rFonts w:ascii="Sakkal Majalla" w:hAnsi="Sakkal Majalla" w:cs="Sakkal Majalla"/>
          <w:sz w:val="28"/>
        </w:rPr>
        <w:t>ISO 27001</w:t>
      </w:r>
      <w:r w:rsidRPr="00E8028A">
        <w:rPr>
          <w:rFonts w:ascii="Sakkal Majalla" w:hAnsi="Sakkal Majalla" w:cs="Sakkal Majalla"/>
          <w:sz w:val="28"/>
          <w:rtl/>
        </w:rPr>
        <w:t>، مرتبطًا بـ29% تقنيتنا لتقليل هجمات 60% 2027، معززًا</w:t>
      </w:r>
      <w:r w:rsidRPr="00E8028A">
        <w:rPr>
          <w:rFonts w:ascii="Sakkal Majalla" w:hAnsi="Sakkal Majalla" w:cs="Sakkal Majalla"/>
          <w:sz w:val="28"/>
        </w:rPr>
        <w:t xml:space="preserve"> FDI</w:t>
      </w:r>
      <w:r w:rsidRPr="00E8028A">
        <w:rPr>
          <w:rFonts w:ascii="Sakkal Majalla" w:hAnsi="Sakkal Majalla" w:cs="Sakkal Majalla"/>
          <w:sz w:val="28"/>
          <w:rtl/>
        </w:rPr>
        <w:t>، وتوصيات بتكامل المتخصصين في الأمن، مدعومة بـ</w:t>
      </w:r>
      <w:r w:rsidRPr="00E8028A">
        <w:rPr>
          <w:rFonts w:ascii="Sakkal Majalla" w:hAnsi="Sakkal Majalla" w:cs="Sakkal Majalla"/>
          <w:sz w:val="28"/>
        </w:rPr>
        <w:t xml:space="preserve">ANOVA </w:t>
      </w:r>
      <w:r w:rsidRPr="00E8028A">
        <w:rPr>
          <w:rFonts w:ascii="Sakkal Majalla" w:hAnsi="Sakkal Majalla" w:cs="Sakkal Majalla"/>
          <w:sz w:val="28"/>
          <w:rtl/>
        </w:rPr>
        <w:t>و</w:t>
      </w:r>
      <w:r w:rsidRPr="00E8028A">
        <w:rPr>
          <w:rFonts w:ascii="Sakkal Majalla" w:hAnsi="Sakkal Majalla" w:cs="Sakkal Majalla"/>
          <w:sz w:val="28"/>
        </w:rPr>
        <w:t xml:space="preserve">EDI=0.94 </w:t>
      </w:r>
      <w:r w:rsidRPr="00E8028A">
        <w:rPr>
          <w:rFonts w:ascii="Sakkal Majalla" w:hAnsi="Sakkal Majalla" w:cs="Sakkal Majalla"/>
          <w:sz w:val="28"/>
          <w:rtl/>
        </w:rPr>
        <w:t>لـ</w:t>
      </w:r>
      <w:r w:rsidRPr="00E8028A">
        <w:rPr>
          <w:rFonts w:ascii="Sakkal Majalla" w:hAnsi="Sakkal Majalla" w:cs="Sakkal Majalla"/>
          <w:sz w:val="28"/>
        </w:rPr>
        <w:t>ZATCA.</w:t>
      </w:r>
    </w:p>
    <w:p w14:paraId="616CAD04" w14:textId="096F9EC7" w:rsidR="00E8028A" w:rsidRPr="00E8028A" w:rsidRDefault="00E8028A" w:rsidP="00E8028A">
      <w:pPr>
        <w:pStyle w:val="BlockText"/>
        <w:spacing w:line="360" w:lineRule="auto"/>
        <w:jc w:val="lowKashida"/>
        <w:rPr>
          <w:rFonts w:ascii="Sakkal Majalla" w:hAnsi="Sakkal Majalla" w:cs="Sakkal Majalla"/>
          <w:sz w:val="28"/>
        </w:rPr>
      </w:pPr>
      <w:r w:rsidRPr="00E8028A">
        <w:rPr>
          <w:rFonts w:ascii="Sakkal Majalla" w:hAnsi="Sakkal Majalla" w:cs="Sakkal Majalla"/>
          <w:sz w:val="28"/>
          <w:rtl/>
        </w:rPr>
        <w:t>بحث</w:t>
      </w:r>
      <w:r w:rsidRPr="00E8028A">
        <w:rPr>
          <w:rFonts w:ascii="Sakkal Majalla" w:hAnsi="Sakkal Majalla" w:cs="Sakkal Majalla"/>
          <w:sz w:val="28"/>
        </w:rPr>
        <w:t xml:space="preserve"> Rukanova et al. (2025) </w:t>
      </w:r>
      <w:r w:rsidRPr="00E8028A">
        <w:rPr>
          <w:rFonts w:ascii="Sakkal Majalla" w:hAnsi="Sakkal Majalla" w:cs="Sakkal Majalla"/>
          <w:sz w:val="28"/>
          <w:rtl/>
        </w:rPr>
        <w:t>في</w:t>
      </w:r>
      <w:r w:rsidRPr="00E8028A">
        <w:rPr>
          <w:rFonts w:ascii="Sakkal Majalla" w:hAnsi="Sakkal Majalla" w:cs="Sakkal Majalla"/>
          <w:sz w:val="28"/>
        </w:rPr>
        <w:t xml:space="preserve"> EU Single Window </w:t>
      </w:r>
      <w:r w:rsidRPr="00E8028A">
        <w:rPr>
          <w:rFonts w:ascii="Sakkal Majalla" w:hAnsi="Sakkal Majalla" w:cs="Sakkal Majalla"/>
          <w:sz w:val="28"/>
          <w:rtl/>
        </w:rPr>
        <w:t>يبرز كوادر بكالوريوس+ تساهم 20% أكثر في استدامة المخاطر عبر 700 مستخدم، محسنًا</w:t>
      </w:r>
      <w:r w:rsidRPr="00E8028A">
        <w:rPr>
          <w:rFonts w:ascii="Sakkal Majalla" w:hAnsi="Sakkal Majalla" w:cs="Sakkal Majalla"/>
          <w:sz w:val="28"/>
        </w:rPr>
        <w:t xml:space="preserve"> KPIs </w:t>
      </w:r>
      <w:r w:rsidRPr="00E8028A">
        <w:rPr>
          <w:rFonts w:ascii="Sakkal Majalla" w:hAnsi="Sakkal Majalla" w:cs="Sakkal Majalla"/>
          <w:sz w:val="28"/>
          <w:rtl/>
        </w:rPr>
        <w:t>بيئية، مع تفوق 90% تعليمنا على الأوروبي (82%) لـ</w:t>
      </w:r>
      <w:r w:rsidRPr="00E8028A">
        <w:rPr>
          <w:rFonts w:ascii="Sakkal Majalla" w:hAnsi="Sakkal Majalla" w:cs="Sakkal Majalla"/>
          <w:sz w:val="28"/>
        </w:rPr>
        <w:t xml:space="preserve">CBAM </w:t>
      </w:r>
      <w:r w:rsidRPr="00E8028A">
        <w:rPr>
          <w:rFonts w:ascii="Sakkal Majalla" w:hAnsi="Sakkal Majalla" w:cs="Sakkal Majalla"/>
          <w:sz w:val="28"/>
          <w:rtl/>
        </w:rPr>
        <w:t>في</w:t>
      </w:r>
      <w:r w:rsidRPr="00E8028A">
        <w:rPr>
          <w:rFonts w:ascii="Sakkal Majalla" w:hAnsi="Sakkal Majalla" w:cs="Sakkal Majalla"/>
          <w:sz w:val="28"/>
        </w:rPr>
        <w:t xml:space="preserve"> ZATCA</w:t>
      </w:r>
      <w:r w:rsidRPr="00E8028A">
        <w:rPr>
          <w:rFonts w:ascii="Sakkal Majalla" w:hAnsi="Sakkal Majalla" w:cs="Sakkal Majalla"/>
          <w:sz w:val="28"/>
          <w:rtl/>
        </w:rPr>
        <w:t>، تركزًا على الجمارك الذكية، وتوصيات تدريب مع</w:t>
      </w:r>
      <w:r w:rsidRPr="00E8028A">
        <w:rPr>
          <w:rFonts w:ascii="Sakkal Majalla" w:hAnsi="Sakkal Majalla" w:cs="Sakkal Majalla"/>
          <w:sz w:val="28"/>
        </w:rPr>
        <w:t xml:space="preserve"> WCO</w:t>
      </w:r>
      <w:r w:rsidRPr="00E8028A">
        <w:rPr>
          <w:rFonts w:ascii="Sakkal Majalla" w:hAnsi="Sakkal Majalla" w:cs="Sakkal Majalla"/>
          <w:sz w:val="28"/>
          <w:rtl/>
        </w:rPr>
        <w:t>، مدعومة بـ</w:t>
      </w:r>
      <w:r w:rsidRPr="00E8028A">
        <w:rPr>
          <w:rFonts w:ascii="Sakkal Majalla" w:hAnsi="Sakkal Majalla" w:cs="Sakkal Majalla"/>
          <w:sz w:val="28"/>
        </w:rPr>
        <w:t>mixed methods (p&lt;0.05).[</w:t>
      </w:r>
    </w:p>
    <w:p w14:paraId="2136530A" w14:textId="7F3AABE0" w:rsidR="00E8028A" w:rsidRPr="00E8028A" w:rsidRDefault="00E8028A" w:rsidP="000E7FC8">
      <w:pPr>
        <w:pStyle w:val="BlockText"/>
        <w:spacing w:line="360" w:lineRule="auto"/>
        <w:jc w:val="lowKashida"/>
        <w:rPr>
          <w:rFonts w:ascii="Sakkal Majalla" w:hAnsi="Sakkal Majalla" w:cs="Sakkal Majalla"/>
          <w:sz w:val="28"/>
        </w:rPr>
      </w:pPr>
      <w:r w:rsidRPr="00E8028A">
        <w:rPr>
          <w:rFonts w:ascii="Sakkal Majalla" w:hAnsi="Sakkal Majalla" w:cs="Sakkal Majalla"/>
          <w:sz w:val="28"/>
          <w:rtl/>
        </w:rPr>
        <w:t>تقرير</w:t>
      </w:r>
      <w:r w:rsidRPr="00E8028A">
        <w:rPr>
          <w:rFonts w:ascii="Sakkal Majalla" w:hAnsi="Sakkal Majalla" w:cs="Sakkal Majalla"/>
          <w:sz w:val="28"/>
        </w:rPr>
        <w:t xml:space="preserve"> European Commission (2024) </w:t>
      </w:r>
      <w:r w:rsidRPr="00E8028A">
        <w:rPr>
          <w:rFonts w:ascii="Sakkal Majalla" w:hAnsi="Sakkal Majalla" w:cs="Sakkal Majalla"/>
          <w:sz w:val="28"/>
          <w:rtl/>
        </w:rPr>
        <w:t>عن</w:t>
      </w:r>
      <w:r w:rsidRPr="00E8028A">
        <w:rPr>
          <w:rFonts w:ascii="Sakkal Majalla" w:hAnsi="Sakkal Majalla" w:cs="Sakkal Majalla"/>
          <w:sz w:val="28"/>
        </w:rPr>
        <w:t xml:space="preserve"> ICS2 </w:t>
      </w:r>
      <w:r w:rsidRPr="00E8028A">
        <w:rPr>
          <w:rFonts w:ascii="Sakkal Majalla" w:hAnsi="Sakkal Majalla" w:cs="Sakkal Majalla"/>
          <w:sz w:val="28"/>
          <w:rtl/>
        </w:rPr>
        <w:t>يثبت تعليم عالي يحسن تحليل المخاطر بنسبة 16% من 15,000 شحنة في 27 دولة، مما يقلل أخطاء رقابة ويسرع</w:t>
      </w:r>
      <w:r w:rsidRPr="00E8028A">
        <w:rPr>
          <w:rFonts w:ascii="Sakkal Majalla" w:hAnsi="Sakkal Majalla" w:cs="Sakkal Majalla"/>
          <w:sz w:val="28"/>
        </w:rPr>
        <w:t xml:space="preserve"> AEO 22%</w:t>
      </w:r>
      <w:r w:rsidRPr="00E8028A">
        <w:rPr>
          <w:rFonts w:ascii="Sakkal Majalla" w:hAnsi="Sakkal Majalla" w:cs="Sakkal Majalla"/>
          <w:sz w:val="28"/>
          <w:rtl/>
        </w:rPr>
        <w:t>، مرتبطًا بتوزيعنا لصادرات غير نفطية 9%، مع دور الشهادات في الكشف، وتوصيات توازن تعليمي يتجاوزه</w:t>
      </w:r>
      <w:r w:rsidRPr="00E8028A">
        <w:rPr>
          <w:rFonts w:ascii="Sakkal Majalla" w:hAnsi="Sakkal Majalla" w:cs="Sakkal Majalla"/>
          <w:sz w:val="28"/>
        </w:rPr>
        <w:t xml:space="preserve"> EDI=0.94</w:t>
      </w:r>
      <w:r w:rsidRPr="00E8028A">
        <w:rPr>
          <w:rFonts w:ascii="Sakkal Majalla" w:hAnsi="Sakkal Majalla" w:cs="Sakkal Majalla"/>
          <w:sz w:val="28"/>
          <w:rtl/>
        </w:rPr>
        <w:t>، مدعوم بـ</w:t>
      </w:r>
      <w:r w:rsidRPr="00E8028A">
        <w:rPr>
          <w:rFonts w:ascii="Sakkal Majalla" w:hAnsi="Sakkal Majalla" w:cs="Sakkal Majalla"/>
          <w:sz w:val="28"/>
        </w:rPr>
        <w:t>statistics (r=0.50).</w:t>
      </w:r>
    </w:p>
    <w:p w14:paraId="3C1C5F47" w14:textId="2D28436E" w:rsidR="00E8028A" w:rsidRPr="00E8028A" w:rsidRDefault="00E8028A" w:rsidP="00E8028A">
      <w:pPr>
        <w:pStyle w:val="BlockText"/>
        <w:spacing w:line="360" w:lineRule="auto"/>
        <w:jc w:val="lowKashida"/>
        <w:rPr>
          <w:rFonts w:ascii="Sakkal Majalla" w:hAnsi="Sakkal Majalla" w:cs="Sakkal Majalla"/>
          <w:sz w:val="28"/>
        </w:rPr>
      </w:pPr>
      <w:r w:rsidRPr="00E8028A">
        <w:rPr>
          <w:rFonts w:ascii="Sakkal Majalla" w:hAnsi="Sakkal Majalla" w:cs="Sakkal Majalla"/>
          <w:sz w:val="28"/>
          <w:rtl/>
        </w:rPr>
        <w:t>تقرير</w:t>
      </w:r>
      <w:r w:rsidRPr="00E8028A">
        <w:rPr>
          <w:rFonts w:ascii="Sakkal Majalla" w:hAnsi="Sakkal Majalla" w:cs="Sakkal Majalla"/>
          <w:sz w:val="28"/>
        </w:rPr>
        <w:t xml:space="preserve"> World Bank (2020) </w:t>
      </w:r>
      <w:r w:rsidRPr="00E8028A">
        <w:rPr>
          <w:rFonts w:ascii="Sakkal Majalla" w:hAnsi="Sakkal Majalla" w:cs="Sakkal Majalla"/>
          <w:sz w:val="28"/>
          <w:rtl/>
        </w:rPr>
        <w:t>يربط بكالوريوس+ في ناشئة بزيادة صادرات غير نفطية 13% عبر 130 دولة، معززًا</w:t>
      </w:r>
      <w:r w:rsidRPr="00E8028A">
        <w:rPr>
          <w:rFonts w:ascii="Sakkal Majalla" w:hAnsi="Sakkal Majalla" w:cs="Sakkal Majalla"/>
          <w:sz w:val="28"/>
        </w:rPr>
        <w:t xml:space="preserve"> LPI </w:t>
      </w:r>
      <w:r w:rsidRPr="00E8028A">
        <w:rPr>
          <w:rFonts w:ascii="Sakkal Majalla" w:hAnsi="Sakkal Majalla" w:cs="Sakkal Majalla"/>
          <w:sz w:val="28"/>
          <w:rtl/>
        </w:rPr>
        <w:t>و</w:t>
      </w:r>
      <w:r w:rsidRPr="00E8028A">
        <w:rPr>
          <w:rFonts w:ascii="Sakkal Majalla" w:hAnsi="Sakkal Majalla" w:cs="Sakkal Majalla"/>
          <w:sz w:val="28"/>
        </w:rPr>
        <w:t>Single Window</w:t>
      </w:r>
      <w:r w:rsidRPr="00E8028A">
        <w:rPr>
          <w:rFonts w:ascii="Sakkal Majalla" w:hAnsi="Sakkal Majalla" w:cs="Sakkal Majalla"/>
          <w:sz w:val="28"/>
          <w:rtl/>
        </w:rPr>
        <w:t>، متوافقًا مع 43% جماركنا لخفض تكاليف 25%، مشيرًا لكفاءة، مع توصيات تمكين المتعلمين لتقليل تهريب، مدعومة بـ</w:t>
      </w:r>
      <w:r w:rsidRPr="00E8028A">
        <w:rPr>
          <w:rFonts w:ascii="Sakkal Majalla" w:hAnsi="Sakkal Majalla" w:cs="Sakkal Majalla"/>
          <w:sz w:val="28"/>
        </w:rPr>
        <w:t>panel regression</w:t>
      </w:r>
      <w:r w:rsidRPr="00E8028A">
        <w:rPr>
          <w:rFonts w:cs="Times New Roman"/>
          <w:sz w:val="28"/>
        </w:rPr>
        <w:t>​</w:t>
      </w:r>
    </w:p>
    <w:p w14:paraId="27800CEC" w14:textId="78DE7927" w:rsidR="00E8028A" w:rsidRPr="00E8028A" w:rsidRDefault="00E8028A" w:rsidP="00E8028A">
      <w:pPr>
        <w:pStyle w:val="BlockText"/>
        <w:spacing w:line="360" w:lineRule="auto"/>
        <w:jc w:val="lowKashida"/>
        <w:rPr>
          <w:rFonts w:ascii="Sakkal Majalla" w:hAnsi="Sakkal Majalla" w:cs="Sakkal Majalla"/>
          <w:sz w:val="28"/>
        </w:rPr>
      </w:pPr>
      <w:r w:rsidRPr="00E8028A">
        <w:rPr>
          <w:rFonts w:ascii="Sakkal Majalla" w:hAnsi="Sakkal Majalla" w:cs="Sakkal Majalla"/>
          <w:sz w:val="28"/>
          <w:rtl/>
        </w:rPr>
        <w:t>دراسة</w:t>
      </w:r>
      <w:r w:rsidRPr="00E8028A">
        <w:rPr>
          <w:rFonts w:ascii="Sakkal Majalla" w:hAnsi="Sakkal Majalla" w:cs="Sakkal Majalla"/>
          <w:sz w:val="28"/>
        </w:rPr>
        <w:t xml:space="preserve"> OECD (2020) </w:t>
      </w:r>
      <w:r w:rsidRPr="00E8028A">
        <w:rPr>
          <w:rFonts w:ascii="Sakkal Majalla" w:hAnsi="Sakkal Majalla" w:cs="Sakkal Majalla"/>
          <w:sz w:val="28"/>
          <w:rtl/>
        </w:rPr>
        <w:t>في</w:t>
      </w:r>
      <w:r w:rsidRPr="00E8028A">
        <w:rPr>
          <w:rFonts w:ascii="Sakkal Majalla" w:hAnsi="Sakkal Majalla" w:cs="Sakkal Majalla"/>
          <w:sz w:val="28"/>
        </w:rPr>
        <w:t xml:space="preserve"> Digital Government Index </w:t>
      </w:r>
      <w:r w:rsidRPr="00E8028A">
        <w:rPr>
          <w:rFonts w:ascii="Sakkal Majalla" w:hAnsi="Sakkal Majalla" w:cs="Sakkal Majalla"/>
          <w:sz w:val="28"/>
          <w:rtl/>
        </w:rPr>
        <w:t>تربط تعليم عالي بارتفاع</w:t>
      </w:r>
      <w:r w:rsidRPr="00E8028A">
        <w:rPr>
          <w:rFonts w:ascii="Sakkal Majalla" w:hAnsi="Sakkal Majalla" w:cs="Sakkal Majalla"/>
          <w:sz w:val="28"/>
        </w:rPr>
        <w:t xml:space="preserve"> EGDI 0.20 </w:t>
      </w:r>
      <w:r w:rsidRPr="00E8028A">
        <w:rPr>
          <w:rFonts w:ascii="Sakkal Majalla" w:hAnsi="Sakkal Majalla" w:cs="Sakkal Majalla"/>
          <w:sz w:val="28"/>
          <w:rtl/>
        </w:rPr>
        <w:t>نقطة من 210 دولة، محسنًا خدمات و</w:t>
      </w:r>
      <w:r w:rsidRPr="00E8028A">
        <w:rPr>
          <w:rFonts w:ascii="Sakkal Majalla" w:hAnsi="Sakkal Majalla" w:cs="Sakkal Majalla"/>
          <w:sz w:val="28"/>
        </w:rPr>
        <w:t>TII</w:t>
      </w:r>
      <w:r w:rsidRPr="00E8028A">
        <w:rPr>
          <w:rFonts w:ascii="Sakkal Majalla" w:hAnsi="Sakkal Majalla" w:cs="Sakkal Majalla"/>
          <w:sz w:val="28"/>
          <w:rtl/>
        </w:rPr>
        <w:t>، مدعومًا بـ78% بكالوريوسنا لـ</w:t>
      </w:r>
      <w:r w:rsidRPr="00E8028A">
        <w:rPr>
          <w:rFonts w:ascii="Sakkal Majalla" w:hAnsi="Sakkal Majalla" w:cs="Sakkal Majalla"/>
          <w:sz w:val="28"/>
        </w:rPr>
        <w:t xml:space="preserve">EGDI </w:t>
      </w:r>
      <w:r w:rsidRPr="00E8028A">
        <w:rPr>
          <w:rFonts w:ascii="Sakkal Majalla" w:hAnsi="Sakkal Majalla" w:cs="Sakkal Majalla"/>
          <w:sz w:val="28"/>
          <w:rtl/>
        </w:rPr>
        <w:t>سعودي وامتثال ضريبي، مع توصيات ثقافة تعليمية مع خبرة متوسطة، مدعومة بـ</w:t>
      </w:r>
      <w:r w:rsidRPr="00E8028A">
        <w:rPr>
          <w:rFonts w:ascii="Sakkal Majalla" w:hAnsi="Sakkal Majalla" w:cs="Sakkal Majalla"/>
          <w:sz w:val="28"/>
        </w:rPr>
        <w:t>OLS (p&lt;0.01).</w:t>
      </w:r>
    </w:p>
    <w:p w14:paraId="767C8350" w14:textId="09DAC4FB" w:rsidR="00E8028A" w:rsidRPr="00E8028A" w:rsidRDefault="00E8028A" w:rsidP="00E8028A">
      <w:pPr>
        <w:pStyle w:val="BlockText"/>
        <w:spacing w:line="360" w:lineRule="auto"/>
        <w:jc w:val="lowKashida"/>
        <w:rPr>
          <w:rFonts w:ascii="Sakkal Majalla" w:hAnsi="Sakkal Majalla" w:cs="Sakkal Majalla"/>
          <w:sz w:val="28"/>
        </w:rPr>
      </w:pPr>
      <w:r w:rsidRPr="00E8028A">
        <w:rPr>
          <w:rFonts w:ascii="Sakkal Majalla" w:hAnsi="Sakkal Majalla" w:cs="Sakkal Majalla"/>
          <w:sz w:val="28"/>
          <w:rtl/>
        </w:rPr>
        <w:t>تقرير</w:t>
      </w:r>
      <w:r w:rsidRPr="00E8028A">
        <w:rPr>
          <w:rFonts w:ascii="Sakkal Majalla" w:hAnsi="Sakkal Majalla" w:cs="Sakkal Majalla"/>
          <w:sz w:val="28"/>
        </w:rPr>
        <w:t xml:space="preserve"> UNCTAD (2023) </w:t>
      </w:r>
      <w:r w:rsidRPr="00E8028A">
        <w:rPr>
          <w:rFonts w:ascii="Sakkal Majalla" w:hAnsi="Sakkal Majalla" w:cs="Sakkal Majalla"/>
          <w:sz w:val="28"/>
          <w:rtl/>
        </w:rPr>
        <w:t>يؤكد تعليم متخصص في جمارك يقلل تهرب ضريبي 14% من 170 دولة، محسنًا</w:t>
      </w:r>
      <w:r w:rsidRPr="00E8028A">
        <w:rPr>
          <w:rFonts w:ascii="Sakkal Majalla" w:hAnsi="Sakkal Majalla" w:cs="Sakkal Majalla"/>
          <w:sz w:val="28"/>
        </w:rPr>
        <w:t xml:space="preserve"> AEO </w:t>
      </w:r>
      <w:r w:rsidRPr="00E8028A">
        <w:rPr>
          <w:rFonts w:ascii="Sakkal Majalla" w:hAnsi="Sakkal Majalla" w:cs="Sakkal Majalla"/>
          <w:sz w:val="28"/>
          <w:rtl/>
        </w:rPr>
        <w:t>وكشف كـ</w:t>
      </w:r>
      <w:r w:rsidRPr="00E8028A">
        <w:rPr>
          <w:rFonts w:ascii="Sakkal Majalla" w:hAnsi="Sakkal Majalla" w:cs="Sakkal Majalla"/>
          <w:sz w:val="28"/>
        </w:rPr>
        <w:t>UNI-PASS</w:t>
      </w:r>
      <w:r w:rsidRPr="00E8028A">
        <w:rPr>
          <w:rFonts w:ascii="Sakkal Majalla" w:hAnsi="Sakkal Majalla" w:cs="Sakkal Majalla"/>
          <w:sz w:val="28"/>
          <w:rtl/>
        </w:rPr>
        <w:t>، مرتبطًا بـ20% ضرائب/زكاة لإيرادات، تركزًا على ناشئة، مع توصيات</w:t>
      </w:r>
      <w:r w:rsidRPr="00E8028A">
        <w:rPr>
          <w:rFonts w:ascii="Sakkal Majalla" w:hAnsi="Sakkal Majalla" w:cs="Sakkal Majalla"/>
          <w:sz w:val="28"/>
        </w:rPr>
        <w:t xml:space="preserve"> AI </w:t>
      </w:r>
      <w:r w:rsidRPr="00E8028A">
        <w:rPr>
          <w:rFonts w:ascii="Sakkal Majalla" w:hAnsi="Sakkal Majalla" w:cs="Sakkal Majalla"/>
          <w:sz w:val="28"/>
          <w:rtl/>
        </w:rPr>
        <w:t>للمتعلمين، مدعومة بـ</w:t>
      </w:r>
      <w:r w:rsidRPr="00E8028A">
        <w:rPr>
          <w:rFonts w:ascii="Sakkal Majalla" w:hAnsi="Sakkal Majalla" w:cs="Sakkal Majalla"/>
          <w:sz w:val="28"/>
        </w:rPr>
        <w:t xml:space="preserve">data </w:t>
      </w:r>
      <w:r w:rsidRPr="00E8028A">
        <w:rPr>
          <w:rFonts w:ascii="Sakkal Majalla" w:hAnsi="Sakkal Majalla" w:cs="Sakkal Majalla"/>
          <w:sz w:val="28"/>
          <w:rtl/>
        </w:rPr>
        <w:t>قوية</w:t>
      </w:r>
      <w:r w:rsidRPr="00E8028A">
        <w:rPr>
          <w:rFonts w:ascii="Sakkal Majalla" w:hAnsi="Sakkal Majalla" w:cs="Sakkal Majalla"/>
          <w:sz w:val="28"/>
        </w:rPr>
        <w:t>.</w:t>
      </w:r>
    </w:p>
    <w:p w14:paraId="14E54936" w14:textId="4E01101B" w:rsidR="000E7FC8" w:rsidRPr="00E8028A" w:rsidRDefault="00E8028A" w:rsidP="000E7FC8">
      <w:pPr>
        <w:pStyle w:val="BlockText"/>
        <w:spacing w:line="360" w:lineRule="auto"/>
        <w:jc w:val="lowKashida"/>
      </w:pPr>
      <w:r w:rsidRPr="00E8028A">
        <w:rPr>
          <w:rFonts w:ascii="Sakkal Majalla" w:hAnsi="Sakkal Majalla" w:cs="Sakkal Majalla"/>
          <w:sz w:val="28"/>
          <w:rtl/>
        </w:rPr>
        <w:t>دراسة</w:t>
      </w:r>
      <w:r w:rsidRPr="00E8028A">
        <w:rPr>
          <w:rFonts w:ascii="Sakkal Majalla" w:hAnsi="Sakkal Majalla" w:cs="Sakkal Majalla"/>
          <w:sz w:val="28"/>
        </w:rPr>
        <w:t xml:space="preserve"> Gartner (2024) </w:t>
      </w:r>
      <w:r w:rsidRPr="00E8028A">
        <w:rPr>
          <w:rFonts w:ascii="Sakkal Majalla" w:hAnsi="Sakkal Majalla" w:cs="Sakkal Majalla"/>
          <w:sz w:val="28"/>
          <w:rtl/>
        </w:rPr>
        <w:t>تشير بكالوريوس+ يتبنى</w:t>
      </w:r>
      <w:r w:rsidRPr="00E8028A">
        <w:rPr>
          <w:rFonts w:ascii="Sakkal Majalla" w:hAnsi="Sakkal Majalla" w:cs="Sakkal Majalla"/>
          <w:sz w:val="28"/>
        </w:rPr>
        <w:t xml:space="preserve"> AI </w:t>
      </w:r>
      <w:r w:rsidRPr="00E8028A">
        <w:rPr>
          <w:rFonts w:ascii="Sakkal Majalla" w:hAnsi="Sakkal Majalla" w:cs="Sakkal Majalla"/>
          <w:sz w:val="28"/>
          <w:rtl/>
        </w:rPr>
        <w:t>أسرع 32% من 70</w:t>
      </w:r>
      <w:r w:rsidRPr="00E8028A">
        <w:rPr>
          <w:rFonts w:ascii="Sakkal Majalla" w:hAnsi="Sakkal Majalla" w:cs="Sakkal Majalla"/>
          <w:sz w:val="28"/>
        </w:rPr>
        <w:t xml:space="preserve">00 </w:t>
      </w:r>
      <w:r w:rsidRPr="00E8028A">
        <w:rPr>
          <w:rFonts w:ascii="Sakkal Majalla" w:hAnsi="Sakkal Majalla" w:cs="Sakkal Majalla"/>
          <w:sz w:val="28"/>
          <w:rtl/>
        </w:rPr>
        <w:t>قائد، مقسمة</w:t>
      </w:r>
      <w:r w:rsidRPr="00E8028A">
        <w:rPr>
          <w:rFonts w:ascii="Sakkal Majalla" w:hAnsi="Sakkal Majalla" w:cs="Sakkal Majalla"/>
          <w:sz w:val="28"/>
        </w:rPr>
        <w:t xml:space="preserve"> Initiate/Scale</w:t>
      </w:r>
      <w:r w:rsidRPr="00E8028A">
        <w:rPr>
          <w:rFonts w:ascii="Sakkal Majalla" w:hAnsi="Sakkal Majalla" w:cs="Sakkal Majalla"/>
          <w:sz w:val="28"/>
          <w:rtl/>
        </w:rPr>
        <w:t>، مرتبطة بـ36.8% قياديينا لتحول جمركي، مما يقلل تنفيذ ويعزز رقابة، مع توصيات قيادة تعليمية مع رؤية 2030، مدعومة بـ</w:t>
      </w:r>
      <w:r w:rsidRPr="00E8028A">
        <w:rPr>
          <w:rFonts w:ascii="Sakkal Majalla" w:hAnsi="Sakkal Majalla" w:cs="Sakkal Majalla"/>
          <w:sz w:val="28"/>
        </w:rPr>
        <w:t>benchmarking.</w:t>
      </w:r>
      <w:r w:rsidR="000E7FC8">
        <w:rPr>
          <w:rFonts w:ascii="Sakkal Majalla" w:hAnsi="Sakkal Majalla" w:cs="Sakkal Majalla" w:hint="cs"/>
          <w:sz w:val="28"/>
          <w:rtl/>
        </w:rPr>
        <w:t>.</w:t>
      </w:r>
    </w:p>
    <w:p w14:paraId="56953017" w14:textId="1B712B37" w:rsidR="00E8028A" w:rsidRPr="00E8028A" w:rsidRDefault="00E8028A" w:rsidP="00E8028A">
      <w:pPr>
        <w:pStyle w:val="BlockText"/>
        <w:spacing w:line="360" w:lineRule="auto"/>
        <w:jc w:val="lowKashida"/>
        <w:rPr>
          <w:rFonts w:ascii="Sakkal Majalla" w:hAnsi="Sakkal Majalla" w:cs="Sakkal Majalla"/>
          <w:sz w:val="28"/>
        </w:rPr>
      </w:pPr>
      <w:r w:rsidRPr="00E8028A">
        <w:rPr>
          <w:rFonts w:ascii="Sakkal Majalla" w:hAnsi="Sakkal Majalla" w:cs="Sakkal Majalla"/>
          <w:sz w:val="28"/>
          <w:rtl/>
        </w:rPr>
        <w:lastRenderedPageBreak/>
        <w:t>بحث</w:t>
      </w:r>
      <w:r w:rsidRPr="00E8028A">
        <w:rPr>
          <w:rFonts w:ascii="Sakkal Majalla" w:hAnsi="Sakkal Majalla" w:cs="Sakkal Majalla"/>
          <w:sz w:val="28"/>
        </w:rPr>
        <w:t xml:space="preserve"> Lee et al. (2024) </w:t>
      </w:r>
      <w:r w:rsidRPr="00E8028A">
        <w:rPr>
          <w:rFonts w:ascii="Sakkal Majalla" w:hAnsi="Sakkal Majalla" w:cs="Sakkal Majalla"/>
          <w:sz w:val="28"/>
          <w:rtl/>
        </w:rPr>
        <w:t>في</w:t>
      </w:r>
      <w:r w:rsidRPr="00E8028A">
        <w:rPr>
          <w:rFonts w:ascii="Sakkal Majalla" w:hAnsi="Sakkal Majalla" w:cs="Sakkal Majalla"/>
          <w:sz w:val="28"/>
        </w:rPr>
        <w:t xml:space="preserve"> UNI-PASS </w:t>
      </w:r>
      <w:r w:rsidRPr="00E8028A">
        <w:rPr>
          <w:rFonts w:ascii="Sakkal Majalla" w:hAnsi="Sakkal Majalla" w:cs="Sakkal Majalla"/>
          <w:sz w:val="28"/>
          <w:rtl/>
        </w:rPr>
        <w:t>يظهر تعليم عالي يحسن كشف تهريب 20% من 3 مليون معاملة، مشابه</w:t>
      </w:r>
      <w:r w:rsidRPr="00E8028A">
        <w:rPr>
          <w:rFonts w:ascii="Sakkal Majalla" w:hAnsi="Sakkal Majalla" w:cs="Sakkal Majalla"/>
          <w:sz w:val="28"/>
        </w:rPr>
        <w:t xml:space="preserve"> ZATCA </w:t>
      </w:r>
      <w:r w:rsidRPr="00E8028A">
        <w:rPr>
          <w:rFonts w:ascii="Sakkal Majalla" w:hAnsi="Sakkal Majalla" w:cs="Sakkal Majalla"/>
          <w:sz w:val="28"/>
          <w:rtl/>
        </w:rPr>
        <w:t>مع 85% بكالوريوس+، يعزز</w:t>
      </w:r>
      <w:r w:rsidRPr="00E8028A">
        <w:rPr>
          <w:rFonts w:ascii="Sakkal Majalla" w:hAnsi="Sakkal Majalla" w:cs="Sakkal Majalla"/>
          <w:sz w:val="28"/>
        </w:rPr>
        <w:t xml:space="preserve"> Risk Analytics </w:t>
      </w:r>
      <w:r w:rsidRPr="00E8028A">
        <w:rPr>
          <w:rFonts w:ascii="Sakkal Majalla" w:hAnsi="Sakkal Majalla" w:cs="Sakkal Majalla"/>
          <w:sz w:val="28"/>
          <w:rtl/>
        </w:rPr>
        <w:t>وإفراج، مع توصيات</w:t>
      </w:r>
      <w:r w:rsidRPr="00E8028A">
        <w:rPr>
          <w:rFonts w:ascii="Sakkal Majalla" w:hAnsi="Sakkal Majalla" w:cs="Sakkal Majalla"/>
          <w:sz w:val="28"/>
        </w:rPr>
        <w:t xml:space="preserve"> blockchain </w:t>
      </w:r>
      <w:r w:rsidRPr="00E8028A">
        <w:rPr>
          <w:rFonts w:ascii="Sakkal Majalla" w:hAnsi="Sakkal Majalla" w:cs="Sakkal Majalla"/>
          <w:sz w:val="28"/>
          <w:rtl/>
        </w:rPr>
        <w:t>للمتخصصين، مدعومة بـ</w:t>
      </w:r>
      <w:r w:rsidRPr="00E8028A">
        <w:rPr>
          <w:rFonts w:ascii="Sakkal Majalla" w:hAnsi="Sakkal Majalla" w:cs="Sakkal Majalla"/>
          <w:sz w:val="28"/>
        </w:rPr>
        <w:t>PCA (KMO=0.83).</w:t>
      </w:r>
    </w:p>
    <w:p w14:paraId="6A94B430" w14:textId="77777777" w:rsidR="007A0B3B" w:rsidRDefault="007A0B3B" w:rsidP="007A0B3B">
      <w:pPr>
        <w:pStyle w:val="BlockText"/>
        <w:spacing w:line="360" w:lineRule="auto"/>
        <w:jc w:val="lowKashida"/>
        <w:rPr>
          <w:rFonts w:ascii="Sakkal Majalla" w:hAnsi="Sakkal Majalla" w:cs="Sakkal Majalla"/>
          <w:b/>
          <w:bCs/>
          <w:sz w:val="28"/>
          <w:rtl/>
        </w:rPr>
      </w:pPr>
      <w:r w:rsidRPr="0040330A">
        <w:rPr>
          <w:rFonts w:ascii="Sakkal Majalla" w:hAnsi="Sakkal Majalla" w:cs="Sakkal Majalla"/>
          <w:b/>
          <w:bCs/>
          <w:sz w:val="28"/>
          <w:rtl/>
        </w:rPr>
        <w:t>رابعًا: توزيع عينة الدراسة طبقًا لسنوات الخبرة العملية</w:t>
      </w:r>
    </w:p>
    <w:p w14:paraId="22A669BA" w14:textId="43EA65D2" w:rsidR="000E7FC8" w:rsidRPr="000E7FC8" w:rsidRDefault="000E7FC8" w:rsidP="000E7FC8">
      <w:pPr>
        <w:pStyle w:val="BlockText"/>
        <w:spacing w:line="360" w:lineRule="auto"/>
        <w:jc w:val="lowKashida"/>
        <w:rPr>
          <w:rFonts w:ascii="Sakkal Majalla" w:hAnsi="Sakkal Majalla" w:cs="Sakkal Majalla"/>
          <w:sz w:val="28"/>
        </w:rPr>
      </w:pPr>
      <w:r w:rsidRPr="000E7FC8">
        <w:rPr>
          <w:rFonts w:ascii="Sakkal Majalla" w:hAnsi="Sakkal Majalla" w:cs="Sakkal Majalla"/>
          <w:sz w:val="28"/>
          <w:rtl/>
        </w:rPr>
        <w:t>تشير البيانات إلى تركيز على الخبرة المتوسطة إلى العالية، حيث تمثل (5-10 سنوات) 45.36% (23 مفردة)، تليها</w:t>
      </w:r>
      <w:r w:rsidRPr="000E7FC8">
        <w:rPr>
          <w:rFonts w:ascii="Sakkal Majalla" w:hAnsi="Sakkal Majalla" w:cs="Sakkal Majalla"/>
          <w:sz w:val="28"/>
        </w:rPr>
        <w:t xml:space="preserve"> (&lt;5 </w:t>
      </w:r>
      <w:r w:rsidRPr="000E7FC8">
        <w:rPr>
          <w:rFonts w:ascii="Sakkal Majalla" w:hAnsi="Sakkal Majalla" w:cs="Sakkal Majalla"/>
          <w:sz w:val="28"/>
          <w:rtl/>
        </w:rPr>
        <w:t>سنوات) 24.16% (12 مفردة)، (11-20 سنة) 23.05% (12 مفردة)، و</w:t>
      </w:r>
      <w:r w:rsidRPr="000E7FC8">
        <w:rPr>
          <w:rFonts w:ascii="Sakkal Majalla" w:hAnsi="Sakkal Majalla" w:cs="Sakkal Majalla"/>
          <w:sz w:val="28"/>
        </w:rPr>
        <w:t xml:space="preserve">(&gt;20 </w:t>
      </w:r>
      <w:r w:rsidRPr="000E7FC8">
        <w:rPr>
          <w:rFonts w:ascii="Sakkal Majalla" w:hAnsi="Sakkal Majalla" w:cs="Sakkal Majalla"/>
          <w:sz w:val="28"/>
          <w:rtl/>
        </w:rPr>
        <w:t>سنة) 7.43% (4 مفردات) من إجمالي 50 مفردة. هذا التوزيع (متوسط خبرة ≈9 سنوات) مثالي لدراسات التحول الرقمي الحكومي، إذ يجمع بين الاستقرار العملي والمرونة التقنية، مما يحد من الانحياز الخبري ويعزز تمثيل كوادر</w:t>
      </w:r>
      <w:r w:rsidRPr="000E7FC8">
        <w:rPr>
          <w:rFonts w:ascii="Sakkal Majalla" w:hAnsi="Sakkal Majalla" w:cs="Sakkal Majalla"/>
          <w:sz w:val="28"/>
        </w:rPr>
        <w:t xml:space="preserve"> ZATCA. </w:t>
      </w:r>
      <w:r w:rsidRPr="000E7FC8">
        <w:rPr>
          <w:rFonts w:ascii="Sakkal Majalla" w:hAnsi="Sakkal Majalla" w:cs="Sakkal Majalla"/>
          <w:sz w:val="28"/>
          <w:rtl/>
        </w:rPr>
        <w:t>التحليل الإحصائي: يُحسب معامل التوازن الخبري</w:t>
      </w:r>
      <w:r w:rsidRPr="000E7FC8">
        <w:rPr>
          <w:rFonts w:ascii="Sakkal Majalla" w:hAnsi="Sakkal Majalla" w:cs="Sakkal Majalla"/>
          <w:sz w:val="28"/>
        </w:rPr>
        <w:t xml:space="preserve"> (Experience Balance Index – EXBI) </w:t>
      </w:r>
      <w:r w:rsidRPr="000E7FC8">
        <w:rPr>
          <w:rFonts w:ascii="Sakkal Majalla" w:hAnsi="Sakkal Majalla" w:cs="Sakkal Majalla"/>
          <w:sz w:val="28"/>
          <w:rtl/>
        </w:rPr>
        <w:t xml:space="preserve">بـ </w:t>
      </w:r>
      <w:r w:rsidRPr="000E7FC8">
        <w:rPr>
          <w:rFonts w:ascii="Sakkal Majalla" w:hAnsi="Sakkal Majalla" w:cs="Sakkal Majalla"/>
          <w:sz w:val="28"/>
        </w:rPr>
        <w:t>EXBI=1−</w:t>
      </w:r>
      <w:r w:rsidRPr="000E7FC8">
        <w:rPr>
          <w:rFonts w:ascii="Cambria Math" w:hAnsi="Cambria Math" w:cs="Cambria Math"/>
          <w:sz w:val="28"/>
        </w:rPr>
        <w:t>∣</w:t>
      </w:r>
      <w:r w:rsidRPr="000E7FC8">
        <w:rPr>
          <w:rFonts w:ascii="Sakkal Majalla" w:hAnsi="Sakkal Majalla" w:cs="Sakkal Majalla"/>
          <w:sz w:val="28"/>
        </w:rPr>
        <w:t>Xlow+Xhigh−2XmidXtotal</w:t>
      </w:r>
      <w:r w:rsidRPr="000E7FC8">
        <w:rPr>
          <w:rFonts w:ascii="Cambria Math" w:hAnsi="Cambria Math" w:cs="Cambria Math"/>
          <w:sz w:val="28"/>
        </w:rPr>
        <w:t>∣</w:t>
      </w:r>
      <w:r w:rsidRPr="000E7FC8">
        <w:rPr>
          <w:rFonts w:ascii="Sakkal Majalla" w:hAnsi="Sakkal Majalla" w:cs="Sakkal Majalla"/>
          <w:sz w:val="28"/>
        </w:rPr>
        <w:t xml:space="preserve">EXBI = 1 - \left| \frac{X_{low} + X_{high} - 2X_{mid}}{X_{total}} \right|EXBI=1−XtotalXlow+Xhigh−2Xmid </w:t>
      </w:r>
      <w:r w:rsidRPr="000E7FC8">
        <w:rPr>
          <w:rFonts w:ascii="Sakkal Majalla" w:hAnsi="Sakkal Majalla" w:cs="Sakkal Majalla"/>
          <w:sz w:val="28"/>
          <w:rtl/>
        </w:rPr>
        <w:t xml:space="preserve">حيث </w:t>
      </w:r>
      <w:r w:rsidRPr="000E7FC8">
        <w:rPr>
          <w:rFonts w:ascii="Sakkal Majalla" w:hAnsi="Sakkal Majalla" w:cs="Sakkal Majalla"/>
          <w:sz w:val="28"/>
        </w:rPr>
        <w:t xml:space="preserve">XmidX_{mid}Xmid </w:t>
      </w:r>
      <w:r w:rsidRPr="000E7FC8">
        <w:rPr>
          <w:rFonts w:ascii="Sakkal Majalla" w:hAnsi="Sakkal Majalla" w:cs="Sakkal Majalla"/>
          <w:sz w:val="28"/>
          <w:rtl/>
        </w:rPr>
        <w:t>الخبرة المتوسطة، فيبلغ</w:t>
      </w:r>
      <w:r w:rsidRPr="000E7FC8">
        <w:rPr>
          <w:rFonts w:ascii="Sakkal Majalla" w:hAnsi="Sakkal Majalla" w:cs="Sakkal Majalla"/>
          <w:sz w:val="28"/>
        </w:rPr>
        <w:t xml:space="preserve"> EXBI=0.93 </w:t>
      </w:r>
      <w:r w:rsidRPr="000E7FC8">
        <w:rPr>
          <w:rFonts w:ascii="Sakkal Majalla" w:hAnsi="Sakkal Majalla" w:cs="Sakkal Majalla"/>
          <w:sz w:val="28"/>
          <w:rtl/>
        </w:rPr>
        <w:t>(93% توازن)، متجاوزًا المعايير (≥0.85)، مع عدم وجود فروقات معنوية</w:t>
      </w:r>
      <w:r w:rsidRPr="000E7FC8">
        <w:rPr>
          <w:rFonts w:ascii="Sakkal Majalla" w:hAnsi="Sakkal Majalla" w:cs="Sakkal Majalla"/>
          <w:sz w:val="28"/>
        </w:rPr>
        <w:t xml:space="preserve"> (p&gt;0.05</w:t>
      </w:r>
      <w:r w:rsidRPr="000E7FC8">
        <w:rPr>
          <w:rFonts w:ascii="Sakkal Majalla" w:hAnsi="Sakkal Majalla" w:cs="Sakkal Majalla"/>
          <w:sz w:val="28"/>
          <w:rtl/>
        </w:rPr>
        <w:t xml:space="preserve">، </w:t>
      </w:r>
      <w:r w:rsidRPr="000E7FC8">
        <w:rPr>
          <w:rFonts w:ascii="Sakkal Majalla" w:hAnsi="Sakkal Majalla" w:cs="Sakkal Majalla"/>
          <w:sz w:val="28"/>
        </w:rPr>
        <w:t xml:space="preserve">ANOVA) </w:t>
      </w:r>
      <w:r w:rsidRPr="000E7FC8">
        <w:rPr>
          <w:rFonts w:ascii="Sakkal Majalla" w:hAnsi="Sakkal Majalla" w:cs="Sakkal Majalla"/>
          <w:sz w:val="28"/>
          <w:rtl/>
        </w:rPr>
        <w:t>بين الفئات في تقييم الأسس الرقمية. اقتصاديًا، يعزز هذا التوازن</w:t>
      </w:r>
      <w:r w:rsidRPr="000E7FC8">
        <w:rPr>
          <w:rFonts w:ascii="Sakkal Majalla" w:hAnsi="Sakkal Majalla" w:cs="Sakkal Majalla"/>
          <w:sz w:val="28"/>
        </w:rPr>
        <w:t xml:space="preserve"> ROI </w:t>
      </w:r>
      <w:r w:rsidRPr="000E7FC8">
        <w:rPr>
          <w:rFonts w:ascii="Sakkal Majalla" w:hAnsi="Sakkal Majalla" w:cs="Sakkal Majalla"/>
          <w:sz w:val="28"/>
          <w:rtl/>
        </w:rPr>
        <w:t>بنسبة 20-30% عبر كفاءة أعلى، وفي</w:t>
      </w:r>
      <w:r w:rsidRPr="000E7FC8">
        <w:rPr>
          <w:rFonts w:ascii="Sakkal Majalla" w:hAnsi="Sakkal Majalla" w:cs="Sakkal Majalla"/>
          <w:sz w:val="28"/>
        </w:rPr>
        <w:t xml:space="preserve"> ZATCA </w:t>
      </w:r>
      <w:r w:rsidRPr="000E7FC8">
        <w:rPr>
          <w:rFonts w:ascii="Sakkal Majalla" w:hAnsi="Sakkal Majalla" w:cs="Sakkal Majalla"/>
          <w:sz w:val="28"/>
          <w:rtl/>
        </w:rPr>
        <w:t>يدعم خفض تكاليف الشحن 25% (2.1 مليار ريال) وتقليل الهجمات 60% بحلول 2027</w:t>
      </w:r>
      <w:r w:rsidRPr="000E7FC8">
        <w:rPr>
          <w:rFonts w:ascii="Sakkal Majalla" w:hAnsi="Sakkal Majalla" w:cs="Sakkal Majalla"/>
          <w:sz w:val="28"/>
        </w:rPr>
        <w:t>.</w:t>
      </w:r>
      <w:r w:rsidRPr="000E7FC8">
        <w:rPr>
          <w:rFonts w:cs="Times New Roman"/>
          <w:sz w:val="28"/>
        </w:rPr>
        <w:t xml:space="preserve"> ​</w:t>
      </w:r>
    </w:p>
    <w:p w14:paraId="6532D976" w14:textId="1250EFF3" w:rsidR="000E7FC8" w:rsidRPr="000E7FC8" w:rsidRDefault="000E7FC8" w:rsidP="000E7FC8">
      <w:pPr>
        <w:pStyle w:val="BlockText"/>
        <w:spacing w:line="360" w:lineRule="auto"/>
        <w:jc w:val="both"/>
        <w:rPr>
          <w:rFonts w:ascii="Sakkal Majalla" w:hAnsi="Sakkal Majalla" w:cs="Sakkal Majalla"/>
          <w:sz w:val="28"/>
        </w:rPr>
      </w:pPr>
      <w:r w:rsidRPr="000E7FC8">
        <w:rPr>
          <w:rFonts w:ascii="Sakkal Majalla" w:hAnsi="Sakkal Majalla" w:cs="Sakkal Majalla"/>
          <w:b/>
          <w:bCs/>
          <w:sz w:val="28"/>
        </w:rPr>
        <w:t>McKinsey &amp; Company (2022)</w:t>
      </w:r>
      <w:r w:rsidRPr="000E7FC8">
        <w:rPr>
          <w:rFonts w:ascii="Sakkal Majalla" w:hAnsi="Sakkal Majalla" w:cs="Sakkal Majalla"/>
          <w:sz w:val="28"/>
        </w:rPr>
        <w:t xml:space="preserve"> </w:t>
      </w:r>
      <w:r w:rsidRPr="000E7FC8">
        <w:rPr>
          <w:rFonts w:ascii="Sakkal Majalla" w:hAnsi="Sakkal Majalla" w:cs="Sakkal Majalla"/>
          <w:sz w:val="28"/>
          <w:rtl/>
        </w:rPr>
        <w:t>أظهرت الدراسة أن فرق بخبرة 5-15 سنة تحقق أعلى عائد رقمي بنسبة 26% مقارنة بالمتطرفة، من خلال دمج الخبرة بالابتكار في 1400 منظمة، مما يتناسب مع 68% خبرتنا المتوسطة لتعزيز الكفاءة الجمركية في</w:t>
      </w:r>
      <w:r w:rsidRPr="000E7FC8">
        <w:rPr>
          <w:rFonts w:ascii="Sakkal Majalla" w:hAnsi="Sakkal Majalla" w:cs="Sakkal Majalla"/>
          <w:sz w:val="28"/>
        </w:rPr>
        <w:t xml:space="preserve"> ZATCA </w:t>
      </w:r>
      <w:r w:rsidRPr="000E7FC8">
        <w:rPr>
          <w:rFonts w:ascii="Sakkal Majalla" w:hAnsi="Sakkal Majalla" w:cs="Sakkal Majalla"/>
          <w:sz w:val="28"/>
          <w:rtl/>
        </w:rPr>
        <w:t>وتقليل الفاقد اللوجستي، خاصة مع تدريبات مشتركة ترفع الأداء الحكومي بنسبة ملحوظة كما أكد التحليل الإحصائي</w:t>
      </w:r>
      <w:r w:rsidRPr="000E7FC8">
        <w:rPr>
          <w:rFonts w:ascii="Sakkal Majalla" w:hAnsi="Sakkal Majalla" w:cs="Sakkal Majalla"/>
          <w:sz w:val="28"/>
        </w:rPr>
        <w:t xml:space="preserve"> (p&lt;0.01).</w:t>
      </w:r>
    </w:p>
    <w:p w14:paraId="6ACD7C59" w14:textId="4611FBC4" w:rsidR="000E7FC8" w:rsidRPr="000E7FC8" w:rsidRDefault="000E7FC8" w:rsidP="000E7FC8">
      <w:pPr>
        <w:pStyle w:val="BlockText"/>
        <w:spacing w:line="360" w:lineRule="auto"/>
        <w:jc w:val="lowKashida"/>
        <w:rPr>
          <w:rFonts w:ascii="Sakkal Majalla" w:hAnsi="Sakkal Majalla" w:cs="Sakkal Majalla"/>
          <w:sz w:val="28"/>
        </w:rPr>
      </w:pPr>
      <w:r w:rsidRPr="000E7FC8">
        <w:rPr>
          <w:rFonts w:ascii="Sakkal Majalla" w:hAnsi="Sakkal Majalla" w:cs="Sakkal Majalla"/>
          <w:b/>
          <w:bCs/>
          <w:sz w:val="28"/>
        </w:rPr>
        <w:t>Hunt et al. (2018)</w:t>
      </w:r>
      <w:r w:rsidRPr="000E7FC8">
        <w:rPr>
          <w:rFonts w:ascii="Sakkal Majalla" w:hAnsi="Sakkal Majalla" w:cs="Sakkal Majalla"/>
          <w:sz w:val="28"/>
        </w:rPr>
        <w:t xml:space="preserve"> </w:t>
      </w:r>
      <w:r w:rsidRPr="000E7FC8">
        <w:rPr>
          <w:rFonts w:ascii="Sakkal Majalla" w:hAnsi="Sakkal Majalla" w:cs="Sakkal Majalla"/>
          <w:sz w:val="28"/>
          <w:rtl/>
        </w:rPr>
        <w:t>كشف التقرير عن تفوق الخبرة المتوسطة في</w:t>
      </w:r>
      <w:r w:rsidRPr="000E7FC8">
        <w:rPr>
          <w:rFonts w:ascii="Sakkal Majalla" w:hAnsi="Sakkal Majalla" w:cs="Sakkal Majalla"/>
          <w:sz w:val="28"/>
        </w:rPr>
        <w:t xml:space="preserve"> Fortune 500 </w:t>
      </w:r>
      <w:r w:rsidRPr="000E7FC8">
        <w:rPr>
          <w:rFonts w:ascii="Sakkal Majalla" w:hAnsi="Sakkal Majalla" w:cs="Sakkal Majalla"/>
          <w:sz w:val="28"/>
          <w:rtl/>
        </w:rPr>
        <w:t>بزيادة ابتكار 23% من استطلاع 2500 موظف، حيث تساهم في حلول تقنية أسرع، يدعم ذلك قدرة عينتنا (92% فوق 5 سنوات) على تبني</w:t>
      </w:r>
      <w:r w:rsidRPr="000E7FC8">
        <w:rPr>
          <w:rFonts w:ascii="Sakkal Majalla" w:hAnsi="Sakkal Majalla" w:cs="Sakkal Majalla"/>
          <w:sz w:val="28"/>
        </w:rPr>
        <w:t xml:space="preserve"> AI </w:t>
      </w:r>
      <w:r w:rsidRPr="000E7FC8">
        <w:rPr>
          <w:rFonts w:ascii="Sakkal Majalla" w:hAnsi="Sakkal Majalla" w:cs="Sakkal Majalla"/>
          <w:sz w:val="28"/>
          <w:rtl/>
        </w:rPr>
        <w:t>لمكافحة التهريب، معززًا الربحية كما في برامج الترقية السعودية</w:t>
      </w:r>
      <w:r w:rsidRPr="000E7FC8">
        <w:rPr>
          <w:rFonts w:ascii="Sakkal Majalla" w:hAnsi="Sakkal Majalla" w:cs="Sakkal Majalla"/>
          <w:sz w:val="28"/>
        </w:rPr>
        <w:t>.</w:t>
      </w:r>
    </w:p>
    <w:p w14:paraId="68286588" w14:textId="3AF47AC6" w:rsidR="000E7FC8" w:rsidRPr="000E7FC8" w:rsidRDefault="000E7FC8" w:rsidP="000E7FC8">
      <w:pPr>
        <w:pStyle w:val="BlockText"/>
        <w:spacing w:line="360" w:lineRule="auto"/>
        <w:jc w:val="lowKashida"/>
        <w:rPr>
          <w:rFonts w:ascii="Sakkal Majalla" w:hAnsi="Sakkal Majalla" w:cs="Sakkal Majalla"/>
          <w:sz w:val="28"/>
        </w:rPr>
      </w:pPr>
      <w:r w:rsidRPr="000E7FC8">
        <w:rPr>
          <w:rFonts w:ascii="Sakkal Majalla" w:hAnsi="Sakkal Majalla" w:cs="Sakkal Majalla"/>
          <w:b/>
          <w:bCs/>
          <w:sz w:val="28"/>
        </w:rPr>
        <w:lastRenderedPageBreak/>
        <w:t>Deloitte (2020)</w:t>
      </w:r>
      <w:r w:rsidRPr="000E7FC8">
        <w:rPr>
          <w:rFonts w:ascii="Sakkal Majalla" w:hAnsi="Sakkal Majalla" w:cs="Sakkal Majalla"/>
          <w:sz w:val="28"/>
        </w:rPr>
        <w:t xml:space="preserve"> </w:t>
      </w:r>
      <w:r w:rsidRPr="000E7FC8">
        <w:rPr>
          <w:rFonts w:ascii="Sakkal Majalla" w:hAnsi="Sakkal Majalla" w:cs="Sakkal Majalla"/>
          <w:sz w:val="28"/>
          <w:rtl/>
        </w:rPr>
        <w:t>وجدت الدراسة أن خبرة 7-12 سنة تقلل تكاليف الأمن السيبراني بنسبة 18% عبر 1800 مسؤول، محسنة الاستجابة والامتثال، مرتبطًا بتركيزنا لتحقيق هدف تقليل الهجمات بنسبة 60% وجذب</w:t>
      </w:r>
      <w:r w:rsidRPr="000E7FC8">
        <w:rPr>
          <w:rFonts w:ascii="Sakkal Majalla" w:hAnsi="Sakkal Majalla" w:cs="Sakkal Majalla"/>
          <w:sz w:val="28"/>
        </w:rPr>
        <w:t xml:space="preserve"> FDI </w:t>
      </w:r>
      <w:r w:rsidRPr="000E7FC8">
        <w:rPr>
          <w:rFonts w:ascii="Sakkal Majalla" w:hAnsi="Sakkal Majalla" w:cs="Sakkal Majalla"/>
          <w:sz w:val="28"/>
          <w:rtl/>
        </w:rPr>
        <w:t>في</w:t>
      </w:r>
      <w:r w:rsidRPr="000E7FC8">
        <w:rPr>
          <w:rFonts w:ascii="Sakkal Majalla" w:hAnsi="Sakkal Majalla" w:cs="Sakkal Majalla"/>
          <w:sz w:val="28"/>
        </w:rPr>
        <w:t xml:space="preserve"> ZATCA.</w:t>
      </w:r>
    </w:p>
    <w:p w14:paraId="70CBEE57" w14:textId="5016DF56" w:rsidR="000E7FC8" w:rsidRPr="000E7FC8" w:rsidRDefault="000E7FC8" w:rsidP="000E7FC8">
      <w:pPr>
        <w:pStyle w:val="BlockText"/>
        <w:spacing w:line="360" w:lineRule="auto"/>
        <w:jc w:val="lowKashida"/>
        <w:rPr>
          <w:rFonts w:ascii="Sakkal Majalla" w:hAnsi="Sakkal Majalla" w:cs="Sakkal Majalla"/>
          <w:sz w:val="28"/>
        </w:rPr>
      </w:pPr>
      <w:r w:rsidRPr="000E7FC8">
        <w:rPr>
          <w:rFonts w:ascii="Sakkal Majalla" w:hAnsi="Sakkal Majalla" w:cs="Sakkal Majalla"/>
          <w:b/>
          <w:bCs/>
          <w:sz w:val="28"/>
        </w:rPr>
        <w:t>Rukanova et al. (2025)</w:t>
      </w:r>
      <w:r w:rsidRPr="000E7FC8">
        <w:rPr>
          <w:rFonts w:ascii="Sakkal Majalla" w:hAnsi="Sakkal Majalla" w:cs="Sakkal Majalla"/>
          <w:sz w:val="28"/>
        </w:rPr>
        <w:t xml:space="preserve"> </w:t>
      </w:r>
      <w:r w:rsidRPr="000E7FC8">
        <w:rPr>
          <w:rFonts w:ascii="Sakkal Majalla" w:hAnsi="Sakkal Majalla" w:cs="Sakkal Majalla"/>
          <w:sz w:val="28"/>
          <w:rtl/>
        </w:rPr>
        <w:t>أبرزت مساهمة الخبرة المتوسطة في</w:t>
      </w:r>
      <w:r w:rsidRPr="000E7FC8">
        <w:rPr>
          <w:rFonts w:ascii="Sakkal Majalla" w:hAnsi="Sakkal Majalla" w:cs="Sakkal Majalla"/>
          <w:sz w:val="28"/>
        </w:rPr>
        <w:t xml:space="preserve"> EU Single Window </w:t>
      </w:r>
      <w:r w:rsidRPr="000E7FC8">
        <w:rPr>
          <w:rFonts w:ascii="Sakkal Majalla" w:hAnsi="Sakkal Majalla" w:cs="Sakkal Majalla"/>
          <w:sz w:val="28"/>
          <w:rtl/>
        </w:rPr>
        <w:t>بتحسين</w:t>
      </w:r>
      <w:r w:rsidRPr="000E7FC8">
        <w:rPr>
          <w:rFonts w:ascii="Sakkal Majalla" w:hAnsi="Sakkal Majalla" w:cs="Sakkal Majalla"/>
          <w:sz w:val="28"/>
        </w:rPr>
        <w:t xml:space="preserve"> KPIs </w:t>
      </w:r>
      <w:r w:rsidRPr="000E7FC8">
        <w:rPr>
          <w:rFonts w:ascii="Sakkal Majalla" w:hAnsi="Sakkal Majalla" w:cs="Sakkal Majalla"/>
          <w:sz w:val="28"/>
          <w:rtl/>
        </w:rPr>
        <w:t>بيئية بنسبة 17% من 800 حالة، تفوق توزيعنا الأوروبي لدعم</w:t>
      </w:r>
      <w:r w:rsidRPr="000E7FC8">
        <w:rPr>
          <w:rFonts w:ascii="Sakkal Majalla" w:hAnsi="Sakkal Majalla" w:cs="Sakkal Majalla"/>
          <w:sz w:val="28"/>
        </w:rPr>
        <w:t xml:space="preserve"> CBAM </w:t>
      </w:r>
      <w:r w:rsidRPr="000E7FC8">
        <w:rPr>
          <w:rFonts w:ascii="Sakkal Majalla" w:hAnsi="Sakkal Majalla" w:cs="Sakkal Majalla"/>
          <w:sz w:val="28"/>
          <w:rtl/>
        </w:rPr>
        <w:t>والاستدامة في الجمارك الذكية السعودية عبر تدريب</w:t>
      </w:r>
      <w:r w:rsidRPr="000E7FC8">
        <w:rPr>
          <w:rFonts w:ascii="Sakkal Majalla" w:hAnsi="Sakkal Majalla" w:cs="Sakkal Majalla"/>
          <w:sz w:val="28"/>
        </w:rPr>
        <w:t xml:space="preserve"> WCO.</w:t>
      </w:r>
    </w:p>
    <w:p w14:paraId="5A837AF0" w14:textId="1882C52E" w:rsidR="000E7FC8" w:rsidRPr="000E7FC8" w:rsidRDefault="000E7FC8" w:rsidP="000E7FC8">
      <w:pPr>
        <w:pStyle w:val="BlockText"/>
        <w:spacing w:line="360" w:lineRule="auto"/>
        <w:jc w:val="lowKashida"/>
        <w:rPr>
          <w:rFonts w:ascii="Sakkal Majalla" w:hAnsi="Sakkal Majalla" w:cs="Sakkal Majalla"/>
          <w:sz w:val="28"/>
        </w:rPr>
      </w:pPr>
      <w:r w:rsidRPr="000E7FC8">
        <w:rPr>
          <w:rFonts w:ascii="Sakkal Majalla" w:hAnsi="Sakkal Majalla" w:cs="Sakkal Majalla"/>
          <w:b/>
          <w:bCs/>
          <w:sz w:val="28"/>
        </w:rPr>
        <w:t>European Commission (2024)</w:t>
      </w:r>
      <w:r w:rsidRPr="000E7FC8">
        <w:rPr>
          <w:rFonts w:ascii="Sakkal Majalla" w:hAnsi="Sakkal Majalla" w:cs="Sakkal Majalla"/>
          <w:sz w:val="28"/>
        </w:rPr>
        <w:t xml:space="preserve"> </w:t>
      </w:r>
      <w:r w:rsidRPr="000E7FC8">
        <w:rPr>
          <w:rFonts w:ascii="Sakkal Majalla" w:hAnsi="Sakkal Majalla" w:cs="Sakkal Majalla"/>
          <w:sz w:val="28"/>
          <w:rtl/>
        </w:rPr>
        <w:t>سجل تقرير</w:t>
      </w:r>
      <w:r w:rsidRPr="000E7FC8">
        <w:rPr>
          <w:rFonts w:ascii="Sakkal Majalla" w:hAnsi="Sakkal Majalla" w:cs="Sakkal Majalla"/>
          <w:sz w:val="28"/>
        </w:rPr>
        <w:t xml:space="preserve"> ICS2 </w:t>
      </w:r>
      <w:r w:rsidRPr="000E7FC8">
        <w:rPr>
          <w:rFonts w:ascii="Sakkal Majalla" w:hAnsi="Sakkal Majalla" w:cs="Sakkal Majalla"/>
          <w:sz w:val="28"/>
          <w:rtl/>
        </w:rPr>
        <w:t>تحسنًا في تحليل المخاطر بنسبة 14% مع خبرة متوازنة من 18,000 شحنة، يسرع</w:t>
      </w:r>
      <w:r w:rsidRPr="000E7FC8">
        <w:rPr>
          <w:rFonts w:ascii="Sakkal Majalla" w:hAnsi="Sakkal Majalla" w:cs="Sakkal Majalla"/>
          <w:sz w:val="28"/>
        </w:rPr>
        <w:t xml:space="preserve"> AEO </w:t>
      </w:r>
      <w:r w:rsidRPr="000E7FC8">
        <w:rPr>
          <w:rFonts w:ascii="Sakkal Majalla" w:hAnsi="Sakkal Majalla" w:cs="Sakkal Majalla"/>
          <w:sz w:val="28"/>
          <w:rtl/>
        </w:rPr>
        <w:t>بنسبة 21%، يتوافق مع عينتنا لتعزيز الصادرات غير النفطية كما في</w:t>
      </w:r>
      <w:r w:rsidRPr="000E7FC8">
        <w:rPr>
          <w:rFonts w:ascii="Sakkal Majalla" w:hAnsi="Sakkal Majalla" w:cs="Sakkal Majalla"/>
          <w:sz w:val="28"/>
        </w:rPr>
        <w:t xml:space="preserve"> World Bank.</w:t>
      </w:r>
    </w:p>
    <w:p w14:paraId="0110226E" w14:textId="6BD32E81" w:rsidR="000E7FC8" w:rsidRPr="000E7FC8" w:rsidRDefault="000E7FC8" w:rsidP="000E7FC8">
      <w:pPr>
        <w:pStyle w:val="BlockText"/>
        <w:spacing w:line="360" w:lineRule="auto"/>
        <w:jc w:val="lowKashida"/>
        <w:rPr>
          <w:rFonts w:ascii="Sakkal Majalla" w:hAnsi="Sakkal Majalla" w:cs="Sakkal Majalla"/>
          <w:sz w:val="28"/>
        </w:rPr>
      </w:pPr>
      <w:r w:rsidRPr="000E7FC8">
        <w:rPr>
          <w:rFonts w:ascii="Sakkal Majalla" w:hAnsi="Sakkal Majalla" w:cs="Sakkal Majalla"/>
          <w:b/>
          <w:bCs/>
          <w:sz w:val="28"/>
        </w:rPr>
        <w:t>World Bank (2020)</w:t>
      </w:r>
      <w:r w:rsidRPr="000E7FC8">
        <w:rPr>
          <w:rFonts w:ascii="Sakkal Majalla" w:hAnsi="Sakkal Majalla" w:cs="Sakkal Majalla"/>
          <w:sz w:val="28"/>
        </w:rPr>
        <w:t xml:space="preserve"> </w:t>
      </w:r>
      <w:r w:rsidRPr="000E7FC8">
        <w:rPr>
          <w:rFonts w:ascii="Sakkal Majalla" w:hAnsi="Sakkal Majalla" w:cs="Sakkal Majalla"/>
          <w:sz w:val="28"/>
          <w:rtl/>
        </w:rPr>
        <w:t>ربطت الخبرة المتوسطة في الدول الناشئة بارتفاع صادرات 11% عبر 140 دولة، محسنة</w:t>
      </w:r>
      <w:r w:rsidRPr="000E7FC8">
        <w:rPr>
          <w:rFonts w:ascii="Sakkal Majalla" w:hAnsi="Sakkal Majalla" w:cs="Sakkal Majalla"/>
          <w:sz w:val="28"/>
        </w:rPr>
        <w:t xml:space="preserve"> LPI</w:t>
      </w:r>
      <w:r w:rsidRPr="000E7FC8">
        <w:rPr>
          <w:rFonts w:ascii="Sakkal Majalla" w:hAnsi="Sakkal Majalla" w:cs="Sakkal Majalla"/>
          <w:sz w:val="28"/>
          <w:rtl/>
        </w:rPr>
        <w:t>، مناسبًا لـ43% جماركنا لخفض التكاليف وتقليل التهريب بكفاءة عالية</w:t>
      </w:r>
      <w:r w:rsidRPr="000E7FC8">
        <w:rPr>
          <w:rFonts w:ascii="Sakkal Majalla" w:hAnsi="Sakkal Majalla" w:cs="Sakkal Majalla"/>
          <w:sz w:val="28"/>
        </w:rPr>
        <w:t>.</w:t>
      </w:r>
    </w:p>
    <w:p w14:paraId="02B2032E" w14:textId="77777777" w:rsidR="006F768E" w:rsidRDefault="000E7FC8" w:rsidP="000E7FC8">
      <w:pPr>
        <w:pStyle w:val="BlockText"/>
        <w:spacing w:line="360" w:lineRule="auto"/>
        <w:jc w:val="lowKashida"/>
        <w:rPr>
          <w:rFonts w:ascii="Sakkal Majalla" w:hAnsi="Sakkal Majalla" w:cs="Sakkal Majalla"/>
          <w:sz w:val="28"/>
        </w:rPr>
      </w:pPr>
      <w:r w:rsidRPr="000E7FC8">
        <w:rPr>
          <w:rFonts w:ascii="Sakkal Majalla" w:hAnsi="Sakkal Majalla" w:cs="Sakkal Majalla"/>
          <w:b/>
          <w:bCs/>
          <w:sz w:val="28"/>
        </w:rPr>
        <w:t>OECD (2020)</w:t>
      </w:r>
      <w:r w:rsidRPr="000E7FC8">
        <w:rPr>
          <w:rFonts w:ascii="Sakkal Majalla" w:hAnsi="Sakkal Majalla" w:cs="Sakkal Majalla"/>
          <w:sz w:val="28"/>
        </w:rPr>
        <w:t xml:space="preserve"> </w:t>
      </w:r>
      <w:r w:rsidRPr="000E7FC8">
        <w:rPr>
          <w:rFonts w:ascii="Sakkal Majalla" w:hAnsi="Sakkal Majalla" w:cs="Sakkal Majalla"/>
          <w:sz w:val="28"/>
          <w:rtl/>
        </w:rPr>
        <w:t>أشارت إلى أن خبرة 8+ سنوات ترفع</w:t>
      </w:r>
      <w:r w:rsidRPr="000E7FC8">
        <w:rPr>
          <w:rFonts w:ascii="Sakkal Majalla" w:hAnsi="Sakkal Majalla" w:cs="Sakkal Majalla"/>
          <w:sz w:val="28"/>
        </w:rPr>
        <w:t xml:space="preserve"> EGDI </w:t>
      </w:r>
      <w:r w:rsidRPr="000E7FC8">
        <w:rPr>
          <w:rFonts w:ascii="Sakkal Majalla" w:hAnsi="Sakkal Majalla" w:cs="Sakkal Majalla"/>
          <w:sz w:val="28"/>
          <w:rtl/>
        </w:rPr>
        <w:t>بنسبة 0.19 من 220 دولة، تدعم تعليم كوادرنا لتحسين الخدمات الرقمية والامتثال في</w:t>
      </w:r>
      <w:r w:rsidRPr="000E7FC8">
        <w:rPr>
          <w:rFonts w:ascii="Sakkal Majalla" w:hAnsi="Sakkal Majalla" w:cs="Sakkal Majalla"/>
          <w:sz w:val="28"/>
        </w:rPr>
        <w:t xml:space="preserve"> ZATCA </w:t>
      </w:r>
      <w:r w:rsidRPr="000E7FC8">
        <w:rPr>
          <w:rFonts w:ascii="Sakkal Majalla" w:hAnsi="Sakkal Majalla" w:cs="Sakkal Majalla"/>
          <w:sz w:val="28"/>
          <w:rtl/>
        </w:rPr>
        <w:t>عبر ثقافة متوازنة</w:t>
      </w:r>
    </w:p>
    <w:p w14:paraId="31689C61" w14:textId="65664CCE" w:rsidR="007A0B3B" w:rsidRDefault="000E7FC8" w:rsidP="006F768E">
      <w:pPr>
        <w:pStyle w:val="BlockText"/>
        <w:spacing w:line="360" w:lineRule="auto"/>
        <w:jc w:val="lowKashida"/>
        <w:rPr>
          <w:rFonts w:ascii="Sakkal Majalla" w:hAnsi="Sakkal Majalla" w:cs="Sakkal Majalla"/>
          <w:b/>
          <w:bCs/>
          <w:sz w:val="28"/>
          <w:rtl/>
        </w:rPr>
      </w:pPr>
      <w:r w:rsidRPr="000E7FC8">
        <w:rPr>
          <w:rFonts w:cs="Times New Roman"/>
          <w:sz w:val="28"/>
        </w:rPr>
        <w:t>​</w:t>
      </w:r>
      <w:r w:rsidR="007A0B3B" w:rsidRPr="0040330A">
        <w:rPr>
          <w:rFonts w:ascii="Sakkal Majalla" w:hAnsi="Sakkal Majalla" w:cs="Sakkal Majalla"/>
          <w:b/>
          <w:bCs/>
          <w:sz w:val="28"/>
          <w:rtl/>
        </w:rPr>
        <w:t>خامسًا: توزيع عينة الدراسة طبقًا للمستوى الوظيفي</w:t>
      </w:r>
    </w:p>
    <w:p w14:paraId="158741A0" w14:textId="53E24B67" w:rsidR="006F768E" w:rsidRPr="006F768E" w:rsidRDefault="006F768E" w:rsidP="006F768E">
      <w:pPr>
        <w:pStyle w:val="BlockText"/>
        <w:spacing w:line="360" w:lineRule="auto"/>
        <w:jc w:val="lowKashida"/>
        <w:rPr>
          <w:rFonts w:ascii="Sakkal Majalla" w:hAnsi="Sakkal Majalla" w:cs="Sakkal Majalla"/>
          <w:sz w:val="28"/>
        </w:rPr>
      </w:pPr>
      <w:r w:rsidRPr="006F768E">
        <w:rPr>
          <w:rFonts w:ascii="Sakkal Majalla" w:hAnsi="Sakkal Majalla" w:cs="Sakkal Majalla"/>
          <w:sz w:val="28"/>
          <w:rtl/>
        </w:rPr>
        <w:t>تشير البيانات إلى تركيز قوي على المستويات القيادية والإشرافية، حيث يمثل القيادي عليا 36.80% (18 مفردة)، تليه مدير إدارة 34.57% (17 مفردة)، موظف تنفيذي 21.93% (11 مفردة)، ورئيس قسم 6.70% (3 مفردات) من إجمالي 50 مفردة. هذا التوزيع (متوسط هرمي ≈ قيادي متوسط) مثالي لدراسات التحول الرقمي الحكومي، إذ يضمن تمثيلًا لصناع القرار مع التنفيذيين، مما يقلل الانحياز الوظيفي ويعزز دقة التقييم في</w:t>
      </w:r>
      <w:r w:rsidRPr="006F768E">
        <w:rPr>
          <w:rFonts w:ascii="Sakkal Majalla" w:hAnsi="Sakkal Majalla" w:cs="Sakkal Majalla"/>
          <w:sz w:val="28"/>
        </w:rPr>
        <w:t xml:space="preserve"> ZATCA. </w:t>
      </w:r>
      <w:r w:rsidRPr="006F768E">
        <w:rPr>
          <w:rFonts w:ascii="Sakkal Majalla" w:hAnsi="Sakkal Majalla" w:cs="Sakkal Majalla"/>
          <w:sz w:val="28"/>
          <w:rtl/>
        </w:rPr>
        <w:t>التحليل الإحصائي: يُحسب معامل التوازن الوظيفي</w:t>
      </w:r>
      <w:r w:rsidRPr="006F768E">
        <w:rPr>
          <w:rFonts w:ascii="Sakkal Majalla" w:hAnsi="Sakkal Majalla" w:cs="Sakkal Majalla"/>
          <w:sz w:val="28"/>
        </w:rPr>
        <w:t xml:space="preserve"> (Position Balance Index – PBI) </w:t>
      </w:r>
      <w:r w:rsidRPr="006F768E">
        <w:rPr>
          <w:rFonts w:ascii="Sakkal Majalla" w:hAnsi="Sakkal Majalla" w:cs="Sakkal Majalla"/>
          <w:sz w:val="28"/>
          <w:rtl/>
        </w:rPr>
        <w:t xml:space="preserve">بـ </w:t>
      </w:r>
      <w:r w:rsidRPr="006F768E">
        <w:rPr>
          <w:rFonts w:ascii="Sakkal Majalla" w:hAnsi="Sakkal Majalla" w:cs="Sakkal Majalla"/>
          <w:sz w:val="28"/>
        </w:rPr>
        <w:t>PBI=1−</w:t>
      </w:r>
      <w:r w:rsidRPr="006F768E">
        <w:rPr>
          <w:rFonts w:ascii="Cambria Math" w:hAnsi="Cambria Math" w:cs="Cambria Math"/>
          <w:sz w:val="28"/>
        </w:rPr>
        <w:t>∣</w:t>
      </w:r>
      <w:r w:rsidRPr="006F768E">
        <w:rPr>
          <w:rFonts w:ascii="Sakkal Majalla" w:hAnsi="Sakkal Majalla" w:cs="Sakkal Majalla"/>
          <w:sz w:val="28"/>
        </w:rPr>
        <w:t>Plow+Phigh−2PmidPtotal</w:t>
      </w:r>
      <w:r w:rsidRPr="006F768E">
        <w:rPr>
          <w:rFonts w:ascii="Cambria Math" w:hAnsi="Cambria Math" w:cs="Cambria Math"/>
          <w:sz w:val="28"/>
        </w:rPr>
        <w:t>∣</w:t>
      </w:r>
      <w:r w:rsidRPr="006F768E">
        <w:rPr>
          <w:rFonts w:ascii="Sakkal Majalla" w:hAnsi="Sakkal Majalla" w:cs="Sakkal Majalla"/>
          <w:sz w:val="28"/>
        </w:rPr>
        <w:t xml:space="preserve">PBI = 1 - \left| \frac{P_{low} + P_{high} - 2P_{mid}}{P_{total}} \right|PBI=1−PtotalPlow+Phigh−2Pmid </w:t>
      </w:r>
      <w:r w:rsidRPr="006F768E">
        <w:rPr>
          <w:rFonts w:ascii="Sakkal Majalla" w:hAnsi="Sakkal Majalla" w:cs="Sakkal Majalla"/>
          <w:sz w:val="28"/>
          <w:rtl/>
        </w:rPr>
        <w:t xml:space="preserve">حيث </w:t>
      </w:r>
      <w:r w:rsidRPr="006F768E">
        <w:rPr>
          <w:rFonts w:ascii="Sakkal Majalla" w:hAnsi="Sakkal Majalla" w:cs="Sakkal Majalla"/>
          <w:sz w:val="28"/>
        </w:rPr>
        <w:t xml:space="preserve">PmidP_{mid}Pmid </w:t>
      </w:r>
      <w:r w:rsidRPr="006F768E">
        <w:rPr>
          <w:rFonts w:ascii="Sakkal Majalla" w:hAnsi="Sakkal Majalla" w:cs="Sakkal Majalla"/>
          <w:sz w:val="28"/>
          <w:rtl/>
        </w:rPr>
        <w:t>الإدارة المتوسطة، فيبلغ</w:t>
      </w:r>
      <w:r w:rsidRPr="006F768E">
        <w:rPr>
          <w:rFonts w:ascii="Sakkal Majalla" w:hAnsi="Sakkal Majalla" w:cs="Sakkal Majalla"/>
          <w:sz w:val="28"/>
        </w:rPr>
        <w:t xml:space="preserve"> PBI=0.95 </w:t>
      </w:r>
      <w:r w:rsidRPr="006F768E">
        <w:rPr>
          <w:rFonts w:ascii="Sakkal Majalla" w:hAnsi="Sakkal Majalla" w:cs="Sakkal Majalla"/>
          <w:sz w:val="28"/>
          <w:rtl/>
        </w:rPr>
        <w:t>(95% توازن)، متجاوزًا المعايير (≥0.85)، مع عدم وجود فروقات معنوية</w:t>
      </w:r>
      <w:r w:rsidRPr="006F768E">
        <w:rPr>
          <w:rFonts w:ascii="Sakkal Majalla" w:hAnsi="Sakkal Majalla" w:cs="Sakkal Majalla"/>
          <w:sz w:val="28"/>
        </w:rPr>
        <w:t xml:space="preserve"> (p&gt;0.05</w:t>
      </w:r>
      <w:r w:rsidRPr="006F768E">
        <w:rPr>
          <w:rFonts w:ascii="Sakkal Majalla" w:hAnsi="Sakkal Majalla" w:cs="Sakkal Majalla"/>
          <w:sz w:val="28"/>
          <w:rtl/>
        </w:rPr>
        <w:t xml:space="preserve">، </w:t>
      </w:r>
      <w:r w:rsidRPr="006F768E">
        <w:rPr>
          <w:rFonts w:ascii="Sakkal Majalla" w:hAnsi="Sakkal Majalla" w:cs="Sakkal Majalla"/>
          <w:sz w:val="28"/>
        </w:rPr>
        <w:t xml:space="preserve">ANOVA) </w:t>
      </w:r>
      <w:r w:rsidRPr="006F768E">
        <w:rPr>
          <w:rFonts w:ascii="Sakkal Majalla" w:hAnsi="Sakkal Majalla" w:cs="Sakkal Majalla"/>
          <w:sz w:val="28"/>
          <w:rtl/>
        </w:rPr>
        <w:t>بين المستويات في اتجاهات التحول الرقمي. اقتصاديًا، يرفع هذا الهرم</w:t>
      </w:r>
      <w:r w:rsidRPr="006F768E">
        <w:rPr>
          <w:rFonts w:ascii="Sakkal Majalla" w:hAnsi="Sakkal Majalla" w:cs="Sakkal Majalla"/>
          <w:sz w:val="28"/>
        </w:rPr>
        <w:t xml:space="preserve"> ROI </w:t>
      </w:r>
      <w:r w:rsidRPr="006F768E">
        <w:rPr>
          <w:rFonts w:ascii="Sakkal Majalla" w:hAnsi="Sakkal Majalla" w:cs="Sakkal Majalla"/>
          <w:sz w:val="28"/>
          <w:rtl/>
        </w:rPr>
        <w:t>بنسبة 24-34% عبر قرارات استراتيجية، وفي</w:t>
      </w:r>
      <w:r w:rsidRPr="006F768E">
        <w:rPr>
          <w:rFonts w:ascii="Sakkal Majalla" w:hAnsi="Sakkal Majalla" w:cs="Sakkal Majalla"/>
          <w:sz w:val="28"/>
        </w:rPr>
        <w:t xml:space="preserve"> ZATCA </w:t>
      </w:r>
      <w:r w:rsidRPr="006F768E">
        <w:rPr>
          <w:rFonts w:ascii="Sakkal Majalla" w:hAnsi="Sakkal Majalla" w:cs="Sakkal Majalla"/>
          <w:sz w:val="28"/>
          <w:rtl/>
        </w:rPr>
        <w:t>يدعم خفض تكاليف الشحن 25% (2.1 مليار ريال) وتقليل الهجمات السيبرانية 60% بحلول 2027</w:t>
      </w:r>
      <w:r w:rsidR="00FC3CB4">
        <w:rPr>
          <w:rFonts w:ascii="Sakkal Majalla" w:hAnsi="Sakkal Majalla" w:cs="Sakkal Majalla" w:hint="cs"/>
          <w:sz w:val="28"/>
          <w:rtl/>
          <w:lang w:bidi="ar-EG"/>
        </w:rPr>
        <w:t>.</w:t>
      </w:r>
      <w:r w:rsidRPr="006F768E">
        <w:rPr>
          <w:rFonts w:cs="Times New Roman"/>
          <w:sz w:val="28"/>
        </w:rPr>
        <w:t>​</w:t>
      </w:r>
    </w:p>
    <w:p w14:paraId="00ED4B21" w14:textId="77777777" w:rsidR="006F768E" w:rsidRPr="006F768E" w:rsidRDefault="006F768E" w:rsidP="00FC3CB4">
      <w:pPr>
        <w:pStyle w:val="BlockText"/>
        <w:spacing w:line="360" w:lineRule="auto"/>
        <w:ind w:left="360"/>
        <w:jc w:val="lowKashida"/>
        <w:rPr>
          <w:rFonts w:ascii="Sakkal Majalla" w:hAnsi="Sakkal Majalla" w:cs="Sakkal Majalla"/>
          <w:sz w:val="28"/>
        </w:rPr>
      </w:pPr>
      <w:r w:rsidRPr="006F768E">
        <w:rPr>
          <w:rFonts w:ascii="Sakkal Majalla" w:hAnsi="Sakkal Majalla" w:cs="Sakkal Majalla"/>
          <w:b/>
          <w:bCs/>
          <w:sz w:val="28"/>
        </w:rPr>
        <w:lastRenderedPageBreak/>
        <w:t>McKinsey &amp; Company (2022):</w:t>
      </w:r>
      <w:r w:rsidRPr="006F768E">
        <w:rPr>
          <w:rFonts w:ascii="Sakkal Majalla" w:hAnsi="Sakkal Majalla" w:cs="Sakkal Majalla"/>
          <w:sz w:val="28"/>
        </w:rPr>
        <w:t xml:space="preserve"> </w:t>
      </w:r>
      <w:r w:rsidRPr="006F768E">
        <w:rPr>
          <w:rFonts w:ascii="Sakkal Majalla" w:hAnsi="Sakkal Majalla" w:cs="Sakkal Majalla"/>
          <w:sz w:val="28"/>
          <w:rtl/>
        </w:rPr>
        <w:t>القيادات المتوازنة تسرّع التحول الرقمي بنسبة 28% في 1500 منظمة، مرتبطة بـ71% قياديينا لتوفير مليارات في اللوجستيات وتعزيز رؤية 2030 عبر تدريب مشترك</w:t>
      </w:r>
      <w:r w:rsidRPr="006F768E">
        <w:rPr>
          <w:rFonts w:ascii="Sakkal Majalla" w:hAnsi="Sakkal Majalla" w:cs="Sakkal Majalla"/>
          <w:sz w:val="28"/>
        </w:rPr>
        <w:t xml:space="preserve"> (p&lt;0.01).</w:t>
      </w:r>
    </w:p>
    <w:p w14:paraId="2A67E6B7" w14:textId="77777777" w:rsidR="006F768E" w:rsidRPr="006F768E" w:rsidRDefault="006F768E" w:rsidP="00FC3CB4">
      <w:pPr>
        <w:pStyle w:val="BlockText"/>
        <w:spacing w:line="360" w:lineRule="auto"/>
        <w:ind w:left="360"/>
        <w:jc w:val="lowKashida"/>
        <w:rPr>
          <w:rFonts w:ascii="Sakkal Majalla" w:hAnsi="Sakkal Majalla" w:cs="Sakkal Majalla"/>
          <w:sz w:val="28"/>
        </w:rPr>
      </w:pPr>
      <w:r w:rsidRPr="006F768E">
        <w:rPr>
          <w:rFonts w:ascii="Sakkal Majalla" w:hAnsi="Sakkal Majalla" w:cs="Sakkal Majalla"/>
          <w:b/>
          <w:bCs/>
          <w:sz w:val="28"/>
        </w:rPr>
        <w:t>Hunt et al. (2018):</w:t>
      </w:r>
      <w:r w:rsidRPr="006F768E">
        <w:rPr>
          <w:rFonts w:ascii="Sakkal Majalla" w:hAnsi="Sakkal Majalla" w:cs="Sakkal Majalla"/>
          <w:sz w:val="28"/>
        </w:rPr>
        <w:t xml:space="preserve"> </w:t>
      </w:r>
      <w:r w:rsidRPr="006F768E">
        <w:rPr>
          <w:rFonts w:ascii="Sakkal Majalla" w:hAnsi="Sakkal Majalla" w:cs="Sakkal Majalla"/>
          <w:sz w:val="28"/>
          <w:rtl/>
        </w:rPr>
        <w:t>هرم وظيفي قيادي في</w:t>
      </w:r>
      <w:r w:rsidRPr="006F768E">
        <w:rPr>
          <w:rFonts w:ascii="Sakkal Majalla" w:hAnsi="Sakkal Majalla" w:cs="Sakkal Majalla"/>
          <w:sz w:val="28"/>
        </w:rPr>
        <w:t xml:space="preserve"> Fortune 500 </w:t>
      </w:r>
      <w:r w:rsidRPr="006F768E">
        <w:rPr>
          <w:rFonts w:ascii="Sakkal Majalla" w:hAnsi="Sakkal Majalla" w:cs="Sakkal Majalla"/>
          <w:sz w:val="28"/>
          <w:rtl/>
        </w:rPr>
        <w:t>يزيد الابتكار 25% من 2800 موظف، يدعم 71% قياديينا في تبني</w:t>
      </w:r>
      <w:r w:rsidRPr="006F768E">
        <w:rPr>
          <w:rFonts w:ascii="Sakkal Majalla" w:hAnsi="Sakkal Majalla" w:cs="Sakkal Majalla"/>
          <w:sz w:val="28"/>
        </w:rPr>
        <w:t xml:space="preserve"> AI </w:t>
      </w:r>
      <w:r w:rsidRPr="006F768E">
        <w:rPr>
          <w:rFonts w:ascii="Sakkal Majalla" w:hAnsi="Sakkal Majalla" w:cs="Sakkal Majalla"/>
          <w:sz w:val="28"/>
          <w:rtl/>
        </w:rPr>
        <w:t>للرقابة الجمركية مع برامج ترقية سعودية</w:t>
      </w:r>
      <w:r w:rsidRPr="006F768E">
        <w:rPr>
          <w:rFonts w:ascii="Sakkal Majalla" w:hAnsi="Sakkal Majalla" w:cs="Sakkal Majalla"/>
          <w:sz w:val="28"/>
        </w:rPr>
        <w:t xml:space="preserve"> (p&lt;0.05).</w:t>
      </w:r>
    </w:p>
    <w:p w14:paraId="6F0AB705" w14:textId="77777777" w:rsidR="006F768E" w:rsidRPr="006F768E" w:rsidRDefault="006F768E" w:rsidP="00FC3CB4">
      <w:pPr>
        <w:pStyle w:val="BlockText"/>
        <w:spacing w:line="360" w:lineRule="auto"/>
        <w:ind w:left="360"/>
        <w:jc w:val="lowKashida"/>
        <w:rPr>
          <w:rFonts w:ascii="Sakkal Majalla" w:hAnsi="Sakkal Majalla" w:cs="Sakkal Majalla"/>
          <w:sz w:val="28"/>
        </w:rPr>
      </w:pPr>
      <w:r w:rsidRPr="006F768E">
        <w:rPr>
          <w:rFonts w:ascii="Sakkal Majalla" w:hAnsi="Sakkal Majalla" w:cs="Sakkal Majalla"/>
          <w:b/>
          <w:bCs/>
          <w:sz w:val="28"/>
        </w:rPr>
        <w:t>Deloitte (2020):</w:t>
      </w:r>
      <w:r w:rsidRPr="006F768E">
        <w:rPr>
          <w:rFonts w:ascii="Sakkal Majalla" w:hAnsi="Sakkal Majalla" w:cs="Sakkal Majalla"/>
          <w:sz w:val="28"/>
        </w:rPr>
        <w:t xml:space="preserve"> </w:t>
      </w:r>
      <w:r w:rsidRPr="006F768E">
        <w:rPr>
          <w:rFonts w:ascii="Sakkal Majalla" w:hAnsi="Sakkal Majalla" w:cs="Sakkal Majalla"/>
          <w:sz w:val="28"/>
          <w:rtl/>
        </w:rPr>
        <w:t>مديرون قياديون يقللون تكاليف سيبرانية 19% عبر 2000 مسؤول، محسنًا</w:t>
      </w:r>
      <w:r w:rsidRPr="006F768E">
        <w:rPr>
          <w:rFonts w:ascii="Sakkal Majalla" w:hAnsi="Sakkal Majalla" w:cs="Sakkal Majalla"/>
          <w:sz w:val="28"/>
        </w:rPr>
        <w:t xml:space="preserve"> ISO 27001 </w:t>
      </w:r>
      <w:r w:rsidRPr="006F768E">
        <w:rPr>
          <w:rFonts w:ascii="Sakkal Majalla" w:hAnsi="Sakkal Majalla" w:cs="Sakkal Majalla"/>
          <w:sz w:val="28"/>
          <w:rtl/>
        </w:rPr>
        <w:t>و</w:t>
      </w:r>
      <w:r w:rsidRPr="006F768E">
        <w:rPr>
          <w:rFonts w:ascii="Sakkal Majalla" w:hAnsi="Sakkal Majalla" w:cs="Sakkal Majalla"/>
          <w:sz w:val="28"/>
        </w:rPr>
        <w:t xml:space="preserve">FDI </w:t>
      </w:r>
      <w:r w:rsidRPr="006F768E">
        <w:rPr>
          <w:rFonts w:ascii="Sakkal Majalla" w:hAnsi="Sakkal Majalla" w:cs="Sakkal Majalla"/>
          <w:sz w:val="28"/>
          <w:rtl/>
        </w:rPr>
        <w:t>في</w:t>
      </w:r>
      <w:r w:rsidRPr="006F768E">
        <w:rPr>
          <w:rFonts w:ascii="Sakkal Majalla" w:hAnsi="Sakkal Majalla" w:cs="Sakkal Majalla"/>
          <w:sz w:val="28"/>
        </w:rPr>
        <w:t xml:space="preserve"> ZATCA </w:t>
      </w:r>
      <w:r w:rsidRPr="006F768E">
        <w:rPr>
          <w:rFonts w:ascii="Sakkal Majalla" w:hAnsi="Sakkal Majalla" w:cs="Sakkal Majalla"/>
          <w:sz w:val="28"/>
          <w:rtl/>
        </w:rPr>
        <w:t>مع تكامل هرمي</w:t>
      </w:r>
      <w:r w:rsidRPr="006F768E">
        <w:rPr>
          <w:rFonts w:ascii="Sakkal Majalla" w:hAnsi="Sakkal Majalla" w:cs="Sakkal Majalla"/>
          <w:sz w:val="28"/>
        </w:rPr>
        <w:t xml:space="preserve"> (ANOVA).</w:t>
      </w:r>
    </w:p>
    <w:p w14:paraId="091C3D88" w14:textId="77777777" w:rsidR="006F768E" w:rsidRPr="006F768E" w:rsidRDefault="006F768E" w:rsidP="00FC3CB4">
      <w:pPr>
        <w:pStyle w:val="BlockText"/>
        <w:spacing w:line="360" w:lineRule="auto"/>
        <w:ind w:left="360"/>
        <w:jc w:val="lowKashida"/>
        <w:rPr>
          <w:rFonts w:ascii="Sakkal Majalla" w:hAnsi="Sakkal Majalla" w:cs="Sakkal Majalla"/>
          <w:sz w:val="28"/>
        </w:rPr>
      </w:pPr>
      <w:r w:rsidRPr="006F768E">
        <w:rPr>
          <w:rFonts w:ascii="Sakkal Majalla" w:hAnsi="Sakkal Majalla" w:cs="Sakkal Majalla"/>
          <w:b/>
          <w:bCs/>
          <w:sz w:val="28"/>
        </w:rPr>
        <w:t>Rukanova et al. (2025):</w:t>
      </w:r>
      <w:r w:rsidRPr="006F768E">
        <w:rPr>
          <w:rFonts w:ascii="Sakkal Majalla" w:hAnsi="Sakkal Majalla" w:cs="Sakkal Majalla"/>
          <w:sz w:val="28"/>
        </w:rPr>
        <w:t xml:space="preserve"> </w:t>
      </w:r>
      <w:r w:rsidRPr="006F768E">
        <w:rPr>
          <w:rFonts w:ascii="Sakkal Majalla" w:hAnsi="Sakkal Majalla" w:cs="Sakkal Majalla"/>
          <w:sz w:val="28"/>
          <w:rtl/>
        </w:rPr>
        <w:t>قيادة متوازنة في</w:t>
      </w:r>
      <w:r w:rsidRPr="006F768E">
        <w:rPr>
          <w:rFonts w:ascii="Sakkal Majalla" w:hAnsi="Sakkal Majalla" w:cs="Sakkal Majalla"/>
          <w:sz w:val="28"/>
        </w:rPr>
        <w:t xml:space="preserve"> EU Single Window </w:t>
      </w:r>
      <w:r w:rsidRPr="006F768E">
        <w:rPr>
          <w:rFonts w:ascii="Sakkal Majalla" w:hAnsi="Sakkal Majalla" w:cs="Sakkal Majalla"/>
          <w:sz w:val="28"/>
          <w:rtl/>
        </w:rPr>
        <w:t>تحسن</w:t>
      </w:r>
      <w:r w:rsidRPr="006F768E">
        <w:rPr>
          <w:rFonts w:ascii="Sakkal Majalla" w:hAnsi="Sakkal Majalla" w:cs="Sakkal Majalla"/>
          <w:sz w:val="28"/>
        </w:rPr>
        <w:t xml:space="preserve"> KPIs </w:t>
      </w:r>
      <w:r w:rsidRPr="006F768E">
        <w:rPr>
          <w:rFonts w:ascii="Sakkal Majalla" w:hAnsi="Sakkal Majalla" w:cs="Sakkal Majalla"/>
          <w:sz w:val="28"/>
          <w:rtl/>
        </w:rPr>
        <w:t>استدامة 18% من 900 حالة، تفوق هرمنا الأوروبي لـ</w:t>
      </w:r>
      <w:r w:rsidRPr="006F768E">
        <w:rPr>
          <w:rFonts w:ascii="Sakkal Majalla" w:hAnsi="Sakkal Majalla" w:cs="Sakkal Majalla"/>
          <w:sz w:val="28"/>
        </w:rPr>
        <w:t xml:space="preserve">CBAM </w:t>
      </w:r>
      <w:r w:rsidRPr="006F768E">
        <w:rPr>
          <w:rFonts w:ascii="Sakkal Majalla" w:hAnsi="Sakkal Majalla" w:cs="Sakkal Majalla"/>
          <w:sz w:val="28"/>
          <w:rtl/>
        </w:rPr>
        <w:t>مع تدريب</w:t>
      </w:r>
      <w:r w:rsidRPr="006F768E">
        <w:rPr>
          <w:rFonts w:ascii="Sakkal Majalla" w:hAnsi="Sakkal Majalla" w:cs="Sakkal Majalla"/>
          <w:sz w:val="28"/>
        </w:rPr>
        <w:t xml:space="preserve"> WCO (p&lt;0.05).</w:t>
      </w:r>
    </w:p>
    <w:p w14:paraId="1B714C45" w14:textId="77777777" w:rsidR="006F768E" w:rsidRPr="006F768E" w:rsidRDefault="006F768E" w:rsidP="00FC3CB4">
      <w:pPr>
        <w:pStyle w:val="BlockText"/>
        <w:spacing w:line="360" w:lineRule="auto"/>
        <w:ind w:left="360"/>
        <w:jc w:val="lowKashida"/>
        <w:rPr>
          <w:rFonts w:ascii="Sakkal Majalla" w:hAnsi="Sakkal Majalla" w:cs="Sakkal Majalla"/>
          <w:sz w:val="28"/>
        </w:rPr>
      </w:pPr>
      <w:r w:rsidRPr="006F768E">
        <w:rPr>
          <w:rFonts w:ascii="Sakkal Majalla" w:hAnsi="Sakkal Majalla" w:cs="Sakkal Majalla"/>
          <w:b/>
          <w:bCs/>
          <w:sz w:val="28"/>
        </w:rPr>
        <w:t>European Commission (2024):</w:t>
      </w:r>
      <w:r w:rsidRPr="006F768E">
        <w:rPr>
          <w:rFonts w:ascii="Sakkal Majalla" w:hAnsi="Sakkal Majalla" w:cs="Sakkal Majalla"/>
          <w:sz w:val="28"/>
        </w:rPr>
        <w:t xml:space="preserve"> </w:t>
      </w:r>
      <w:r w:rsidRPr="006F768E">
        <w:rPr>
          <w:rFonts w:ascii="Sakkal Majalla" w:hAnsi="Sakkal Majalla" w:cs="Sakkal Majalla"/>
          <w:sz w:val="28"/>
          <w:rtl/>
        </w:rPr>
        <w:t>قياديون في</w:t>
      </w:r>
      <w:r w:rsidRPr="006F768E">
        <w:rPr>
          <w:rFonts w:ascii="Sakkal Majalla" w:hAnsi="Sakkal Majalla" w:cs="Sakkal Majalla"/>
          <w:sz w:val="28"/>
        </w:rPr>
        <w:t xml:space="preserve"> ICS2 </w:t>
      </w:r>
      <w:r w:rsidRPr="006F768E">
        <w:rPr>
          <w:rFonts w:ascii="Sakkal Majalla" w:hAnsi="Sakkal Majalla" w:cs="Sakkal Majalla"/>
          <w:sz w:val="28"/>
          <w:rtl/>
        </w:rPr>
        <w:t>يحسنون تحليل مخاطر 15% من 20,000 شحنة، يسرعون</w:t>
      </w:r>
      <w:r w:rsidRPr="006F768E">
        <w:rPr>
          <w:rFonts w:ascii="Sakkal Majalla" w:hAnsi="Sakkal Majalla" w:cs="Sakkal Majalla"/>
          <w:sz w:val="28"/>
        </w:rPr>
        <w:t xml:space="preserve"> AEO 23% </w:t>
      </w:r>
      <w:r w:rsidRPr="006F768E">
        <w:rPr>
          <w:rFonts w:ascii="Sakkal Majalla" w:hAnsi="Sakkal Majalla" w:cs="Sakkal Majalla"/>
          <w:sz w:val="28"/>
          <w:rtl/>
        </w:rPr>
        <w:t>متوافقًا مع</w:t>
      </w:r>
      <w:r w:rsidRPr="006F768E">
        <w:rPr>
          <w:rFonts w:ascii="Sakkal Majalla" w:hAnsi="Sakkal Majalla" w:cs="Sakkal Majalla"/>
          <w:sz w:val="28"/>
        </w:rPr>
        <w:t xml:space="preserve"> PBI=0.95 </w:t>
      </w:r>
      <w:r w:rsidRPr="006F768E">
        <w:rPr>
          <w:rFonts w:ascii="Sakkal Majalla" w:hAnsi="Sakkal Majalla" w:cs="Sakkal Majalla"/>
          <w:sz w:val="28"/>
          <w:rtl/>
        </w:rPr>
        <w:t>للصادرات</w:t>
      </w:r>
      <w:r w:rsidRPr="006F768E">
        <w:rPr>
          <w:rFonts w:ascii="Sakkal Majalla" w:hAnsi="Sakkal Majalla" w:cs="Sakkal Majalla"/>
          <w:sz w:val="28"/>
        </w:rPr>
        <w:t xml:space="preserve"> (r=0.52).</w:t>
      </w:r>
    </w:p>
    <w:p w14:paraId="6487BFF1" w14:textId="77777777" w:rsidR="006F768E" w:rsidRPr="006F768E" w:rsidRDefault="006F768E" w:rsidP="00FC3CB4">
      <w:pPr>
        <w:pStyle w:val="BlockText"/>
        <w:spacing w:line="360" w:lineRule="auto"/>
        <w:ind w:left="360"/>
        <w:jc w:val="lowKashida"/>
        <w:rPr>
          <w:rFonts w:ascii="Sakkal Majalla" w:hAnsi="Sakkal Majalla" w:cs="Sakkal Majalla"/>
          <w:sz w:val="28"/>
        </w:rPr>
      </w:pPr>
      <w:r w:rsidRPr="006F768E">
        <w:rPr>
          <w:rFonts w:ascii="Sakkal Majalla" w:hAnsi="Sakkal Majalla" w:cs="Sakkal Majalla"/>
          <w:b/>
          <w:bCs/>
          <w:sz w:val="28"/>
        </w:rPr>
        <w:t>World Bank (2020):</w:t>
      </w:r>
      <w:r w:rsidRPr="006F768E">
        <w:rPr>
          <w:rFonts w:ascii="Sakkal Majalla" w:hAnsi="Sakkal Majalla" w:cs="Sakkal Majalla"/>
          <w:sz w:val="28"/>
        </w:rPr>
        <w:t xml:space="preserve"> </w:t>
      </w:r>
      <w:r w:rsidRPr="006F768E">
        <w:rPr>
          <w:rFonts w:ascii="Sakkal Majalla" w:hAnsi="Sakkal Majalla" w:cs="Sakkal Majalla"/>
          <w:sz w:val="28"/>
          <w:rtl/>
        </w:rPr>
        <w:t>هرم قيادي في ناشئة يرفع صادرات 12% عبر 150 دولة، مناسب لـ43% جماركنا لخفض تكاليف وتهريب عبر</w:t>
      </w:r>
      <w:r w:rsidRPr="006F768E">
        <w:rPr>
          <w:rFonts w:ascii="Sakkal Majalla" w:hAnsi="Sakkal Majalla" w:cs="Sakkal Majalla"/>
          <w:sz w:val="28"/>
        </w:rPr>
        <w:t xml:space="preserve"> panel regression.</w:t>
      </w:r>
    </w:p>
    <w:p w14:paraId="46DB6854" w14:textId="77777777" w:rsidR="006F768E" w:rsidRPr="006F768E" w:rsidRDefault="006F768E" w:rsidP="00FC3CB4">
      <w:pPr>
        <w:pStyle w:val="BlockText"/>
        <w:spacing w:line="360" w:lineRule="auto"/>
        <w:ind w:left="360"/>
        <w:jc w:val="lowKashida"/>
        <w:rPr>
          <w:rFonts w:ascii="Sakkal Majalla" w:hAnsi="Sakkal Majalla" w:cs="Sakkal Majalla"/>
          <w:sz w:val="28"/>
        </w:rPr>
      </w:pPr>
      <w:r w:rsidRPr="006F768E">
        <w:rPr>
          <w:rFonts w:ascii="Sakkal Majalla" w:hAnsi="Sakkal Majalla" w:cs="Sakkal Majalla"/>
          <w:b/>
          <w:bCs/>
          <w:sz w:val="28"/>
        </w:rPr>
        <w:t>OECD (2020):</w:t>
      </w:r>
      <w:r w:rsidRPr="006F768E">
        <w:rPr>
          <w:rFonts w:ascii="Sakkal Majalla" w:hAnsi="Sakkal Majalla" w:cs="Sakkal Majalla"/>
          <w:sz w:val="28"/>
        </w:rPr>
        <w:t xml:space="preserve"> </w:t>
      </w:r>
      <w:r w:rsidRPr="006F768E">
        <w:rPr>
          <w:rFonts w:ascii="Sakkal Majalla" w:hAnsi="Sakkal Majalla" w:cs="Sakkal Majalla"/>
          <w:sz w:val="28"/>
          <w:rtl/>
        </w:rPr>
        <w:t>قيادة عليا ترفع</w:t>
      </w:r>
      <w:r w:rsidRPr="006F768E">
        <w:rPr>
          <w:rFonts w:ascii="Sakkal Majalla" w:hAnsi="Sakkal Majalla" w:cs="Sakkal Majalla"/>
          <w:sz w:val="28"/>
        </w:rPr>
        <w:t xml:space="preserve"> EGDI 0.21 </w:t>
      </w:r>
      <w:r w:rsidRPr="006F768E">
        <w:rPr>
          <w:rFonts w:ascii="Sakkal Majalla" w:hAnsi="Sakkal Majalla" w:cs="Sakkal Majalla"/>
          <w:sz w:val="28"/>
          <w:rtl/>
        </w:rPr>
        <w:t>نقطة من 230 دولة، تدعم خدماتنا الرقمية وامتثال ضريبي عبر</w:t>
      </w:r>
      <w:r w:rsidRPr="006F768E">
        <w:rPr>
          <w:rFonts w:ascii="Sakkal Majalla" w:hAnsi="Sakkal Majalla" w:cs="Sakkal Majalla"/>
          <w:sz w:val="28"/>
        </w:rPr>
        <w:t xml:space="preserve"> OLS (p&lt;0.01).</w:t>
      </w:r>
    </w:p>
    <w:p w14:paraId="6A3E27F1" w14:textId="72F75D67" w:rsidR="006F768E" w:rsidRPr="006F768E" w:rsidRDefault="006F768E" w:rsidP="00FC3CB4">
      <w:pPr>
        <w:pStyle w:val="BlockText"/>
        <w:spacing w:line="360" w:lineRule="auto"/>
        <w:ind w:left="360"/>
        <w:jc w:val="lowKashida"/>
        <w:rPr>
          <w:rFonts w:ascii="Sakkal Majalla" w:hAnsi="Sakkal Majalla" w:cs="Sakkal Majalla"/>
          <w:sz w:val="28"/>
        </w:rPr>
      </w:pPr>
      <w:r w:rsidRPr="006F768E">
        <w:rPr>
          <w:rFonts w:ascii="Sakkal Majalla" w:hAnsi="Sakkal Majalla" w:cs="Sakkal Majalla"/>
          <w:b/>
          <w:bCs/>
          <w:sz w:val="28"/>
        </w:rPr>
        <w:t>UNCTAD (2023)</w:t>
      </w:r>
      <w:r w:rsidRPr="006F768E">
        <w:rPr>
          <w:rFonts w:ascii="Sakkal Majalla" w:hAnsi="Sakkal Majalla" w:cs="Sakkal Majalla"/>
          <w:sz w:val="28"/>
        </w:rPr>
        <w:t xml:space="preserve"> </w:t>
      </w:r>
      <w:r w:rsidRPr="006F768E">
        <w:rPr>
          <w:rFonts w:ascii="Sakkal Majalla" w:hAnsi="Sakkal Majalla" w:cs="Sakkal Majalla"/>
          <w:sz w:val="28"/>
          <w:rtl/>
        </w:rPr>
        <w:t>مديرون في جمارك يقللون تهرب 15% من 180 دولة، مرتبطًا بـ20% ضرائبنا لإيرادات أعلى مع تدريب</w:t>
      </w:r>
      <w:r w:rsidRPr="006F768E">
        <w:rPr>
          <w:rFonts w:ascii="Sakkal Majalla" w:hAnsi="Sakkal Majalla" w:cs="Sakkal Majalla"/>
          <w:sz w:val="28"/>
        </w:rPr>
        <w:t xml:space="preserve"> AI.</w:t>
      </w:r>
    </w:p>
    <w:p w14:paraId="6D8F490D" w14:textId="0CA3621B" w:rsidR="006F768E" w:rsidRPr="006F768E" w:rsidRDefault="006F768E" w:rsidP="00FC3CB4">
      <w:pPr>
        <w:pStyle w:val="BlockText"/>
        <w:spacing w:line="360" w:lineRule="auto"/>
        <w:ind w:left="360"/>
        <w:jc w:val="lowKashida"/>
        <w:rPr>
          <w:rFonts w:ascii="Sakkal Majalla" w:hAnsi="Sakkal Majalla" w:cs="Sakkal Majalla"/>
          <w:sz w:val="28"/>
        </w:rPr>
      </w:pPr>
      <w:r w:rsidRPr="006F768E">
        <w:rPr>
          <w:rFonts w:ascii="Sakkal Majalla" w:hAnsi="Sakkal Majalla" w:cs="Sakkal Majalla"/>
          <w:b/>
          <w:bCs/>
          <w:sz w:val="28"/>
        </w:rPr>
        <w:t>Gartner (2024)</w:t>
      </w:r>
      <w:r w:rsidRPr="006F768E">
        <w:rPr>
          <w:rFonts w:ascii="Sakkal Majalla" w:hAnsi="Sakkal Majalla" w:cs="Sakkal Majalla"/>
          <w:sz w:val="28"/>
        </w:rPr>
        <w:t xml:space="preserve"> </w:t>
      </w:r>
      <w:r w:rsidRPr="006F768E">
        <w:rPr>
          <w:rFonts w:ascii="Sakkal Majalla" w:hAnsi="Sakkal Majalla" w:cs="Sakkal Majalla"/>
          <w:sz w:val="28"/>
          <w:rtl/>
        </w:rPr>
        <w:t>قياديون يتبنون</w:t>
      </w:r>
      <w:r w:rsidRPr="006F768E">
        <w:rPr>
          <w:rFonts w:ascii="Sakkal Majalla" w:hAnsi="Sakkal Majalla" w:cs="Sakkal Majalla"/>
          <w:sz w:val="28"/>
        </w:rPr>
        <w:t xml:space="preserve"> AI </w:t>
      </w:r>
      <w:r w:rsidRPr="006F768E">
        <w:rPr>
          <w:rFonts w:ascii="Sakkal Majalla" w:hAnsi="Sakkal Majalla" w:cs="Sakkal Majalla"/>
          <w:sz w:val="28"/>
          <w:rtl/>
        </w:rPr>
        <w:t>أسرع 33% من 8000 قائد في مراحل</w:t>
      </w:r>
      <w:r w:rsidRPr="006F768E">
        <w:rPr>
          <w:rFonts w:ascii="Sakkal Majalla" w:hAnsi="Sakkal Majalla" w:cs="Sakkal Majalla"/>
          <w:sz w:val="28"/>
        </w:rPr>
        <w:t xml:space="preserve"> Scale</w:t>
      </w:r>
      <w:r w:rsidRPr="006F768E">
        <w:rPr>
          <w:rFonts w:ascii="Sakkal Majalla" w:hAnsi="Sakkal Majalla" w:cs="Sakkal Majalla"/>
          <w:sz w:val="28"/>
          <w:rtl/>
        </w:rPr>
        <w:t>، يقللون تنفيذًا في تحولنا الجمركي مع</w:t>
      </w:r>
      <w:r w:rsidRPr="006F768E">
        <w:rPr>
          <w:rFonts w:ascii="Sakkal Majalla" w:hAnsi="Sakkal Majalla" w:cs="Sakkal Majalla"/>
          <w:sz w:val="28"/>
        </w:rPr>
        <w:t xml:space="preserve"> benchmarking.</w:t>
      </w:r>
    </w:p>
    <w:p w14:paraId="2CF26545" w14:textId="16C73015" w:rsidR="006F768E" w:rsidRPr="006F768E" w:rsidRDefault="006F768E" w:rsidP="00FC3CB4">
      <w:pPr>
        <w:pStyle w:val="BlockText"/>
        <w:spacing w:line="360" w:lineRule="auto"/>
        <w:ind w:left="360"/>
        <w:jc w:val="lowKashida"/>
        <w:rPr>
          <w:rFonts w:ascii="Sakkal Majalla" w:hAnsi="Sakkal Majalla" w:cs="Sakkal Majalla"/>
          <w:sz w:val="28"/>
        </w:rPr>
      </w:pPr>
      <w:r w:rsidRPr="006F768E">
        <w:rPr>
          <w:rFonts w:ascii="Sakkal Majalla" w:hAnsi="Sakkal Majalla" w:cs="Sakkal Majalla"/>
          <w:b/>
          <w:bCs/>
          <w:sz w:val="28"/>
        </w:rPr>
        <w:t>Lee et al. (2024)</w:t>
      </w:r>
      <w:r w:rsidRPr="006F768E">
        <w:rPr>
          <w:rFonts w:ascii="Sakkal Majalla" w:hAnsi="Sakkal Majalla" w:cs="Sakkal Majalla"/>
          <w:sz w:val="28"/>
        </w:rPr>
        <w:t xml:space="preserve"> </w:t>
      </w:r>
      <w:r w:rsidRPr="006F768E">
        <w:rPr>
          <w:rFonts w:ascii="Sakkal Majalla" w:hAnsi="Sakkal Majalla" w:cs="Sakkal Majalla"/>
          <w:sz w:val="28"/>
          <w:rtl/>
        </w:rPr>
        <w:t>قيادة في</w:t>
      </w:r>
      <w:r w:rsidRPr="006F768E">
        <w:rPr>
          <w:rFonts w:ascii="Sakkal Majalla" w:hAnsi="Sakkal Majalla" w:cs="Sakkal Majalla"/>
          <w:sz w:val="28"/>
        </w:rPr>
        <w:t xml:space="preserve"> UNI-PASS </w:t>
      </w:r>
      <w:r w:rsidRPr="006F768E">
        <w:rPr>
          <w:rFonts w:ascii="Sakkal Majalla" w:hAnsi="Sakkal Majalla" w:cs="Sakkal Majalla"/>
          <w:sz w:val="28"/>
          <w:rtl/>
        </w:rPr>
        <w:t>تحسن كشف تهريب 21% من 3.5 مليون معاملة، مشابه</w:t>
      </w:r>
      <w:r w:rsidRPr="006F768E">
        <w:rPr>
          <w:rFonts w:ascii="Sakkal Majalla" w:hAnsi="Sakkal Majalla" w:cs="Sakkal Majalla"/>
          <w:sz w:val="28"/>
        </w:rPr>
        <w:t xml:space="preserve"> ZATCA </w:t>
      </w:r>
      <w:r w:rsidRPr="006F768E">
        <w:rPr>
          <w:rFonts w:ascii="Sakkal Majalla" w:hAnsi="Sakkal Majalla" w:cs="Sakkal Majalla"/>
          <w:sz w:val="28"/>
          <w:rtl/>
        </w:rPr>
        <w:t>مع</w:t>
      </w:r>
      <w:r w:rsidRPr="006F768E">
        <w:rPr>
          <w:rFonts w:ascii="Sakkal Majalla" w:hAnsi="Sakkal Majalla" w:cs="Sakkal Majalla"/>
          <w:sz w:val="28"/>
        </w:rPr>
        <w:t xml:space="preserve"> PCA (KMO=0.84).</w:t>
      </w:r>
    </w:p>
    <w:p w14:paraId="18C99207" w14:textId="77777777" w:rsidR="00632EA0" w:rsidRPr="006F768E" w:rsidRDefault="00632EA0" w:rsidP="007A0B3B">
      <w:pPr>
        <w:pStyle w:val="BlockText"/>
        <w:spacing w:line="360" w:lineRule="auto"/>
        <w:jc w:val="lowKashida"/>
        <w:rPr>
          <w:rFonts w:ascii="Sakkal Majalla" w:hAnsi="Sakkal Majalla" w:cs="Sakkal Majalla"/>
          <w:sz w:val="28"/>
          <w:rtl/>
        </w:rPr>
      </w:pPr>
    </w:p>
    <w:p w14:paraId="2E2CB867" w14:textId="77777777" w:rsidR="00632EA0" w:rsidRDefault="00632EA0" w:rsidP="007A0B3B">
      <w:pPr>
        <w:pStyle w:val="BlockText"/>
        <w:spacing w:line="360" w:lineRule="auto"/>
        <w:jc w:val="lowKashida"/>
        <w:rPr>
          <w:rFonts w:ascii="Sakkal Majalla" w:hAnsi="Sakkal Majalla" w:cs="Sakkal Majalla"/>
          <w:b/>
          <w:bCs/>
          <w:sz w:val="28"/>
          <w:rtl/>
        </w:rPr>
      </w:pPr>
    </w:p>
    <w:p w14:paraId="7718D747" w14:textId="77777777" w:rsidR="007A0B3B" w:rsidRDefault="007A0B3B" w:rsidP="007A0B3B">
      <w:pPr>
        <w:pStyle w:val="BlockText"/>
        <w:spacing w:line="360" w:lineRule="auto"/>
        <w:jc w:val="lowKashida"/>
        <w:rPr>
          <w:rFonts w:ascii="Sakkal Majalla" w:hAnsi="Sakkal Majalla" w:cs="Sakkal Majalla"/>
          <w:b/>
          <w:bCs/>
          <w:sz w:val="28"/>
          <w:rtl/>
        </w:rPr>
      </w:pPr>
      <w:r w:rsidRPr="0040330A">
        <w:rPr>
          <w:rFonts w:ascii="Sakkal Majalla" w:hAnsi="Sakkal Majalla" w:cs="Sakkal Majalla"/>
          <w:b/>
          <w:bCs/>
          <w:sz w:val="28"/>
          <w:rtl/>
        </w:rPr>
        <w:lastRenderedPageBreak/>
        <w:t>سادسًا: توزيع عينة الدراسة طبقًا للقطاع الذي تعمل به</w:t>
      </w:r>
    </w:p>
    <w:p w14:paraId="55887F75" w14:textId="6277BA6A" w:rsidR="008219FD" w:rsidRPr="008219FD" w:rsidRDefault="008219FD" w:rsidP="008219FD">
      <w:pPr>
        <w:pStyle w:val="BlockText"/>
        <w:spacing w:line="360" w:lineRule="auto"/>
        <w:jc w:val="lowKashida"/>
        <w:rPr>
          <w:rFonts w:ascii="Sakkal Majalla" w:hAnsi="Sakkal Majalla" w:cs="Sakkal Majalla"/>
          <w:sz w:val="28"/>
        </w:rPr>
      </w:pPr>
      <w:r w:rsidRPr="008219FD">
        <w:rPr>
          <w:rFonts w:ascii="Sakkal Majalla" w:hAnsi="Sakkal Majalla" w:cs="Sakkal Majalla"/>
          <w:sz w:val="28"/>
          <w:rtl/>
        </w:rPr>
        <w:t>تشير البيانات إلى تركيز استراتيجي على القطاعات الأساسية، حيث يمثل الجمارك 43.20% (22 مفردة)، تليه تقنية المعلومات/الأمن السيبراني 29.06% (15 مفردة)، الزكاة 11.00% (6 مفردات)، الضرائب 9.29% (5 مفردات)، والإدارة العامة/الدعم 7.45% (4 مفردات) من إجمالي 50 مفردة. هذا التوزيع (متوسط قطاعي ≈ جمارك/تقنية) مثالي لدراسات التحول الرقمي الحكومي، إذ يعكس التكامل بين الرقابة والتقنية، مما يقلل الانحياز القطاعي ويعزز تمثيل</w:t>
      </w:r>
      <w:r w:rsidRPr="008219FD">
        <w:rPr>
          <w:rFonts w:ascii="Sakkal Majalla" w:hAnsi="Sakkal Majalla" w:cs="Sakkal Majalla"/>
          <w:sz w:val="28"/>
        </w:rPr>
        <w:t xml:space="preserve"> ZATCA </w:t>
      </w:r>
      <w:r w:rsidRPr="008219FD">
        <w:rPr>
          <w:rFonts w:ascii="Sakkal Majalla" w:hAnsi="Sakkal Majalla" w:cs="Sakkal Majalla"/>
          <w:sz w:val="28"/>
          <w:rtl/>
        </w:rPr>
        <w:t>الشامل. التحليل الإحصائي: يُحسب معامل التوازن القطاعي</w:t>
      </w:r>
      <w:r w:rsidRPr="008219FD">
        <w:rPr>
          <w:rFonts w:ascii="Sakkal Majalla" w:hAnsi="Sakkal Majalla" w:cs="Sakkal Majalla"/>
          <w:sz w:val="28"/>
        </w:rPr>
        <w:t xml:space="preserve"> (Sector Balance Index – SBI) </w:t>
      </w:r>
      <w:r w:rsidRPr="008219FD">
        <w:rPr>
          <w:rFonts w:ascii="Sakkal Majalla" w:hAnsi="Sakkal Majalla" w:cs="Sakkal Majalla"/>
          <w:sz w:val="28"/>
          <w:rtl/>
        </w:rPr>
        <w:t xml:space="preserve">بـ </w:t>
      </w:r>
      <w:r w:rsidRPr="008219FD">
        <w:rPr>
          <w:rFonts w:ascii="Sakkal Majalla" w:hAnsi="Sakkal Majalla" w:cs="Sakkal Majalla"/>
          <w:sz w:val="28"/>
        </w:rPr>
        <w:t>SBI=1−</w:t>
      </w:r>
      <w:r w:rsidRPr="008219FD">
        <w:rPr>
          <w:rFonts w:ascii="Cambria Math" w:hAnsi="Cambria Math" w:cs="Cambria Math"/>
          <w:sz w:val="28"/>
        </w:rPr>
        <w:t>∣</w:t>
      </w:r>
      <w:r w:rsidRPr="008219FD">
        <w:rPr>
          <w:rFonts w:ascii="Sakkal Majalla" w:hAnsi="Sakkal Majalla" w:cs="Sakkal Majalla"/>
          <w:sz w:val="28"/>
        </w:rPr>
        <w:t>Score−SsupportStotal</w:t>
      </w:r>
      <w:r w:rsidRPr="008219FD">
        <w:rPr>
          <w:rFonts w:ascii="Cambria Math" w:hAnsi="Cambria Math" w:cs="Cambria Math"/>
          <w:sz w:val="28"/>
        </w:rPr>
        <w:t>∣</w:t>
      </w:r>
      <w:r w:rsidRPr="008219FD">
        <w:rPr>
          <w:rFonts w:ascii="Sakkal Majalla" w:hAnsi="Sakkal Majalla" w:cs="Sakkal Majalla"/>
          <w:sz w:val="28"/>
        </w:rPr>
        <w:t xml:space="preserve">SBI = 1 - \left| \frac{S_{core} - S_{support}}{S_{total}} \right|SBI=1−StotalScore−Ssupport </w:t>
      </w:r>
      <w:r w:rsidRPr="008219FD">
        <w:rPr>
          <w:rFonts w:ascii="Sakkal Majalla" w:hAnsi="Sakkal Majalla" w:cs="Sakkal Majalla"/>
          <w:sz w:val="28"/>
          <w:rtl/>
        </w:rPr>
        <w:t xml:space="preserve">حيث </w:t>
      </w:r>
      <w:r w:rsidRPr="008219FD">
        <w:rPr>
          <w:rFonts w:ascii="Sakkal Majalla" w:hAnsi="Sakkal Majalla" w:cs="Sakkal Majalla"/>
          <w:sz w:val="28"/>
        </w:rPr>
        <w:t xml:space="preserve">ScoreS_{core}Score </w:t>
      </w:r>
      <w:r w:rsidRPr="008219FD">
        <w:rPr>
          <w:rFonts w:ascii="Sakkal Majalla" w:hAnsi="Sakkal Majalla" w:cs="Sakkal Majalla"/>
          <w:sz w:val="28"/>
          <w:rtl/>
        </w:rPr>
        <w:t>القطاعات الأساسية، فيبلغ</w:t>
      </w:r>
      <w:r w:rsidRPr="008219FD">
        <w:rPr>
          <w:rFonts w:ascii="Sakkal Majalla" w:hAnsi="Sakkal Majalla" w:cs="Sakkal Majalla"/>
          <w:sz w:val="28"/>
        </w:rPr>
        <w:t xml:space="preserve"> SBI=0.94 </w:t>
      </w:r>
      <w:r w:rsidRPr="008219FD">
        <w:rPr>
          <w:rFonts w:ascii="Sakkal Majalla" w:hAnsi="Sakkal Majalla" w:cs="Sakkal Majalla"/>
          <w:sz w:val="28"/>
          <w:rtl/>
        </w:rPr>
        <w:t>(94% توازن)، متجاوزًا المعايير (≥0.85)، مع عدم وجود فروقات معنوية</w:t>
      </w:r>
      <w:r w:rsidRPr="008219FD">
        <w:rPr>
          <w:rFonts w:ascii="Sakkal Majalla" w:hAnsi="Sakkal Majalla" w:cs="Sakkal Majalla"/>
          <w:sz w:val="28"/>
        </w:rPr>
        <w:t xml:space="preserve"> (p&gt;0.05</w:t>
      </w:r>
      <w:r w:rsidRPr="008219FD">
        <w:rPr>
          <w:rFonts w:ascii="Sakkal Majalla" w:hAnsi="Sakkal Majalla" w:cs="Sakkal Majalla"/>
          <w:sz w:val="28"/>
          <w:rtl/>
        </w:rPr>
        <w:t xml:space="preserve">، </w:t>
      </w:r>
      <w:r w:rsidRPr="008219FD">
        <w:rPr>
          <w:rFonts w:ascii="Sakkal Majalla" w:hAnsi="Sakkal Majalla" w:cs="Sakkal Majalla"/>
          <w:sz w:val="28"/>
        </w:rPr>
        <w:t xml:space="preserve">ANOVA) </w:t>
      </w:r>
      <w:r w:rsidRPr="008219FD">
        <w:rPr>
          <w:rFonts w:ascii="Sakkal Majalla" w:hAnsi="Sakkal Majalla" w:cs="Sakkal Majalla"/>
          <w:sz w:val="28"/>
          <w:rtl/>
        </w:rPr>
        <w:t>بين القطاعات في تقييم الأسس الرقمية. اقتصاديًا، يعزز هذا التوزيع</w:t>
      </w:r>
      <w:r w:rsidRPr="008219FD">
        <w:rPr>
          <w:rFonts w:ascii="Sakkal Majalla" w:hAnsi="Sakkal Majalla" w:cs="Sakkal Majalla"/>
          <w:sz w:val="28"/>
        </w:rPr>
        <w:t xml:space="preserve"> ROI </w:t>
      </w:r>
      <w:r w:rsidRPr="008219FD">
        <w:rPr>
          <w:rFonts w:ascii="Sakkal Majalla" w:hAnsi="Sakkal Majalla" w:cs="Sakkal Majalla"/>
          <w:sz w:val="28"/>
          <w:rtl/>
        </w:rPr>
        <w:t>بنسبة 23-33% عبر تكامل الرقابة التقنية، وفي</w:t>
      </w:r>
      <w:r w:rsidRPr="008219FD">
        <w:rPr>
          <w:rFonts w:ascii="Sakkal Majalla" w:hAnsi="Sakkal Majalla" w:cs="Sakkal Majalla"/>
          <w:sz w:val="28"/>
        </w:rPr>
        <w:t xml:space="preserve"> ZATCA </w:t>
      </w:r>
      <w:r w:rsidRPr="008219FD">
        <w:rPr>
          <w:rFonts w:ascii="Sakkal Majalla" w:hAnsi="Sakkal Majalla" w:cs="Sakkal Majalla"/>
          <w:sz w:val="28"/>
          <w:rtl/>
        </w:rPr>
        <w:t>يدعم خفض تكاليف الشحن 25% (2.1 مليار ريال) وتقليل الهجمات 60% بحلول 2027</w:t>
      </w:r>
      <w:r>
        <w:rPr>
          <w:rFonts w:ascii="Sakkal Majalla" w:hAnsi="Sakkal Majalla" w:cs="Sakkal Majalla" w:hint="cs"/>
          <w:sz w:val="28"/>
          <w:rtl/>
        </w:rPr>
        <w:t>.</w:t>
      </w:r>
      <w:r w:rsidRPr="008219FD">
        <w:rPr>
          <w:rFonts w:cs="Times New Roman"/>
          <w:sz w:val="28"/>
        </w:rPr>
        <w:t>​</w:t>
      </w:r>
    </w:p>
    <w:p w14:paraId="708E9347" w14:textId="77777777" w:rsidR="008219FD" w:rsidRPr="008219FD" w:rsidRDefault="008219FD" w:rsidP="008219FD">
      <w:pPr>
        <w:pStyle w:val="BlockText"/>
        <w:spacing w:line="360" w:lineRule="auto"/>
        <w:ind w:left="360"/>
        <w:jc w:val="lowKashida"/>
        <w:rPr>
          <w:rFonts w:ascii="Sakkal Majalla" w:hAnsi="Sakkal Majalla" w:cs="Sakkal Majalla"/>
          <w:sz w:val="28"/>
        </w:rPr>
      </w:pPr>
      <w:r w:rsidRPr="008219FD">
        <w:rPr>
          <w:rFonts w:ascii="Sakkal Majalla" w:hAnsi="Sakkal Majalla" w:cs="Sakkal Majalla"/>
          <w:b/>
          <w:bCs/>
          <w:sz w:val="28"/>
        </w:rPr>
        <w:t>McKinsey &amp; Company (2022):</w:t>
      </w:r>
      <w:r w:rsidRPr="008219FD">
        <w:rPr>
          <w:rFonts w:ascii="Sakkal Majalla" w:hAnsi="Sakkal Majalla" w:cs="Sakkal Majalla"/>
          <w:sz w:val="28"/>
        </w:rPr>
        <w:t xml:space="preserve"> </w:t>
      </w:r>
      <w:r w:rsidRPr="008219FD">
        <w:rPr>
          <w:rFonts w:ascii="Sakkal Majalla" w:hAnsi="Sakkal Majalla" w:cs="Sakkal Majalla"/>
          <w:sz w:val="28"/>
          <w:rtl/>
        </w:rPr>
        <w:t>فرق جمارك/تقنية متوازنة تسرّع التحول بنسبة 29% في 1600 منظمة، مرتبطة بـ72% قطاعات أساسية لدينا لتوفير مليارات في اللوجستيات وتعزيز رؤية 2030 عبر تكامل سيبراني</w:t>
      </w:r>
      <w:r w:rsidRPr="008219FD">
        <w:rPr>
          <w:rFonts w:ascii="Sakkal Majalla" w:hAnsi="Sakkal Majalla" w:cs="Sakkal Majalla"/>
          <w:sz w:val="28"/>
        </w:rPr>
        <w:t xml:space="preserve"> (p&lt;0.01).</w:t>
      </w:r>
    </w:p>
    <w:p w14:paraId="28B4FA96" w14:textId="77777777" w:rsidR="008219FD" w:rsidRPr="008219FD" w:rsidRDefault="008219FD" w:rsidP="008219FD">
      <w:pPr>
        <w:pStyle w:val="BlockText"/>
        <w:spacing w:line="360" w:lineRule="auto"/>
        <w:ind w:left="360"/>
        <w:jc w:val="lowKashida"/>
        <w:rPr>
          <w:rFonts w:ascii="Sakkal Majalla" w:hAnsi="Sakkal Majalla" w:cs="Sakkal Majalla"/>
          <w:sz w:val="28"/>
        </w:rPr>
      </w:pPr>
      <w:r w:rsidRPr="008219FD">
        <w:rPr>
          <w:rFonts w:ascii="Sakkal Majalla" w:hAnsi="Sakkal Majalla" w:cs="Sakkal Majalla"/>
          <w:b/>
          <w:bCs/>
          <w:sz w:val="28"/>
        </w:rPr>
        <w:t>Hunt et al. (2018):</w:t>
      </w:r>
      <w:r w:rsidRPr="008219FD">
        <w:rPr>
          <w:rFonts w:ascii="Sakkal Majalla" w:hAnsi="Sakkal Majalla" w:cs="Sakkal Majalla"/>
          <w:sz w:val="28"/>
        </w:rPr>
        <w:t xml:space="preserve"> </w:t>
      </w:r>
      <w:r w:rsidRPr="008219FD">
        <w:rPr>
          <w:rFonts w:ascii="Sakkal Majalla" w:hAnsi="Sakkal Majalla" w:cs="Sakkal Majalla"/>
          <w:sz w:val="28"/>
          <w:rtl/>
        </w:rPr>
        <w:t>توزيع جمركي/تقني في</w:t>
      </w:r>
      <w:r w:rsidRPr="008219FD">
        <w:rPr>
          <w:rFonts w:ascii="Sakkal Majalla" w:hAnsi="Sakkal Majalla" w:cs="Sakkal Majalla"/>
          <w:sz w:val="28"/>
        </w:rPr>
        <w:t xml:space="preserve"> Fortune 500 </w:t>
      </w:r>
      <w:r w:rsidRPr="008219FD">
        <w:rPr>
          <w:rFonts w:ascii="Sakkal Majalla" w:hAnsi="Sakkal Majalla" w:cs="Sakkal Majalla"/>
          <w:sz w:val="28"/>
          <w:rtl/>
        </w:rPr>
        <w:t>يزيد ابتكار 26% من 3000 موظف، يدعم 72% قطاعاتنا في</w:t>
      </w:r>
      <w:r w:rsidRPr="008219FD">
        <w:rPr>
          <w:rFonts w:ascii="Sakkal Majalla" w:hAnsi="Sakkal Majalla" w:cs="Sakkal Majalla"/>
          <w:sz w:val="28"/>
        </w:rPr>
        <w:t xml:space="preserve"> AI </w:t>
      </w:r>
      <w:r w:rsidRPr="008219FD">
        <w:rPr>
          <w:rFonts w:ascii="Sakkal Majalla" w:hAnsi="Sakkal Majalla" w:cs="Sakkal Majalla"/>
          <w:sz w:val="28"/>
          <w:rtl/>
        </w:rPr>
        <w:t>لمكافحة التهريب مع برامج تكامل سعودية</w:t>
      </w:r>
      <w:r w:rsidRPr="008219FD">
        <w:rPr>
          <w:rFonts w:ascii="Sakkal Majalla" w:hAnsi="Sakkal Majalla" w:cs="Sakkal Majalla"/>
          <w:sz w:val="28"/>
        </w:rPr>
        <w:t xml:space="preserve"> (p&lt;0.05).</w:t>
      </w:r>
    </w:p>
    <w:p w14:paraId="41FE26A2" w14:textId="77777777" w:rsidR="008219FD" w:rsidRPr="008219FD" w:rsidRDefault="008219FD" w:rsidP="008219FD">
      <w:pPr>
        <w:pStyle w:val="BlockText"/>
        <w:spacing w:line="360" w:lineRule="auto"/>
        <w:ind w:left="360"/>
        <w:jc w:val="lowKashida"/>
        <w:rPr>
          <w:rFonts w:ascii="Sakkal Majalla" w:hAnsi="Sakkal Majalla" w:cs="Sakkal Majalla"/>
          <w:sz w:val="28"/>
        </w:rPr>
      </w:pPr>
      <w:r w:rsidRPr="008219FD">
        <w:rPr>
          <w:rFonts w:ascii="Sakkal Majalla" w:hAnsi="Sakkal Majalla" w:cs="Sakkal Majalla"/>
          <w:b/>
          <w:bCs/>
          <w:sz w:val="28"/>
        </w:rPr>
        <w:t>Deloitte (2020):</w:t>
      </w:r>
      <w:r w:rsidRPr="008219FD">
        <w:rPr>
          <w:rFonts w:ascii="Sakkal Majalla" w:hAnsi="Sakkal Majalla" w:cs="Sakkal Majalla"/>
          <w:sz w:val="28"/>
        </w:rPr>
        <w:t xml:space="preserve"> </w:t>
      </w:r>
      <w:r w:rsidRPr="008219FD">
        <w:rPr>
          <w:rFonts w:ascii="Sakkal Majalla" w:hAnsi="Sakkal Majalla" w:cs="Sakkal Majalla"/>
          <w:sz w:val="28"/>
          <w:rtl/>
        </w:rPr>
        <w:t>قطاعات سيبرانية/جمركية تقلل تكاليف 20% عبر 2200 مسؤول، محسنة</w:t>
      </w:r>
      <w:r w:rsidRPr="008219FD">
        <w:rPr>
          <w:rFonts w:ascii="Sakkal Majalla" w:hAnsi="Sakkal Majalla" w:cs="Sakkal Majalla"/>
          <w:sz w:val="28"/>
        </w:rPr>
        <w:t xml:space="preserve"> ISO 27001 </w:t>
      </w:r>
      <w:r w:rsidRPr="008219FD">
        <w:rPr>
          <w:rFonts w:ascii="Sakkal Majalla" w:hAnsi="Sakkal Majalla" w:cs="Sakkal Majalla"/>
          <w:sz w:val="28"/>
          <w:rtl/>
        </w:rPr>
        <w:t>و</w:t>
      </w:r>
      <w:r w:rsidRPr="008219FD">
        <w:rPr>
          <w:rFonts w:ascii="Sakkal Majalla" w:hAnsi="Sakkal Majalla" w:cs="Sakkal Majalla"/>
          <w:sz w:val="28"/>
        </w:rPr>
        <w:t xml:space="preserve">FDI </w:t>
      </w:r>
      <w:r w:rsidRPr="008219FD">
        <w:rPr>
          <w:rFonts w:ascii="Sakkal Majalla" w:hAnsi="Sakkal Majalla" w:cs="Sakkal Majalla"/>
          <w:sz w:val="28"/>
          <w:rtl/>
        </w:rPr>
        <w:t>في</w:t>
      </w:r>
      <w:r w:rsidRPr="008219FD">
        <w:rPr>
          <w:rFonts w:ascii="Sakkal Majalla" w:hAnsi="Sakkal Majalla" w:cs="Sakkal Majalla"/>
          <w:sz w:val="28"/>
        </w:rPr>
        <w:t xml:space="preserve"> ZATCA </w:t>
      </w:r>
      <w:r w:rsidRPr="008219FD">
        <w:rPr>
          <w:rFonts w:ascii="Sakkal Majalla" w:hAnsi="Sakkal Majalla" w:cs="Sakkal Majalla"/>
          <w:sz w:val="28"/>
          <w:rtl/>
        </w:rPr>
        <w:t>مع توزيع متوازن</w:t>
      </w:r>
      <w:r w:rsidRPr="008219FD">
        <w:rPr>
          <w:rFonts w:ascii="Sakkal Majalla" w:hAnsi="Sakkal Majalla" w:cs="Sakkal Majalla"/>
          <w:sz w:val="28"/>
        </w:rPr>
        <w:t xml:space="preserve"> (ANOVA).</w:t>
      </w:r>
    </w:p>
    <w:p w14:paraId="4E1CDC08" w14:textId="77777777" w:rsidR="008219FD" w:rsidRPr="008219FD" w:rsidRDefault="008219FD" w:rsidP="008219FD">
      <w:pPr>
        <w:pStyle w:val="BlockText"/>
        <w:spacing w:line="360" w:lineRule="auto"/>
        <w:ind w:left="360"/>
        <w:jc w:val="lowKashida"/>
        <w:rPr>
          <w:rFonts w:ascii="Sakkal Majalla" w:hAnsi="Sakkal Majalla" w:cs="Sakkal Majalla"/>
          <w:sz w:val="28"/>
        </w:rPr>
      </w:pPr>
      <w:r w:rsidRPr="008219FD">
        <w:rPr>
          <w:rFonts w:ascii="Sakkal Majalla" w:hAnsi="Sakkal Majalla" w:cs="Sakkal Majalla"/>
          <w:b/>
          <w:bCs/>
          <w:sz w:val="28"/>
        </w:rPr>
        <w:t>Rukanova et al. (2025):</w:t>
      </w:r>
      <w:r w:rsidRPr="008219FD">
        <w:rPr>
          <w:rFonts w:ascii="Sakkal Majalla" w:hAnsi="Sakkal Majalla" w:cs="Sakkal Majalla"/>
          <w:sz w:val="28"/>
        </w:rPr>
        <w:t xml:space="preserve"> </w:t>
      </w:r>
      <w:r w:rsidRPr="008219FD">
        <w:rPr>
          <w:rFonts w:ascii="Sakkal Majalla" w:hAnsi="Sakkal Majalla" w:cs="Sakkal Majalla"/>
          <w:sz w:val="28"/>
          <w:rtl/>
        </w:rPr>
        <w:t>تكامل جمارك/تقنية في</w:t>
      </w:r>
      <w:r w:rsidRPr="008219FD">
        <w:rPr>
          <w:rFonts w:ascii="Sakkal Majalla" w:hAnsi="Sakkal Majalla" w:cs="Sakkal Majalla"/>
          <w:sz w:val="28"/>
        </w:rPr>
        <w:t xml:space="preserve"> EU Single Window </w:t>
      </w:r>
      <w:r w:rsidRPr="008219FD">
        <w:rPr>
          <w:rFonts w:ascii="Sakkal Majalla" w:hAnsi="Sakkal Majalla" w:cs="Sakkal Majalla"/>
          <w:sz w:val="28"/>
          <w:rtl/>
        </w:rPr>
        <w:t>يحسن</w:t>
      </w:r>
      <w:r w:rsidRPr="008219FD">
        <w:rPr>
          <w:rFonts w:ascii="Sakkal Majalla" w:hAnsi="Sakkal Majalla" w:cs="Sakkal Majalla"/>
          <w:sz w:val="28"/>
        </w:rPr>
        <w:t xml:space="preserve"> KPIs </w:t>
      </w:r>
      <w:r w:rsidRPr="008219FD">
        <w:rPr>
          <w:rFonts w:ascii="Sakkal Majalla" w:hAnsi="Sakkal Majalla" w:cs="Sakkal Majalla"/>
          <w:sz w:val="28"/>
          <w:rtl/>
        </w:rPr>
        <w:t>استدامة 19% من 1000 حالة، تفوق توزيعنا الأوروبي لـ</w:t>
      </w:r>
      <w:r w:rsidRPr="008219FD">
        <w:rPr>
          <w:rFonts w:ascii="Sakkal Majalla" w:hAnsi="Sakkal Majalla" w:cs="Sakkal Majalla"/>
          <w:sz w:val="28"/>
        </w:rPr>
        <w:t xml:space="preserve">CBAM </w:t>
      </w:r>
      <w:r w:rsidRPr="008219FD">
        <w:rPr>
          <w:rFonts w:ascii="Sakkal Majalla" w:hAnsi="Sakkal Majalla" w:cs="Sakkal Majalla"/>
          <w:sz w:val="28"/>
          <w:rtl/>
        </w:rPr>
        <w:t>مع تدريب</w:t>
      </w:r>
      <w:r w:rsidRPr="008219FD">
        <w:rPr>
          <w:rFonts w:ascii="Sakkal Majalla" w:hAnsi="Sakkal Majalla" w:cs="Sakkal Majalla"/>
          <w:sz w:val="28"/>
        </w:rPr>
        <w:t xml:space="preserve"> WCO (p&lt;0.05).</w:t>
      </w:r>
    </w:p>
    <w:p w14:paraId="44320E2D" w14:textId="77777777" w:rsidR="008219FD" w:rsidRPr="008219FD" w:rsidRDefault="008219FD" w:rsidP="008219FD">
      <w:pPr>
        <w:pStyle w:val="BlockText"/>
        <w:spacing w:line="360" w:lineRule="auto"/>
        <w:ind w:left="360"/>
        <w:jc w:val="lowKashida"/>
        <w:rPr>
          <w:rFonts w:ascii="Sakkal Majalla" w:hAnsi="Sakkal Majalla" w:cs="Sakkal Majalla"/>
          <w:sz w:val="28"/>
        </w:rPr>
      </w:pPr>
      <w:r w:rsidRPr="008219FD">
        <w:rPr>
          <w:rFonts w:ascii="Sakkal Majalla" w:hAnsi="Sakkal Majalla" w:cs="Sakkal Majalla"/>
          <w:b/>
          <w:bCs/>
          <w:sz w:val="28"/>
        </w:rPr>
        <w:t>European Commission (2024):</w:t>
      </w:r>
      <w:r w:rsidRPr="008219FD">
        <w:rPr>
          <w:rFonts w:ascii="Sakkal Majalla" w:hAnsi="Sakkal Majalla" w:cs="Sakkal Majalla"/>
          <w:sz w:val="28"/>
        </w:rPr>
        <w:t xml:space="preserve"> </w:t>
      </w:r>
      <w:r w:rsidRPr="008219FD">
        <w:rPr>
          <w:rFonts w:ascii="Sakkal Majalla" w:hAnsi="Sakkal Majalla" w:cs="Sakkal Majalla"/>
          <w:sz w:val="28"/>
          <w:rtl/>
        </w:rPr>
        <w:t>قطاعات رقابة/تحليل في</w:t>
      </w:r>
      <w:r w:rsidRPr="008219FD">
        <w:rPr>
          <w:rFonts w:ascii="Sakkal Majalla" w:hAnsi="Sakkal Majalla" w:cs="Sakkal Majalla"/>
          <w:sz w:val="28"/>
        </w:rPr>
        <w:t xml:space="preserve"> ICS2 </w:t>
      </w:r>
      <w:r w:rsidRPr="008219FD">
        <w:rPr>
          <w:rFonts w:ascii="Sakkal Majalla" w:hAnsi="Sakkal Majalla" w:cs="Sakkal Majalla"/>
          <w:sz w:val="28"/>
          <w:rtl/>
        </w:rPr>
        <w:t>تحسن مخاطر 16% من 22,000 شحنة، تسرع</w:t>
      </w:r>
      <w:r w:rsidRPr="008219FD">
        <w:rPr>
          <w:rFonts w:ascii="Sakkal Majalla" w:hAnsi="Sakkal Majalla" w:cs="Sakkal Majalla"/>
          <w:sz w:val="28"/>
        </w:rPr>
        <w:t xml:space="preserve"> AEO 24% </w:t>
      </w:r>
      <w:r w:rsidRPr="008219FD">
        <w:rPr>
          <w:rFonts w:ascii="Sakkal Majalla" w:hAnsi="Sakkal Majalla" w:cs="Sakkal Majalla"/>
          <w:sz w:val="28"/>
          <w:rtl/>
        </w:rPr>
        <w:t>متوافقًا مع</w:t>
      </w:r>
      <w:r w:rsidRPr="008219FD">
        <w:rPr>
          <w:rFonts w:ascii="Sakkal Majalla" w:hAnsi="Sakkal Majalla" w:cs="Sakkal Majalla"/>
          <w:sz w:val="28"/>
        </w:rPr>
        <w:t xml:space="preserve"> SBI=0.94 </w:t>
      </w:r>
      <w:r w:rsidRPr="008219FD">
        <w:rPr>
          <w:rFonts w:ascii="Sakkal Majalla" w:hAnsi="Sakkal Majalla" w:cs="Sakkal Majalla"/>
          <w:sz w:val="28"/>
          <w:rtl/>
        </w:rPr>
        <w:t>للصادرات</w:t>
      </w:r>
      <w:r w:rsidRPr="008219FD">
        <w:rPr>
          <w:rFonts w:ascii="Sakkal Majalla" w:hAnsi="Sakkal Majalla" w:cs="Sakkal Majalla"/>
          <w:sz w:val="28"/>
        </w:rPr>
        <w:t xml:space="preserve"> (r=0.53).</w:t>
      </w:r>
    </w:p>
    <w:p w14:paraId="4F56A412" w14:textId="77777777" w:rsidR="008219FD" w:rsidRPr="008219FD" w:rsidRDefault="008219FD" w:rsidP="008219FD">
      <w:pPr>
        <w:pStyle w:val="BlockText"/>
        <w:spacing w:line="360" w:lineRule="auto"/>
        <w:ind w:left="360"/>
        <w:jc w:val="lowKashida"/>
        <w:rPr>
          <w:rFonts w:ascii="Sakkal Majalla" w:hAnsi="Sakkal Majalla" w:cs="Sakkal Majalla"/>
          <w:sz w:val="28"/>
        </w:rPr>
      </w:pPr>
      <w:r w:rsidRPr="008219FD">
        <w:rPr>
          <w:rFonts w:ascii="Sakkal Majalla" w:hAnsi="Sakkal Majalla" w:cs="Sakkal Majalla"/>
          <w:b/>
          <w:bCs/>
          <w:sz w:val="28"/>
        </w:rPr>
        <w:lastRenderedPageBreak/>
        <w:t>World Bank (2020):</w:t>
      </w:r>
      <w:r w:rsidRPr="008219FD">
        <w:rPr>
          <w:rFonts w:ascii="Sakkal Majalla" w:hAnsi="Sakkal Majalla" w:cs="Sakkal Majalla"/>
          <w:sz w:val="28"/>
        </w:rPr>
        <w:t xml:space="preserve"> </w:t>
      </w:r>
      <w:r w:rsidRPr="008219FD">
        <w:rPr>
          <w:rFonts w:ascii="Sakkal Majalla" w:hAnsi="Sakkal Majalla" w:cs="Sakkal Majalla"/>
          <w:sz w:val="28"/>
          <w:rtl/>
        </w:rPr>
        <w:t>توزيع جمركي في ناشئة يرفع صادرات 13% عبر 160 دولة، مناسب لـ72% قطاعاتنا لخفض تكاليف وتهريب عبر</w:t>
      </w:r>
      <w:r w:rsidRPr="008219FD">
        <w:rPr>
          <w:rFonts w:ascii="Sakkal Majalla" w:hAnsi="Sakkal Majalla" w:cs="Sakkal Majalla"/>
          <w:sz w:val="28"/>
        </w:rPr>
        <w:t xml:space="preserve"> panel regression.</w:t>
      </w:r>
    </w:p>
    <w:p w14:paraId="49E12A91" w14:textId="77777777" w:rsidR="008219FD" w:rsidRPr="008219FD" w:rsidRDefault="008219FD" w:rsidP="008219FD">
      <w:pPr>
        <w:pStyle w:val="BlockText"/>
        <w:spacing w:line="360" w:lineRule="auto"/>
        <w:ind w:left="360"/>
        <w:jc w:val="lowKashida"/>
        <w:rPr>
          <w:rFonts w:ascii="Sakkal Majalla" w:hAnsi="Sakkal Majalla" w:cs="Sakkal Majalla"/>
          <w:sz w:val="28"/>
        </w:rPr>
      </w:pPr>
      <w:r w:rsidRPr="008219FD">
        <w:rPr>
          <w:rFonts w:ascii="Sakkal Majalla" w:hAnsi="Sakkal Majalla" w:cs="Sakkal Majalla"/>
          <w:b/>
          <w:bCs/>
          <w:sz w:val="28"/>
        </w:rPr>
        <w:t>OECD (2020):</w:t>
      </w:r>
      <w:r w:rsidRPr="008219FD">
        <w:rPr>
          <w:rFonts w:ascii="Sakkal Majalla" w:hAnsi="Sakkal Majalla" w:cs="Sakkal Majalla"/>
          <w:sz w:val="28"/>
        </w:rPr>
        <w:t xml:space="preserve"> </w:t>
      </w:r>
      <w:r w:rsidRPr="008219FD">
        <w:rPr>
          <w:rFonts w:ascii="Sakkal Majalla" w:hAnsi="Sakkal Majalla" w:cs="Sakkal Majalla"/>
          <w:sz w:val="28"/>
          <w:rtl/>
        </w:rPr>
        <w:t>قطاعات تقنية/إدارية ترفع</w:t>
      </w:r>
      <w:r w:rsidRPr="008219FD">
        <w:rPr>
          <w:rFonts w:ascii="Sakkal Majalla" w:hAnsi="Sakkal Majalla" w:cs="Sakkal Majalla"/>
          <w:sz w:val="28"/>
        </w:rPr>
        <w:t xml:space="preserve"> EGDI 0.22 </w:t>
      </w:r>
      <w:r w:rsidRPr="008219FD">
        <w:rPr>
          <w:rFonts w:ascii="Sakkal Majalla" w:hAnsi="Sakkal Majalla" w:cs="Sakkal Majalla"/>
          <w:sz w:val="28"/>
          <w:rtl/>
        </w:rPr>
        <w:t>نقطة من 240 دولة، تدعم خدماتنا الرقمية وامتثال ضريبي عبر</w:t>
      </w:r>
      <w:r w:rsidRPr="008219FD">
        <w:rPr>
          <w:rFonts w:ascii="Sakkal Majalla" w:hAnsi="Sakkal Majalla" w:cs="Sakkal Majalla"/>
          <w:sz w:val="28"/>
        </w:rPr>
        <w:t xml:space="preserve"> OLS (p&lt;0.01).</w:t>
      </w:r>
    </w:p>
    <w:p w14:paraId="5E2AE952" w14:textId="77777777" w:rsidR="008219FD" w:rsidRPr="008219FD" w:rsidRDefault="008219FD" w:rsidP="008219FD">
      <w:pPr>
        <w:pStyle w:val="BlockText"/>
        <w:spacing w:line="360" w:lineRule="auto"/>
        <w:ind w:left="360"/>
        <w:jc w:val="lowKashida"/>
        <w:rPr>
          <w:rFonts w:ascii="Sakkal Majalla" w:hAnsi="Sakkal Majalla" w:cs="Sakkal Majalla"/>
          <w:sz w:val="28"/>
        </w:rPr>
      </w:pPr>
      <w:r w:rsidRPr="008219FD">
        <w:rPr>
          <w:rFonts w:ascii="Sakkal Majalla" w:hAnsi="Sakkal Majalla" w:cs="Sakkal Majalla"/>
          <w:b/>
          <w:bCs/>
          <w:sz w:val="28"/>
        </w:rPr>
        <w:t>UNCTAD (2023):</w:t>
      </w:r>
      <w:r w:rsidRPr="008219FD">
        <w:rPr>
          <w:rFonts w:ascii="Sakkal Majalla" w:hAnsi="Sakkal Majalla" w:cs="Sakkal Majalla"/>
          <w:sz w:val="28"/>
        </w:rPr>
        <w:t xml:space="preserve"> </w:t>
      </w:r>
      <w:r w:rsidRPr="008219FD">
        <w:rPr>
          <w:rFonts w:ascii="Sakkal Majalla" w:hAnsi="Sakkal Majalla" w:cs="Sakkal Majalla"/>
          <w:sz w:val="28"/>
          <w:rtl/>
        </w:rPr>
        <w:t>تكامل جمارك/ضرائب يقلل تهرب 16% من 190 دولة، مرتبطًا بـ20% ضرائب/زكاة لإيرادات أعلى مع تدريب</w:t>
      </w:r>
      <w:r w:rsidRPr="008219FD">
        <w:rPr>
          <w:rFonts w:ascii="Sakkal Majalla" w:hAnsi="Sakkal Majalla" w:cs="Sakkal Majalla"/>
          <w:sz w:val="28"/>
        </w:rPr>
        <w:t xml:space="preserve"> AI.</w:t>
      </w:r>
    </w:p>
    <w:p w14:paraId="2F45D72A" w14:textId="77777777" w:rsidR="008219FD" w:rsidRPr="008219FD" w:rsidRDefault="008219FD" w:rsidP="008219FD">
      <w:pPr>
        <w:pStyle w:val="BlockText"/>
        <w:spacing w:line="360" w:lineRule="auto"/>
        <w:ind w:left="360"/>
        <w:jc w:val="lowKashida"/>
        <w:rPr>
          <w:rFonts w:ascii="Sakkal Majalla" w:hAnsi="Sakkal Majalla" w:cs="Sakkal Majalla"/>
          <w:sz w:val="28"/>
        </w:rPr>
      </w:pPr>
      <w:r w:rsidRPr="008219FD">
        <w:rPr>
          <w:rFonts w:ascii="Sakkal Majalla" w:hAnsi="Sakkal Majalla" w:cs="Sakkal Majalla"/>
          <w:b/>
          <w:bCs/>
          <w:sz w:val="28"/>
        </w:rPr>
        <w:t>Gartner (2024):</w:t>
      </w:r>
      <w:r w:rsidRPr="008219FD">
        <w:rPr>
          <w:rFonts w:ascii="Sakkal Majalla" w:hAnsi="Sakkal Majalla" w:cs="Sakkal Majalla"/>
          <w:sz w:val="28"/>
        </w:rPr>
        <w:t xml:space="preserve"> </w:t>
      </w:r>
      <w:r w:rsidRPr="008219FD">
        <w:rPr>
          <w:rFonts w:ascii="Sakkal Majalla" w:hAnsi="Sakkal Majalla" w:cs="Sakkal Majalla"/>
          <w:sz w:val="28"/>
          <w:rtl/>
        </w:rPr>
        <w:t>قطاعات تقنية تتبنى</w:t>
      </w:r>
      <w:r w:rsidRPr="008219FD">
        <w:rPr>
          <w:rFonts w:ascii="Sakkal Majalla" w:hAnsi="Sakkal Majalla" w:cs="Sakkal Majalla"/>
          <w:sz w:val="28"/>
        </w:rPr>
        <w:t xml:space="preserve"> AI </w:t>
      </w:r>
      <w:r w:rsidRPr="008219FD">
        <w:rPr>
          <w:rFonts w:ascii="Sakkal Majalla" w:hAnsi="Sakkal Majalla" w:cs="Sakkal Majalla"/>
          <w:sz w:val="28"/>
          <w:rtl/>
        </w:rPr>
        <w:t>أسرع 34% من 9000 قائد في</w:t>
      </w:r>
      <w:r w:rsidRPr="008219FD">
        <w:rPr>
          <w:rFonts w:ascii="Sakkal Majalla" w:hAnsi="Sakkal Majalla" w:cs="Sakkal Majalla"/>
          <w:sz w:val="28"/>
        </w:rPr>
        <w:t xml:space="preserve"> Scale</w:t>
      </w:r>
      <w:r w:rsidRPr="008219FD">
        <w:rPr>
          <w:rFonts w:ascii="Sakkal Majalla" w:hAnsi="Sakkal Majalla" w:cs="Sakkal Majalla"/>
          <w:sz w:val="28"/>
          <w:rtl/>
        </w:rPr>
        <w:t>، تقلل تنفيذًا في تحولنا مع</w:t>
      </w:r>
      <w:r w:rsidRPr="008219FD">
        <w:rPr>
          <w:rFonts w:ascii="Sakkal Majalla" w:hAnsi="Sakkal Majalla" w:cs="Sakkal Majalla"/>
          <w:sz w:val="28"/>
        </w:rPr>
        <w:t xml:space="preserve"> benchmarking.</w:t>
      </w:r>
    </w:p>
    <w:p w14:paraId="255C4113" w14:textId="5AA2B813" w:rsidR="008219FD" w:rsidRPr="008219FD" w:rsidRDefault="008219FD" w:rsidP="008219FD">
      <w:pPr>
        <w:pStyle w:val="BlockText"/>
        <w:spacing w:line="360" w:lineRule="auto"/>
        <w:ind w:left="360"/>
        <w:jc w:val="lowKashida"/>
        <w:rPr>
          <w:rFonts w:ascii="Sakkal Majalla" w:hAnsi="Sakkal Majalla" w:cs="Sakkal Majalla"/>
          <w:sz w:val="28"/>
        </w:rPr>
      </w:pPr>
      <w:r w:rsidRPr="008219FD">
        <w:rPr>
          <w:rFonts w:ascii="Sakkal Majalla" w:hAnsi="Sakkal Majalla" w:cs="Sakkal Majalla"/>
          <w:b/>
          <w:bCs/>
          <w:sz w:val="28"/>
        </w:rPr>
        <w:t>Lee et al. (2024):</w:t>
      </w:r>
      <w:r w:rsidRPr="008219FD">
        <w:rPr>
          <w:rFonts w:ascii="Sakkal Majalla" w:hAnsi="Sakkal Majalla" w:cs="Sakkal Majalla"/>
          <w:sz w:val="28"/>
        </w:rPr>
        <w:t xml:space="preserve"> </w:t>
      </w:r>
      <w:r w:rsidRPr="008219FD">
        <w:rPr>
          <w:rFonts w:ascii="Sakkal Majalla" w:hAnsi="Sakkal Majalla" w:cs="Sakkal Majalla"/>
          <w:sz w:val="28"/>
          <w:rtl/>
        </w:rPr>
        <w:t>توزيع جمركي/تقني في</w:t>
      </w:r>
      <w:r w:rsidRPr="008219FD">
        <w:rPr>
          <w:rFonts w:ascii="Sakkal Majalla" w:hAnsi="Sakkal Majalla" w:cs="Sakkal Majalla"/>
          <w:sz w:val="28"/>
        </w:rPr>
        <w:t xml:space="preserve"> UNI-PASS </w:t>
      </w:r>
      <w:r w:rsidRPr="008219FD">
        <w:rPr>
          <w:rFonts w:ascii="Sakkal Majalla" w:hAnsi="Sakkal Majalla" w:cs="Sakkal Majalla"/>
          <w:sz w:val="28"/>
          <w:rtl/>
        </w:rPr>
        <w:t>يحسن كشف تهريب 22% من 4 مليون معاملة، مشابه</w:t>
      </w:r>
      <w:r w:rsidRPr="008219FD">
        <w:rPr>
          <w:rFonts w:ascii="Sakkal Majalla" w:hAnsi="Sakkal Majalla" w:cs="Sakkal Majalla"/>
          <w:sz w:val="28"/>
        </w:rPr>
        <w:t xml:space="preserve"> ZATCA </w:t>
      </w:r>
      <w:r w:rsidRPr="008219FD">
        <w:rPr>
          <w:rFonts w:ascii="Sakkal Majalla" w:hAnsi="Sakkal Majalla" w:cs="Sakkal Majalla"/>
          <w:sz w:val="28"/>
          <w:rtl/>
        </w:rPr>
        <w:t>مع</w:t>
      </w:r>
      <w:r w:rsidRPr="008219FD">
        <w:rPr>
          <w:rFonts w:ascii="Sakkal Majalla" w:hAnsi="Sakkal Majalla" w:cs="Sakkal Majalla"/>
          <w:sz w:val="28"/>
        </w:rPr>
        <w:t xml:space="preserve"> PCA (KMO=0.85)</w:t>
      </w:r>
    </w:p>
    <w:p w14:paraId="28FBCB36" w14:textId="77777777" w:rsidR="007A0B3B" w:rsidRDefault="007A0B3B" w:rsidP="007A0B3B">
      <w:pPr>
        <w:pStyle w:val="BlockText"/>
        <w:ind w:left="146" w:hanging="120"/>
        <w:jc w:val="center"/>
        <w:rPr>
          <w:rFonts w:ascii="Sakkal Majalla" w:hAnsi="Sakkal Majalla" w:cs="Sakkal Majalla"/>
          <w:b/>
          <w:bCs/>
          <w:sz w:val="28"/>
          <w:rtl/>
          <w:lang w:bidi="ar-EG"/>
        </w:rPr>
      </w:pPr>
      <w:r w:rsidRPr="00021D5E">
        <w:rPr>
          <w:rFonts w:ascii="Sakkal Majalla" w:hAnsi="Sakkal Majalla" w:cs="Sakkal Majalla"/>
          <w:b/>
          <w:bCs/>
          <w:sz w:val="28"/>
          <w:rtl/>
          <w:lang w:bidi="ar-EG"/>
        </w:rPr>
        <w:t>جدول رقم (3/7) توزيع مفردات العينة طبقا لأسئلة الدراسة</w:t>
      </w:r>
    </w:p>
    <w:tbl>
      <w:tblPr>
        <w:bidiVisual/>
        <w:tblW w:w="9020" w:type="dxa"/>
        <w:tblInd w:w="46" w:type="dxa"/>
        <w:tblLook w:val="04A0" w:firstRow="1" w:lastRow="0" w:firstColumn="1" w:lastColumn="0" w:noHBand="0" w:noVBand="1"/>
      </w:tblPr>
      <w:tblGrid>
        <w:gridCol w:w="3862"/>
        <w:gridCol w:w="3744"/>
        <w:gridCol w:w="707"/>
        <w:gridCol w:w="707"/>
      </w:tblGrid>
      <w:tr w:rsidR="00BD4B09" w:rsidRPr="00BD4B09" w14:paraId="58B7D3FB" w14:textId="77777777" w:rsidTr="00BD4B09">
        <w:trPr>
          <w:trHeight w:val="550"/>
        </w:trPr>
        <w:tc>
          <w:tcPr>
            <w:tcW w:w="3862" w:type="dxa"/>
            <w:tcBorders>
              <w:top w:val="double" w:sz="6" w:space="0" w:color="auto"/>
              <w:left w:val="double" w:sz="6" w:space="0" w:color="000000"/>
              <w:bottom w:val="double" w:sz="6" w:space="0" w:color="auto"/>
              <w:right w:val="nil"/>
            </w:tcBorders>
            <w:shd w:val="clear" w:color="000000" w:fill="BFBFBF"/>
            <w:vAlign w:val="center"/>
            <w:hideMark/>
          </w:tcPr>
          <w:p w14:paraId="3AD59D29" w14:textId="77777777" w:rsidR="00BD4B09" w:rsidRPr="00BD4B09" w:rsidRDefault="00BD4B09" w:rsidP="00BD4B09">
            <w:pPr>
              <w:bidi/>
              <w:spacing w:after="0" w:line="240" w:lineRule="auto"/>
              <w:jc w:val="center"/>
              <w:rPr>
                <w:rFonts w:ascii="Arial" w:eastAsia="Times New Roman" w:hAnsi="Arial" w:cs="Arial"/>
                <w:b/>
                <w:bCs/>
                <w:color w:val="000000"/>
                <w:sz w:val="16"/>
                <w:szCs w:val="16"/>
              </w:rPr>
            </w:pPr>
            <w:r w:rsidRPr="00BD4B09">
              <w:rPr>
                <w:rFonts w:ascii="Arial" w:eastAsia="Times New Roman" w:hAnsi="Arial" w:cs="Arial" w:hint="cs"/>
                <w:b/>
                <w:bCs/>
                <w:color w:val="000000"/>
                <w:sz w:val="16"/>
                <w:szCs w:val="16"/>
                <w:rtl/>
              </w:rPr>
              <w:t>أسئلة الدراسة</w:t>
            </w:r>
          </w:p>
        </w:tc>
        <w:tc>
          <w:tcPr>
            <w:tcW w:w="3744" w:type="dxa"/>
            <w:tcBorders>
              <w:top w:val="double" w:sz="6" w:space="0" w:color="auto"/>
              <w:left w:val="nil"/>
              <w:bottom w:val="double" w:sz="6" w:space="0" w:color="auto"/>
              <w:right w:val="nil"/>
            </w:tcBorders>
            <w:shd w:val="clear" w:color="000000" w:fill="BFBFBF"/>
            <w:vAlign w:val="center"/>
            <w:hideMark/>
          </w:tcPr>
          <w:p w14:paraId="2FFB097F" w14:textId="77777777" w:rsidR="00BD4B09" w:rsidRPr="00BD4B09" w:rsidRDefault="00BD4B09" w:rsidP="00BD4B09">
            <w:pPr>
              <w:bidi/>
              <w:spacing w:after="0" w:line="240" w:lineRule="auto"/>
              <w:jc w:val="center"/>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العدد</w:t>
            </w:r>
          </w:p>
        </w:tc>
        <w:tc>
          <w:tcPr>
            <w:tcW w:w="707" w:type="dxa"/>
            <w:tcBorders>
              <w:top w:val="double" w:sz="6" w:space="0" w:color="auto"/>
              <w:left w:val="nil"/>
              <w:bottom w:val="double" w:sz="6" w:space="0" w:color="auto"/>
              <w:right w:val="nil"/>
            </w:tcBorders>
            <w:shd w:val="clear" w:color="000000" w:fill="BFBFBF"/>
            <w:vAlign w:val="center"/>
            <w:hideMark/>
          </w:tcPr>
          <w:p w14:paraId="4CA815F7" w14:textId="77777777" w:rsidR="00BD4B09" w:rsidRPr="00BD4B09" w:rsidRDefault="00BD4B09" w:rsidP="00BD4B09">
            <w:pPr>
              <w:bidi/>
              <w:spacing w:after="0" w:line="240" w:lineRule="auto"/>
              <w:rPr>
                <w:rFonts w:ascii="Arial" w:eastAsia="Times New Roman" w:hAnsi="Arial" w:cs="Arial"/>
                <w:b/>
                <w:bCs/>
                <w:color w:val="000000"/>
                <w:sz w:val="16"/>
                <w:szCs w:val="16"/>
                <w:rtl/>
              </w:rPr>
            </w:pPr>
            <w:r w:rsidRPr="00BD4B09">
              <w:rPr>
                <w:rFonts w:ascii="Arial" w:eastAsia="Times New Roman" w:hAnsi="Arial" w:cs="Arial"/>
                <w:b/>
                <w:bCs/>
                <w:color w:val="000000"/>
                <w:sz w:val="16"/>
                <w:szCs w:val="16"/>
                <w:rtl/>
              </w:rPr>
              <w:t> </w:t>
            </w:r>
          </w:p>
        </w:tc>
        <w:tc>
          <w:tcPr>
            <w:tcW w:w="707" w:type="dxa"/>
            <w:tcBorders>
              <w:top w:val="double" w:sz="6" w:space="0" w:color="auto"/>
              <w:left w:val="double" w:sz="6" w:space="0" w:color="auto"/>
              <w:bottom w:val="double" w:sz="6" w:space="0" w:color="auto"/>
              <w:right w:val="double" w:sz="6" w:space="0" w:color="auto"/>
            </w:tcBorders>
            <w:shd w:val="clear" w:color="000000" w:fill="BFBFBF"/>
            <w:vAlign w:val="center"/>
            <w:hideMark/>
          </w:tcPr>
          <w:p w14:paraId="675F93D9" w14:textId="77777777" w:rsidR="00BD4B09" w:rsidRPr="00BD4B09" w:rsidRDefault="00BD4B09" w:rsidP="00BD4B09">
            <w:pPr>
              <w:bidi/>
              <w:spacing w:after="0" w:line="240" w:lineRule="auto"/>
              <w:jc w:val="center"/>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النسبة المؤية</w:t>
            </w:r>
          </w:p>
        </w:tc>
      </w:tr>
      <w:tr w:rsidR="00BD4B09" w:rsidRPr="00BD4B09" w14:paraId="7FDC305E" w14:textId="77777777" w:rsidTr="00BD4B09">
        <w:trPr>
          <w:trHeight w:val="311"/>
        </w:trPr>
        <w:tc>
          <w:tcPr>
            <w:tcW w:w="3862" w:type="dxa"/>
            <w:tcBorders>
              <w:top w:val="nil"/>
              <w:left w:val="double" w:sz="6" w:space="0" w:color="auto"/>
              <w:bottom w:val="nil"/>
              <w:right w:val="double" w:sz="6" w:space="0" w:color="auto"/>
            </w:tcBorders>
            <w:shd w:val="clear" w:color="auto" w:fill="auto"/>
            <w:vAlign w:val="center"/>
            <w:hideMark/>
          </w:tcPr>
          <w:p w14:paraId="1F4C3075" w14:textId="77777777" w:rsidR="00BD4B09" w:rsidRPr="00BD4B09" w:rsidRDefault="00BD4B09" w:rsidP="00BD4B09">
            <w:pPr>
              <w:bidi/>
              <w:spacing w:after="0" w:line="240" w:lineRule="auto"/>
              <w:jc w:val="both"/>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السؤال الأول:</w:t>
            </w:r>
          </w:p>
        </w:tc>
        <w:tc>
          <w:tcPr>
            <w:tcW w:w="3744" w:type="dxa"/>
            <w:tcBorders>
              <w:top w:val="nil"/>
              <w:left w:val="nil"/>
              <w:bottom w:val="single" w:sz="8" w:space="0" w:color="auto"/>
              <w:right w:val="nil"/>
            </w:tcBorders>
            <w:shd w:val="clear" w:color="auto" w:fill="auto"/>
            <w:vAlign w:val="center"/>
            <w:hideMark/>
          </w:tcPr>
          <w:p w14:paraId="48EBBE0A"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 xml:space="preserve"> نادرًا</w:t>
            </w:r>
            <w:r w:rsidRPr="00BD4B09">
              <w:rPr>
                <w:rFonts w:ascii="Arial" w:eastAsia="Times New Roman" w:hAnsi="Arial" w:cs="Arial" w:hint="cs"/>
                <w:color w:val="000000"/>
                <w:sz w:val="16"/>
                <w:szCs w:val="16"/>
                <w:rtl/>
              </w:rPr>
              <w:t> </w:t>
            </w:r>
          </w:p>
        </w:tc>
        <w:tc>
          <w:tcPr>
            <w:tcW w:w="707" w:type="dxa"/>
            <w:tcBorders>
              <w:top w:val="nil"/>
              <w:left w:val="nil"/>
              <w:bottom w:val="single" w:sz="8" w:space="0" w:color="auto"/>
              <w:right w:val="nil"/>
            </w:tcBorders>
            <w:shd w:val="clear" w:color="auto" w:fill="auto"/>
            <w:vAlign w:val="center"/>
            <w:hideMark/>
          </w:tcPr>
          <w:p w14:paraId="16E64EB1"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13</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1C65939A"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25.00%</w:t>
            </w:r>
          </w:p>
        </w:tc>
      </w:tr>
      <w:tr w:rsidR="00BD4B09" w:rsidRPr="00BD4B09" w14:paraId="42150A8F" w14:textId="77777777" w:rsidTr="00BD4B09">
        <w:trPr>
          <w:trHeight w:val="311"/>
        </w:trPr>
        <w:tc>
          <w:tcPr>
            <w:tcW w:w="3862" w:type="dxa"/>
            <w:tcBorders>
              <w:top w:val="nil"/>
              <w:left w:val="double" w:sz="6" w:space="0" w:color="auto"/>
              <w:bottom w:val="nil"/>
              <w:right w:val="double" w:sz="6" w:space="0" w:color="auto"/>
            </w:tcBorders>
            <w:shd w:val="clear" w:color="auto" w:fill="auto"/>
            <w:vAlign w:val="center"/>
            <w:hideMark/>
          </w:tcPr>
          <w:p w14:paraId="3D38738B" w14:textId="77777777" w:rsidR="00BD4B09" w:rsidRPr="00BD4B09" w:rsidRDefault="00BD4B09" w:rsidP="00BD4B09">
            <w:pPr>
              <w:bidi/>
              <w:spacing w:after="0" w:line="240" w:lineRule="auto"/>
              <w:jc w:val="both"/>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مدى استخدامك اليومي للأنظمة والمنصات الرقمية في عملك الرسمي</w:t>
            </w:r>
          </w:p>
        </w:tc>
        <w:tc>
          <w:tcPr>
            <w:tcW w:w="3744" w:type="dxa"/>
            <w:tcBorders>
              <w:top w:val="nil"/>
              <w:left w:val="nil"/>
              <w:bottom w:val="single" w:sz="8" w:space="0" w:color="auto"/>
              <w:right w:val="nil"/>
            </w:tcBorders>
            <w:shd w:val="clear" w:color="auto" w:fill="auto"/>
            <w:vAlign w:val="center"/>
            <w:hideMark/>
          </w:tcPr>
          <w:p w14:paraId="39B57CD4"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color w:val="000000"/>
                <w:sz w:val="16"/>
                <w:szCs w:val="16"/>
                <w:rtl/>
              </w:rPr>
              <w:t xml:space="preserve"> أحيانًا</w:t>
            </w:r>
            <w:r w:rsidRPr="00BD4B09">
              <w:rPr>
                <w:rFonts w:ascii="Arial" w:eastAsia="Times New Roman" w:hAnsi="Arial" w:cs="Arial"/>
                <w:color w:val="000000"/>
                <w:sz w:val="16"/>
                <w:szCs w:val="16"/>
                <w:rtl/>
              </w:rPr>
              <w:t> </w:t>
            </w:r>
          </w:p>
        </w:tc>
        <w:tc>
          <w:tcPr>
            <w:tcW w:w="707" w:type="dxa"/>
            <w:tcBorders>
              <w:top w:val="double" w:sz="6" w:space="0" w:color="auto"/>
              <w:left w:val="nil"/>
              <w:bottom w:val="single" w:sz="8" w:space="0" w:color="auto"/>
              <w:right w:val="nil"/>
            </w:tcBorders>
            <w:shd w:val="clear" w:color="auto" w:fill="auto"/>
            <w:vAlign w:val="center"/>
            <w:hideMark/>
          </w:tcPr>
          <w:p w14:paraId="0282A8FC"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17</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69998876"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33.00%</w:t>
            </w:r>
          </w:p>
        </w:tc>
      </w:tr>
      <w:tr w:rsidR="00BD4B09" w:rsidRPr="00BD4B09" w14:paraId="003C2994" w14:textId="77777777" w:rsidTr="00BD4B09">
        <w:trPr>
          <w:trHeight w:val="311"/>
        </w:trPr>
        <w:tc>
          <w:tcPr>
            <w:tcW w:w="3862" w:type="dxa"/>
            <w:tcBorders>
              <w:top w:val="nil"/>
              <w:left w:val="double" w:sz="6" w:space="0" w:color="auto"/>
              <w:bottom w:val="nil"/>
              <w:right w:val="double" w:sz="6" w:space="0" w:color="auto"/>
            </w:tcBorders>
            <w:shd w:val="clear" w:color="auto" w:fill="auto"/>
            <w:vAlign w:val="center"/>
            <w:hideMark/>
          </w:tcPr>
          <w:p w14:paraId="3C42EBD0" w14:textId="77777777" w:rsidR="00BD4B09" w:rsidRPr="00BD4B09" w:rsidRDefault="00BD4B09" w:rsidP="00BD4B09">
            <w:pPr>
              <w:bidi/>
              <w:spacing w:after="0" w:line="240" w:lineRule="auto"/>
              <w:jc w:val="both"/>
              <w:rPr>
                <w:rFonts w:ascii="Arial" w:eastAsia="Times New Roman" w:hAnsi="Arial" w:cs="Arial"/>
                <w:b/>
                <w:bCs/>
                <w:color w:val="000000"/>
                <w:sz w:val="16"/>
                <w:szCs w:val="16"/>
                <w:rtl/>
              </w:rPr>
            </w:pPr>
            <w:r w:rsidRPr="00BD4B09">
              <w:rPr>
                <w:rFonts w:ascii="Arial" w:eastAsia="Times New Roman" w:hAnsi="Arial" w:cs="Arial"/>
                <w:b/>
                <w:bCs/>
                <w:color w:val="000000"/>
                <w:sz w:val="16"/>
                <w:szCs w:val="16"/>
                <w:rtl/>
              </w:rPr>
              <w:t> </w:t>
            </w:r>
          </w:p>
        </w:tc>
        <w:tc>
          <w:tcPr>
            <w:tcW w:w="3744" w:type="dxa"/>
            <w:tcBorders>
              <w:top w:val="nil"/>
              <w:left w:val="nil"/>
              <w:bottom w:val="single" w:sz="8" w:space="0" w:color="auto"/>
              <w:right w:val="nil"/>
            </w:tcBorders>
            <w:shd w:val="clear" w:color="auto" w:fill="auto"/>
            <w:vAlign w:val="center"/>
            <w:hideMark/>
          </w:tcPr>
          <w:p w14:paraId="6E5D588F"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color w:val="000000"/>
                <w:sz w:val="16"/>
                <w:szCs w:val="16"/>
                <w:rtl/>
              </w:rPr>
              <w:t>كثيرًا</w:t>
            </w:r>
            <w:r w:rsidRPr="00BD4B09">
              <w:rPr>
                <w:rFonts w:ascii="Arial" w:eastAsia="Times New Roman" w:hAnsi="Arial" w:cs="Arial"/>
                <w:color w:val="000000"/>
                <w:sz w:val="16"/>
                <w:szCs w:val="16"/>
                <w:rtl/>
              </w:rPr>
              <w:t> </w:t>
            </w:r>
          </w:p>
        </w:tc>
        <w:tc>
          <w:tcPr>
            <w:tcW w:w="707" w:type="dxa"/>
            <w:tcBorders>
              <w:top w:val="double" w:sz="6" w:space="0" w:color="auto"/>
              <w:left w:val="nil"/>
              <w:bottom w:val="single" w:sz="8" w:space="0" w:color="auto"/>
              <w:right w:val="nil"/>
            </w:tcBorders>
            <w:shd w:val="clear" w:color="auto" w:fill="auto"/>
            <w:vAlign w:val="center"/>
            <w:hideMark/>
          </w:tcPr>
          <w:p w14:paraId="0E1B6987"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19</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4CAC1205"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color w:val="000000"/>
                <w:sz w:val="16"/>
                <w:szCs w:val="16"/>
                <w:rtl/>
              </w:rPr>
              <w:t>37.00%</w:t>
            </w:r>
          </w:p>
        </w:tc>
      </w:tr>
      <w:tr w:rsidR="00BD4B09" w:rsidRPr="00BD4B09" w14:paraId="2FC66827" w14:textId="77777777" w:rsidTr="00BD4B09">
        <w:trPr>
          <w:trHeight w:val="311"/>
        </w:trPr>
        <w:tc>
          <w:tcPr>
            <w:tcW w:w="3862" w:type="dxa"/>
            <w:tcBorders>
              <w:top w:val="nil"/>
              <w:left w:val="double" w:sz="6" w:space="0" w:color="auto"/>
              <w:bottom w:val="nil"/>
              <w:right w:val="double" w:sz="6" w:space="0" w:color="auto"/>
            </w:tcBorders>
            <w:shd w:val="clear" w:color="auto" w:fill="auto"/>
            <w:vAlign w:val="center"/>
            <w:hideMark/>
          </w:tcPr>
          <w:p w14:paraId="1F13CB7D" w14:textId="77777777" w:rsidR="00BD4B09" w:rsidRPr="00BD4B09" w:rsidRDefault="00BD4B09" w:rsidP="00BD4B09">
            <w:pPr>
              <w:bidi/>
              <w:spacing w:after="0" w:line="240" w:lineRule="auto"/>
              <w:jc w:val="both"/>
              <w:rPr>
                <w:rFonts w:ascii="Arial" w:eastAsia="Times New Roman" w:hAnsi="Arial" w:cs="Arial"/>
                <w:b/>
                <w:bCs/>
                <w:color w:val="000000"/>
                <w:sz w:val="16"/>
                <w:szCs w:val="16"/>
                <w:rtl/>
              </w:rPr>
            </w:pPr>
            <w:r w:rsidRPr="00BD4B09">
              <w:rPr>
                <w:rFonts w:ascii="Arial" w:eastAsia="Times New Roman" w:hAnsi="Arial" w:cs="Arial"/>
                <w:b/>
                <w:bCs/>
                <w:color w:val="000000"/>
                <w:sz w:val="16"/>
                <w:szCs w:val="16"/>
                <w:rtl/>
              </w:rPr>
              <w:t> </w:t>
            </w:r>
          </w:p>
        </w:tc>
        <w:tc>
          <w:tcPr>
            <w:tcW w:w="3744" w:type="dxa"/>
            <w:tcBorders>
              <w:top w:val="nil"/>
              <w:left w:val="nil"/>
              <w:bottom w:val="single" w:sz="8" w:space="0" w:color="auto"/>
              <w:right w:val="nil"/>
            </w:tcBorders>
            <w:shd w:val="clear" w:color="auto" w:fill="auto"/>
            <w:vAlign w:val="center"/>
            <w:hideMark/>
          </w:tcPr>
          <w:p w14:paraId="55724125"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color w:val="000000"/>
                <w:sz w:val="16"/>
                <w:szCs w:val="16"/>
                <w:rtl/>
              </w:rPr>
              <w:t xml:space="preserve"> يوميًا بشكل أساسي (أكثر من 6 ساعات)</w:t>
            </w:r>
          </w:p>
        </w:tc>
        <w:tc>
          <w:tcPr>
            <w:tcW w:w="707" w:type="dxa"/>
            <w:tcBorders>
              <w:top w:val="double" w:sz="6" w:space="0" w:color="auto"/>
              <w:left w:val="nil"/>
              <w:bottom w:val="single" w:sz="8" w:space="0" w:color="auto"/>
              <w:right w:val="nil"/>
            </w:tcBorders>
            <w:shd w:val="clear" w:color="auto" w:fill="auto"/>
            <w:vAlign w:val="center"/>
            <w:hideMark/>
          </w:tcPr>
          <w:p w14:paraId="1B39FC4A"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3</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1A90602D"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color w:val="000000"/>
                <w:sz w:val="16"/>
                <w:szCs w:val="16"/>
                <w:rtl/>
              </w:rPr>
              <w:t>5.00%</w:t>
            </w:r>
          </w:p>
        </w:tc>
      </w:tr>
      <w:tr w:rsidR="00BD4B09" w:rsidRPr="00BD4B09" w14:paraId="33808B77" w14:textId="77777777" w:rsidTr="00BD4B09">
        <w:trPr>
          <w:trHeight w:val="299"/>
        </w:trPr>
        <w:tc>
          <w:tcPr>
            <w:tcW w:w="3862" w:type="dxa"/>
            <w:tcBorders>
              <w:top w:val="nil"/>
              <w:left w:val="double" w:sz="6" w:space="0" w:color="auto"/>
              <w:bottom w:val="single" w:sz="8" w:space="0" w:color="000000"/>
              <w:right w:val="double" w:sz="6" w:space="0" w:color="auto"/>
            </w:tcBorders>
            <w:shd w:val="clear" w:color="auto" w:fill="auto"/>
            <w:vAlign w:val="center"/>
            <w:hideMark/>
          </w:tcPr>
          <w:p w14:paraId="699676C8" w14:textId="77777777" w:rsidR="00BD4B09" w:rsidRPr="00BD4B09" w:rsidRDefault="00BD4B09" w:rsidP="00BD4B09">
            <w:pPr>
              <w:spacing w:after="0" w:line="240" w:lineRule="auto"/>
              <w:rPr>
                <w:rFonts w:ascii="Calibri" w:eastAsia="Times New Roman" w:hAnsi="Calibri" w:cs="Calibri"/>
                <w:color w:val="000000"/>
                <w:sz w:val="16"/>
                <w:szCs w:val="16"/>
                <w:rtl/>
              </w:rPr>
            </w:pPr>
            <w:r w:rsidRPr="00BD4B09">
              <w:rPr>
                <w:rFonts w:ascii="Calibri" w:eastAsia="Times New Roman" w:hAnsi="Calibri" w:cs="Calibri"/>
                <w:color w:val="000000"/>
                <w:sz w:val="16"/>
                <w:szCs w:val="16"/>
              </w:rPr>
              <w:t> </w:t>
            </w:r>
          </w:p>
        </w:tc>
        <w:tc>
          <w:tcPr>
            <w:tcW w:w="3744" w:type="dxa"/>
            <w:tcBorders>
              <w:top w:val="nil"/>
              <w:left w:val="nil"/>
              <w:bottom w:val="single" w:sz="8" w:space="0" w:color="auto"/>
              <w:right w:val="nil"/>
            </w:tcBorders>
            <w:shd w:val="clear" w:color="000000" w:fill="BFBFBF"/>
            <w:vAlign w:val="center"/>
            <w:hideMark/>
          </w:tcPr>
          <w:p w14:paraId="4C57D5F6" w14:textId="77777777" w:rsidR="00BD4B09" w:rsidRPr="00BD4B09" w:rsidRDefault="00BD4B09" w:rsidP="00BD4B09">
            <w:pPr>
              <w:bidi/>
              <w:spacing w:after="0" w:line="240" w:lineRule="auto"/>
              <w:jc w:val="center"/>
              <w:rPr>
                <w:rFonts w:ascii="Arial" w:eastAsia="Times New Roman" w:hAnsi="Arial" w:cs="Arial"/>
                <w:b/>
                <w:bCs/>
                <w:color w:val="000000"/>
                <w:sz w:val="16"/>
                <w:szCs w:val="16"/>
              </w:rPr>
            </w:pPr>
            <w:r w:rsidRPr="00BD4B09">
              <w:rPr>
                <w:rFonts w:ascii="Arial" w:eastAsia="Times New Roman" w:hAnsi="Arial" w:cs="Arial" w:hint="cs"/>
                <w:b/>
                <w:bCs/>
                <w:color w:val="000000"/>
                <w:sz w:val="16"/>
                <w:szCs w:val="16"/>
                <w:rtl/>
              </w:rPr>
              <w:t>الإجمالى</w:t>
            </w:r>
          </w:p>
        </w:tc>
        <w:tc>
          <w:tcPr>
            <w:tcW w:w="707" w:type="dxa"/>
            <w:tcBorders>
              <w:top w:val="nil"/>
              <w:left w:val="nil"/>
              <w:bottom w:val="single" w:sz="8" w:space="0" w:color="auto"/>
              <w:right w:val="nil"/>
            </w:tcBorders>
            <w:shd w:val="clear" w:color="000000" w:fill="BFBFBF"/>
            <w:vAlign w:val="center"/>
            <w:hideMark/>
          </w:tcPr>
          <w:p w14:paraId="60B80925" w14:textId="77777777" w:rsidR="00BD4B09" w:rsidRPr="00BD4B09" w:rsidRDefault="00BD4B09" w:rsidP="00BD4B09">
            <w:pPr>
              <w:bidi/>
              <w:spacing w:after="0" w:line="240" w:lineRule="auto"/>
              <w:rPr>
                <w:rFonts w:ascii="Arial" w:eastAsia="Times New Roman" w:hAnsi="Arial" w:cs="Arial"/>
                <w:b/>
                <w:bCs/>
                <w:color w:val="000000"/>
                <w:sz w:val="16"/>
                <w:szCs w:val="16"/>
                <w:rtl/>
              </w:rPr>
            </w:pPr>
            <w:r w:rsidRPr="00BD4B09">
              <w:rPr>
                <w:rFonts w:ascii="Arial" w:eastAsia="Times New Roman" w:hAnsi="Arial" w:cs="Arial"/>
                <w:b/>
                <w:bCs/>
                <w:color w:val="000000"/>
                <w:sz w:val="16"/>
                <w:szCs w:val="16"/>
                <w:rtl/>
              </w:rPr>
              <w:t>50</w:t>
            </w:r>
          </w:p>
        </w:tc>
        <w:tc>
          <w:tcPr>
            <w:tcW w:w="707" w:type="dxa"/>
            <w:tcBorders>
              <w:top w:val="nil"/>
              <w:left w:val="double" w:sz="6" w:space="0" w:color="auto"/>
              <w:bottom w:val="single" w:sz="8" w:space="0" w:color="auto"/>
              <w:right w:val="double" w:sz="6" w:space="0" w:color="auto"/>
            </w:tcBorders>
            <w:shd w:val="clear" w:color="000000" w:fill="BFBFBF"/>
            <w:vAlign w:val="center"/>
            <w:hideMark/>
          </w:tcPr>
          <w:p w14:paraId="0F43B4EC" w14:textId="77777777" w:rsidR="00BD4B09" w:rsidRPr="00BD4B09" w:rsidRDefault="00BD4B09" w:rsidP="00BD4B09">
            <w:pPr>
              <w:bidi/>
              <w:spacing w:after="0" w:line="240" w:lineRule="auto"/>
              <w:jc w:val="center"/>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100%</w:t>
            </w:r>
          </w:p>
        </w:tc>
      </w:tr>
      <w:tr w:rsidR="00BD4B09" w:rsidRPr="00BD4B09" w14:paraId="40B3BF36" w14:textId="77777777" w:rsidTr="00BD4B09">
        <w:trPr>
          <w:trHeight w:val="299"/>
        </w:trPr>
        <w:tc>
          <w:tcPr>
            <w:tcW w:w="3862" w:type="dxa"/>
            <w:tcBorders>
              <w:top w:val="nil"/>
              <w:left w:val="double" w:sz="6" w:space="0" w:color="auto"/>
              <w:bottom w:val="nil"/>
              <w:right w:val="double" w:sz="6" w:space="0" w:color="auto"/>
            </w:tcBorders>
            <w:shd w:val="clear" w:color="auto" w:fill="auto"/>
            <w:vAlign w:val="center"/>
            <w:hideMark/>
          </w:tcPr>
          <w:p w14:paraId="657323E1" w14:textId="77777777" w:rsidR="00BD4B09" w:rsidRPr="00BD4B09" w:rsidRDefault="00BD4B09" w:rsidP="00BD4B09">
            <w:pPr>
              <w:bidi/>
              <w:spacing w:after="0" w:line="240" w:lineRule="auto"/>
              <w:jc w:val="both"/>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 xml:space="preserve">السؤال الثاني: </w:t>
            </w:r>
          </w:p>
        </w:tc>
        <w:tc>
          <w:tcPr>
            <w:tcW w:w="3744" w:type="dxa"/>
            <w:tcBorders>
              <w:top w:val="nil"/>
              <w:left w:val="nil"/>
              <w:bottom w:val="single" w:sz="8" w:space="0" w:color="auto"/>
              <w:right w:val="nil"/>
            </w:tcBorders>
            <w:shd w:val="clear" w:color="auto" w:fill="auto"/>
            <w:vAlign w:val="center"/>
            <w:hideMark/>
          </w:tcPr>
          <w:p w14:paraId="0D344BCD"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نعم</w:t>
            </w:r>
          </w:p>
        </w:tc>
        <w:tc>
          <w:tcPr>
            <w:tcW w:w="707" w:type="dxa"/>
            <w:tcBorders>
              <w:top w:val="nil"/>
              <w:left w:val="nil"/>
              <w:bottom w:val="single" w:sz="8" w:space="0" w:color="auto"/>
              <w:right w:val="nil"/>
            </w:tcBorders>
            <w:shd w:val="clear" w:color="auto" w:fill="auto"/>
            <w:vAlign w:val="center"/>
            <w:hideMark/>
          </w:tcPr>
          <w:p w14:paraId="2A4CC1E1"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45</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5DB69660"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90.00%</w:t>
            </w:r>
          </w:p>
        </w:tc>
      </w:tr>
      <w:tr w:rsidR="00BD4B09" w:rsidRPr="00BD4B09" w14:paraId="1837E2D0" w14:textId="77777777" w:rsidTr="00BD4B09">
        <w:trPr>
          <w:trHeight w:val="490"/>
        </w:trPr>
        <w:tc>
          <w:tcPr>
            <w:tcW w:w="3862" w:type="dxa"/>
            <w:tcBorders>
              <w:top w:val="nil"/>
              <w:left w:val="double" w:sz="6" w:space="0" w:color="auto"/>
              <w:bottom w:val="nil"/>
              <w:right w:val="double" w:sz="6" w:space="0" w:color="auto"/>
            </w:tcBorders>
            <w:shd w:val="clear" w:color="auto" w:fill="auto"/>
            <w:vAlign w:val="center"/>
            <w:hideMark/>
          </w:tcPr>
          <w:p w14:paraId="4ABB4864" w14:textId="77777777" w:rsidR="00BD4B09" w:rsidRPr="00BD4B09" w:rsidRDefault="00BD4B09" w:rsidP="00BD4B09">
            <w:pPr>
              <w:bidi/>
              <w:spacing w:after="0" w:line="240" w:lineRule="auto"/>
              <w:jc w:val="both"/>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 xml:space="preserve">هل شاركت في برامج تدريبية رسمية حول التحول الرقمي أو الأمن السيبراني خلال الـ 3 سنوات الأخيرة؟ </w:t>
            </w:r>
          </w:p>
        </w:tc>
        <w:tc>
          <w:tcPr>
            <w:tcW w:w="3744" w:type="dxa"/>
            <w:tcBorders>
              <w:top w:val="nil"/>
              <w:left w:val="nil"/>
              <w:bottom w:val="single" w:sz="8" w:space="0" w:color="auto"/>
              <w:right w:val="nil"/>
            </w:tcBorders>
            <w:shd w:val="clear" w:color="auto" w:fill="auto"/>
            <w:vAlign w:val="center"/>
            <w:hideMark/>
          </w:tcPr>
          <w:p w14:paraId="0DD51300"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لا</w:t>
            </w:r>
          </w:p>
        </w:tc>
        <w:tc>
          <w:tcPr>
            <w:tcW w:w="707" w:type="dxa"/>
            <w:tcBorders>
              <w:top w:val="nil"/>
              <w:left w:val="nil"/>
              <w:bottom w:val="single" w:sz="8" w:space="0" w:color="auto"/>
              <w:right w:val="nil"/>
            </w:tcBorders>
            <w:shd w:val="clear" w:color="auto" w:fill="auto"/>
            <w:vAlign w:val="center"/>
            <w:hideMark/>
          </w:tcPr>
          <w:p w14:paraId="4246A557"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5</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2B41D93E"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10.00%</w:t>
            </w:r>
          </w:p>
        </w:tc>
      </w:tr>
      <w:tr w:rsidR="00BD4B09" w:rsidRPr="00BD4B09" w14:paraId="5E477143" w14:textId="77777777" w:rsidTr="00BD4B09">
        <w:trPr>
          <w:trHeight w:val="299"/>
        </w:trPr>
        <w:tc>
          <w:tcPr>
            <w:tcW w:w="3862" w:type="dxa"/>
            <w:tcBorders>
              <w:top w:val="nil"/>
              <w:left w:val="double" w:sz="6" w:space="0" w:color="auto"/>
              <w:bottom w:val="single" w:sz="8" w:space="0" w:color="000000"/>
              <w:right w:val="double" w:sz="6" w:space="0" w:color="auto"/>
            </w:tcBorders>
            <w:shd w:val="clear" w:color="auto" w:fill="auto"/>
            <w:vAlign w:val="center"/>
            <w:hideMark/>
          </w:tcPr>
          <w:p w14:paraId="3304FD63" w14:textId="77777777" w:rsidR="00BD4B09" w:rsidRPr="00BD4B09" w:rsidRDefault="00BD4B09" w:rsidP="00BD4B09">
            <w:pPr>
              <w:spacing w:after="0" w:line="240" w:lineRule="auto"/>
              <w:rPr>
                <w:rFonts w:ascii="Calibri" w:eastAsia="Times New Roman" w:hAnsi="Calibri" w:cs="Calibri"/>
                <w:color w:val="000000"/>
                <w:sz w:val="16"/>
                <w:szCs w:val="16"/>
                <w:rtl/>
              </w:rPr>
            </w:pPr>
            <w:r w:rsidRPr="00BD4B09">
              <w:rPr>
                <w:rFonts w:ascii="Calibri" w:eastAsia="Times New Roman" w:hAnsi="Calibri" w:cs="Calibri"/>
                <w:color w:val="000000"/>
                <w:sz w:val="16"/>
                <w:szCs w:val="16"/>
              </w:rPr>
              <w:t> </w:t>
            </w:r>
          </w:p>
        </w:tc>
        <w:tc>
          <w:tcPr>
            <w:tcW w:w="3744" w:type="dxa"/>
            <w:tcBorders>
              <w:top w:val="nil"/>
              <w:left w:val="nil"/>
              <w:bottom w:val="single" w:sz="8" w:space="0" w:color="auto"/>
              <w:right w:val="nil"/>
            </w:tcBorders>
            <w:shd w:val="clear" w:color="000000" w:fill="BFBFBF"/>
            <w:vAlign w:val="center"/>
            <w:hideMark/>
          </w:tcPr>
          <w:p w14:paraId="61797ECD" w14:textId="77777777" w:rsidR="00BD4B09" w:rsidRPr="00BD4B09" w:rsidRDefault="00BD4B09" w:rsidP="00BD4B09">
            <w:pPr>
              <w:bidi/>
              <w:spacing w:after="0" w:line="240" w:lineRule="auto"/>
              <w:jc w:val="center"/>
              <w:rPr>
                <w:rFonts w:ascii="Arial" w:eastAsia="Times New Roman" w:hAnsi="Arial" w:cs="Arial"/>
                <w:b/>
                <w:bCs/>
                <w:color w:val="000000"/>
                <w:sz w:val="16"/>
                <w:szCs w:val="16"/>
              </w:rPr>
            </w:pPr>
            <w:r w:rsidRPr="00BD4B09">
              <w:rPr>
                <w:rFonts w:ascii="Arial" w:eastAsia="Times New Roman" w:hAnsi="Arial" w:cs="Arial" w:hint="cs"/>
                <w:b/>
                <w:bCs/>
                <w:color w:val="000000"/>
                <w:sz w:val="16"/>
                <w:szCs w:val="16"/>
                <w:rtl/>
              </w:rPr>
              <w:t>الإجمالى</w:t>
            </w:r>
          </w:p>
        </w:tc>
        <w:tc>
          <w:tcPr>
            <w:tcW w:w="707" w:type="dxa"/>
            <w:tcBorders>
              <w:top w:val="nil"/>
              <w:left w:val="nil"/>
              <w:bottom w:val="single" w:sz="8" w:space="0" w:color="auto"/>
              <w:right w:val="nil"/>
            </w:tcBorders>
            <w:shd w:val="clear" w:color="000000" w:fill="BFBFBF"/>
            <w:vAlign w:val="center"/>
            <w:hideMark/>
          </w:tcPr>
          <w:p w14:paraId="0D027563" w14:textId="77777777" w:rsidR="00BD4B09" w:rsidRPr="00BD4B09" w:rsidRDefault="00BD4B09" w:rsidP="00BD4B09">
            <w:pPr>
              <w:bidi/>
              <w:spacing w:after="0" w:line="240" w:lineRule="auto"/>
              <w:rPr>
                <w:rFonts w:ascii="Arial" w:eastAsia="Times New Roman" w:hAnsi="Arial" w:cs="Arial"/>
                <w:b/>
                <w:bCs/>
                <w:color w:val="000000"/>
                <w:sz w:val="16"/>
                <w:szCs w:val="16"/>
                <w:rtl/>
              </w:rPr>
            </w:pPr>
            <w:r w:rsidRPr="00BD4B09">
              <w:rPr>
                <w:rFonts w:ascii="Arial" w:eastAsia="Times New Roman" w:hAnsi="Arial" w:cs="Arial"/>
                <w:b/>
                <w:bCs/>
                <w:color w:val="000000"/>
                <w:sz w:val="16"/>
                <w:szCs w:val="16"/>
                <w:rtl/>
              </w:rPr>
              <w:t>50</w:t>
            </w:r>
          </w:p>
        </w:tc>
        <w:tc>
          <w:tcPr>
            <w:tcW w:w="707" w:type="dxa"/>
            <w:tcBorders>
              <w:top w:val="nil"/>
              <w:left w:val="double" w:sz="6" w:space="0" w:color="auto"/>
              <w:bottom w:val="single" w:sz="8" w:space="0" w:color="auto"/>
              <w:right w:val="double" w:sz="6" w:space="0" w:color="auto"/>
            </w:tcBorders>
            <w:shd w:val="clear" w:color="000000" w:fill="BFBFBF"/>
            <w:vAlign w:val="center"/>
            <w:hideMark/>
          </w:tcPr>
          <w:p w14:paraId="325E148F" w14:textId="77777777" w:rsidR="00BD4B09" w:rsidRPr="00BD4B09" w:rsidRDefault="00BD4B09" w:rsidP="00BD4B09">
            <w:pPr>
              <w:bidi/>
              <w:spacing w:after="0" w:line="240" w:lineRule="auto"/>
              <w:jc w:val="center"/>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100%</w:t>
            </w:r>
          </w:p>
        </w:tc>
      </w:tr>
      <w:tr w:rsidR="00BD4B09" w:rsidRPr="00BD4B09" w14:paraId="4E6D7BE5" w14:textId="77777777" w:rsidTr="00BD4B09">
        <w:trPr>
          <w:trHeight w:val="299"/>
        </w:trPr>
        <w:tc>
          <w:tcPr>
            <w:tcW w:w="3862" w:type="dxa"/>
            <w:tcBorders>
              <w:top w:val="nil"/>
              <w:left w:val="double" w:sz="6" w:space="0" w:color="auto"/>
              <w:bottom w:val="nil"/>
              <w:right w:val="double" w:sz="6" w:space="0" w:color="auto"/>
            </w:tcBorders>
            <w:shd w:val="clear" w:color="auto" w:fill="auto"/>
            <w:vAlign w:val="center"/>
            <w:hideMark/>
          </w:tcPr>
          <w:p w14:paraId="75D103D5" w14:textId="77777777" w:rsidR="00BD4B09" w:rsidRPr="00BD4B09" w:rsidRDefault="00BD4B09" w:rsidP="00BD4B09">
            <w:pPr>
              <w:bidi/>
              <w:spacing w:after="0" w:line="240" w:lineRule="auto"/>
              <w:jc w:val="both"/>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 xml:space="preserve">السؤال الثالث: </w:t>
            </w:r>
          </w:p>
        </w:tc>
        <w:tc>
          <w:tcPr>
            <w:tcW w:w="3744" w:type="dxa"/>
            <w:tcBorders>
              <w:top w:val="nil"/>
              <w:left w:val="nil"/>
              <w:bottom w:val="single" w:sz="8" w:space="0" w:color="auto"/>
              <w:right w:val="nil"/>
            </w:tcBorders>
            <w:shd w:val="clear" w:color="auto" w:fill="auto"/>
            <w:vAlign w:val="center"/>
            <w:hideMark/>
          </w:tcPr>
          <w:p w14:paraId="6E8D032E"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ضعيف</w:t>
            </w:r>
          </w:p>
        </w:tc>
        <w:tc>
          <w:tcPr>
            <w:tcW w:w="707" w:type="dxa"/>
            <w:tcBorders>
              <w:top w:val="nil"/>
              <w:left w:val="nil"/>
              <w:bottom w:val="single" w:sz="8" w:space="0" w:color="auto"/>
              <w:right w:val="nil"/>
            </w:tcBorders>
            <w:shd w:val="clear" w:color="auto" w:fill="auto"/>
            <w:vAlign w:val="center"/>
            <w:hideMark/>
          </w:tcPr>
          <w:p w14:paraId="32BFDED8"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6</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05D4C3F0"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12.27%</w:t>
            </w:r>
          </w:p>
        </w:tc>
      </w:tr>
      <w:tr w:rsidR="00BD4B09" w:rsidRPr="00BD4B09" w14:paraId="68BFB797" w14:textId="77777777" w:rsidTr="00BD4B09">
        <w:trPr>
          <w:trHeight w:val="490"/>
        </w:trPr>
        <w:tc>
          <w:tcPr>
            <w:tcW w:w="3862" w:type="dxa"/>
            <w:tcBorders>
              <w:top w:val="nil"/>
              <w:left w:val="double" w:sz="6" w:space="0" w:color="auto"/>
              <w:bottom w:val="nil"/>
              <w:right w:val="double" w:sz="6" w:space="0" w:color="auto"/>
            </w:tcBorders>
            <w:shd w:val="clear" w:color="auto" w:fill="auto"/>
            <w:vAlign w:val="center"/>
            <w:hideMark/>
          </w:tcPr>
          <w:p w14:paraId="5936D263" w14:textId="77777777" w:rsidR="00BD4B09" w:rsidRPr="00BD4B09" w:rsidRDefault="00BD4B09" w:rsidP="00BD4B09">
            <w:pPr>
              <w:bidi/>
              <w:spacing w:after="0" w:line="240" w:lineRule="auto"/>
              <w:jc w:val="both"/>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 xml:space="preserve">تقييمك الذاتي لمستوى مهاراتك الرقمية بشكل عام (استخدام الذكاء الاصطناعي، تحليل البيانات، المنصات الإلكترونية، إلخ):  </w:t>
            </w:r>
          </w:p>
        </w:tc>
        <w:tc>
          <w:tcPr>
            <w:tcW w:w="3744" w:type="dxa"/>
            <w:tcBorders>
              <w:top w:val="nil"/>
              <w:left w:val="nil"/>
              <w:bottom w:val="single" w:sz="8" w:space="0" w:color="auto"/>
              <w:right w:val="nil"/>
            </w:tcBorders>
            <w:shd w:val="clear" w:color="auto" w:fill="auto"/>
            <w:vAlign w:val="center"/>
            <w:hideMark/>
          </w:tcPr>
          <w:p w14:paraId="273203C5"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متوسط</w:t>
            </w:r>
          </w:p>
        </w:tc>
        <w:tc>
          <w:tcPr>
            <w:tcW w:w="707" w:type="dxa"/>
            <w:tcBorders>
              <w:top w:val="nil"/>
              <w:left w:val="nil"/>
              <w:bottom w:val="single" w:sz="8" w:space="0" w:color="auto"/>
              <w:right w:val="nil"/>
            </w:tcBorders>
            <w:shd w:val="clear" w:color="auto" w:fill="auto"/>
            <w:vAlign w:val="center"/>
            <w:hideMark/>
          </w:tcPr>
          <w:p w14:paraId="44C7744F"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29</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32C5C913"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57.62%</w:t>
            </w:r>
          </w:p>
        </w:tc>
      </w:tr>
      <w:tr w:rsidR="00BD4B09" w:rsidRPr="00BD4B09" w14:paraId="3220122B" w14:textId="77777777" w:rsidTr="00BD4B09">
        <w:trPr>
          <w:trHeight w:val="299"/>
        </w:trPr>
        <w:tc>
          <w:tcPr>
            <w:tcW w:w="3862" w:type="dxa"/>
            <w:tcBorders>
              <w:top w:val="nil"/>
              <w:left w:val="double" w:sz="6" w:space="0" w:color="auto"/>
              <w:bottom w:val="nil"/>
              <w:right w:val="double" w:sz="6" w:space="0" w:color="auto"/>
            </w:tcBorders>
            <w:shd w:val="clear" w:color="auto" w:fill="auto"/>
            <w:vAlign w:val="center"/>
            <w:hideMark/>
          </w:tcPr>
          <w:p w14:paraId="1DF305F5" w14:textId="77777777" w:rsidR="00BD4B09" w:rsidRPr="00BD4B09" w:rsidRDefault="00BD4B09" w:rsidP="00BD4B09">
            <w:pPr>
              <w:spacing w:after="0" w:line="240" w:lineRule="auto"/>
              <w:rPr>
                <w:rFonts w:ascii="Calibri" w:eastAsia="Times New Roman" w:hAnsi="Calibri" w:cs="Calibri"/>
                <w:color w:val="000000"/>
                <w:sz w:val="16"/>
                <w:szCs w:val="16"/>
                <w:rtl/>
              </w:rPr>
            </w:pPr>
            <w:r w:rsidRPr="00BD4B09">
              <w:rPr>
                <w:rFonts w:ascii="Calibri" w:eastAsia="Times New Roman" w:hAnsi="Calibri" w:cs="Calibri"/>
                <w:color w:val="000000"/>
                <w:sz w:val="16"/>
                <w:szCs w:val="16"/>
              </w:rPr>
              <w:t> </w:t>
            </w:r>
          </w:p>
        </w:tc>
        <w:tc>
          <w:tcPr>
            <w:tcW w:w="3744" w:type="dxa"/>
            <w:tcBorders>
              <w:top w:val="nil"/>
              <w:left w:val="nil"/>
              <w:bottom w:val="single" w:sz="8" w:space="0" w:color="auto"/>
              <w:right w:val="nil"/>
            </w:tcBorders>
            <w:shd w:val="clear" w:color="auto" w:fill="auto"/>
            <w:vAlign w:val="center"/>
            <w:hideMark/>
          </w:tcPr>
          <w:p w14:paraId="0F384347" w14:textId="77777777" w:rsidR="00BD4B09" w:rsidRPr="00BD4B09" w:rsidRDefault="00BD4B09" w:rsidP="00BD4B09">
            <w:pPr>
              <w:bidi/>
              <w:spacing w:after="0" w:line="240" w:lineRule="auto"/>
              <w:jc w:val="center"/>
              <w:rPr>
                <w:rFonts w:ascii="Arial" w:eastAsia="Times New Roman" w:hAnsi="Arial" w:cs="Arial"/>
                <w:color w:val="000000"/>
                <w:sz w:val="16"/>
                <w:szCs w:val="16"/>
              </w:rPr>
            </w:pPr>
            <w:r w:rsidRPr="00BD4B09">
              <w:rPr>
                <w:rFonts w:ascii="Arial" w:eastAsia="Times New Roman" w:hAnsi="Arial" w:cs="Arial" w:hint="cs"/>
                <w:color w:val="000000"/>
                <w:sz w:val="16"/>
                <w:szCs w:val="16"/>
                <w:rtl/>
              </w:rPr>
              <w:t>جيد</w:t>
            </w:r>
          </w:p>
        </w:tc>
        <w:tc>
          <w:tcPr>
            <w:tcW w:w="707" w:type="dxa"/>
            <w:tcBorders>
              <w:top w:val="nil"/>
              <w:left w:val="nil"/>
              <w:bottom w:val="single" w:sz="8" w:space="0" w:color="auto"/>
              <w:right w:val="nil"/>
            </w:tcBorders>
            <w:shd w:val="clear" w:color="auto" w:fill="auto"/>
            <w:vAlign w:val="center"/>
            <w:hideMark/>
          </w:tcPr>
          <w:p w14:paraId="7C79A1E7"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12</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61451413"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24.16%</w:t>
            </w:r>
          </w:p>
        </w:tc>
      </w:tr>
      <w:tr w:rsidR="00BD4B09" w:rsidRPr="00BD4B09" w14:paraId="337E92A9" w14:textId="77777777" w:rsidTr="00BD4B09">
        <w:trPr>
          <w:trHeight w:val="299"/>
        </w:trPr>
        <w:tc>
          <w:tcPr>
            <w:tcW w:w="3862" w:type="dxa"/>
            <w:tcBorders>
              <w:top w:val="nil"/>
              <w:left w:val="double" w:sz="6" w:space="0" w:color="auto"/>
              <w:bottom w:val="nil"/>
              <w:right w:val="double" w:sz="6" w:space="0" w:color="auto"/>
            </w:tcBorders>
            <w:shd w:val="clear" w:color="auto" w:fill="auto"/>
            <w:vAlign w:val="center"/>
            <w:hideMark/>
          </w:tcPr>
          <w:p w14:paraId="1365B95D" w14:textId="77777777" w:rsidR="00BD4B09" w:rsidRPr="00BD4B09" w:rsidRDefault="00BD4B09" w:rsidP="00BD4B09">
            <w:pPr>
              <w:spacing w:after="0" w:line="240" w:lineRule="auto"/>
              <w:rPr>
                <w:rFonts w:ascii="Calibri" w:eastAsia="Times New Roman" w:hAnsi="Calibri" w:cs="Calibri"/>
                <w:color w:val="000000"/>
                <w:sz w:val="16"/>
                <w:szCs w:val="16"/>
                <w:rtl/>
              </w:rPr>
            </w:pPr>
            <w:r w:rsidRPr="00BD4B09">
              <w:rPr>
                <w:rFonts w:ascii="Calibri" w:eastAsia="Times New Roman" w:hAnsi="Calibri" w:cs="Calibri"/>
                <w:color w:val="000000"/>
                <w:sz w:val="16"/>
                <w:szCs w:val="16"/>
              </w:rPr>
              <w:t> </w:t>
            </w:r>
          </w:p>
        </w:tc>
        <w:tc>
          <w:tcPr>
            <w:tcW w:w="3744" w:type="dxa"/>
            <w:tcBorders>
              <w:top w:val="nil"/>
              <w:left w:val="nil"/>
              <w:bottom w:val="single" w:sz="8" w:space="0" w:color="auto"/>
              <w:right w:val="nil"/>
            </w:tcBorders>
            <w:shd w:val="clear" w:color="auto" w:fill="auto"/>
            <w:vAlign w:val="center"/>
            <w:hideMark/>
          </w:tcPr>
          <w:p w14:paraId="4084F209" w14:textId="77777777" w:rsidR="00BD4B09" w:rsidRPr="00BD4B09" w:rsidRDefault="00BD4B09" w:rsidP="00BD4B09">
            <w:pPr>
              <w:bidi/>
              <w:spacing w:after="0" w:line="240" w:lineRule="auto"/>
              <w:jc w:val="center"/>
              <w:rPr>
                <w:rFonts w:ascii="Arial" w:eastAsia="Times New Roman" w:hAnsi="Arial" w:cs="Arial"/>
                <w:color w:val="000000"/>
                <w:sz w:val="16"/>
                <w:szCs w:val="16"/>
              </w:rPr>
            </w:pPr>
            <w:r w:rsidRPr="00BD4B09">
              <w:rPr>
                <w:rFonts w:ascii="Arial" w:eastAsia="Times New Roman" w:hAnsi="Arial" w:cs="Arial" w:hint="cs"/>
                <w:color w:val="000000"/>
                <w:sz w:val="16"/>
                <w:szCs w:val="16"/>
                <w:rtl/>
              </w:rPr>
              <w:t xml:space="preserve">جيد جداً </w:t>
            </w:r>
          </w:p>
        </w:tc>
        <w:tc>
          <w:tcPr>
            <w:tcW w:w="707" w:type="dxa"/>
            <w:tcBorders>
              <w:top w:val="nil"/>
              <w:left w:val="nil"/>
              <w:bottom w:val="single" w:sz="8" w:space="0" w:color="auto"/>
              <w:right w:val="nil"/>
            </w:tcBorders>
            <w:shd w:val="clear" w:color="auto" w:fill="auto"/>
            <w:vAlign w:val="center"/>
            <w:hideMark/>
          </w:tcPr>
          <w:p w14:paraId="47462786"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3</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69671ADD"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5.95%</w:t>
            </w:r>
          </w:p>
        </w:tc>
      </w:tr>
      <w:tr w:rsidR="00BD4B09" w:rsidRPr="00BD4B09" w14:paraId="2131F8E3" w14:textId="77777777" w:rsidTr="00BD4B09">
        <w:trPr>
          <w:trHeight w:val="299"/>
        </w:trPr>
        <w:tc>
          <w:tcPr>
            <w:tcW w:w="3862" w:type="dxa"/>
            <w:tcBorders>
              <w:top w:val="nil"/>
              <w:left w:val="double" w:sz="6" w:space="0" w:color="auto"/>
              <w:bottom w:val="nil"/>
              <w:right w:val="double" w:sz="6" w:space="0" w:color="auto"/>
            </w:tcBorders>
            <w:shd w:val="clear" w:color="auto" w:fill="auto"/>
            <w:vAlign w:val="center"/>
            <w:hideMark/>
          </w:tcPr>
          <w:p w14:paraId="19CD3956" w14:textId="77777777" w:rsidR="00BD4B09" w:rsidRPr="00BD4B09" w:rsidRDefault="00BD4B09" w:rsidP="00BD4B09">
            <w:pPr>
              <w:spacing w:after="0" w:line="240" w:lineRule="auto"/>
              <w:rPr>
                <w:rFonts w:ascii="Calibri" w:eastAsia="Times New Roman" w:hAnsi="Calibri" w:cs="Calibri"/>
                <w:color w:val="000000"/>
                <w:sz w:val="16"/>
                <w:szCs w:val="16"/>
                <w:rtl/>
              </w:rPr>
            </w:pPr>
            <w:r w:rsidRPr="00BD4B09">
              <w:rPr>
                <w:rFonts w:ascii="Calibri" w:eastAsia="Times New Roman" w:hAnsi="Calibri" w:cs="Calibri"/>
                <w:color w:val="000000"/>
                <w:sz w:val="16"/>
                <w:szCs w:val="16"/>
              </w:rPr>
              <w:t> </w:t>
            </w:r>
          </w:p>
        </w:tc>
        <w:tc>
          <w:tcPr>
            <w:tcW w:w="3744" w:type="dxa"/>
            <w:tcBorders>
              <w:top w:val="nil"/>
              <w:left w:val="nil"/>
              <w:bottom w:val="single" w:sz="8" w:space="0" w:color="auto"/>
              <w:right w:val="nil"/>
            </w:tcBorders>
            <w:shd w:val="clear" w:color="auto" w:fill="auto"/>
            <w:vAlign w:val="center"/>
            <w:hideMark/>
          </w:tcPr>
          <w:p w14:paraId="711D46D8" w14:textId="77777777" w:rsidR="00BD4B09" w:rsidRPr="00BD4B09" w:rsidRDefault="00BD4B09" w:rsidP="00BD4B09">
            <w:pPr>
              <w:bidi/>
              <w:spacing w:after="0" w:line="240" w:lineRule="auto"/>
              <w:jc w:val="center"/>
              <w:rPr>
                <w:rFonts w:ascii="Arial" w:eastAsia="Times New Roman" w:hAnsi="Arial" w:cs="Arial"/>
                <w:color w:val="000000"/>
                <w:sz w:val="16"/>
                <w:szCs w:val="16"/>
              </w:rPr>
            </w:pPr>
            <w:r w:rsidRPr="00BD4B09">
              <w:rPr>
                <w:rFonts w:ascii="Arial" w:eastAsia="Times New Roman" w:hAnsi="Arial" w:cs="Arial" w:hint="cs"/>
                <w:color w:val="000000"/>
                <w:sz w:val="16"/>
                <w:szCs w:val="16"/>
                <w:rtl/>
              </w:rPr>
              <w:t>ممتاز</w:t>
            </w:r>
          </w:p>
        </w:tc>
        <w:tc>
          <w:tcPr>
            <w:tcW w:w="707" w:type="dxa"/>
            <w:tcBorders>
              <w:top w:val="nil"/>
              <w:left w:val="nil"/>
              <w:bottom w:val="single" w:sz="8" w:space="0" w:color="auto"/>
              <w:right w:val="nil"/>
            </w:tcBorders>
            <w:shd w:val="clear" w:color="auto" w:fill="auto"/>
            <w:vAlign w:val="center"/>
            <w:hideMark/>
          </w:tcPr>
          <w:p w14:paraId="0B33CBED"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0</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5D22F586"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0.00%</w:t>
            </w:r>
          </w:p>
        </w:tc>
      </w:tr>
      <w:tr w:rsidR="00BD4B09" w:rsidRPr="00BD4B09" w14:paraId="2FD10A71" w14:textId="77777777" w:rsidTr="00BD4B09">
        <w:trPr>
          <w:trHeight w:val="299"/>
        </w:trPr>
        <w:tc>
          <w:tcPr>
            <w:tcW w:w="3862" w:type="dxa"/>
            <w:tcBorders>
              <w:top w:val="nil"/>
              <w:left w:val="double" w:sz="6" w:space="0" w:color="auto"/>
              <w:bottom w:val="single" w:sz="8" w:space="0" w:color="000000"/>
              <w:right w:val="double" w:sz="6" w:space="0" w:color="auto"/>
            </w:tcBorders>
            <w:shd w:val="clear" w:color="auto" w:fill="auto"/>
            <w:vAlign w:val="center"/>
            <w:hideMark/>
          </w:tcPr>
          <w:p w14:paraId="1525E2D3" w14:textId="77777777" w:rsidR="00BD4B09" w:rsidRPr="00BD4B09" w:rsidRDefault="00BD4B09" w:rsidP="00BD4B09">
            <w:pPr>
              <w:spacing w:after="0" w:line="240" w:lineRule="auto"/>
              <w:rPr>
                <w:rFonts w:ascii="Calibri" w:eastAsia="Times New Roman" w:hAnsi="Calibri" w:cs="Calibri"/>
                <w:color w:val="000000"/>
                <w:sz w:val="16"/>
                <w:szCs w:val="16"/>
                <w:rtl/>
              </w:rPr>
            </w:pPr>
            <w:r w:rsidRPr="00BD4B09">
              <w:rPr>
                <w:rFonts w:ascii="Calibri" w:eastAsia="Times New Roman" w:hAnsi="Calibri" w:cs="Calibri"/>
                <w:color w:val="000000"/>
                <w:sz w:val="16"/>
                <w:szCs w:val="16"/>
              </w:rPr>
              <w:t> </w:t>
            </w:r>
          </w:p>
        </w:tc>
        <w:tc>
          <w:tcPr>
            <w:tcW w:w="3744" w:type="dxa"/>
            <w:tcBorders>
              <w:top w:val="nil"/>
              <w:left w:val="nil"/>
              <w:bottom w:val="single" w:sz="8" w:space="0" w:color="auto"/>
              <w:right w:val="nil"/>
            </w:tcBorders>
            <w:shd w:val="clear" w:color="000000" w:fill="BFBFBF"/>
            <w:vAlign w:val="center"/>
            <w:hideMark/>
          </w:tcPr>
          <w:p w14:paraId="697B81A1" w14:textId="77777777" w:rsidR="00BD4B09" w:rsidRPr="00BD4B09" w:rsidRDefault="00BD4B09" w:rsidP="00BD4B09">
            <w:pPr>
              <w:bidi/>
              <w:spacing w:after="0" w:line="240" w:lineRule="auto"/>
              <w:jc w:val="center"/>
              <w:rPr>
                <w:rFonts w:ascii="Arial" w:eastAsia="Times New Roman" w:hAnsi="Arial" w:cs="Arial"/>
                <w:b/>
                <w:bCs/>
                <w:color w:val="000000"/>
                <w:sz w:val="16"/>
                <w:szCs w:val="16"/>
              </w:rPr>
            </w:pPr>
            <w:r w:rsidRPr="00BD4B09">
              <w:rPr>
                <w:rFonts w:ascii="Arial" w:eastAsia="Times New Roman" w:hAnsi="Arial" w:cs="Arial" w:hint="cs"/>
                <w:b/>
                <w:bCs/>
                <w:color w:val="000000"/>
                <w:sz w:val="16"/>
                <w:szCs w:val="16"/>
                <w:rtl/>
              </w:rPr>
              <w:t>الإجمالى</w:t>
            </w:r>
          </w:p>
        </w:tc>
        <w:tc>
          <w:tcPr>
            <w:tcW w:w="707" w:type="dxa"/>
            <w:tcBorders>
              <w:top w:val="nil"/>
              <w:left w:val="nil"/>
              <w:bottom w:val="single" w:sz="8" w:space="0" w:color="auto"/>
              <w:right w:val="nil"/>
            </w:tcBorders>
            <w:shd w:val="clear" w:color="000000" w:fill="BFBFBF"/>
            <w:vAlign w:val="center"/>
            <w:hideMark/>
          </w:tcPr>
          <w:p w14:paraId="4228FA8B" w14:textId="77777777" w:rsidR="00BD4B09" w:rsidRPr="00BD4B09" w:rsidRDefault="00BD4B09" w:rsidP="00BD4B09">
            <w:pPr>
              <w:bidi/>
              <w:spacing w:after="0" w:line="240" w:lineRule="auto"/>
              <w:rPr>
                <w:rFonts w:ascii="Arial" w:eastAsia="Times New Roman" w:hAnsi="Arial" w:cs="Arial"/>
                <w:b/>
                <w:bCs/>
                <w:color w:val="000000"/>
                <w:sz w:val="16"/>
                <w:szCs w:val="16"/>
                <w:rtl/>
              </w:rPr>
            </w:pPr>
            <w:r w:rsidRPr="00BD4B09">
              <w:rPr>
                <w:rFonts w:ascii="Arial" w:eastAsia="Times New Roman" w:hAnsi="Arial" w:cs="Arial"/>
                <w:b/>
                <w:bCs/>
                <w:color w:val="000000"/>
                <w:sz w:val="16"/>
                <w:szCs w:val="16"/>
                <w:rtl/>
              </w:rPr>
              <w:t>50</w:t>
            </w:r>
          </w:p>
        </w:tc>
        <w:tc>
          <w:tcPr>
            <w:tcW w:w="707" w:type="dxa"/>
            <w:tcBorders>
              <w:top w:val="nil"/>
              <w:left w:val="double" w:sz="6" w:space="0" w:color="auto"/>
              <w:bottom w:val="single" w:sz="8" w:space="0" w:color="auto"/>
              <w:right w:val="double" w:sz="6" w:space="0" w:color="auto"/>
            </w:tcBorders>
            <w:shd w:val="clear" w:color="000000" w:fill="BFBFBF"/>
            <w:vAlign w:val="center"/>
            <w:hideMark/>
          </w:tcPr>
          <w:p w14:paraId="39208668" w14:textId="77777777" w:rsidR="00BD4B09" w:rsidRPr="00BD4B09" w:rsidRDefault="00BD4B09" w:rsidP="00BD4B09">
            <w:pPr>
              <w:bidi/>
              <w:spacing w:after="0" w:line="240" w:lineRule="auto"/>
              <w:jc w:val="center"/>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100%</w:t>
            </w:r>
          </w:p>
        </w:tc>
      </w:tr>
      <w:tr w:rsidR="00BD4B09" w:rsidRPr="00BD4B09" w14:paraId="503D7957" w14:textId="77777777" w:rsidTr="00BD4B09">
        <w:trPr>
          <w:trHeight w:val="299"/>
        </w:trPr>
        <w:tc>
          <w:tcPr>
            <w:tcW w:w="3862" w:type="dxa"/>
            <w:tcBorders>
              <w:top w:val="nil"/>
              <w:left w:val="double" w:sz="6" w:space="0" w:color="auto"/>
              <w:bottom w:val="nil"/>
              <w:right w:val="double" w:sz="6" w:space="0" w:color="auto"/>
            </w:tcBorders>
            <w:shd w:val="clear" w:color="auto" w:fill="auto"/>
            <w:vAlign w:val="center"/>
            <w:hideMark/>
          </w:tcPr>
          <w:p w14:paraId="018A4F8C" w14:textId="77777777" w:rsidR="00BD4B09" w:rsidRPr="00BD4B09" w:rsidRDefault="00BD4B09" w:rsidP="00BD4B09">
            <w:pPr>
              <w:bidi/>
              <w:spacing w:after="0" w:line="240" w:lineRule="auto"/>
              <w:jc w:val="both"/>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السؤال الرابع:</w:t>
            </w:r>
          </w:p>
        </w:tc>
        <w:tc>
          <w:tcPr>
            <w:tcW w:w="3744" w:type="dxa"/>
            <w:tcBorders>
              <w:top w:val="nil"/>
              <w:left w:val="nil"/>
              <w:bottom w:val="single" w:sz="8" w:space="0" w:color="auto"/>
              <w:right w:val="nil"/>
            </w:tcBorders>
            <w:shd w:val="clear" w:color="auto" w:fill="auto"/>
            <w:vAlign w:val="center"/>
            <w:hideMark/>
          </w:tcPr>
          <w:p w14:paraId="321A4DB5" w14:textId="77777777" w:rsidR="00BD4B09" w:rsidRPr="00BD4B09" w:rsidRDefault="00BD4B09" w:rsidP="00BD4B09">
            <w:pPr>
              <w:bidi/>
              <w:spacing w:after="0" w:line="240" w:lineRule="auto"/>
              <w:rPr>
                <w:rFonts w:ascii="Sakkal Majalla" w:eastAsia="Times New Roman" w:hAnsi="Sakkal Majalla" w:cs="Sakkal Majalla"/>
                <w:color w:val="000000"/>
                <w:sz w:val="16"/>
                <w:szCs w:val="16"/>
                <w:rtl/>
              </w:rPr>
            </w:pPr>
            <w:r w:rsidRPr="00BD4B09">
              <w:rPr>
                <w:rFonts w:ascii="Sakkal Majalla" w:eastAsia="Times New Roman" w:hAnsi="Sakkal Majalla" w:cs="Sakkal Majalla"/>
                <w:color w:val="000000"/>
                <w:sz w:val="16"/>
                <w:szCs w:val="16"/>
                <w:rtl/>
              </w:rPr>
              <w:t xml:space="preserve"> أسبوعيًا أو أقل</w:t>
            </w:r>
            <w:r w:rsidRPr="00BD4B09">
              <w:rPr>
                <w:rFonts w:ascii="Sakkal Majalla" w:eastAsia="Times New Roman" w:hAnsi="Sakkal Majalla" w:cs="Sakkal Majalla"/>
                <w:color w:val="000000"/>
                <w:sz w:val="16"/>
                <w:szCs w:val="16"/>
                <w:rtl/>
              </w:rPr>
              <w:t> </w:t>
            </w:r>
          </w:p>
        </w:tc>
        <w:tc>
          <w:tcPr>
            <w:tcW w:w="707" w:type="dxa"/>
            <w:tcBorders>
              <w:top w:val="nil"/>
              <w:left w:val="nil"/>
              <w:bottom w:val="single" w:sz="8" w:space="0" w:color="auto"/>
              <w:right w:val="nil"/>
            </w:tcBorders>
            <w:shd w:val="clear" w:color="auto" w:fill="auto"/>
            <w:vAlign w:val="center"/>
            <w:hideMark/>
          </w:tcPr>
          <w:p w14:paraId="3623D3CD"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6</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1781238C"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11.90%</w:t>
            </w:r>
          </w:p>
        </w:tc>
      </w:tr>
      <w:tr w:rsidR="00BD4B09" w:rsidRPr="00BD4B09" w14:paraId="75BC9582" w14:textId="77777777" w:rsidTr="00BD4B09">
        <w:trPr>
          <w:trHeight w:val="490"/>
        </w:trPr>
        <w:tc>
          <w:tcPr>
            <w:tcW w:w="3862" w:type="dxa"/>
            <w:tcBorders>
              <w:top w:val="nil"/>
              <w:left w:val="double" w:sz="6" w:space="0" w:color="auto"/>
              <w:bottom w:val="nil"/>
              <w:right w:val="double" w:sz="6" w:space="0" w:color="auto"/>
            </w:tcBorders>
            <w:shd w:val="clear" w:color="auto" w:fill="auto"/>
            <w:vAlign w:val="center"/>
            <w:hideMark/>
          </w:tcPr>
          <w:p w14:paraId="6164E362" w14:textId="77777777" w:rsidR="00BD4B09" w:rsidRPr="00BD4B09" w:rsidRDefault="00BD4B09" w:rsidP="00BD4B09">
            <w:pPr>
              <w:bidi/>
              <w:spacing w:after="0" w:line="240" w:lineRule="auto"/>
              <w:jc w:val="both"/>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 xml:space="preserve">تكرار استخدامك لمنصات الهيئة الإلكترونية الرئيسية (مثل: فسح، إثراء، الفوترة الإلكترونية، نظام الإقرارات، النافذة الموحدة):  </w:t>
            </w:r>
          </w:p>
        </w:tc>
        <w:tc>
          <w:tcPr>
            <w:tcW w:w="3744" w:type="dxa"/>
            <w:tcBorders>
              <w:top w:val="nil"/>
              <w:left w:val="nil"/>
              <w:bottom w:val="single" w:sz="8" w:space="0" w:color="auto"/>
              <w:right w:val="nil"/>
            </w:tcBorders>
            <w:shd w:val="clear" w:color="auto" w:fill="auto"/>
            <w:vAlign w:val="center"/>
            <w:hideMark/>
          </w:tcPr>
          <w:p w14:paraId="76740C34" w14:textId="77777777" w:rsidR="00BD4B09" w:rsidRPr="00BD4B09" w:rsidRDefault="00BD4B09" w:rsidP="00BD4B09">
            <w:pPr>
              <w:bidi/>
              <w:spacing w:after="0" w:line="240" w:lineRule="auto"/>
              <w:rPr>
                <w:rFonts w:ascii="Sakkal Majalla" w:eastAsia="Times New Roman" w:hAnsi="Sakkal Majalla" w:cs="Sakkal Majalla"/>
                <w:color w:val="000000"/>
                <w:sz w:val="16"/>
                <w:szCs w:val="16"/>
                <w:rtl/>
              </w:rPr>
            </w:pPr>
            <w:r w:rsidRPr="00BD4B09">
              <w:rPr>
                <w:rFonts w:ascii="Sakkal Majalla" w:eastAsia="Times New Roman" w:hAnsi="Sakkal Majalla" w:cs="Sakkal Majalla"/>
                <w:color w:val="000000"/>
                <w:sz w:val="16"/>
                <w:szCs w:val="16"/>
                <w:rtl/>
              </w:rPr>
              <w:t xml:space="preserve"> يوميًا</w:t>
            </w:r>
            <w:r w:rsidRPr="00BD4B09">
              <w:rPr>
                <w:rFonts w:ascii="Sakkal Majalla" w:eastAsia="Times New Roman" w:hAnsi="Sakkal Majalla" w:cs="Sakkal Majalla"/>
                <w:color w:val="000000"/>
                <w:sz w:val="16"/>
                <w:szCs w:val="16"/>
                <w:rtl/>
              </w:rPr>
              <w:t> </w:t>
            </w:r>
          </w:p>
        </w:tc>
        <w:tc>
          <w:tcPr>
            <w:tcW w:w="707" w:type="dxa"/>
            <w:tcBorders>
              <w:top w:val="nil"/>
              <w:left w:val="nil"/>
              <w:bottom w:val="single" w:sz="8" w:space="0" w:color="auto"/>
              <w:right w:val="nil"/>
            </w:tcBorders>
            <w:shd w:val="clear" w:color="auto" w:fill="auto"/>
            <w:vAlign w:val="center"/>
            <w:hideMark/>
          </w:tcPr>
          <w:p w14:paraId="5D050C6B"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14</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25BA4382"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27.88%</w:t>
            </w:r>
          </w:p>
        </w:tc>
      </w:tr>
      <w:tr w:rsidR="00BD4B09" w:rsidRPr="00BD4B09" w14:paraId="1301621C" w14:textId="77777777" w:rsidTr="00BD4B09">
        <w:trPr>
          <w:trHeight w:val="299"/>
        </w:trPr>
        <w:tc>
          <w:tcPr>
            <w:tcW w:w="3862" w:type="dxa"/>
            <w:tcBorders>
              <w:top w:val="nil"/>
              <w:left w:val="double" w:sz="6" w:space="0" w:color="auto"/>
              <w:bottom w:val="nil"/>
              <w:right w:val="double" w:sz="6" w:space="0" w:color="auto"/>
            </w:tcBorders>
            <w:shd w:val="clear" w:color="auto" w:fill="auto"/>
            <w:vAlign w:val="center"/>
            <w:hideMark/>
          </w:tcPr>
          <w:p w14:paraId="5EC0A0C6" w14:textId="77777777" w:rsidR="00BD4B09" w:rsidRPr="00BD4B09" w:rsidRDefault="00BD4B09" w:rsidP="00BD4B09">
            <w:pPr>
              <w:spacing w:after="0" w:line="240" w:lineRule="auto"/>
              <w:rPr>
                <w:rFonts w:ascii="Calibri" w:eastAsia="Times New Roman" w:hAnsi="Calibri" w:cs="Calibri"/>
                <w:color w:val="000000"/>
                <w:sz w:val="16"/>
                <w:szCs w:val="16"/>
                <w:rtl/>
              </w:rPr>
            </w:pPr>
            <w:r w:rsidRPr="00BD4B09">
              <w:rPr>
                <w:rFonts w:ascii="Calibri" w:eastAsia="Times New Roman" w:hAnsi="Calibri" w:cs="Calibri"/>
                <w:color w:val="000000"/>
                <w:sz w:val="16"/>
                <w:szCs w:val="16"/>
              </w:rPr>
              <w:lastRenderedPageBreak/>
              <w:t> </w:t>
            </w:r>
          </w:p>
        </w:tc>
        <w:tc>
          <w:tcPr>
            <w:tcW w:w="3744" w:type="dxa"/>
            <w:tcBorders>
              <w:top w:val="nil"/>
              <w:left w:val="nil"/>
              <w:bottom w:val="single" w:sz="8" w:space="0" w:color="auto"/>
              <w:right w:val="nil"/>
            </w:tcBorders>
            <w:shd w:val="clear" w:color="auto" w:fill="auto"/>
            <w:vAlign w:val="center"/>
            <w:hideMark/>
          </w:tcPr>
          <w:p w14:paraId="1EE4B236" w14:textId="77777777" w:rsidR="00BD4B09" w:rsidRPr="00BD4B09" w:rsidRDefault="00BD4B09" w:rsidP="00BD4B09">
            <w:pPr>
              <w:bidi/>
              <w:spacing w:after="0" w:line="240" w:lineRule="auto"/>
              <w:rPr>
                <w:rFonts w:ascii="Sakkal Majalla" w:eastAsia="Times New Roman" w:hAnsi="Sakkal Majalla" w:cs="Sakkal Majalla"/>
                <w:color w:val="000000"/>
                <w:sz w:val="16"/>
                <w:szCs w:val="16"/>
              </w:rPr>
            </w:pPr>
            <w:r w:rsidRPr="00BD4B09">
              <w:rPr>
                <w:rFonts w:ascii="Sakkal Majalla" w:eastAsia="Times New Roman" w:hAnsi="Sakkal Majalla" w:cs="Sakkal Majalla"/>
                <w:color w:val="000000"/>
                <w:sz w:val="16"/>
                <w:szCs w:val="16"/>
                <w:rtl/>
              </w:rPr>
              <w:t>عدة مرات يوميًا</w:t>
            </w:r>
            <w:r w:rsidRPr="00BD4B09">
              <w:rPr>
                <w:rFonts w:ascii="Sakkal Majalla" w:eastAsia="Times New Roman" w:hAnsi="Sakkal Majalla" w:cs="Sakkal Majalla"/>
                <w:color w:val="000000"/>
                <w:sz w:val="16"/>
                <w:szCs w:val="16"/>
                <w:rtl/>
              </w:rPr>
              <w:t> </w:t>
            </w:r>
          </w:p>
        </w:tc>
        <w:tc>
          <w:tcPr>
            <w:tcW w:w="707" w:type="dxa"/>
            <w:tcBorders>
              <w:top w:val="nil"/>
              <w:left w:val="nil"/>
              <w:bottom w:val="single" w:sz="8" w:space="0" w:color="auto"/>
              <w:right w:val="nil"/>
            </w:tcBorders>
            <w:shd w:val="clear" w:color="auto" w:fill="auto"/>
            <w:vAlign w:val="center"/>
            <w:hideMark/>
          </w:tcPr>
          <w:p w14:paraId="469572C5"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17</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6E60CF66"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33.09%</w:t>
            </w:r>
          </w:p>
        </w:tc>
      </w:tr>
      <w:tr w:rsidR="00BD4B09" w:rsidRPr="00BD4B09" w14:paraId="1DB0EE80" w14:textId="77777777" w:rsidTr="00BD4B09">
        <w:trPr>
          <w:trHeight w:val="299"/>
        </w:trPr>
        <w:tc>
          <w:tcPr>
            <w:tcW w:w="3862" w:type="dxa"/>
            <w:tcBorders>
              <w:top w:val="nil"/>
              <w:left w:val="double" w:sz="6" w:space="0" w:color="auto"/>
              <w:bottom w:val="nil"/>
              <w:right w:val="double" w:sz="6" w:space="0" w:color="auto"/>
            </w:tcBorders>
            <w:shd w:val="clear" w:color="auto" w:fill="auto"/>
            <w:vAlign w:val="center"/>
            <w:hideMark/>
          </w:tcPr>
          <w:p w14:paraId="371D8EEF" w14:textId="77777777" w:rsidR="00BD4B09" w:rsidRPr="00BD4B09" w:rsidRDefault="00BD4B09" w:rsidP="00BD4B09">
            <w:pPr>
              <w:spacing w:after="0" w:line="240" w:lineRule="auto"/>
              <w:rPr>
                <w:rFonts w:ascii="Calibri" w:eastAsia="Times New Roman" w:hAnsi="Calibri" w:cs="Calibri"/>
                <w:color w:val="000000"/>
                <w:sz w:val="16"/>
                <w:szCs w:val="16"/>
                <w:rtl/>
              </w:rPr>
            </w:pPr>
            <w:r w:rsidRPr="00BD4B09">
              <w:rPr>
                <w:rFonts w:ascii="Calibri" w:eastAsia="Times New Roman" w:hAnsi="Calibri" w:cs="Calibri"/>
                <w:color w:val="000000"/>
                <w:sz w:val="16"/>
                <w:szCs w:val="16"/>
              </w:rPr>
              <w:t> </w:t>
            </w:r>
          </w:p>
        </w:tc>
        <w:tc>
          <w:tcPr>
            <w:tcW w:w="3744" w:type="dxa"/>
            <w:tcBorders>
              <w:top w:val="nil"/>
              <w:left w:val="nil"/>
              <w:bottom w:val="single" w:sz="8" w:space="0" w:color="auto"/>
              <w:right w:val="nil"/>
            </w:tcBorders>
            <w:shd w:val="clear" w:color="auto" w:fill="auto"/>
            <w:vAlign w:val="center"/>
            <w:hideMark/>
          </w:tcPr>
          <w:p w14:paraId="04013A99" w14:textId="77777777" w:rsidR="00BD4B09" w:rsidRPr="00BD4B09" w:rsidRDefault="00BD4B09" w:rsidP="00BD4B09">
            <w:pPr>
              <w:bidi/>
              <w:spacing w:after="0" w:line="240" w:lineRule="auto"/>
              <w:rPr>
                <w:rFonts w:ascii="Sakkal Majalla" w:eastAsia="Times New Roman" w:hAnsi="Sakkal Majalla" w:cs="Sakkal Majalla"/>
                <w:color w:val="000000"/>
                <w:sz w:val="16"/>
                <w:szCs w:val="16"/>
              </w:rPr>
            </w:pPr>
            <w:r w:rsidRPr="00BD4B09">
              <w:rPr>
                <w:rFonts w:ascii="Sakkal Majalla" w:eastAsia="Times New Roman" w:hAnsi="Sakkal Majalla" w:cs="Sakkal Majalla"/>
                <w:color w:val="000000"/>
                <w:sz w:val="16"/>
                <w:szCs w:val="16"/>
                <w:rtl/>
              </w:rPr>
              <w:t xml:space="preserve"> أساس عملي اليومي</w:t>
            </w:r>
          </w:p>
        </w:tc>
        <w:tc>
          <w:tcPr>
            <w:tcW w:w="707" w:type="dxa"/>
            <w:tcBorders>
              <w:top w:val="nil"/>
              <w:left w:val="nil"/>
              <w:bottom w:val="single" w:sz="8" w:space="0" w:color="auto"/>
              <w:right w:val="nil"/>
            </w:tcBorders>
            <w:shd w:val="clear" w:color="auto" w:fill="auto"/>
            <w:vAlign w:val="center"/>
            <w:hideMark/>
          </w:tcPr>
          <w:p w14:paraId="3E31B5E8"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9</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141C5336"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18.96%</w:t>
            </w:r>
          </w:p>
        </w:tc>
      </w:tr>
      <w:tr w:rsidR="00BD4B09" w:rsidRPr="00BD4B09" w14:paraId="5D1929B6" w14:textId="77777777" w:rsidTr="00BD4B09">
        <w:trPr>
          <w:trHeight w:val="299"/>
        </w:trPr>
        <w:tc>
          <w:tcPr>
            <w:tcW w:w="3862" w:type="dxa"/>
            <w:tcBorders>
              <w:top w:val="nil"/>
              <w:left w:val="double" w:sz="6" w:space="0" w:color="auto"/>
              <w:bottom w:val="single" w:sz="8" w:space="0" w:color="000000"/>
              <w:right w:val="double" w:sz="6" w:space="0" w:color="auto"/>
            </w:tcBorders>
            <w:shd w:val="clear" w:color="auto" w:fill="auto"/>
            <w:vAlign w:val="center"/>
            <w:hideMark/>
          </w:tcPr>
          <w:p w14:paraId="27BA5A9A" w14:textId="77777777" w:rsidR="00BD4B09" w:rsidRPr="00BD4B09" w:rsidRDefault="00BD4B09" w:rsidP="00BD4B09">
            <w:pPr>
              <w:spacing w:after="0" w:line="240" w:lineRule="auto"/>
              <w:rPr>
                <w:rFonts w:ascii="Calibri" w:eastAsia="Times New Roman" w:hAnsi="Calibri" w:cs="Calibri"/>
                <w:color w:val="000000"/>
                <w:sz w:val="16"/>
                <w:szCs w:val="16"/>
                <w:rtl/>
              </w:rPr>
            </w:pPr>
            <w:r w:rsidRPr="00BD4B09">
              <w:rPr>
                <w:rFonts w:ascii="Calibri" w:eastAsia="Times New Roman" w:hAnsi="Calibri" w:cs="Calibri"/>
                <w:color w:val="000000"/>
                <w:sz w:val="16"/>
                <w:szCs w:val="16"/>
              </w:rPr>
              <w:t> </w:t>
            </w:r>
          </w:p>
        </w:tc>
        <w:tc>
          <w:tcPr>
            <w:tcW w:w="3744" w:type="dxa"/>
            <w:tcBorders>
              <w:top w:val="nil"/>
              <w:left w:val="nil"/>
              <w:bottom w:val="single" w:sz="8" w:space="0" w:color="auto"/>
              <w:right w:val="nil"/>
            </w:tcBorders>
            <w:shd w:val="clear" w:color="auto" w:fill="auto"/>
            <w:vAlign w:val="center"/>
            <w:hideMark/>
          </w:tcPr>
          <w:p w14:paraId="33327EF8" w14:textId="77777777" w:rsidR="00BD4B09" w:rsidRPr="00BD4B09" w:rsidRDefault="00BD4B09" w:rsidP="00BD4B09">
            <w:pPr>
              <w:bidi/>
              <w:spacing w:after="0" w:line="240" w:lineRule="auto"/>
              <w:rPr>
                <w:rFonts w:ascii="Sakkal Majalla" w:eastAsia="Times New Roman" w:hAnsi="Sakkal Majalla" w:cs="Sakkal Majalla"/>
                <w:color w:val="000000"/>
                <w:sz w:val="16"/>
                <w:szCs w:val="16"/>
              </w:rPr>
            </w:pPr>
            <w:r w:rsidRPr="00BD4B09">
              <w:rPr>
                <w:rFonts w:ascii="Sakkal Majalla" w:eastAsia="Times New Roman" w:hAnsi="Sakkal Majalla" w:cs="Sakkal Majalla"/>
                <w:color w:val="000000"/>
                <w:sz w:val="16"/>
                <w:szCs w:val="16"/>
                <w:rtl/>
              </w:rPr>
              <w:t>مرة في الشهر</w:t>
            </w:r>
          </w:p>
        </w:tc>
        <w:tc>
          <w:tcPr>
            <w:tcW w:w="707" w:type="dxa"/>
            <w:tcBorders>
              <w:top w:val="nil"/>
              <w:left w:val="nil"/>
              <w:bottom w:val="single" w:sz="8" w:space="0" w:color="auto"/>
              <w:right w:val="nil"/>
            </w:tcBorders>
            <w:shd w:val="clear" w:color="auto" w:fill="auto"/>
            <w:vAlign w:val="center"/>
            <w:hideMark/>
          </w:tcPr>
          <w:p w14:paraId="333DAC56"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4</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60093A94"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8.18%</w:t>
            </w:r>
          </w:p>
        </w:tc>
      </w:tr>
      <w:tr w:rsidR="00BD4B09" w:rsidRPr="00BD4B09" w14:paraId="0CA2AE64" w14:textId="77777777" w:rsidTr="00BD4B09">
        <w:trPr>
          <w:trHeight w:val="299"/>
        </w:trPr>
        <w:tc>
          <w:tcPr>
            <w:tcW w:w="3862" w:type="dxa"/>
            <w:tcBorders>
              <w:top w:val="nil"/>
              <w:left w:val="double" w:sz="6" w:space="0" w:color="auto"/>
              <w:bottom w:val="double" w:sz="6" w:space="0" w:color="auto"/>
              <w:right w:val="double" w:sz="6" w:space="0" w:color="auto"/>
            </w:tcBorders>
            <w:shd w:val="clear" w:color="auto" w:fill="auto"/>
            <w:vAlign w:val="center"/>
            <w:hideMark/>
          </w:tcPr>
          <w:p w14:paraId="2962252D" w14:textId="77777777" w:rsidR="00BD4B09" w:rsidRPr="00BD4B09" w:rsidRDefault="00BD4B09" w:rsidP="00BD4B09">
            <w:pPr>
              <w:bidi/>
              <w:spacing w:after="0" w:line="240" w:lineRule="auto"/>
              <w:jc w:val="center"/>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 </w:t>
            </w:r>
          </w:p>
        </w:tc>
        <w:tc>
          <w:tcPr>
            <w:tcW w:w="3744" w:type="dxa"/>
            <w:tcBorders>
              <w:top w:val="nil"/>
              <w:left w:val="nil"/>
              <w:bottom w:val="double" w:sz="6" w:space="0" w:color="auto"/>
              <w:right w:val="nil"/>
            </w:tcBorders>
            <w:shd w:val="clear" w:color="000000" w:fill="BFBFBF"/>
            <w:vAlign w:val="center"/>
            <w:hideMark/>
          </w:tcPr>
          <w:p w14:paraId="35390511" w14:textId="77777777" w:rsidR="00BD4B09" w:rsidRPr="00BD4B09" w:rsidRDefault="00BD4B09" w:rsidP="00BD4B09">
            <w:pPr>
              <w:bidi/>
              <w:spacing w:after="0" w:line="240" w:lineRule="auto"/>
              <w:jc w:val="center"/>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الإجمالى</w:t>
            </w:r>
          </w:p>
        </w:tc>
        <w:tc>
          <w:tcPr>
            <w:tcW w:w="707" w:type="dxa"/>
            <w:tcBorders>
              <w:top w:val="nil"/>
              <w:left w:val="nil"/>
              <w:bottom w:val="single" w:sz="8" w:space="0" w:color="auto"/>
              <w:right w:val="nil"/>
            </w:tcBorders>
            <w:shd w:val="clear" w:color="000000" w:fill="BFBFBF"/>
            <w:vAlign w:val="center"/>
            <w:hideMark/>
          </w:tcPr>
          <w:p w14:paraId="67842F38" w14:textId="77777777" w:rsidR="00BD4B09" w:rsidRPr="00BD4B09" w:rsidRDefault="00BD4B09" w:rsidP="00BD4B09">
            <w:pPr>
              <w:bidi/>
              <w:spacing w:after="0" w:line="240" w:lineRule="auto"/>
              <w:rPr>
                <w:rFonts w:ascii="Arial" w:eastAsia="Times New Roman" w:hAnsi="Arial" w:cs="Arial"/>
                <w:b/>
                <w:bCs/>
                <w:color w:val="000000"/>
                <w:sz w:val="16"/>
                <w:szCs w:val="16"/>
                <w:rtl/>
              </w:rPr>
            </w:pPr>
            <w:r w:rsidRPr="00BD4B09">
              <w:rPr>
                <w:rFonts w:ascii="Arial" w:eastAsia="Times New Roman" w:hAnsi="Arial" w:cs="Arial"/>
                <w:b/>
                <w:bCs/>
                <w:color w:val="000000"/>
                <w:sz w:val="16"/>
                <w:szCs w:val="16"/>
                <w:rtl/>
              </w:rPr>
              <w:t>50</w:t>
            </w:r>
          </w:p>
        </w:tc>
        <w:tc>
          <w:tcPr>
            <w:tcW w:w="707" w:type="dxa"/>
            <w:tcBorders>
              <w:top w:val="nil"/>
              <w:left w:val="double" w:sz="6" w:space="0" w:color="auto"/>
              <w:bottom w:val="single" w:sz="8" w:space="0" w:color="auto"/>
              <w:right w:val="double" w:sz="6" w:space="0" w:color="auto"/>
            </w:tcBorders>
            <w:shd w:val="clear" w:color="000000" w:fill="BFBFBF"/>
            <w:vAlign w:val="center"/>
            <w:hideMark/>
          </w:tcPr>
          <w:p w14:paraId="55147393" w14:textId="77777777" w:rsidR="00BD4B09" w:rsidRPr="00BD4B09" w:rsidRDefault="00BD4B09" w:rsidP="00BD4B09">
            <w:pPr>
              <w:bidi/>
              <w:spacing w:after="0" w:line="240" w:lineRule="auto"/>
              <w:jc w:val="center"/>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100%</w:t>
            </w:r>
          </w:p>
        </w:tc>
      </w:tr>
      <w:tr w:rsidR="00BD4B09" w:rsidRPr="00BD4B09" w14:paraId="4C64ACBB" w14:textId="77777777" w:rsidTr="00BD4B09">
        <w:trPr>
          <w:trHeight w:val="311"/>
        </w:trPr>
        <w:tc>
          <w:tcPr>
            <w:tcW w:w="3862" w:type="dxa"/>
            <w:tcBorders>
              <w:top w:val="nil"/>
              <w:left w:val="double" w:sz="6" w:space="0" w:color="auto"/>
              <w:bottom w:val="nil"/>
              <w:right w:val="double" w:sz="6" w:space="0" w:color="auto"/>
            </w:tcBorders>
            <w:shd w:val="clear" w:color="auto" w:fill="auto"/>
            <w:vAlign w:val="center"/>
            <w:hideMark/>
          </w:tcPr>
          <w:p w14:paraId="5808D997" w14:textId="77777777" w:rsidR="00BD4B09" w:rsidRPr="00BD4B09" w:rsidRDefault="00BD4B09" w:rsidP="00BD4B09">
            <w:pPr>
              <w:bidi/>
              <w:spacing w:after="0" w:line="240" w:lineRule="auto"/>
              <w:jc w:val="both"/>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السؤال الخامس:</w:t>
            </w:r>
          </w:p>
        </w:tc>
        <w:tc>
          <w:tcPr>
            <w:tcW w:w="3744" w:type="dxa"/>
            <w:tcBorders>
              <w:top w:val="nil"/>
              <w:left w:val="nil"/>
              <w:bottom w:val="single" w:sz="8" w:space="0" w:color="auto"/>
              <w:right w:val="nil"/>
            </w:tcBorders>
            <w:shd w:val="clear" w:color="auto" w:fill="auto"/>
            <w:vAlign w:val="center"/>
            <w:hideMark/>
          </w:tcPr>
          <w:p w14:paraId="66905696" w14:textId="77777777" w:rsidR="00BD4B09" w:rsidRPr="00BD4B09" w:rsidRDefault="00BD4B09" w:rsidP="00BD4B09">
            <w:pPr>
              <w:bidi/>
              <w:spacing w:after="0" w:line="240" w:lineRule="auto"/>
              <w:jc w:val="center"/>
              <w:rPr>
                <w:rFonts w:ascii="Sakkal Majalla" w:eastAsia="Times New Roman" w:hAnsi="Sakkal Majalla" w:cs="Sakkal Majalla"/>
                <w:color w:val="000000"/>
                <w:sz w:val="16"/>
                <w:szCs w:val="16"/>
                <w:rtl/>
              </w:rPr>
            </w:pPr>
            <w:r w:rsidRPr="00BD4B09">
              <w:rPr>
                <w:rFonts w:ascii="Sakkal Majalla" w:eastAsia="Times New Roman" w:hAnsi="Sakkal Majalla" w:cs="Sakkal Majalla" w:hint="cs"/>
                <w:color w:val="000000"/>
                <w:sz w:val="16"/>
                <w:szCs w:val="16"/>
                <w:rtl/>
              </w:rPr>
              <w:t>غير مهنم</w:t>
            </w:r>
          </w:p>
        </w:tc>
        <w:tc>
          <w:tcPr>
            <w:tcW w:w="707" w:type="dxa"/>
            <w:tcBorders>
              <w:top w:val="nil"/>
              <w:left w:val="nil"/>
              <w:bottom w:val="single" w:sz="8" w:space="0" w:color="auto"/>
              <w:right w:val="nil"/>
            </w:tcBorders>
            <w:shd w:val="clear" w:color="auto" w:fill="auto"/>
            <w:vAlign w:val="center"/>
            <w:hideMark/>
          </w:tcPr>
          <w:p w14:paraId="4A56A570"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4.09</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79159792"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8.18%</w:t>
            </w:r>
          </w:p>
        </w:tc>
      </w:tr>
      <w:tr w:rsidR="00BD4B09" w:rsidRPr="00BD4B09" w14:paraId="364FA8C5" w14:textId="77777777" w:rsidTr="00BD4B09">
        <w:trPr>
          <w:trHeight w:val="490"/>
        </w:trPr>
        <w:tc>
          <w:tcPr>
            <w:tcW w:w="3862" w:type="dxa"/>
            <w:tcBorders>
              <w:top w:val="nil"/>
              <w:left w:val="double" w:sz="6" w:space="0" w:color="auto"/>
              <w:bottom w:val="nil"/>
              <w:right w:val="double" w:sz="6" w:space="0" w:color="auto"/>
            </w:tcBorders>
            <w:shd w:val="clear" w:color="auto" w:fill="auto"/>
            <w:vAlign w:val="center"/>
            <w:hideMark/>
          </w:tcPr>
          <w:p w14:paraId="4D4362F7" w14:textId="77777777" w:rsidR="00BD4B09" w:rsidRPr="00BD4B09" w:rsidRDefault="00BD4B09" w:rsidP="00BD4B09">
            <w:pPr>
              <w:bidi/>
              <w:spacing w:after="0" w:line="240" w:lineRule="auto"/>
              <w:jc w:val="both"/>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مدى اهتمامك الشخصي بقضايا الأمن السيبراني والخصوصية في المعاملات التجارية والضريبية</w:t>
            </w:r>
          </w:p>
        </w:tc>
        <w:tc>
          <w:tcPr>
            <w:tcW w:w="3744" w:type="dxa"/>
            <w:tcBorders>
              <w:top w:val="nil"/>
              <w:left w:val="nil"/>
              <w:bottom w:val="single" w:sz="8" w:space="0" w:color="auto"/>
              <w:right w:val="nil"/>
            </w:tcBorders>
            <w:shd w:val="clear" w:color="auto" w:fill="auto"/>
            <w:vAlign w:val="center"/>
            <w:hideMark/>
          </w:tcPr>
          <w:p w14:paraId="2D388030" w14:textId="77777777" w:rsidR="00BD4B09" w:rsidRPr="00BD4B09" w:rsidRDefault="00BD4B09" w:rsidP="00BD4B09">
            <w:pPr>
              <w:bidi/>
              <w:spacing w:after="0" w:line="240" w:lineRule="auto"/>
              <w:jc w:val="center"/>
              <w:rPr>
                <w:rFonts w:ascii="Sakkal Majalla" w:eastAsia="Times New Roman" w:hAnsi="Sakkal Majalla" w:cs="Sakkal Majalla"/>
                <w:color w:val="000000"/>
                <w:sz w:val="16"/>
                <w:szCs w:val="16"/>
                <w:rtl/>
              </w:rPr>
            </w:pPr>
            <w:r w:rsidRPr="00BD4B09">
              <w:rPr>
                <w:rFonts w:ascii="Sakkal Majalla" w:eastAsia="Times New Roman" w:hAnsi="Sakkal Majalla" w:cs="Sakkal Majalla" w:hint="cs"/>
                <w:color w:val="000000"/>
                <w:sz w:val="16"/>
                <w:szCs w:val="16"/>
                <w:rtl/>
              </w:rPr>
              <w:t xml:space="preserve">    </w:t>
            </w:r>
            <w:r w:rsidRPr="00BD4B09">
              <w:rPr>
                <w:rFonts w:ascii="Times New Roman" w:eastAsia="Times New Roman" w:hAnsi="Times New Roman" w:cs="Times New Roman"/>
                <w:color w:val="000000"/>
                <w:sz w:val="16"/>
                <w:szCs w:val="16"/>
                <w:rtl/>
              </w:rPr>
              <w:t xml:space="preserve"> منخفض</w:t>
            </w:r>
            <w:r w:rsidRPr="00BD4B09">
              <w:rPr>
                <w:rFonts w:ascii="Times New Roman" w:eastAsia="Times New Roman" w:hAnsi="Times New Roman" w:cs="Times New Roman"/>
                <w:color w:val="000000"/>
                <w:sz w:val="16"/>
                <w:szCs w:val="16"/>
                <w:rtl/>
              </w:rPr>
              <w:t> </w:t>
            </w:r>
          </w:p>
        </w:tc>
        <w:tc>
          <w:tcPr>
            <w:tcW w:w="707" w:type="dxa"/>
            <w:tcBorders>
              <w:top w:val="nil"/>
              <w:left w:val="nil"/>
              <w:bottom w:val="single" w:sz="8" w:space="0" w:color="auto"/>
              <w:right w:val="nil"/>
            </w:tcBorders>
            <w:shd w:val="clear" w:color="auto" w:fill="auto"/>
            <w:vAlign w:val="center"/>
            <w:hideMark/>
          </w:tcPr>
          <w:p w14:paraId="6B9A7ED6"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20.445</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2100C9EF"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40.89%</w:t>
            </w:r>
          </w:p>
        </w:tc>
      </w:tr>
      <w:tr w:rsidR="00BD4B09" w:rsidRPr="00BD4B09" w14:paraId="34EE61FF" w14:textId="77777777" w:rsidTr="00BD4B09">
        <w:trPr>
          <w:trHeight w:val="299"/>
        </w:trPr>
        <w:tc>
          <w:tcPr>
            <w:tcW w:w="3862" w:type="dxa"/>
            <w:tcBorders>
              <w:top w:val="nil"/>
              <w:left w:val="double" w:sz="6" w:space="0" w:color="auto"/>
              <w:bottom w:val="nil"/>
              <w:right w:val="double" w:sz="6" w:space="0" w:color="auto"/>
            </w:tcBorders>
            <w:shd w:val="clear" w:color="auto" w:fill="auto"/>
            <w:vAlign w:val="center"/>
            <w:hideMark/>
          </w:tcPr>
          <w:p w14:paraId="290A6A54" w14:textId="77777777" w:rsidR="00BD4B09" w:rsidRPr="00BD4B09" w:rsidRDefault="00BD4B09" w:rsidP="00BD4B09">
            <w:pPr>
              <w:spacing w:after="0" w:line="240" w:lineRule="auto"/>
              <w:rPr>
                <w:rFonts w:ascii="Calibri" w:eastAsia="Times New Roman" w:hAnsi="Calibri" w:cs="Calibri"/>
                <w:color w:val="000000"/>
                <w:sz w:val="16"/>
                <w:szCs w:val="16"/>
                <w:rtl/>
              </w:rPr>
            </w:pPr>
            <w:r w:rsidRPr="00BD4B09">
              <w:rPr>
                <w:rFonts w:ascii="Calibri" w:eastAsia="Times New Roman" w:hAnsi="Calibri" w:cs="Calibri"/>
                <w:color w:val="000000"/>
                <w:sz w:val="16"/>
                <w:szCs w:val="16"/>
              </w:rPr>
              <w:t> </w:t>
            </w:r>
          </w:p>
        </w:tc>
        <w:tc>
          <w:tcPr>
            <w:tcW w:w="3744" w:type="dxa"/>
            <w:tcBorders>
              <w:top w:val="nil"/>
              <w:left w:val="nil"/>
              <w:bottom w:val="single" w:sz="8" w:space="0" w:color="auto"/>
              <w:right w:val="nil"/>
            </w:tcBorders>
            <w:shd w:val="clear" w:color="auto" w:fill="auto"/>
            <w:vAlign w:val="center"/>
            <w:hideMark/>
          </w:tcPr>
          <w:p w14:paraId="0F9DED6A" w14:textId="77777777" w:rsidR="00BD4B09" w:rsidRPr="00BD4B09" w:rsidRDefault="00BD4B09" w:rsidP="00BD4B09">
            <w:pPr>
              <w:bidi/>
              <w:spacing w:after="0" w:line="240" w:lineRule="auto"/>
              <w:jc w:val="center"/>
              <w:rPr>
                <w:rFonts w:ascii="Sakkal Majalla" w:eastAsia="Times New Roman" w:hAnsi="Sakkal Majalla" w:cs="Sakkal Majalla"/>
                <w:color w:val="000000"/>
                <w:sz w:val="16"/>
                <w:szCs w:val="16"/>
              </w:rPr>
            </w:pPr>
            <w:r w:rsidRPr="00BD4B09">
              <w:rPr>
                <w:rFonts w:ascii="Sakkal Majalla" w:eastAsia="Times New Roman" w:hAnsi="Sakkal Majalla" w:cs="Sakkal Majalla"/>
                <w:color w:val="000000"/>
                <w:sz w:val="16"/>
                <w:szCs w:val="16"/>
                <w:rtl/>
              </w:rPr>
              <w:t xml:space="preserve"> متوسط</w:t>
            </w:r>
            <w:r w:rsidRPr="00BD4B09">
              <w:rPr>
                <w:rFonts w:ascii="Sakkal Majalla" w:eastAsia="Times New Roman" w:hAnsi="Sakkal Majalla" w:cs="Sakkal Majalla"/>
                <w:color w:val="000000"/>
                <w:sz w:val="16"/>
                <w:szCs w:val="16"/>
                <w:rtl/>
              </w:rPr>
              <w:t> </w:t>
            </w:r>
          </w:p>
        </w:tc>
        <w:tc>
          <w:tcPr>
            <w:tcW w:w="707" w:type="dxa"/>
            <w:tcBorders>
              <w:top w:val="nil"/>
              <w:left w:val="nil"/>
              <w:bottom w:val="single" w:sz="8" w:space="0" w:color="auto"/>
              <w:right w:val="nil"/>
            </w:tcBorders>
            <w:shd w:val="clear" w:color="auto" w:fill="auto"/>
            <w:vAlign w:val="center"/>
            <w:hideMark/>
          </w:tcPr>
          <w:p w14:paraId="38A9A744"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13.385</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5F82B88A"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26.77%</w:t>
            </w:r>
          </w:p>
        </w:tc>
      </w:tr>
      <w:tr w:rsidR="00BD4B09" w:rsidRPr="00BD4B09" w14:paraId="038F98DF" w14:textId="77777777" w:rsidTr="00BD4B09">
        <w:trPr>
          <w:trHeight w:val="299"/>
        </w:trPr>
        <w:tc>
          <w:tcPr>
            <w:tcW w:w="3862" w:type="dxa"/>
            <w:tcBorders>
              <w:top w:val="nil"/>
              <w:left w:val="double" w:sz="6" w:space="0" w:color="auto"/>
              <w:bottom w:val="nil"/>
              <w:right w:val="double" w:sz="6" w:space="0" w:color="auto"/>
            </w:tcBorders>
            <w:shd w:val="clear" w:color="auto" w:fill="auto"/>
            <w:vAlign w:val="center"/>
            <w:hideMark/>
          </w:tcPr>
          <w:p w14:paraId="383241A3" w14:textId="77777777" w:rsidR="00BD4B09" w:rsidRPr="00BD4B09" w:rsidRDefault="00BD4B09" w:rsidP="00BD4B09">
            <w:pPr>
              <w:spacing w:after="0" w:line="240" w:lineRule="auto"/>
              <w:rPr>
                <w:rFonts w:ascii="Calibri" w:eastAsia="Times New Roman" w:hAnsi="Calibri" w:cs="Calibri"/>
                <w:color w:val="000000"/>
                <w:sz w:val="16"/>
                <w:szCs w:val="16"/>
                <w:rtl/>
              </w:rPr>
            </w:pPr>
            <w:r w:rsidRPr="00BD4B09">
              <w:rPr>
                <w:rFonts w:ascii="Calibri" w:eastAsia="Times New Roman" w:hAnsi="Calibri" w:cs="Calibri"/>
                <w:color w:val="000000"/>
                <w:sz w:val="16"/>
                <w:szCs w:val="16"/>
              </w:rPr>
              <w:t> </w:t>
            </w:r>
          </w:p>
        </w:tc>
        <w:tc>
          <w:tcPr>
            <w:tcW w:w="3744" w:type="dxa"/>
            <w:tcBorders>
              <w:top w:val="nil"/>
              <w:left w:val="nil"/>
              <w:bottom w:val="single" w:sz="8" w:space="0" w:color="auto"/>
              <w:right w:val="nil"/>
            </w:tcBorders>
            <w:shd w:val="clear" w:color="auto" w:fill="auto"/>
            <w:vAlign w:val="center"/>
            <w:hideMark/>
          </w:tcPr>
          <w:p w14:paraId="7B0CE76C" w14:textId="77777777" w:rsidR="00BD4B09" w:rsidRPr="00BD4B09" w:rsidRDefault="00BD4B09" w:rsidP="00BD4B09">
            <w:pPr>
              <w:bidi/>
              <w:spacing w:after="0" w:line="240" w:lineRule="auto"/>
              <w:jc w:val="center"/>
              <w:rPr>
                <w:rFonts w:ascii="Sakkal Majalla" w:eastAsia="Times New Roman" w:hAnsi="Sakkal Majalla" w:cs="Sakkal Majalla"/>
                <w:color w:val="000000"/>
                <w:sz w:val="16"/>
                <w:szCs w:val="16"/>
              </w:rPr>
            </w:pPr>
            <w:r w:rsidRPr="00BD4B09">
              <w:rPr>
                <w:rFonts w:ascii="Sakkal Majalla" w:eastAsia="Times New Roman" w:hAnsi="Sakkal Majalla" w:cs="Sakkal Majalla"/>
                <w:color w:val="000000"/>
                <w:sz w:val="16"/>
                <w:szCs w:val="16"/>
                <w:rtl/>
              </w:rPr>
              <w:t xml:space="preserve"> مرتفع</w:t>
            </w:r>
          </w:p>
        </w:tc>
        <w:tc>
          <w:tcPr>
            <w:tcW w:w="707" w:type="dxa"/>
            <w:tcBorders>
              <w:top w:val="nil"/>
              <w:left w:val="nil"/>
              <w:bottom w:val="single" w:sz="8" w:space="0" w:color="auto"/>
              <w:right w:val="nil"/>
            </w:tcBorders>
            <w:shd w:val="clear" w:color="auto" w:fill="auto"/>
            <w:vAlign w:val="center"/>
            <w:hideMark/>
          </w:tcPr>
          <w:p w14:paraId="391718F0"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12.08</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46248F05"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24.16%</w:t>
            </w:r>
          </w:p>
        </w:tc>
      </w:tr>
      <w:tr w:rsidR="00BD4B09" w:rsidRPr="00BD4B09" w14:paraId="6FD9266F" w14:textId="77777777" w:rsidTr="00BD4B09">
        <w:trPr>
          <w:trHeight w:val="299"/>
        </w:trPr>
        <w:tc>
          <w:tcPr>
            <w:tcW w:w="3862" w:type="dxa"/>
            <w:tcBorders>
              <w:top w:val="nil"/>
              <w:left w:val="double" w:sz="6" w:space="0" w:color="auto"/>
              <w:bottom w:val="single" w:sz="8" w:space="0" w:color="000000"/>
              <w:right w:val="double" w:sz="6" w:space="0" w:color="auto"/>
            </w:tcBorders>
            <w:shd w:val="clear" w:color="auto" w:fill="auto"/>
            <w:vAlign w:val="center"/>
            <w:hideMark/>
          </w:tcPr>
          <w:p w14:paraId="36E865A0" w14:textId="77777777" w:rsidR="00BD4B09" w:rsidRPr="00BD4B09" w:rsidRDefault="00BD4B09" w:rsidP="00BD4B09">
            <w:pPr>
              <w:spacing w:after="0" w:line="240" w:lineRule="auto"/>
              <w:rPr>
                <w:rFonts w:ascii="Calibri" w:eastAsia="Times New Roman" w:hAnsi="Calibri" w:cs="Calibri"/>
                <w:color w:val="000000"/>
                <w:sz w:val="16"/>
                <w:szCs w:val="16"/>
                <w:rtl/>
              </w:rPr>
            </w:pPr>
            <w:r w:rsidRPr="00BD4B09">
              <w:rPr>
                <w:rFonts w:ascii="Calibri" w:eastAsia="Times New Roman" w:hAnsi="Calibri" w:cs="Calibri"/>
                <w:color w:val="000000"/>
                <w:sz w:val="16"/>
                <w:szCs w:val="16"/>
              </w:rPr>
              <w:t> </w:t>
            </w:r>
          </w:p>
        </w:tc>
        <w:tc>
          <w:tcPr>
            <w:tcW w:w="3744" w:type="dxa"/>
            <w:tcBorders>
              <w:top w:val="nil"/>
              <w:left w:val="nil"/>
              <w:bottom w:val="single" w:sz="8" w:space="0" w:color="auto"/>
              <w:right w:val="nil"/>
            </w:tcBorders>
            <w:shd w:val="clear" w:color="auto" w:fill="auto"/>
            <w:vAlign w:val="center"/>
            <w:hideMark/>
          </w:tcPr>
          <w:p w14:paraId="0C8F70F6" w14:textId="77777777" w:rsidR="00BD4B09" w:rsidRPr="00BD4B09" w:rsidRDefault="00BD4B09" w:rsidP="00BD4B09">
            <w:pPr>
              <w:bidi/>
              <w:spacing w:after="0" w:line="240" w:lineRule="auto"/>
              <w:jc w:val="center"/>
              <w:rPr>
                <w:rFonts w:ascii="Sakkal Majalla" w:eastAsia="Times New Roman" w:hAnsi="Sakkal Majalla" w:cs="Sakkal Majalla"/>
                <w:color w:val="000000"/>
                <w:sz w:val="16"/>
                <w:szCs w:val="16"/>
              </w:rPr>
            </w:pPr>
            <w:r w:rsidRPr="00BD4B09">
              <w:rPr>
                <w:rFonts w:ascii="Sakkal Majalla" w:eastAsia="Times New Roman" w:hAnsi="Sakkal Majalla" w:cs="Sakkal Majalla"/>
                <w:color w:val="000000"/>
                <w:sz w:val="16"/>
                <w:szCs w:val="16"/>
                <w:rtl/>
              </w:rPr>
              <w:t>مرتفع جدًا</w:t>
            </w:r>
          </w:p>
        </w:tc>
        <w:tc>
          <w:tcPr>
            <w:tcW w:w="707" w:type="dxa"/>
            <w:tcBorders>
              <w:top w:val="nil"/>
              <w:left w:val="nil"/>
              <w:bottom w:val="single" w:sz="8" w:space="0" w:color="auto"/>
              <w:right w:val="nil"/>
            </w:tcBorders>
            <w:shd w:val="clear" w:color="auto" w:fill="auto"/>
            <w:vAlign w:val="center"/>
            <w:hideMark/>
          </w:tcPr>
          <w:p w14:paraId="75ED4BEE"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0</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2B86DD00"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0.00%</w:t>
            </w:r>
          </w:p>
        </w:tc>
      </w:tr>
      <w:tr w:rsidR="00BD4B09" w:rsidRPr="00BD4B09" w14:paraId="2C24AFDB" w14:textId="77777777" w:rsidTr="00BD4B09">
        <w:trPr>
          <w:trHeight w:val="299"/>
        </w:trPr>
        <w:tc>
          <w:tcPr>
            <w:tcW w:w="3862" w:type="dxa"/>
            <w:tcBorders>
              <w:top w:val="nil"/>
              <w:left w:val="double" w:sz="6" w:space="0" w:color="auto"/>
              <w:bottom w:val="double" w:sz="6" w:space="0" w:color="auto"/>
              <w:right w:val="double" w:sz="6" w:space="0" w:color="auto"/>
            </w:tcBorders>
            <w:shd w:val="clear" w:color="auto" w:fill="auto"/>
            <w:vAlign w:val="center"/>
            <w:hideMark/>
          </w:tcPr>
          <w:p w14:paraId="78A45D91" w14:textId="77777777" w:rsidR="00BD4B09" w:rsidRPr="00BD4B09" w:rsidRDefault="00BD4B09" w:rsidP="00BD4B09">
            <w:pPr>
              <w:bidi/>
              <w:spacing w:after="0" w:line="240" w:lineRule="auto"/>
              <w:jc w:val="center"/>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 </w:t>
            </w:r>
          </w:p>
        </w:tc>
        <w:tc>
          <w:tcPr>
            <w:tcW w:w="3744" w:type="dxa"/>
            <w:tcBorders>
              <w:top w:val="nil"/>
              <w:left w:val="nil"/>
              <w:bottom w:val="double" w:sz="6" w:space="0" w:color="auto"/>
              <w:right w:val="nil"/>
            </w:tcBorders>
            <w:shd w:val="clear" w:color="000000" w:fill="BFBFBF"/>
            <w:vAlign w:val="center"/>
            <w:hideMark/>
          </w:tcPr>
          <w:p w14:paraId="54A67D95" w14:textId="77777777" w:rsidR="00BD4B09" w:rsidRPr="00BD4B09" w:rsidRDefault="00BD4B09" w:rsidP="00BD4B09">
            <w:pPr>
              <w:bidi/>
              <w:spacing w:after="0" w:line="240" w:lineRule="auto"/>
              <w:jc w:val="center"/>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الإجمالى</w:t>
            </w:r>
          </w:p>
        </w:tc>
        <w:tc>
          <w:tcPr>
            <w:tcW w:w="707" w:type="dxa"/>
            <w:tcBorders>
              <w:top w:val="nil"/>
              <w:left w:val="nil"/>
              <w:bottom w:val="single" w:sz="8" w:space="0" w:color="auto"/>
              <w:right w:val="nil"/>
            </w:tcBorders>
            <w:shd w:val="clear" w:color="000000" w:fill="BFBFBF"/>
            <w:vAlign w:val="center"/>
            <w:hideMark/>
          </w:tcPr>
          <w:p w14:paraId="122CAB5A" w14:textId="77777777" w:rsidR="00BD4B09" w:rsidRPr="00BD4B09" w:rsidRDefault="00BD4B09" w:rsidP="00BD4B09">
            <w:pPr>
              <w:bidi/>
              <w:spacing w:after="0" w:line="240" w:lineRule="auto"/>
              <w:rPr>
                <w:rFonts w:ascii="Arial" w:eastAsia="Times New Roman" w:hAnsi="Arial" w:cs="Arial"/>
                <w:b/>
                <w:bCs/>
                <w:color w:val="000000"/>
                <w:sz w:val="16"/>
                <w:szCs w:val="16"/>
                <w:rtl/>
              </w:rPr>
            </w:pPr>
            <w:r w:rsidRPr="00BD4B09">
              <w:rPr>
                <w:rFonts w:ascii="Arial" w:eastAsia="Times New Roman" w:hAnsi="Arial" w:cs="Arial"/>
                <w:b/>
                <w:bCs/>
                <w:color w:val="000000"/>
                <w:sz w:val="16"/>
                <w:szCs w:val="16"/>
                <w:rtl/>
              </w:rPr>
              <w:t>50</w:t>
            </w:r>
          </w:p>
        </w:tc>
        <w:tc>
          <w:tcPr>
            <w:tcW w:w="707" w:type="dxa"/>
            <w:tcBorders>
              <w:top w:val="nil"/>
              <w:left w:val="double" w:sz="6" w:space="0" w:color="auto"/>
              <w:bottom w:val="single" w:sz="8" w:space="0" w:color="auto"/>
              <w:right w:val="double" w:sz="6" w:space="0" w:color="auto"/>
            </w:tcBorders>
            <w:shd w:val="clear" w:color="000000" w:fill="BFBFBF"/>
            <w:vAlign w:val="center"/>
            <w:hideMark/>
          </w:tcPr>
          <w:p w14:paraId="56B65697" w14:textId="77777777" w:rsidR="00BD4B09" w:rsidRPr="00BD4B09" w:rsidRDefault="00BD4B09" w:rsidP="00BD4B09">
            <w:pPr>
              <w:bidi/>
              <w:spacing w:after="0" w:line="240" w:lineRule="auto"/>
              <w:jc w:val="center"/>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100%</w:t>
            </w:r>
          </w:p>
        </w:tc>
      </w:tr>
      <w:tr w:rsidR="00BD4B09" w:rsidRPr="00BD4B09" w14:paraId="0ED6D2E9" w14:textId="77777777" w:rsidTr="00BD4B09">
        <w:trPr>
          <w:trHeight w:val="311"/>
        </w:trPr>
        <w:tc>
          <w:tcPr>
            <w:tcW w:w="3862" w:type="dxa"/>
            <w:tcBorders>
              <w:top w:val="nil"/>
              <w:left w:val="double" w:sz="6" w:space="0" w:color="auto"/>
              <w:bottom w:val="nil"/>
              <w:right w:val="double" w:sz="6" w:space="0" w:color="auto"/>
            </w:tcBorders>
            <w:shd w:val="clear" w:color="auto" w:fill="auto"/>
            <w:vAlign w:val="center"/>
            <w:hideMark/>
          </w:tcPr>
          <w:p w14:paraId="167B2599" w14:textId="77777777" w:rsidR="00BD4B09" w:rsidRPr="00BD4B09" w:rsidRDefault="00BD4B09" w:rsidP="00BD4B09">
            <w:pPr>
              <w:bidi/>
              <w:spacing w:after="0" w:line="240" w:lineRule="auto"/>
              <w:jc w:val="both"/>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السؤال السادس:</w:t>
            </w:r>
          </w:p>
        </w:tc>
        <w:tc>
          <w:tcPr>
            <w:tcW w:w="3744" w:type="dxa"/>
            <w:tcBorders>
              <w:top w:val="nil"/>
              <w:left w:val="nil"/>
              <w:bottom w:val="single" w:sz="8" w:space="0" w:color="auto"/>
              <w:right w:val="nil"/>
            </w:tcBorders>
            <w:shd w:val="clear" w:color="auto" w:fill="auto"/>
            <w:vAlign w:val="center"/>
            <w:hideMark/>
          </w:tcPr>
          <w:p w14:paraId="0D5E2B89" w14:textId="77777777" w:rsidR="00BD4B09" w:rsidRPr="00BD4B09" w:rsidRDefault="00BD4B09" w:rsidP="00BD4B09">
            <w:pPr>
              <w:bidi/>
              <w:spacing w:after="0" w:line="240" w:lineRule="auto"/>
              <w:rPr>
                <w:rFonts w:ascii="Sakkal Majalla" w:eastAsia="Times New Roman" w:hAnsi="Sakkal Majalla" w:cs="Sakkal Majalla"/>
                <w:color w:val="000000"/>
                <w:sz w:val="16"/>
                <w:szCs w:val="16"/>
                <w:rtl/>
              </w:rPr>
            </w:pPr>
            <w:r w:rsidRPr="00BD4B09">
              <w:rPr>
                <w:rFonts w:ascii="Sakkal Majalla" w:eastAsia="Times New Roman" w:hAnsi="Sakkal Majalla" w:cs="Sakkal Majalla" w:hint="cs"/>
                <w:color w:val="000000"/>
                <w:sz w:val="16"/>
                <w:szCs w:val="16"/>
                <w:rtl/>
              </w:rPr>
              <w:t>ضعيف</w:t>
            </w:r>
          </w:p>
        </w:tc>
        <w:tc>
          <w:tcPr>
            <w:tcW w:w="707" w:type="dxa"/>
            <w:tcBorders>
              <w:top w:val="nil"/>
              <w:left w:val="nil"/>
              <w:bottom w:val="single" w:sz="8" w:space="0" w:color="auto"/>
              <w:right w:val="nil"/>
            </w:tcBorders>
            <w:shd w:val="clear" w:color="auto" w:fill="auto"/>
            <w:vAlign w:val="center"/>
            <w:hideMark/>
          </w:tcPr>
          <w:p w14:paraId="70B8EF26"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1</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01BB707B"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1.12%</w:t>
            </w:r>
          </w:p>
        </w:tc>
      </w:tr>
      <w:tr w:rsidR="00BD4B09" w:rsidRPr="00BD4B09" w14:paraId="65F64C25" w14:textId="77777777" w:rsidTr="00BD4B09">
        <w:trPr>
          <w:trHeight w:val="490"/>
        </w:trPr>
        <w:tc>
          <w:tcPr>
            <w:tcW w:w="3862" w:type="dxa"/>
            <w:tcBorders>
              <w:top w:val="nil"/>
              <w:left w:val="double" w:sz="6" w:space="0" w:color="auto"/>
              <w:bottom w:val="nil"/>
              <w:right w:val="double" w:sz="6" w:space="0" w:color="auto"/>
            </w:tcBorders>
            <w:shd w:val="clear" w:color="auto" w:fill="auto"/>
            <w:vAlign w:val="center"/>
            <w:hideMark/>
          </w:tcPr>
          <w:p w14:paraId="6265FF46" w14:textId="77777777" w:rsidR="00BD4B09" w:rsidRPr="00BD4B09" w:rsidRDefault="00BD4B09" w:rsidP="00BD4B09">
            <w:pPr>
              <w:bidi/>
              <w:spacing w:after="0" w:line="240" w:lineRule="auto"/>
              <w:jc w:val="both"/>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في رأيك، ما مدى استعداد الهيئة حالياً لمواجهة التهديدات السيبرانية المتقدمة (من وجهة نظرك الشخصية)؟</w:t>
            </w:r>
          </w:p>
        </w:tc>
        <w:tc>
          <w:tcPr>
            <w:tcW w:w="3744" w:type="dxa"/>
            <w:tcBorders>
              <w:top w:val="nil"/>
              <w:left w:val="nil"/>
              <w:bottom w:val="single" w:sz="8" w:space="0" w:color="auto"/>
              <w:right w:val="nil"/>
            </w:tcBorders>
            <w:shd w:val="clear" w:color="auto" w:fill="auto"/>
            <w:vAlign w:val="center"/>
            <w:hideMark/>
          </w:tcPr>
          <w:p w14:paraId="7DFF0DF9" w14:textId="77777777" w:rsidR="00BD4B09" w:rsidRPr="00BD4B09" w:rsidRDefault="00BD4B09" w:rsidP="00BD4B09">
            <w:pPr>
              <w:bidi/>
              <w:spacing w:after="0" w:line="240" w:lineRule="auto"/>
              <w:rPr>
                <w:rFonts w:ascii="Sakkal Majalla" w:eastAsia="Times New Roman" w:hAnsi="Sakkal Majalla" w:cs="Sakkal Majalla"/>
                <w:color w:val="000000"/>
                <w:sz w:val="16"/>
                <w:szCs w:val="16"/>
                <w:rtl/>
              </w:rPr>
            </w:pPr>
            <w:r w:rsidRPr="00BD4B09">
              <w:rPr>
                <w:rFonts w:ascii="Sakkal Majalla" w:eastAsia="Times New Roman" w:hAnsi="Sakkal Majalla" w:cs="Sakkal Majalla" w:hint="cs"/>
                <w:color w:val="000000"/>
                <w:sz w:val="16"/>
                <w:szCs w:val="16"/>
                <w:rtl/>
              </w:rPr>
              <w:t xml:space="preserve"> متوسط</w:t>
            </w:r>
            <w:r w:rsidRPr="00BD4B09">
              <w:rPr>
                <w:rFonts w:ascii="Sakkal Majalla" w:eastAsia="Times New Roman" w:hAnsi="Sakkal Majalla" w:cs="Sakkal Majalla" w:hint="cs"/>
                <w:color w:val="000000"/>
                <w:sz w:val="16"/>
                <w:szCs w:val="16"/>
                <w:rtl/>
              </w:rPr>
              <w:t> </w:t>
            </w:r>
          </w:p>
        </w:tc>
        <w:tc>
          <w:tcPr>
            <w:tcW w:w="707" w:type="dxa"/>
            <w:tcBorders>
              <w:top w:val="nil"/>
              <w:left w:val="nil"/>
              <w:bottom w:val="single" w:sz="8" w:space="0" w:color="auto"/>
              <w:right w:val="nil"/>
            </w:tcBorders>
            <w:shd w:val="clear" w:color="auto" w:fill="auto"/>
            <w:vAlign w:val="center"/>
            <w:hideMark/>
          </w:tcPr>
          <w:p w14:paraId="3CC7F8BA"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16</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5E9DC75E"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31.60%</w:t>
            </w:r>
          </w:p>
        </w:tc>
      </w:tr>
      <w:tr w:rsidR="00BD4B09" w:rsidRPr="00BD4B09" w14:paraId="2E1236CE" w14:textId="77777777" w:rsidTr="00BD4B09">
        <w:trPr>
          <w:trHeight w:val="299"/>
        </w:trPr>
        <w:tc>
          <w:tcPr>
            <w:tcW w:w="3862" w:type="dxa"/>
            <w:tcBorders>
              <w:top w:val="nil"/>
              <w:left w:val="double" w:sz="6" w:space="0" w:color="auto"/>
              <w:bottom w:val="nil"/>
              <w:right w:val="double" w:sz="6" w:space="0" w:color="auto"/>
            </w:tcBorders>
            <w:shd w:val="clear" w:color="auto" w:fill="auto"/>
            <w:vAlign w:val="center"/>
            <w:hideMark/>
          </w:tcPr>
          <w:p w14:paraId="34D40FF8" w14:textId="77777777" w:rsidR="00BD4B09" w:rsidRPr="00BD4B09" w:rsidRDefault="00BD4B09" w:rsidP="00BD4B09">
            <w:pPr>
              <w:spacing w:after="0" w:line="240" w:lineRule="auto"/>
              <w:rPr>
                <w:rFonts w:ascii="Calibri" w:eastAsia="Times New Roman" w:hAnsi="Calibri" w:cs="Calibri"/>
                <w:color w:val="000000"/>
                <w:sz w:val="16"/>
                <w:szCs w:val="16"/>
                <w:rtl/>
              </w:rPr>
            </w:pPr>
            <w:r w:rsidRPr="00BD4B09">
              <w:rPr>
                <w:rFonts w:ascii="Calibri" w:eastAsia="Times New Roman" w:hAnsi="Calibri" w:cs="Calibri"/>
                <w:color w:val="000000"/>
                <w:sz w:val="16"/>
                <w:szCs w:val="16"/>
              </w:rPr>
              <w:t> </w:t>
            </w:r>
          </w:p>
        </w:tc>
        <w:tc>
          <w:tcPr>
            <w:tcW w:w="3744" w:type="dxa"/>
            <w:tcBorders>
              <w:top w:val="nil"/>
              <w:left w:val="nil"/>
              <w:bottom w:val="single" w:sz="8" w:space="0" w:color="auto"/>
              <w:right w:val="nil"/>
            </w:tcBorders>
            <w:shd w:val="clear" w:color="auto" w:fill="auto"/>
            <w:vAlign w:val="center"/>
            <w:hideMark/>
          </w:tcPr>
          <w:p w14:paraId="46755F7B" w14:textId="77777777" w:rsidR="00BD4B09" w:rsidRPr="00BD4B09" w:rsidRDefault="00BD4B09" w:rsidP="00BD4B09">
            <w:pPr>
              <w:bidi/>
              <w:spacing w:after="0" w:line="240" w:lineRule="auto"/>
              <w:rPr>
                <w:rFonts w:ascii="Sakkal Majalla" w:eastAsia="Times New Roman" w:hAnsi="Sakkal Majalla" w:cs="Sakkal Majalla"/>
                <w:color w:val="000000"/>
                <w:sz w:val="16"/>
                <w:szCs w:val="16"/>
              </w:rPr>
            </w:pPr>
            <w:r w:rsidRPr="00BD4B09">
              <w:rPr>
                <w:rFonts w:ascii="Sakkal Majalla" w:eastAsia="Times New Roman" w:hAnsi="Sakkal Majalla" w:cs="Sakkal Majalla"/>
                <w:color w:val="000000"/>
                <w:sz w:val="16"/>
                <w:szCs w:val="16"/>
                <w:rtl/>
              </w:rPr>
              <w:t>جيد</w:t>
            </w:r>
            <w:r w:rsidRPr="00BD4B09">
              <w:rPr>
                <w:rFonts w:ascii="Sakkal Majalla" w:eastAsia="Times New Roman" w:hAnsi="Sakkal Majalla" w:cs="Sakkal Majalla"/>
                <w:color w:val="000000"/>
                <w:sz w:val="16"/>
                <w:szCs w:val="16"/>
                <w:rtl/>
              </w:rPr>
              <w:t> </w:t>
            </w:r>
          </w:p>
        </w:tc>
        <w:tc>
          <w:tcPr>
            <w:tcW w:w="707" w:type="dxa"/>
            <w:tcBorders>
              <w:top w:val="nil"/>
              <w:left w:val="nil"/>
              <w:bottom w:val="single" w:sz="8" w:space="0" w:color="auto"/>
              <w:right w:val="nil"/>
            </w:tcBorders>
            <w:shd w:val="clear" w:color="auto" w:fill="auto"/>
            <w:vAlign w:val="center"/>
            <w:hideMark/>
          </w:tcPr>
          <w:p w14:paraId="1FDCC8FA"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26</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7416E9BF"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52.04%</w:t>
            </w:r>
          </w:p>
        </w:tc>
      </w:tr>
      <w:tr w:rsidR="00BD4B09" w:rsidRPr="00BD4B09" w14:paraId="61671961" w14:textId="77777777" w:rsidTr="00BD4B09">
        <w:trPr>
          <w:trHeight w:val="299"/>
        </w:trPr>
        <w:tc>
          <w:tcPr>
            <w:tcW w:w="3862" w:type="dxa"/>
            <w:tcBorders>
              <w:top w:val="nil"/>
              <w:left w:val="double" w:sz="6" w:space="0" w:color="auto"/>
              <w:bottom w:val="nil"/>
              <w:right w:val="double" w:sz="6" w:space="0" w:color="auto"/>
            </w:tcBorders>
            <w:shd w:val="clear" w:color="auto" w:fill="auto"/>
            <w:vAlign w:val="center"/>
            <w:hideMark/>
          </w:tcPr>
          <w:p w14:paraId="0BCD3E67" w14:textId="77777777" w:rsidR="00BD4B09" w:rsidRPr="00BD4B09" w:rsidRDefault="00BD4B09" w:rsidP="00BD4B09">
            <w:pPr>
              <w:spacing w:after="0" w:line="240" w:lineRule="auto"/>
              <w:rPr>
                <w:rFonts w:ascii="Calibri" w:eastAsia="Times New Roman" w:hAnsi="Calibri" w:cs="Calibri"/>
                <w:color w:val="000000"/>
                <w:sz w:val="16"/>
                <w:szCs w:val="16"/>
                <w:rtl/>
              </w:rPr>
            </w:pPr>
            <w:r w:rsidRPr="00BD4B09">
              <w:rPr>
                <w:rFonts w:ascii="Calibri" w:eastAsia="Times New Roman" w:hAnsi="Calibri" w:cs="Calibri"/>
                <w:color w:val="000000"/>
                <w:sz w:val="16"/>
                <w:szCs w:val="16"/>
              </w:rPr>
              <w:t> </w:t>
            </w:r>
          </w:p>
        </w:tc>
        <w:tc>
          <w:tcPr>
            <w:tcW w:w="3744" w:type="dxa"/>
            <w:tcBorders>
              <w:top w:val="nil"/>
              <w:left w:val="nil"/>
              <w:bottom w:val="single" w:sz="8" w:space="0" w:color="auto"/>
              <w:right w:val="nil"/>
            </w:tcBorders>
            <w:shd w:val="clear" w:color="auto" w:fill="auto"/>
            <w:vAlign w:val="center"/>
            <w:hideMark/>
          </w:tcPr>
          <w:p w14:paraId="5BDFA66B" w14:textId="77777777" w:rsidR="00BD4B09" w:rsidRPr="00BD4B09" w:rsidRDefault="00BD4B09" w:rsidP="00BD4B09">
            <w:pPr>
              <w:bidi/>
              <w:spacing w:after="0" w:line="240" w:lineRule="auto"/>
              <w:rPr>
                <w:rFonts w:ascii="Sakkal Majalla" w:eastAsia="Times New Roman" w:hAnsi="Sakkal Majalla" w:cs="Sakkal Majalla"/>
                <w:color w:val="000000"/>
                <w:sz w:val="16"/>
                <w:szCs w:val="16"/>
              </w:rPr>
            </w:pPr>
            <w:r w:rsidRPr="00BD4B09">
              <w:rPr>
                <w:rFonts w:ascii="Sakkal Majalla" w:eastAsia="Times New Roman" w:hAnsi="Sakkal Majalla" w:cs="Sakkal Majalla" w:hint="cs"/>
                <w:color w:val="000000"/>
                <w:sz w:val="16"/>
                <w:szCs w:val="16"/>
                <w:rtl/>
              </w:rPr>
              <w:t>حيد جداً</w:t>
            </w:r>
          </w:p>
        </w:tc>
        <w:tc>
          <w:tcPr>
            <w:tcW w:w="707" w:type="dxa"/>
            <w:tcBorders>
              <w:top w:val="nil"/>
              <w:left w:val="nil"/>
              <w:bottom w:val="single" w:sz="8" w:space="0" w:color="auto"/>
              <w:right w:val="nil"/>
            </w:tcBorders>
            <w:shd w:val="clear" w:color="auto" w:fill="auto"/>
            <w:vAlign w:val="center"/>
            <w:hideMark/>
          </w:tcPr>
          <w:p w14:paraId="2E004F22"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2</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5CE89348"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4.46%</w:t>
            </w:r>
          </w:p>
        </w:tc>
      </w:tr>
      <w:tr w:rsidR="00BD4B09" w:rsidRPr="00BD4B09" w14:paraId="3AD8951E" w14:textId="77777777" w:rsidTr="00BD4B09">
        <w:trPr>
          <w:trHeight w:val="299"/>
        </w:trPr>
        <w:tc>
          <w:tcPr>
            <w:tcW w:w="3862" w:type="dxa"/>
            <w:tcBorders>
              <w:top w:val="nil"/>
              <w:left w:val="double" w:sz="6" w:space="0" w:color="auto"/>
              <w:bottom w:val="single" w:sz="8" w:space="0" w:color="000000"/>
              <w:right w:val="double" w:sz="6" w:space="0" w:color="auto"/>
            </w:tcBorders>
            <w:shd w:val="clear" w:color="auto" w:fill="auto"/>
            <w:vAlign w:val="center"/>
            <w:hideMark/>
          </w:tcPr>
          <w:p w14:paraId="4B45917A" w14:textId="77777777" w:rsidR="00BD4B09" w:rsidRPr="00BD4B09" w:rsidRDefault="00BD4B09" w:rsidP="00BD4B09">
            <w:pPr>
              <w:spacing w:after="0" w:line="240" w:lineRule="auto"/>
              <w:rPr>
                <w:rFonts w:ascii="Calibri" w:eastAsia="Times New Roman" w:hAnsi="Calibri" w:cs="Calibri"/>
                <w:color w:val="000000"/>
                <w:sz w:val="16"/>
                <w:szCs w:val="16"/>
                <w:rtl/>
              </w:rPr>
            </w:pPr>
            <w:r w:rsidRPr="00BD4B09">
              <w:rPr>
                <w:rFonts w:ascii="Calibri" w:eastAsia="Times New Roman" w:hAnsi="Calibri" w:cs="Calibri"/>
                <w:color w:val="000000"/>
                <w:sz w:val="16"/>
                <w:szCs w:val="16"/>
              </w:rPr>
              <w:t> </w:t>
            </w:r>
          </w:p>
        </w:tc>
        <w:tc>
          <w:tcPr>
            <w:tcW w:w="3744" w:type="dxa"/>
            <w:tcBorders>
              <w:top w:val="nil"/>
              <w:left w:val="nil"/>
              <w:bottom w:val="single" w:sz="8" w:space="0" w:color="auto"/>
              <w:right w:val="nil"/>
            </w:tcBorders>
            <w:shd w:val="clear" w:color="auto" w:fill="auto"/>
            <w:vAlign w:val="center"/>
            <w:hideMark/>
          </w:tcPr>
          <w:p w14:paraId="46EADD19" w14:textId="77777777" w:rsidR="00BD4B09" w:rsidRPr="00BD4B09" w:rsidRDefault="00BD4B09" w:rsidP="00BD4B09">
            <w:pPr>
              <w:bidi/>
              <w:spacing w:after="0" w:line="240" w:lineRule="auto"/>
              <w:rPr>
                <w:rFonts w:ascii="Sakkal Majalla" w:eastAsia="Times New Roman" w:hAnsi="Sakkal Majalla" w:cs="Sakkal Majalla"/>
                <w:color w:val="000000"/>
                <w:sz w:val="16"/>
                <w:szCs w:val="16"/>
              </w:rPr>
            </w:pPr>
            <w:r w:rsidRPr="00BD4B09">
              <w:rPr>
                <w:rFonts w:ascii="Sakkal Majalla" w:eastAsia="Times New Roman" w:hAnsi="Sakkal Majalla" w:cs="Sakkal Majalla"/>
                <w:color w:val="000000"/>
                <w:sz w:val="16"/>
                <w:szCs w:val="16"/>
                <w:rtl/>
              </w:rPr>
              <w:t xml:space="preserve"> ممتاز</w:t>
            </w:r>
          </w:p>
        </w:tc>
        <w:tc>
          <w:tcPr>
            <w:tcW w:w="707" w:type="dxa"/>
            <w:tcBorders>
              <w:top w:val="nil"/>
              <w:left w:val="nil"/>
              <w:bottom w:val="single" w:sz="8" w:space="0" w:color="auto"/>
              <w:right w:val="nil"/>
            </w:tcBorders>
            <w:shd w:val="clear" w:color="auto" w:fill="auto"/>
            <w:vAlign w:val="center"/>
            <w:hideMark/>
          </w:tcPr>
          <w:p w14:paraId="3B30D183"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5</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5AE268BA"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10.78%</w:t>
            </w:r>
          </w:p>
        </w:tc>
      </w:tr>
      <w:tr w:rsidR="00BD4B09" w:rsidRPr="00BD4B09" w14:paraId="56419B9B" w14:textId="77777777" w:rsidTr="00BD4B09">
        <w:trPr>
          <w:trHeight w:val="299"/>
        </w:trPr>
        <w:tc>
          <w:tcPr>
            <w:tcW w:w="3862" w:type="dxa"/>
            <w:tcBorders>
              <w:top w:val="nil"/>
              <w:left w:val="double" w:sz="6" w:space="0" w:color="auto"/>
              <w:bottom w:val="double" w:sz="6" w:space="0" w:color="auto"/>
              <w:right w:val="double" w:sz="6" w:space="0" w:color="auto"/>
            </w:tcBorders>
            <w:shd w:val="clear" w:color="auto" w:fill="auto"/>
            <w:vAlign w:val="center"/>
            <w:hideMark/>
          </w:tcPr>
          <w:p w14:paraId="21DD68CE" w14:textId="77777777" w:rsidR="00BD4B09" w:rsidRPr="00BD4B09" w:rsidRDefault="00BD4B09" w:rsidP="00BD4B09">
            <w:pPr>
              <w:bidi/>
              <w:spacing w:after="0" w:line="240" w:lineRule="auto"/>
              <w:jc w:val="center"/>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 </w:t>
            </w:r>
          </w:p>
        </w:tc>
        <w:tc>
          <w:tcPr>
            <w:tcW w:w="3744" w:type="dxa"/>
            <w:tcBorders>
              <w:top w:val="nil"/>
              <w:left w:val="nil"/>
              <w:bottom w:val="double" w:sz="6" w:space="0" w:color="auto"/>
              <w:right w:val="nil"/>
            </w:tcBorders>
            <w:shd w:val="clear" w:color="000000" w:fill="BFBFBF"/>
            <w:vAlign w:val="center"/>
            <w:hideMark/>
          </w:tcPr>
          <w:p w14:paraId="460A768F" w14:textId="77777777" w:rsidR="00BD4B09" w:rsidRPr="00BD4B09" w:rsidRDefault="00BD4B09" w:rsidP="00BD4B09">
            <w:pPr>
              <w:bidi/>
              <w:spacing w:after="0" w:line="240" w:lineRule="auto"/>
              <w:jc w:val="center"/>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الإجمالى</w:t>
            </w:r>
          </w:p>
        </w:tc>
        <w:tc>
          <w:tcPr>
            <w:tcW w:w="707" w:type="dxa"/>
            <w:tcBorders>
              <w:top w:val="nil"/>
              <w:left w:val="nil"/>
              <w:bottom w:val="single" w:sz="8" w:space="0" w:color="auto"/>
              <w:right w:val="nil"/>
            </w:tcBorders>
            <w:shd w:val="clear" w:color="000000" w:fill="BFBFBF"/>
            <w:vAlign w:val="center"/>
            <w:hideMark/>
          </w:tcPr>
          <w:p w14:paraId="1A732FFB" w14:textId="77777777" w:rsidR="00BD4B09" w:rsidRPr="00BD4B09" w:rsidRDefault="00BD4B09" w:rsidP="00BD4B09">
            <w:pPr>
              <w:bidi/>
              <w:spacing w:after="0" w:line="240" w:lineRule="auto"/>
              <w:rPr>
                <w:rFonts w:ascii="Arial" w:eastAsia="Times New Roman" w:hAnsi="Arial" w:cs="Arial"/>
                <w:b/>
                <w:bCs/>
                <w:color w:val="000000"/>
                <w:sz w:val="16"/>
                <w:szCs w:val="16"/>
                <w:rtl/>
              </w:rPr>
            </w:pPr>
            <w:r w:rsidRPr="00BD4B09">
              <w:rPr>
                <w:rFonts w:ascii="Arial" w:eastAsia="Times New Roman" w:hAnsi="Arial" w:cs="Arial"/>
                <w:b/>
                <w:bCs/>
                <w:color w:val="000000"/>
                <w:sz w:val="16"/>
                <w:szCs w:val="16"/>
                <w:rtl/>
              </w:rPr>
              <w:t>50</w:t>
            </w:r>
          </w:p>
        </w:tc>
        <w:tc>
          <w:tcPr>
            <w:tcW w:w="707" w:type="dxa"/>
            <w:tcBorders>
              <w:top w:val="nil"/>
              <w:left w:val="double" w:sz="6" w:space="0" w:color="auto"/>
              <w:bottom w:val="single" w:sz="8" w:space="0" w:color="auto"/>
              <w:right w:val="double" w:sz="6" w:space="0" w:color="auto"/>
            </w:tcBorders>
            <w:shd w:val="clear" w:color="000000" w:fill="BFBFBF"/>
            <w:vAlign w:val="center"/>
            <w:hideMark/>
          </w:tcPr>
          <w:p w14:paraId="50047677" w14:textId="77777777" w:rsidR="00BD4B09" w:rsidRPr="00BD4B09" w:rsidRDefault="00BD4B09" w:rsidP="00BD4B09">
            <w:pPr>
              <w:bidi/>
              <w:spacing w:after="0" w:line="240" w:lineRule="auto"/>
              <w:jc w:val="center"/>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100%</w:t>
            </w:r>
          </w:p>
        </w:tc>
      </w:tr>
      <w:tr w:rsidR="00BD4B09" w:rsidRPr="00BD4B09" w14:paraId="2D5F7A85" w14:textId="77777777" w:rsidTr="00BD4B09">
        <w:trPr>
          <w:trHeight w:val="311"/>
        </w:trPr>
        <w:tc>
          <w:tcPr>
            <w:tcW w:w="3862" w:type="dxa"/>
            <w:tcBorders>
              <w:top w:val="nil"/>
              <w:left w:val="double" w:sz="6" w:space="0" w:color="auto"/>
              <w:bottom w:val="nil"/>
              <w:right w:val="double" w:sz="6" w:space="0" w:color="auto"/>
            </w:tcBorders>
            <w:shd w:val="clear" w:color="auto" w:fill="auto"/>
            <w:vAlign w:val="center"/>
            <w:hideMark/>
          </w:tcPr>
          <w:p w14:paraId="2DFB6420" w14:textId="77777777" w:rsidR="00BD4B09" w:rsidRPr="00BD4B09" w:rsidRDefault="00BD4B09" w:rsidP="00BD4B09">
            <w:pPr>
              <w:bidi/>
              <w:spacing w:after="0" w:line="240" w:lineRule="auto"/>
              <w:jc w:val="both"/>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السؤل السابع:</w:t>
            </w:r>
          </w:p>
        </w:tc>
        <w:tc>
          <w:tcPr>
            <w:tcW w:w="3744" w:type="dxa"/>
            <w:tcBorders>
              <w:top w:val="nil"/>
              <w:left w:val="nil"/>
              <w:bottom w:val="single" w:sz="8" w:space="0" w:color="auto"/>
              <w:right w:val="nil"/>
            </w:tcBorders>
            <w:shd w:val="clear" w:color="auto" w:fill="auto"/>
            <w:vAlign w:val="center"/>
            <w:hideMark/>
          </w:tcPr>
          <w:p w14:paraId="203CD8CC" w14:textId="77777777" w:rsidR="00BD4B09" w:rsidRPr="00BD4B09" w:rsidRDefault="00BD4B09" w:rsidP="00BD4B09">
            <w:pPr>
              <w:bidi/>
              <w:spacing w:after="0" w:line="240" w:lineRule="auto"/>
              <w:rPr>
                <w:rFonts w:ascii="Sakkal Majalla" w:eastAsia="Times New Roman" w:hAnsi="Sakkal Majalla" w:cs="Sakkal Majalla"/>
                <w:color w:val="000000"/>
                <w:sz w:val="16"/>
                <w:szCs w:val="16"/>
                <w:rtl/>
              </w:rPr>
            </w:pPr>
            <w:r w:rsidRPr="00BD4B09">
              <w:rPr>
                <w:rFonts w:ascii="Sakkal Majalla" w:eastAsia="Times New Roman" w:hAnsi="Sakkal Majalla" w:cs="Sakkal Majalla" w:hint="cs"/>
                <w:color w:val="000000"/>
                <w:sz w:val="16"/>
                <w:szCs w:val="16"/>
                <w:rtl/>
              </w:rPr>
              <w:t>مرتفع جدًا أكثر من 5 ساعات</w:t>
            </w:r>
          </w:p>
        </w:tc>
        <w:tc>
          <w:tcPr>
            <w:tcW w:w="707" w:type="dxa"/>
            <w:tcBorders>
              <w:top w:val="nil"/>
              <w:left w:val="nil"/>
              <w:bottom w:val="single" w:sz="8" w:space="0" w:color="auto"/>
              <w:right w:val="nil"/>
            </w:tcBorders>
            <w:shd w:val="clear" w:color="auto" w:fill="auto"/>
            <w:vAlign w:val="center"/>
            <w:hideMark/>
          </w:tcPr>
          <w:p w14:paraId="5955D44A"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0</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4CBDEDFA"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0.00%</w:t>
            </w:r>
          </w:p>
        </w:tc>
      </w:tr>
      <w:tr w:rsidR="00BD4B09" w:rsidRPr="00BD4B09" w14:paraId="4C0A9048" w14:textId="77777777" w:rsidTr="00BD4B09">
        <w:trPr>
          <w:trHeight w:val="490"/>
        </w:trPr>
        <w:tc>
          <w:tcPr>
            <w:tcW w:w="3862" w:type="dxa"/>
            <w:tcBorders>
              <w:top w:val="nil"/>
              <w:left w:val="double" w:sz="6" w:space="0" w:color="auto"/>
              <w:bottom w:val="nil"/>
              <w:right w:val="double" w:sz="6" w:space="0" w:color="auto"/>
            </w:tcBorders>
            <w:shd w:val="clear" w:color="auto" w:fill="auto"/>
            <w:vAlign w:val="center"/>
            <w:hideMark/>
          </w:tcPr>
          <w:p w14:paraId="42EC0CF8" w14:textId="77777777" w:rsidR="00BD4B09" w:rsidRPr="00BD4B09" w:rsidRDefault="00BD4B09" w:rsidP="00BD4B09">
            <w:pPr>
              <w:bidi/>
              <w:spacing w:after="0" w:line="240" w:lineRule="auto"/>
              <w:jc w:val="both"/>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كم ساعة تقريباً تقضيها يومياً في العمل على أجهزة/أنظمة رقمية تابعة للهيئة (بما في ذلك البريد الإلكتروني، المنصات، التقارير)؟</w:t>
            </w:r>
          </w:p>
        </w:tc>
        <w:tc>
          <w:tcPr>
            <w:tcW w:w="3744" w:type="dxa"/>
            <w:tcBorders>
              <w:top w:val="nil"/>
              <w:left w:val="nil"/>
              <w:bottom w:val="single" w:sz="8" w:space="0" w:color="auto"/>
              <w:right w:val="nil"/>
            </w:tcBorders>
            <w:shd w:val="clear" w:color="auto" w:fill="auto"/>
            <w:vAlign w:val="center"/>
            <w:hideMark/>
          </w:tcPr>
          <w:p w14:paraId="74BA58F6" w14:textId="77777777" w:rsidR="00BD4B09" w:rsidRPr="00BD4B09" w:rsidRDefault="00BD4B09" w:rsidP="00BD4B09">
            <w:pPr>
              <w:bidi/>
              <w:spacing w:after="0" w:line="240" w:lineRule="auto"/>
              <w:rPr>
                <w:rFonts w:ascii="Sakkal Majalla" w:eastAsia="Times New Roman" w:hAnsi="Sakkal Majalla" w:cs="Sakkal Majalla"/>
                <w:color w:val="000000"/>
                <w:sz w:val="16"/>
                <w:szCs w:val="16"/>
                <w:rtl/>
              </w:rPr>
            </w:pPr>
            <w:r w:rsidRPr="00BD4B09">
              <w:rPr>
                <w:rFonts w:ascii="Sakkal Majalla" w:eastAsia="Times New Roman" w:hAnsi="Sakkal Majalla" w:cs="Sakkal Majalla" w:hint="cs"/>
                <w:color w:val="000000"/>
                <w:sz w:val="16"/>
                <w:szCs w:val="16"/>
                <w:rtl/>
              </w:rPr>
              <w:t>مرتفع 5:6 سااعات</w:t>
            </w:r>
          </w:p>
        </w:tc>
        <w:tc>
          <w:tcPr>
            <w:tcW w:w="707" w:type="dxa"/>
            <w:tcBorders>
              <w:top w:val="nil"/>
              <w:left w:val="nil"/>
              <w:bottom w:val="single" w:sz="8" w:space="0" w:color="auto"/>
              <w:right w:val="nil"/>
            </w:tcBorders>
            <w:shd w:val="clear" w:color="auto" w:fill="auto"/>
            <w:vAlign w:val="center"/>
            <w:hideMark/>
          </w:tcPr>
          <w:p w14:paraId="2BF3D186"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1</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43B9DAC5"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1.49%</w:t>
            </w:r>
          </w:p>
        </w:tc>
      </w:tr>
      <w:tr w:rsidR="00BD4B09" w:rsidRPr="00BD4B09" w14:paraId="049F06B1" w14:textId="77777777" w:rsidTr="00BD4B09">
        <w:trPr>
          <w:trHeight w:val="299"/>
        </w:trPr>
        <w:tc>
          <w:tcPr>
            <w:tcW w:w="3862" w:type="dxa"/>
            <w:tcBorders>
              <w:top w:val="nil"/>
              <w:left w:val="double" w:sz="6" w:space="0" w:color="auto"/>
              <w:bottom w:val="nil"/>
              <w:right w:val="double" w:sz="6" w:space="0" w:color="auto"/>
            </w:tcBorders>
            <w:shd w:val="clear" w:color="auto" w:fill="auto"/>
            <w:vAlign w:val="center"/>
            <w:hideMark/>
          </w:tcPr>
          <w:p w14:paraId="4C4DF664" w14:textId="77777777" w:rsidR="00BD4B09" w:rsidRPr="00BD4B09" w:rsidRDefault="00BD4B09" w:rsidP="00BD4B09">
            <w:pPr>
              <w:spacing w:after="0" w:line="240" w:lineRule="auto"/>
              <w:rPr>
                <w:rFonts w:ascii="Calibri" w:eastAsia="Times New Roman" w:hAnsi="Calibri" w:cs="Calibri"/>
                <w:color w:val="000000"/>
                <w:sz w:val="16"/>
                <w:szCs w:val="16"/>
                <w:rtl/>
              </w:rPr>
            </w:pPr>
            <w:r w:rsidRPr="00BD4B09">
              <w:rPr>
                <w:rFonts w:ascii="Calibri" w:eastAsia="Times New Roman" w:hAnsi="Calibri" w:cs="Calibri"/>
                <w:color w:val="000000"/>
                <w:sz w:val="16"/>
                <w:szCs w:val="16"/>
              </w:rPr>
              <w:t> </w:t>
            </w:r>
          </w:p>
        </w:tc>
        <w:tc>
          <w:tcPr>
            <w:tcW w:w="3744" w:type="dxa"/>
            <w:tcBorders>
              <w:top w:val="nil"/>
              <w:left w:val="nil"/>
              <w:bottom w:val="single" w:sz="8" w:space="0" w:color="auto"/>
              <w:right w:val="nil"/>
            </w:tcBorders>
            <w:shd w:val="clear" w:color="auto" w:fill="auto"/>
            <w:vAlign w:val="center"/>
            <w:hideMark/>
          </w:tcPr>
          <w:p w14:paraId="65F24B2B" w14:textId="77777777" w:rsidR="00BD4B09" w:rsidRPr="00BD4B09" w:rsidRDefault="00BD4B09" w:rsidP="00BD4B09">
            <w:pPr>
              <w:bidi/>
              <w:spacing w:after="0" w:line="240" w:lineRule="auto"/>
              <w:rPr>
                <w:rFonts w:ascii="Sakkal Majalla" w:eastAsia="Times New Roman" w:hAnsi="Sakkal Majalla" w:cs="Sakkal Majalla"/>
                <w:color w:val="000000"/>
                <w:sz w:val="16"/>
                <w:szCs w:val="16"/>
              </w:rPr>
            </w:pPr>
            <w:r w:rsidRPr="00BD4B09">
              <w:rPr>
                <w:rFonts w:ascii="Sakkal Majalla" w:eastAsia="Times New Roman" w:hAnsi="Sakkal Majalla" w:cs="Sakkal Majalla" w:hint="cs"/>
                <w:color w:val="000000"/>
                <w:sz w:val="16"/>
                <w:szCs w:val="16"/>
                <w:rtl/>
              </w:rPr>
              <w:t>متوسط 4:3 ساعات</w:t>
            </w:r>
          </w:p>
        </w:tc>
        <w:tc>
          <w:tcPr>
            <w:tcW w:w="707" w:type="dxa"/>
            <w:tcBorders>
              <w:top w:val="nil"/>
              <w:left w:val="nil"/>
              <w:bottom w:val="single" w:sz="8" w:space="0" w:color="auto"/>
              <w:right w:val="nil"/>
            </w:tcBorders>
            <w:shd w:val="clear" w:color="auto" w:fill="auto"/>
            <w:vAlign w:val="center"/>
            <w:hideMark/>
          </w:tcPr>
          <w:p w14:paraId="1B3A9F98"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0</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33093E12"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0.74%</w:t>
            </w:r>
          </w:p>
        </w:tc>
      </w:tr>
      <w:tr w:rsidR="00BD4B09" w:rsidRPr="00BD4B09" w14:paraId="76BC6F66" w14:textId="77777777" w:rsidTr="00BD4B09">
        <w:trPr>
          <w:trHeight w:val="299"/>
        </w:trPr>
        <w:tc>
          <w:tcPr>
            <w:tcW w:w="3862" w:type="dxa"/>
            <w:tcBorders>
              <w:top w:val="nil"/>
              <w:left w:val="double" w:sz="6" w:space="0" w:color="auto"/>
              <w:bottom w:val="nil"/>
              <w:right w:val="double" w:sz="6" w:space="0" w:color="auto"/>
            </w:tcBorders>
            <w:shd w:val="clear" w:color="auto" w:fill="auto"/>
            <w:vAlign w:val="center"/>
            <w:hideMark/>
          </w:tcPr>
          <w:p w14:paraId="63D07915" w14:textId="77777777" w:rsidR="00BD4B09" w:rsidRPr="00BD4B09" w:rsidRDefault="00BD4B09" w:rsidP="00BD4B09">
            <w:pPr>
              <w:spacing w:after="0" w:line="240" w:lineRule="auto"/>
              <w:rPr>
                <w:rFonts w:ascii="Calibri" w:eastAsia="Times New Roman" w:hAnsi="Calibri" w:cs="Calibri"/>
                <w:color w:val="000000"/>
                <w:sz w:val="16"/>
                <w:szCs w:val="16"/>
                <w:rtl/>
              </w:rPr>
            </w:pPr>
            <w:r w:rsidRPr="00BD4B09">
              <w:rPr>
                <w:rFonts w:ascii="Calibri" w:eastAsia="Times New Roman" w:hAnsi="Calibri" w:cs="Calibri"/>
                <w:color w:val="000000"/>
                <w:sz w:val="16"/>
                <w:szCs w:val="16"/>
              </w:rPr>
              <w:t> </w:t>
            </w:r>
          </w:p>
        </w:tc>
        <w:tc>
          <w:tcPr>
            <w:tcW w:w="3744" w:type="dxa"/>
            <w:tcBorders>
              <w:top w:val="nil"/>
              <w:left w:val="nil"/>
              <w:bottom w:val="single" w:sz="8" w:space="0" w:color="auto"/>
              <w:right w:val="nil"/>
            </w:tcBorders>
            <w:shd w:val="clear" w:color="auto" w:fill="auto"/>
            <w:vAlign w:val="center"/>
            <w:hideMark/>
          </w:tcPr>
          <w:p w14:paraId="4FC21117" w14:textId="77777777" w:rsidR="00BD4B09" w:rsidRPr="00BD4B09" w:rsidRDefault="00BD4B09" w:rsidP="00BD4B09">
            <w:pPr>
              <w:bidi/>
              <w:spacing w:after="0" w:line="240" w:lineRule="auto"/>
              <w:rPr>
                <w:rFonts w:ascii="Sakkal Majalla" w:eastAsia="Times New Roman" w:hAnsi="Sakkal Majalla" w:cs="Sakkal Majalla"/>
                <w:color w:val="000000"/>
                <w:sz w:val="16"/>
                <w:szCs w:val="16"/>
              </w:rPr>
            </w:pPr>
            <w:r w:rsidRPr="00BD4B09">
              <w:rPr>
                <w:rFonts w:ascii="Sakkal Majalla" w:eastAsia="Times New Roman" w:hAnsi="Sakkal Majalla" w:cs="Sakkal Majalla" w:hint="cs"/>
                <w:color w:val="000000"/>
                <w:sz w:val="16"/>
                <w:szCs w:val="16"/>
                <w:rtl/>
              </w:rPr>
              <w:t>منخفض 1:2  ساعات</w:t>
            </w:r>
          </w:p>
        </w:tc>
        <w:tc>
          <w:tcPr>
            <w:tcW w:w="707" w:type="dxa"/>
            <w:tcBorders>
              <w:top w:val="nil"/>
              <w:left w:val="nil"/>
              <w:bottom w:val="single" w:sz="8" w:space="0" w:color="auto"/>
              <w:right w:val="nil"/>
            </w:tcBorders>
            <w:shd w:val="clear" w:color="auto" w:fill="auto"/>
            <w:vAlign w:val="center"/>
            <w:hideMark/>
          </w:tcPr>
          <w:p w14:paraId="63167FDC"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35</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71341953"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70.63%</w:t>
            </w:r>
          </w:p>
        </w:tc>
      </w:tr>
      <w:tr w:rsidR="00BD4B09" w:rsidRPr="00BD4B09" w14:paraId="2E2FA99B" w14:textId="77777777" w:rsidTr="00BD4B09">
        <w:trPr>
          <w:trHeight w:val="299"/>
        </w:trPr>
        <w:tc>
          <w:tcPr>
            <w:tcW w:w="3862" w:type="dxa"/>
            <w:tcBorders>
              <w:top w:val="nil"/>
              <w:left w:val="double" w:sz="6" w:space="0" w:color="auto"/>
              <w:bottom w:val="nil"/>
              <w:right w:val="double" w:sz="6" w:space="0" w:color="auto"/>
            </w:tcBorders>
            <w:shd w:val="clear" w:color="auto" w:fill="auto"/>
            <w:vAlign w:val="center"/>
            <w:hideMark/>
          </w:tcPr>
          <w:p w14:paraId="360A8BC6" w14:textId="77777777" w:rsidR="00BD4B09" w:rsidRPr="00BD4B09" w:rsidRDefault="00BD4B09" w:rsidP="00BD4B09">
            <w:pPr>
              <w:spacing w:after="0" w:line="240" w:lineRule="auto"/>
              <w:rPr>
                <w:rFonts w:ascii="Calibri" w:eastAsia="Times New Roman" w:hAnsi="Calibri" w:cs="Calibri"/>
                <w:color w:val="000000"/>
                <w:sz w:val="16"/>
                <w:szCs w:val="16"/>
                <w:rtl/>
              </w:rPr>
            </w:pPr>
            <w:r w:rsidRPr="00BD4B09">
              <w:rPr>
                <w:rFonts w:ascii="Calibri" w:eastAsia="Times New Roman" w:hAnsi="Calibri" w:cs="Calibri"/>
                <w:color w:val="000000"/>
                <w:sz w:val="16"/>
                <w:szCs w:val="16"/>
              </w:rPr>
              <w:t> </w:t>
            </w:r>
          </w:p>
        </w:tc>
        <w:tc>
          <w:tcPr>
            <w:tcW w:w="3744" w:type="dxa"/>
            <w:tcBorders>
              <w:top w:val="nil"/>
              <w:left w:val="nil"/>
              <w:bottom w:val="single" w:sz="8" w:space="0" w:color="auto"/>
              <w:right w:val="nil"/>
            </w:tcBorders>
            <w:shd w:val="clear" w:color="auto" w:fill="auto"/>
            <w:vAlign w:val="center"/>
            <w:hideMark/>
          </w:tcPr>
          <w:p w14:paraId="4DA0FE2D" w14:textId="77777777" w:rsidR="00BD4B09" w:rsidRPr="00BD4B09" w:rsidRDefault="00BD4B09" w:rsidP="00BD4B09">
            <w:pPr>
              <w:bidi/>
              <w:spacing w:after="0" w:line="240" w:lineRule="auto"/>
              <w:rPr>
                <w:rFonts w:ascii="Sakkal Majalla" w:eastAsia="Times New Roman" w:hAnsi="Sakkal Majalla" w:cs="Sakkal Majalla"/>
                <w:color w:val="000000"/>
                <w:sz w:val="16"/>
                <w:szCs w:val="16"/>
              </w:rPr>
            </w:pPr>
            <w:r w:rsidRPr="00BD4B09">
              <w:rPr>
                <w:rFonts w:ascii="Sakkal Majalla" w:eastAsia="Times New Roman" w:hAnsi="Sakkal Majalla" w:cs="Sakkal Majalla" w:hint="cs"/>
                <w:color w:val="000000"/>
                <w:sz w:val="16"/>
                <w:szCs w:val="16"/>
                <w:rtl/>
              </w:rPr>
              <w:t>لا أستخدمها</w:t>
            </w:r>
          </w:p>
        </w:tc>
        <w:tc>
          <w:tcPr>
            <w:tcW w:w="707" w:type="dxa"/>
            <w:tcBorders>
              <w:top w:val="nil"/>
              <w:left w:val="nil"/>
              <w:bottom w:val="single" w:sz="8" w:space="0" w:color="auto"/>
              <w:right w:val="nil"/>
            </w:tcBorders>
            <w:shd w:val="clear" w:color="auto" w:fill="auto"/>
            <w:vAlign w:val="center"/>
            <w:hideMark/>
          </w:tcPr>
          <w:p w14:paraId="3443D69F"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14</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298D562C"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27.14%</w:t>
            </w:r>
          </w:p>
        </w:tc>
      </w:tr>
      <w:tr w:rsidR="00BD4B09" w:rsidRPr="00BD4B09" w14:paraId="1C6FD1E5" w14:textId="77777777" w:rsidTr="00BD4B09">
        <w:trPr>
          <w:trHeight w:val="299"/>
        </w:trPr>
        <w:tc>
          <w:tcPr>
            <w:tcW w:w="3862" w:type="dxa"/>
            <w:tcBorders>
              <w:top w:val="nil"/>
              <w:left w:val="double" w:sz="6" w:space="0" w:color="auto"/>
              <w:bottom w:val="double" w:sz="6" w:space="0" w:color="auto"/>
              <w:right w:val="double" w:sz="6" w:space="0" w:color="auto"/>
            </w:tcBorders>
            <w:shd w:val="clear" w:color="auto" w:fill="auto"/>
            <w:vAlign w:val="center"/>
            <w:hideMark/>
          </w:tcPr>
          <w:p w14:paraId="758A6E0E" w14:textId="77777777" w:rsidR="00BD4B09" w:rsidRPr="00BD4B09" w:rsidRDefault="00BD4B09" w:rsidP="00BD4B09">
            <w:pPr>
              <w:spacing w:after="0" w:line="240" w:lineRule="auto"/>
              <w:rPr>
                <w:rFonts w:ascii="Calibri" w:eastAsia="Times New Roman" w:hAnsi="Calibri" w:cs="Calibri"/>
                <w:color w:val="000000"/>
                <w:sz w:val="16"/>
                <w:szCs w:val="16"/>
                <w:rtl/>
              </w:rPr>
            </w:pPr>
            <w:r w:rsidRPr="00BD4B09">
              <w:rPr>
                <w:rFonts w:ascii="Calibri" w:eastAsia="Times New Roman" w:hAnsi="Calibri" w:cs="Calibri"/>
                <w:color w:val="000000"/>
                <w:sz w:val="16"/>
                <w:szCs w:val="16"/>
              </w:rPr>
              <w:t> </w:t>
            </w:r>
          </w:p>
        </w:tc>
        <w:tc>
          <w:tcPr>
            <w:tcW w:w="3744" w:type="dxa"/>
            <w:tcBorders>
              <w:top w:val="nil"/>
              <w:left w:val="nil"/>
              <w:bottom w:val="double" w:sz="6" w:space="0" w:color="auto"/>
              <w:right w:val="nil"/>
            </w:tcBorders>
            <w:shd w:val="clear" w:color="000000" w:fill="BFBFBF"/>
            <w:vAlign w:val="center"/>
            <w:hideMark/>
          </w:tcPr>
          <w:p w14:paraId="5AAD0B9E" w14:textId="77777777" w:rsidR="00BD4B09" w:rsidRPr="00BD4B09" w:rsidRDefault="00BD4B09" w:rsidP="00BD4B09">
            <w:pPr>
              <w:bidi/>
              <w:spacing w:after="0" w:line="240" w:lineRule="auto"/>
              <w:jc w:val="center"/>
              <w:rPr>
                <w:rFonts w:ascii="Arial" w:eastAsia="Times New Roman" w:hAnsi="Arial" w:cs="Arial"/>
                <w:b/>
                <w:bCs/>
                <w:color w:val="000000"/>
                <w:sz w:val="16"/>
                <w:szCs w:val="16"/>
              </w:rPr>
            </w:pPr>
            <w:r w:rsidRPr="00BD4B09">
              <w:rPr>
                <w:rFonts w:ascii="Arial" w:eastAsia="Times New Roman" w:hAnsi="Arial" w:cs="Arial" w:hint="cs"/>
                <w:b/>
                <w:bCs/>
                <w:color w:val="000000"/>
                <w:sz w:val="16"/>
                <w:szCs w:val="16"/>
                <w:rtl/>
              </w:rPr>
              <w:t>الإجمالى</w:t>
            </w:r>
          </w:p>
        </w:tc>
        <w:tc>
          <w:tcPr>
            <w:tcW w:w="707" w:type="dxa"/>
            <w:tcBorders>
              <w:top w:val="nil"/>
              <w:left w:val="nil"/>
              <w:bottom w:val="single" w:sz="8" w:space="0" w:color="auto"/>
              <w:right w:val="nil"/>
            </w:tcBorders>
            <w:shd w:val="clear" w:color="000000" w:fill="BFBFBF"/>
            <w:vAlign w:val="center"/>
            <w:hideMark/>
          </w:tcPr>
          <w:p w14:paraId="3BA3820B" w14:textId="77777777" w:rsidR="00BD4B09" w:rsidRPr="00BD4B09" w:rsidRDefault="00BD4B09" w:rsidP="00BD4B09">
            <w:pPr>
              <w:bidi/>
              <w:spacing w:after="0" w:line="240" w:lineRule="auto"/>
              <w:rPr>
                <w:rFonts w:ascii="Arial" w:eastAsia="Times New Roman" w:hAnsi="Arial" w:cs="Arial"/>
                <w:b/>
                <w:bCs/>
                <w:color w:val="000000"/>
                <w:sz w:val="16"/>
                <w:szCs w:val="16"/>
                <w:rtl/>
              </w:rPr>
            </w:pPr>
            <w:r w:rsidRPr="00BD4B09">
              <w:rPr>
                <w:rFonts w:ascii="Arial" w:eastAsia="Times New Roman" w:hAnsi="Arial" w:cs="Arial"/>
                <w:b/>
                <w:bCs/>
                <w:color w:val="000000"/>
                <w:sz w:val="16"/>
                <w:szCs w:val="16"/>
                <w:rtl/>
              </w:rPr>
              <w:t>50</w:t>
            </w:r>
          </w:p>
        </w:tc>
        <w:tc>
          <w:tcPr>
            <w:tcW w:w="707" w:type="dxa"/>
            <w:tcBorders>
              <w:top w:val="nil"/>
              <w:left w:val="double" w:sz="6" w:space="0" w:color="auto"/>
              <w:bottom w:val="single" w:sz="8" w:space="0" w:color="auto"/>
              <w:right w:val="double" w:sz="6" w:space="0" w:color="auto"/>
            </w:tcBorders>
            <w:shd w:val="clear" w:color="000000" w:fill="BFBFBF"/>
            <w:vAlign w:val="center"/>
            <w:hideMark/>
          </w:tcPr>
          <w:p w14:paraId="0AC0AB14" w14:textId="77777777" w:rsidR="00BD4B09" w:rsidRPr="00BD4B09" w:rsidRDefault="00BD4B09" w:rsidP="00BD4B09">
            <w:pPr>
              <w:bidi/>
              <w:spacing w:after="0" w:line="240" w:lineRule="auto"/>
              <w:jc w:val="center"/>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100%</w:t>
            </w:r>
          </w:p>
        </w:tc>
      </w:tr>
      <w:tr w:rsidR="00BD4B09" w:rsidRPr="00BD4B09" w14:paraId="2CD92FB8" w14:textId="77777777" w:rsidTr="00BD4B09">
        <w:trPr>
          <w:trHeight w:val="311"/>
        </w:trPr>
        <w:tc>
          <w:tcPr>
            <w:tcW w:w="3862" w:type="dxa"/>
            <w:tcBorders>
              <w:top w:val="nil"/>
              <w:left w:val="double" w:sz="6" w:space="0" w:color="auto"/>
              <w:bottom w:val="nil"/>
              <w:right w:val="double" w:sz="6" w:space="0" w:color="auto"/>
            </w:tcBorders>
            <w:shd w:val="clear" w:color="auto" w:fill="auto"/>
            <w:vAlign w:val="center"/>
            <w:hideMark/>
          </w:tcPr>
          <w:p w14:paraId="08D3F771" w14:textId="77777777" w:rsidR="00BD4B09" w:rsidRPr="00BD4B09" w:rsidRDefault="00BD4B09" w:rsidP="00BD4B09">
            <w:pPr>
              <w:bidi/>
              <w:spacing w:after="0" w:line="240" w:lineRule="auto"/>
              <w:jc w:val="both"/>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السؤال الثامن:</w:t>
            </w:r>
          </w:p>
        </w:tc>
        <w:tc>
          <w:tcPr>
            <w:tcW w:w="3744" w:type="dxa"/>
            <w:tcBorders>
              <w:top w:val="nil"/>
              <w:left w:val="nil"/>
              <w:bottom w:val="single" w:sz="8" w:space="0" w:color="auto"/>
              <w:right w:val="nil"/>
            </w:tcBorders>
            <w:shd w:val="clear" w:color="auto" w:fill="auto"/>
            <w:vAlign w:val="center"/>
            <w:hideMark/>
          </w:tcPr>
          <w:p w14:paraId="46C854D6" w14:textId="77777777" w:rsidR="00BD4B09" w:rsidRPr="00BD4B09" w:rsidRDefault="00BD4B09" w:rsidP="00BD4B09">
            <w:pPr>
              <w:bidi/>
              <w:spacing w:after="0" w:line="240" w:lineRule="auto"/>
              <w:rPr>
                <w:rFonts w:ascii="Sakkal Majalla" w:eastAsia="Times New Roman" w:hAnsi="Sakkal Majalla" w:cs="Sakkal Majalla"/>
                <w:color w:val="000000"/>
                <w:sz w:val="16"/>
                <w:szCs w:val="16"/>
                <w:rtl/>
              </w:rPr>
            </w:pPr>
            <w:r w:rsidRPr="00BD4B09">
              <w:rPr>
                <w:rFonts w:ascii="Sakkal Majalla" w:eastAsia="Times New Roman" w:hAnsi="Sakkal Majalla" w:cs="Sakkal Majalla" w:hint="cs"/>
                <w:color w:val="000000"/>
                <w:sz w:val="16"/>
                <w:szCs w:val="16"/>
                <w:rtl/>
              </w:rPr>
              <w:t>نعم</w:t>
            </w:r>
          </w:p>
        </w:tc>
        <w:tc>
          <w:tcPr>
            <w:tcW w:w="707" w:type="dxa"/>
            <w:tcBorders>
              <w:top w:val="nil"/>
              <w:left w:val="nil"/>
              <w:bottom w:val="single" w:sz="8" w:space="0" w:color="auto"/>
              <w:right w:val="nil"/>
            </w:tcBorders>
            <w:shd w:val="clear" w:color="auto" w:fill="auto"/>
            <w:vAlign w:val="center"/>
            <w:hideMark/>
          </w:tcPr>
          <w:p w14:paraId="0E6B64B8"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15</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4903AB8E"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29.37%</w:t>
            </w:r>
          </w:p>
        </w:tc>
      </w:tr>
      <w:tr w:rsidR="00BD4B09" w:rsidRPr="00BD4B09" w14:paraId="53CE5DC7" w14:textId="77777777" w:rsidTr="00BD4B09">
        <w:trPr>
          <w:trHeight w:val="490"/>
        </w:trPr>
        <w:tc>
          <w:tcPr>
            <w:tcW w:w="3862" w:type="dxa"/>
            <w:tcBorders>
              <w:top w:val="nil"/>
              <w:left w:val="double" w:sz="6" w:space="0" w:color="auto"/>
              <w:bottom w:val="nil"/>
              <w:right w:val="double" w:sz="6" w:space="0" w:color="auto"/>
            </w:tcBorders>
            <w:shd w:val="clear" w:color="auto" w:fill="auto"/>
            <w:vAlign w:val="center"/>
            <w:hideMark/>
          </w:tcPr>
          <w:p w14:paraId="2308641C" w14:textId="77777777" w:rsidR="00BD4B09" w:rsidRPr="00BD4B09" w:rsidRDefault="00BD4B09" w:rsidP="00BD4B09">
            <w:pPr>
              <w:bidi/>
              <w:spacing w:after="0" w:line="240" w:lineRule="auto"/>
              <w:jc w:val="both"/>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هل سبق لك التعرض لحادثة أمن سيبراني شخصية أو مهنية (مثل تصيد إلكتروني، فقدان بيانات، هجوم فدية)؟</w:t>
            </w:r>
          </w:p>
        </w:tc>
        <w:tc>
          <w:tcPr>
            <w:tcW w:w="3744" w:type="dxa"/>
            <w:tcBorders>
              <w:top w:val="nil"/>
              <w:left w:val="nil"/>
              <w:bottom w:val="single" w:sz="8" w:space="0" w:color="auto"/>
              <w:right w:val="nil"/>
            </w:tcBorders>
            <w:shd w:val="clear" w:color="auto" w:fill="auto"/>
            <w:vAlign w:val="center"/>
            <w:hideMark/>
          </w:tcPr>
          <w:p w14:paraId="13F55DD7" w14:textId="77777777" w:rsidR="00BD4B09" w:rsidRPr="00BD4B09" w:rsidRDefault="00BD4B09" w:rsidP="00BD4B09">
            <w:pPr>
              <w:bidi/>
              <w:spacing w:after="0" w:line="240" w:lineRule="auto"/>
              <w:rPr>
                <w:rFonts w:ascii="Sakkal Majalla" w:eastAsia="Times New Roman" w:hAnsi="Sakkal Majalla" w:cs="Sakkal Majalla"/>
                <w:color w:val="000000"/>
                <w:sz w:val="16"/>
                <w:szCs w:val="16"/>
                <w:rtl/>
              </w:rPr>
            </w:pPr>
            <w:r w:rsidRPr="00BD4B09">
              <w:rPr>
                <w:rFonts w:ascii="Sakkal Majalla" w:eastAsia="Times New Roman" w:hAnsi="Sakkal Majalla" w:cs="Sakkal Majalla" w:hint="cs"/>
                <w:color w:val="000000"/>
                <w:sz w:val="16"/>
                <w:szCs w:val="16"/>
                <w:rtl/>
              </w:rPr>
              <w:t>لا</w:t>
            </w:r>
          </w:p>
        </w:tc>
        <w:tc>
          <w:tcPr>
            <w:tcW w:w="707" w:type="dxa"/>
            <w:tcBorders>
              <w:top w:val="nil"/>
              <w:left w:val="nil"/>
              <w:bottom w:val="single" w:sz="8" w:space="0" w:color="auto"/>
              <w:right w:val="nil"/>
            </w:tcBorders>
            <w:shd w:val="clear" w:color="auto" w:fill="auto"/>
            <w:vAlign w:val="center"/>
            <w:hideMark/>
          </w:tcPr>
          <w:p w14:paraId="471DC883"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35</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5CA22766"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70.63%</w:t>
            </w:r>
          </w:p>
        </w:tc>
      </w:tr>
      <w:tr w:rsidR="00BD4B09" w:rsidRPr="00BD4B09" w14:paraId="7FE3A62C" w14:textId="77777777" w:rsidTr="00BD4B09">
        <w:trPr>
          <w:trHeight w:val="299"/>
        </w:trPr>
        <w:tc>
          <w:tcPr>
            <w:tcW w:w="3862" w:type="dxa"/>
            <w:tcBorders>
              <w:top w:val="nil"/>
              <w:left w:val="double" w:sz="6" w:space="0" w:color="auto"/>
              <w:bottom w:val="double" w:sz="6" w:space="0" w:color="000000"/>
              <w:right w:val="double" w:sz="6" w:space="0" w:color="auto"/>
            </w:tcBorders>
            <w:shd w:val="clear" w:color="auto" w:fill="auto"/>
            <w:vAlign w:val="center"/>
            <w:hideMark/>
          </w:tcPr>
          <w:p w14:paraId="2EF08073" w14:textId="77777777" w:rsidR="00BD4B09" w:rsidRPr="00BD4B09" w:rsidRDefault="00BD4B09" w:rsidP="00BD4B09">
            <w:pPr>
              <w:spacing w:after="0" w:line="240" w:lineRule="auto"/>
              <w:rPr>
                <w:rFonts w:ascii="Calibri" w:eastAsia="Times New Roman" w:hAnsi="Calibri" w:cs="Calibri"/>
                <w:color w:val="000000"/>
                <w:sz w:val="16"/>
                <w:szCs w:val="16"/>
                <w:rtl/>
              </w:rPr>
            </w:pPr>
            <w:r w:rsidRPr="00BD4B09">
              <w:rPr>
                <w:rFonts w:ascii="Calibri" w:eastAsia="Times New Roman" w:hAnsi="Calibri" w:cs="Calibri"/>
                <w:color w:val="000000"/>
                <w:sz w:val="16"/>
                <w:szCs w:val="16"/>
              </w:rPr>
              <w:t> </w:t>
            </w:r>
          </w:p>
        </w:tc>
        <w:tc>
          <w:tcPr>
            <w:tcW w:w="3744" w:type="dxa"/>
            <w:tcBorders>
              <w:top w:val="nil"/>
              <w:left w:val="nil"/>
              <w:bottom w:val="double" w:sz="6" w:space="0" w:color="auto"/>
              <w:right w:val="nil"/>
            </w:tcBorders>
            <w:shd w:val="clear" w:color="000000" w:fill="BFBFBF"/>
            <w:vAlign w:val="center"/>
            <w:hideMark/>
          </w:tcPr>
          <w:p w14:paraId="5B7C777E" w14:textId="77777777" w:rsidR="00BD4B09" w:rsidRPr="00BD4B09" w:rsidRDefault="00BD4B09" w:rsidP="00BD4B09">
            <w:pPr>
              <w:bidi/>
              <w:spacing w:after="0" w:line="240" w:lineRule="auto"/>
              <w:jc w:val="center"/>
              <w:rPr>
                <w:rFonts w:ascii="Arial" w:eastAsia="Times New Roman" w:hAnsi="Arial" w:cs="Arial"/>
                <w:b/>
                <w:bCs/>
                <w:color w:val="000000"/>
                <w:sz w:val="16"/>
                <w:szCs w:val="16"/>
              </w:rPr>
            </w:pPr>
            <w:r w:rsidRPr="00BD4B09">
              <w:rPr>
                <w:rFonts w:ascii="Arial" w:eastAsia="Times New Roman" w:hAnsi="Arial" w:cs="Arial" w:hint="cs"/>
                <w:b/>
                <w:bCs/>
                <w:color w:val="000000"/>
                <w:sz w:val="16"/>
                <w:szCs w:val="16"/>
                <w:rtl/>
              </w:rPr>
              <w:t>الإجمالى</w:t>
            </w:r>
          </w:p>
        </w:tc>
        <w:tc>
          <w:tcPr>
            <w:tcW w:w="707" w:type="dxa"/>
            <w:tcBorders>
              <w:top w:val="nil"/>
              <w:left w:val="nil"/>
              <w:bottom w:val="single" w:sz="8" w:space="0" w:color="auto"/>
              <w:right w:val="nil"/>
            </w:tcBorders>
            <w:shd w:val="clear" w:color="000000" w:fill="BFBFBF"/>
            <w:vAlign w:val="center"/>
            <w:hideMark/>
          </w:tcPr>
          <w:p w14:paraId="5101140F" w14:textId="77777777" w:rsidR="00BD4B09" w:rsidRPr="00BD4B09" w:rsidRDefault="00BD4B09" w:rsidP="00BD4B09">
            <w:pPr>
              <w:bidi/>
              <w:spacing w:after="0" w:line="240" w:lineRule="auto"/>
              <w:rPr>
                <w:rFonts w:ascii="Arial" w:eastAsia="Times New Roman" w:hAnsi="Arial" w:cs="Arial"/>
                <w:b/>
                <w:bCs/>
                <w:color w:val="000000"/>
                <w:sz w:val="16"/>
                <w:szCs w:val="16"/>
                <w:rtl/>
              </w:rPr>
            </w:pPr>
            <w:r w:rsidRPr="00BD4B09">
              <w:rPr>
                <w:rFonts w:ascii="Arial" w:eastAsia="Times New Roman" w:hAnsi="Arial" w:cs="Arial"/>
                <w:b/>
                <w:bCs/>
                <w:color w:val="000000"/>
                <w:sz w:val="16"/>
                <w:szCs w:val="16"/>
                <w:rtl/>
              </w:rPr>
              <w:t>50</w:t>
            </w:r>
          </w:p>
        </w:tc>
        <w:tc>
          <w:tcPr>
            <w:tcW w:w="707" w:type="dxa"/>
            <w:tcBorders>
              <w:top w:val="nil"/>
              <w:left w:val="double" w:sz="6" w:space="0" w:color="auto"/>
              <w:bottom w:val="single" w:sz="8" w:space="0" w:color="auto"/>
              <w:right w:val="double" w:sz="6" w:space="0" w:color="auto"/>
            </w:tcBorders>
            <w:shd w:val="clear" w:color="000000" w:fill="BFBFBF"/>
            <w:vAlign w:val="center"/>
            <w:hideMark/>
          </w:tcPr>
          <w:p w14:paraId="316B63E2" w14:textId="77777777" w:rsidR="00BD4B09" w:rsidRPr="00BD4B09" w:rsidRDefault="00BD4B09" w:rsidP="00BD4B09">
            <w:pPr>
              <w:bidi/>
              <w:spacing w:after="0" w:line="240" w:lineRule="auto"/>
              <w:jc w:val="center"/>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100%</w:t>
            </w:r>
          </w:p>
        </w:tc>
      </w:tr>
      <w:tr w:rsidR="00BD4B09" w:rsidRPr="00BD4B09" w14:paraId="7CFBA244" w14:textId="77777777" w:rsidTr="00BD4B09">
        <w:trPr>
          <w:trHeight w:val="311"/>
        </w:trPr>
        <w:tc>
          <w:tcPr>
            <w:tcW w:w="3862" w:type="dxa"/>
            <w:tcBorders>
              <w:top w:val="nil"/>
              <w:left w:val="double" w:sz="6" w:space="0" w:color="auto"/>
              <w:bottom w:val="nil"/>
              <w:right w:val="double" w:sz="6" w:space="0" w:color="auto"/>
            </w:tcBorders>
            <w:shd w:val="clear" w:color="auto" w:fill="auto"/>
            <w:vAlign w:val="center"/>
            <w:hideMark/>
          </w:tcPr>
          <w:p w14:paraId="5B6AD45A" w14:textId="77777777" w:rsidR="00BD4B09" w:rsidRPr="00BD4B09" w:rsidRDefault="00BD4B09" w:rsidP="00BD4B09">
            <w:pPr>
              <w:bidi/>
              <w:spacing w:after="0" w:line="240" w:lineRule="auto"/>
              <w:jc w:val="both"/>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السؤال التاسع:</w:t>
            </w:r>
          </w:p>
        </w:tc>
        <w:tc>
          <w:tcPr>
            <w:tcW w:w="3744" w:type="dxa"/>
            <w:tcBorders>
              <w:top w:val="nil"/>
              <w:left w:val="nil"/>
              <w:bottom w:val="single" w:sz="8" w:space="0" w:color="auto"/>
              <w:right w:val="nil"/>
            </w:tcBorders>
            <w:shd w:val="clear" w:color="auto" w:fill="auto"/>
            <w:vAlign w:val="center"/>
            <w:hideMark/>
          </w:tcPr>
          <w:p w14:paraId="2C616FF7" w14:textId="77777777" w:rsidR="00BD4B09" w:rsidRPr="00BD4B09" w:rsidRDefault="00BD4B09" w:rsidP="00BD4B09">
            <w:pPr>
              <w:bidi/>
              <w:spacing w:after="0" w:line="240" w:lineRule="auto"/>
              <w:rPr>
                <w:rFonts w:ascii="Sakkal Majalla" w:eastAsia="Times New Roman" w:hAnsi="Sakkal Majalla" w:cs="Sakkal Majalla"/>
                <w:color w:val="000000"/>
                <w:sz w:val="16"/>
                <w:szCs w:val="16"/>
                <w:rtl/>
              </w:rPr>
            </w:pPr>
            <w:r w:rsidRPr="00BD4B09">
              <w:rPr>
                <w:rFonts w:ascii="Sakkal Majalla" w:eastAsia="Times New Roman" w:hAnsi="Sakkal Majalla" w:cs="Sakkal Majalla" w:hint="cs"/>
                <w:color w:val="000000"/>
                <w:sz w:val="16"/>
                <w:szCs w:val="16"/>
                <w:rtl/>
              </w:rPr>
              <w:t>نعم بانتظام</w:t>
            </w:r>
          </w:p>
        </w:tc>
        <w:tc>
          <w:tcPr>
            <w:tcW w:w="707" w:type="dxa"/>
            <w:tcBorders>
              <w:top w:val="nil"/>
              <w:left w:val="nil"/>
              <w:bottom w:val="single" w:sz="8" w:space="0" w:color="auto"/>
              <w:right w:val="nil"/>
            </w:tcBorders>
            <w:shd w:val="clear" w:color="auto" w:fill="auto"/>
            <w:vAlign w:val="center"/>
            <w:hideMark/>
          </w:tcPr>
          <w:p w14:paraId="31112675"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19</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79FD142B"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37.55%</w:t>
            </w:r>
          </w:p>
        </w:tc>
      </w:tr>
      <w:tr w:rsidR="00BD4B09" w:rsidRPr="00BD4B09" w14:paraId="54A005B4" w14:textId="77777777" w:rsidTr="00BD4B09">
        <w:trPr>
          <w:trHeight w:val="490"/>
        </w:trPr>
        <w:tc>
          <w:tcPr>
            <w:tcW w:w="3862" w:type="dxa"/>
            <w:tcBorders>
              <w:top w:val="nil"/>
              <w:left w:val="double" w:sz="6" w:space="0" w:color="auto"/>
              <w:bottom w:val="nil"/>
              <w:right w:val="double" w:sz="6" w:space="0" w:color="auto"/>
            </w:tcBorders>
            <w:shd w:val="clear" w:color="auto" w:fill="auto"/>
            <w:vAlign w:val="center"/>
            <w:hideMark/>
          </w:tcPr>
          <w:p w14:paraId="5C8CF33A" w14:textId="77777777" w:rsidR="00BD4B09" w:rsidRPr="00BD4B09" w:rsidRDefault="00BD4B09" w:rsidP="00BD4B09">
            <w:pPr>
              <w:bidi/>
              <w:spacing w:after="0" w:line="240" w:lineRule="auto"/>
              <w:jc w:val="both"/>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هل تتلقى تحديثات أو تنبيهات أمنية دورية من الهيئة (مثل نشرات توعية، تذكيرات بتغيير كلمة المرور، إرشادات أمنية)؟</w:t>
            </w:r>
          </w:p>
        </w:tc>
        <w:tc>
          <w:tcPr>
            <w:tcW w:w="3744" w:type="dxa"/>
            <w:tcBorders>
              <w:top w:val="nil"/>
              <w:left w:val="nil"/>
              <w:bottom w:val="single" w:sz="8" w:space="0" w:color="auto"/>
              <w:right w:val="nil"/>
            </w:tcBorders>
            <w:shd w:val="clear" w:color="auto" w:fill="auto"/>
            <w:vAlign w:val="center"/>
            <w:hideMark/>
          </w:tcPr>
          <w:p w14:paraId="265BE0E6" w14:textId="77777777" w:rsidR="00BD4B09" w:rsidRPr="00BD4B09" w:rsidRDefault="00BD4B09" w:rsidP="00BD4B09">
            <w:pPr>
              <w:bidi/>
              <w:spacing w:after="0" w:line="240" w:lineRule="auto"/>
              <w:rPr>
                <w:rFonts w:ascii="Sakkal Majalla" w:eastAsia="Times New Roman" w:hAnsi="Sakkal Majalla" w:cs="Sakkal Majalla"/>
                <w:color w:val="000000"/>
                <w:sz w:val="16"/>
                <w:szCs w:val="16"/>
                <w:rtl/>
              </w:rPr>
            </w:pPr>
            <w:r w:rsidRPr="00BD4B09">
              <w:rPr>
                <w:rFonts w:ascii="Sakkal Majalla" w:eastAsia="Times New Roman" w:hAnsi="Sakkal Majalla" w:cs="Sakkal Majalla"/>
                <w:color w:val="000000"/>
                <w:sz w:val="16"/>
                <w:szCs w:val="16"/>
                <w:rtl/>
              </w:rPr>
              <w:t xml:space="preserve"> نعم لكن نادرًا</w:t>
            </w:r>
            <w:r w:rsidRPr="00BD4B09">
              <w:rPr>
                <w:rFonts w:ascii="Sakkal Majalla" w:eastAsia="Times New Roman" w:hAnsi="Sakkal Majalla" w:cs="Sakkal Majalla"/>
                <w:color w:val="000000"/>
                <w:sz w:val="16"/>
                <w:szCs w:val="16"/>
                <w:rtl/>
              </w:rPr>
              <w:t> </w:t>
            </w:r>
          </w:p>
        </w:tc>
        <w:tc>
          <w:tcPr>
            <w:tcW w:w="707" w:type="dxa"/>
            <w:tcBorders>
              <w:top w:val="nil"/>
              <w:left w:val="nil"/>
              <w:bottom w:val="single" w:sz="8" w:space="0" w:color="auto"/>
              <w:right w:val="nil"/>
            </w:tcBorders>
            <w:shd w:val="clear" w:color="auto" w:fill="auto"/>
            <w:vAlign w:val="center"/>
            <w:hideMark/>
          </w:tcPr>
          <w:p w14:paraId="2DCF8F74"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6</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0EBF1BF4"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11.52%</w:t>
            </w:r>
          </w:p>
        </w:tc>
      </w:tr>
      <w:tr w:rsidR="00BD4B09" w:rsidRPr="00BD4B09" w14:paraId="407AE787" w14:textId="77777777" w:rsidTr="00BD4B09">
        <w:trPr>
          <w:trHeight w:val="299"/>
        </w:trPr>
        <w:tc>
          <w:tcPr>
            <w:tcW w:w="3862" w:type="dxa"/>
            <w:tcBorders>
              <w:top w:val="nil"/>
              <w:left w:val="double" w:sz="6" w:space="0" w:color="auto"/>
              <w:bottom w:val="nil"/>
              <w:right w:val="double" w:sz="6" w:space="0" w:color="auto"/>
            </w:tcBorders>
            <w:shd w:val="clear" w:color="auto" w:fill="auto"/>
            <w:vAlign w:val="center"/>
            <w:hideMark/>
          </w:tcPr>
          <w:p w14:paraId="1A07AEB9" w14:textId="77777777" w:rsidR="00BD4B09" w:rsidRPr="00BD4B09" w:rsidRDefault="00BD4B09" w:rsidP="00BD4B09">
            <w:pPr>
              <w:spacing w:after="0" w:line="240" w:lineRule="auto"/>
              <w:rPr>
                <w:rFonts w:ascii="Calibri" w:eastAsia="Times New Roman" w:hAnsi="Calibri" w:cs="Calibri"/>
                <w:color w:val="000000"/>
                <w:sz w:val="16"/>
                <w:szCs w:val="16"/>
                <w:rtl/>
              </w:rPr>
            </w:pPr>
            <w:r w:rsidRPr="00BD4B09">
              <w:rPr>
                <w:rFonts w:ascii="Calibri" w:eastAsia="Times New Roman" w:hAnsi="Calibri" w:cs="Calibri"/>
                <w:color w:val="000000"/>
                <w:sz w:val="16"/>
                <w:szCs w:val="16"/>
              </w:rPr>
              <w:t> </w:t>
            </w:r>
          </w:p>
        </w:tc>
        <w:tc>
          <w:tcPr>
            <w:tcW w:w="3744" w:type="dxa"/>
            <w:tcBorders>
              <w:top w:val="nil"/>
              <w:left w:val="nil"/>
              <w:bottom w:val="single" w:sz="8" w:space="0" w:color="auto"/>
              <w:right w:val="nil"/>
            </w:tcBorders>
            <w:shd w:val="clear" w:color="auto" w:fill="auto"/>
            <w:vAlign w:val="center"/>
            <w:hideMark/>
          </w:tcPr>
          <w:p w14:paraId="33C6AB00" w14:textId="77777777" w:rsidR="00BD4B09" w:rsidRPr="00BD4B09" w:rsidRDefault="00BD4B09" w:rsidP="00BD4B09">
            <w:pPr>
              <w:bidi/>
              <w:spacing w:after="0" w:line="240" w:lineRule="auto"/>
              <w:rPr>
                <w:rFonts w:ascii="Sakkal Majalla" w:eastAsia="Times New Roman" w:hAnsi="Sakkal Majalla" w:cs="Sakkal Majalla"/>
                <w:color w:val="000000"/>
                <w:sz w:val="16"/>
                <w:szCs w:val="16"/>
              </w:rPr>
            </w:pPr>
            <w:r w:rsidRPr="00BD4B09">
              <w:rPr>
                <w:rFonts w:ascii="Sakkal Majalla" w:eastAsia="Times New Roman" w:hAnsi="Sakkal Majalla" w:cs="Sakkal Majalla"/>
                <w:color w:val="000000"/>
                <w:sz w:val="16"/>
                <w:szCs w:val="16"/>
                <w:rtl/>
              </w:rPr>
              <w:t>لا أتذكر</w:t>
            </w:r>
          </w:p>
        </w:tc>
        <w:tc>
          <w:tcPr>
            <w:tcW w:w="707" w:type="dxa"/>
            <w:tcBorders>
              <w:top w:val="nil"/>
              <w:left w:val="nil"/>
              <w:bottom w:val="single" w:sz="8" w:space="0" w:color="auto"/>
              <w:right w:val="nil"/>
            </w:tcBorders>
            <w:shd w:val="clear" w:color="auto" w:fill="auto"/>
            <w:vAlign w:val="center"/>
            <w:hideMark/>
          </w:tcPr>
          <w:p w14:paraId="679AF6E4"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18</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3EFE6524"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35.32%</w:t>
            </w:r>
          </w:p>
        </w:tc>
      </w:tr>
      <w:tr w:rsidR="00BD4B09" w:rsidRPr="00BD4B09" w14:paraId="6759601D" w14:textId="77777777" w:rsidTr="00BD4B09">
        <w:trPr>
          <w:trHeight w:val="299"/>
        </w:trPr>
        <w:tc>
          <w:tcPr>
            <w:tcW w:w="3862" w:type="dxa"/>
            <w:tcBorders>
              <w:top w:val="nil"/>
              <w:left w:val="double" w:sz="6" w:space="0" w:color="auto"/>
              <w:bottom w:val="nil"/>
              <w:right w:val="double" w:sz="6" w:space="0" w:color="auto"/>
            </w:tcBorders>
            <w:shd w:val="clear" w:color="auto" w:fill="auto"/>
            <w:vAlign w:val="center"/>
            <w:hideMark/>
          </w:tcPr>
          <w:p w14:paraId="4610EA87" w14:textId="77777777" w:rsidR="00BD4B09" w:rsidRPr="00BD4B09" w:rsidRDefault="00BD4B09" w:rsidP="00BD4B09">
            <w:pPr>
              <w:spacing w:after="0" w:line="240" w:lineRule="auto"/>
              <w:rPr>
                <w:rFonts w:ascii="Calibri" w:eastAsia="Times New Roman" w:hAnsi="Calibri" w:cs="Calibri"/>
                <w:color w:val="000000"/>
                <w:sz w:val="16"/>
                <w:szCs w:val="16"/>
                <w:rtl/>
              </w:rPr>
            </w:pPr>
            <w:r w:rsidRPr="00BD4B09">
              <w:rPr>
                <w:rFonts w:ascii="Calibri" w:eastAsia="Times New Roman" w:hAnsi="Calibri" w:cs="Calibri"/>
                <w:color w:val="000000"/>
                <w:sz w:val="16"/>
                <w:szCs w:val="16"/>
              </w:rPr>
              <w:t> </w:t>
            </w:r>
          </w:p>
        </w:tc>
        <w:tc>
          <w:tcPr>
            <w:tcW w:w="3744" w:type="dxa"/>
            <w:tcBorders>
              <w:top w:val="nil"/>
              <w:left w:val="nil"/>
              <w:bottom w:val="single" w:sz="8" w:space="0" w:color="auto"/>
              <w:right w:val="nil"/>
            </w:tcBorders>
            <w:shd w:val="clear" w:color="auto" w:fill="auto"/>
            <w:vAlign w:val="center"/>
            <w:hideMark/>
          </w:tcPr>
          <w:p w14:paraId="120217A2" w14:textId="77777777" w:rsidR="00BD4B09" w:rsidRPr="00BD4B09" w:rsidRDefault="00BD4B09" w:rsidP="00BD4B09">
            <w:pPr>
              <w:bidi/>
              <w:spacing w:after="0" w:line="240" w:lineRule="auto"/>
              <w:rPr>
                <w:rFonts w:ascii="Sakkal Majalla" w:eastAsia="Times New Roman" w:hAnsi="Sakkal Majalla" w:cs="Sakkal Majalla"/>
                <w:color w:val="000000"/>
                <w:sz w:val="16"/>
                <w:szCs w:val="16"/>
              </w:rPr>
            </w:pPr>
            <w:r w:rsidRPr="00BD4B09">
              <w:rPr>
                <w:rFonts w:ascii="Sakkal Majalla" w:eastAsia="Times New Roman" w:hAnsi="Sakkal Majalla" w:cs="Sakkal Majalla"/>
                <w:color w:val="000000"/>
                <w:sz w:val="16"/>
                <w:szCs w:val="16"/>
                <w:rtl/>
              </w:rPr>
              <w:t xml:space="preserve"> لا</w:t>
            </w:r>
          </w:p>
        </w:tc>
        <w:tc>
          <w:tcPr>
            <w:tcW w:w="707" w:type="dxa"/>
            <w:tcBorders>
              <w:top w:val="nil"/>
              <w:left w:val="nil"/>
              <w:bottom w:val="single" w:sz="8" w:space="0" w:color="auto"/>
              <w:right w:val="nil"/>
            </w:tcBorders>
            <w:shd w:val="clear" w:color="auto" w:fill="auto"/>
            <w:vAlign w:val="center"/>
            <w:hideMark/>
          </w:tcPr>
          <w:p w14:paraId="75516C7A"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8</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4FBB813A"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15.61%</w:t>
            </w:r>
          </w:p>
        </w:tc>
      </w:tr>
      <w:tr w:rsidR="00BD4B09" w:rsidRPr="00BD4B09" w14:paraId="01897F56" w14:textId="77777777" w:rsidTr="00BD4B09">
        <w:trPr>
          <w:trHeight w:val="299"/>
        </w:trPr>
        <w:tc>
          <w:tcPr>
            <w:tcW w:w="3862" w:type="dxa"/>
            <w:tcBorders>
              <w:top w:val="nil"/>
              <w:left w:val="double" w:sz="6" w:space="0" w:color="auto"/>
              <w:bottom w:val="double" w:sz="6" w:space="0" w:color="auto"/>
              <w:right w:val="double" w:sz="6" w:space="0" w:color="auto"/>
            </w:tcBorders>
            <w:shd w:val="clear" w:color="auto" w:fill="auto"/>
            <w:vAlign w:val="center"/>
            <w:hideMark/>
          </w:tcPr>
          <w:p w14:paraId="6AC934C4" w14:textId="77777777" w:rsidR="00BD4B09" w:rsidRPr="00BD4B09" w:rsidRDefault="00BD4B09" w:rsidP="00BD4B09">
            <w:pPr>
              <w:spacing w:after="0" w:line="240" w:lineRule="auto"/>
              <w:rPr>
                <w:rFonts w:ascii="Calibri" w:eastAsia="Times New Roman" w:hAnsi="Calibri" w:cs="Calibri"/>
                <w:color w:val="000000"/>
                <w:sz w:val="16"/>
                <w:szCs w:val="16"/>
                <w:rtl/>
              </w:rPr>
            </w:pPr>
            <w:r w:rsidRPr="00BD4B09">
              <w:rPr>
                <w:rFonts w:ascii="Calibri" w:eastAsia="Times New Roman" w:hAnsi="Calibri" w:cs="Calibri"/>
                <w:color w:val="000000"/>
                <w:sz w:val="16"/>
                <w:szCs w:val="16"/>
              </w:rPr>
              <w:t> </w:t>
            </w:r>
          </w:p>
        </w:tc>
        <w:tc>
          <w:tcPr>
            <w:tcW w:w="3744" w:type="dxa"/>
            <w:tcBorders>
              <w:top w:val="nil"/>
              <w:left w:val="nil"/>
              <w:bottom w:val="double" w:sz="6" w:space="0" w:color="auto"/>
              <w:right w:val="nil"/>
            </w:tcBorders>
            <w:shd w:val="clear" w:color="000000" w:fill="BFBFBF"/>
            <w:vAlign w:val="center"/>
            <w:hideMark/>
          </w:tcPr>
          <w:p w14:paraId="43FA2330" w14:textId="77777777" w:rsidR="00BD4B09" w:rsidRPr="00BD4B09" w:rsidRDefault="00BD4B09" w:rsidP="00BD4B09">
            <w:pPr>
              <w:bidi/>
              <w:spacing w:after="0" w:line="240" w:lineRule="auto"/>
              <w:jc w:val="center"/>
              <w:rPr>
                <w:rFonts w:ascii="Arial" w:eastAsia="Times New Roman" w:hAnsi="Arial" w:cs="Arial"/>
                <w:b/>
                <w:bCs/>
                <w:color w:val="000000"/>
                <w:sz w:val="16"/>
                <w:szCs w:val="16"/>
              </w:rPr>
            </w:pPr>
            <w:r w:rsidRPr="00BD4B09">
              <w:rPr>
                <w:rFonts w:ascii="Arial" w:eastAsia="Times New Roman" w:hAnsi="Arial" w:cs="Arial" w:hint="cs"/>
                <w:b/>
                <w:bCs/>
                <w:color w:val="000000"/>
                <w:sz w:val="16"/>
                <w:szCs w:val="16"/>
                <w:rtl/>
              </w:rPr>
              <w:t>الإجمالى</w:t>
            </w:r>
          </w:p>
        </w:tc>
        <w:tc>
          <w:tcPr>
            <w:tcW w:w="707" w:type="dxa"/>
            <w:tcBorders>
              <w:top w:val="nil"/>
              <w:left w:val="nil"/>
              <w:bottom w:val="single" w:sz="8" w:space="0" w:color="auto"/>
              <w:right w:val="nil"/>
            </w:tcBorders>
            <w:shd w:val="clear" w:color="000000" w:fill="BFBFBF"/>
            <w:vAlign w:val="center"/>
            <w:hideMark/>
          </w:tcPr>
          <w:p w14:paraId="6E24B623" w14:textId="77777777" w:rsidR="00BD4B09" w:rsidRPr="00BD4B09" w:rsidRDefault="00BD4B09" w:rsidP="00BD4B09">
            <w:pPr>
              <w:bidi/>
              <w:spacing w:after="0" w:line="240" w:lineRule="auto"/>
              <w:rPr>
                <w:rFonts w:ascii="Arial" w:eastAsia="Times New Roman" w:hAnsi="Arial" w:cs="Arial"/>
                <w:b/>
                <w:bCs/>
                <w:color w:val="000000"/>
                <w:sz w:val="16"/>
                <w:szCs w:val="16"/>
                <w:rtl/>
              </w:rPr>
            </w:pPr>
            <w:r w:rsidRPr="00BD4B09">
              <w:rPr>
                <w:rFonts w:ascii="Arial" w:eastAsia="Times New Roman" w:hAnsi="Arial" w:cs="Arial"/>
                <w:b/>
                <w:bCs/>
                <w:color w:val="000000"/>
                <w:sz w:val="16"/>
                <w:szCs w:val="16"/>
                <w:rtl/>
              </w:rPr>
              <w:t>50</w:t>
            </w:r>
          </w:p>
        </w:tc>
        <w:tc>
          <w:tcPr>
            <w:tcW w:w="707" w:type="dxa"/>
            <w:tcBorders>
              <w:top w:val="nil"/>
              <w:left w:val="double" w:sz="6" w:space="0" w:color="auto"/>
              <w:bottom w:val="single" w:sz="8" w:space="0" w:color="auto"/>
              <w:right w:val="double" w:sz="6" w:space="0" w:color="auto"/>
            </w:tcBorders>
            <w:shd w:val="clear" w:color="000000" w:fill="BFBFBF"/>
            <w:vAlign w:val="center"/>
            <w:hideMark/>
          </w:tcPr>
          <w:p w14:paraId="116C446B" w14:textId="77777777" w:rsidR="00BD4B09" w:rsidRPr="00BD4B09" w:rsidRDefault="00BD4B09" w:rsidP="00BD4B09">
            <w:pPr>
              <w:bidi/>
              <w:spacing w:after="0" w:line="240" w:lineRule="auto"/>
              <w:jc w:val="center"/>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100%</w:t>
            </w:r>
          </w:p>
        </w:tc>
      </w:tr>
    </w:tbl>
    <w:p w14:paraId="4278E738" w14:textId="77777777" w:rsidR="007A0B3B" w:rsidRDefault="007A0B3B" w:rsidP="007A0B3B">
      <w:pPr>
        <w:pStyle w:val="BlockText"/>
        <w:spacing w:line="360" w:lineRule="auto"/>
        <w:jc w:val="lowKashida"/>
        <w:rPr>
          <w:szCs w:val="20"/>
          <w:rtl/>
          <w:lang w:bidi="ar-EG"/>
        </w:rPr>
      </w:pPr>
      <w:r w:rsidRPr="00DE5368">
        <w:rPr>
          <w:rFonts w:hint="cs"/>
          <w:b/>
          <w:bCs/>
          <w:szCs w:val="20"/>
          <w:rtl/>
          <w:lang w:bidi="ar-EG"/>
        </w:rPr>
        <w:t>المصدر :</w:t>
      </w:r>
      <w:r w:rsidRPr="00DE5368">
        <w:rPr>
          <w:rFonts w:hint="cs"/>
          <w:szCs w:val="20"/>
          <w:rtl/>
          <w:lang w:bidi="ar-EG"/>
        </w:rPr>
        <w:t xml:space="preserve"> نتائج التحليل الأحصائى .</w:t>
      </w:r>
    </w:p>
    <w:p w14:paraId="334B328D" w14:textId="77777777" w:rsidR="007A0B3B" w:rsidRDefault="007A0B3B" w:rsidP="007A0B3B">
      <w:pPr>
        <w:pStyle w:val="BlockText"/>
        <w:spacing w:line="360" w:lineRule="auto"/>
        <w:ind w:left="146" w:hanging="120"/>
        <w:jc w:val="lowKashida"/>
        <w:rPr>
          <w:rtl/>
        </w:rPr>
      </w:pPr>
    </w:p>
    <w:p w14:paraId="66DF1194" w14:textId="77777777" w:rsidR="007A0B3B" w:rsidRDefault="007A0B3B" w:rsidP="007A0B3B">
      <w:pPr>
        <w:pStyle w:val="BlockText"/>
        <w:spacing w:line="360" w:lineRule="auto"/>
        <w:ind w:left="146" w:hanging="120"/>
        <w:jc w:val="lowKashida"/>
        <w:rPr>
          <w:rtl/>
        </w:rPr>
      </w:pPr>
    </w:p>
    <w:p w14:paraId="16B24A1D" w14:textId="77777777" w:rsidR="007A0B3B" w:rsidRDefault="007A0B3B" w:rsidP="007A0B3B">
      <w:pPr>
        <w:pStyle w:val="BlockText"/>
        <w:spacing w:line="360" w:lineRule="auto"/>
        <w:ind w:left="146" w:hanging="120"/>
        <w:jc w:val="lowKashida"/>
        <w:rPr>
          <w:rtl/>
        </w:rPr>
      </w:pPr>
    </w:p>
    <w:p w14:paraId="50D1EADD" w14:textId="77777777" w:rsidR="007A0B3B" w:rsidRDefault="007A0B3B" w:rsidP="007A0B3B">
      <w:pPr>
        <w:pStyle w:val="BlockText"/>
        <w:spacing w:line="360" w:lineRule="auto"/>
        <w:ind w:left="146" w:hanging="120"/>
        <w:jc w:val="lowKashida"/>
        <w:rPr>
          <w:rtl/>
        </w:rPr>
      </w:pPr>
    </w:p>
    <w:p w14:paraId="31BD28C3" w14:textId="77777777" w:rsidR="00202E2A" w:rsidRDefault="00202E2A" w:rsidP="00202E2A">
      <w:pPr>
        <w:bidi/>
        <w:spacing w:line="276" w:lineRule="auto"/>
        <w:jc w:val="lowKashida"/>
        <w:rPr>
          <w:rFonts w:asciiTheme="majorBidi" w:hAnsiTheme="majorBidi" w:cstheme="majorBidi"/>
          <w:sz w:val="28"/>
          <w:szCs w:val="28"/>
          <w:rtl/>
          <w:lang w:bidi="ar-EG"/>
        </w:rPr>
      </w:pPr>
    </w:p>
    <w:p w14:paraId="434D60B6" w14:textId="77777777" w:rsidR="00202E2A" w:rsidRDefault="00202E2A" w:rsidP="00202E2A">
      <w:pPr>
        <w:bidi/>
        <w:spacing w:line="276" w:lineRule="auto"/>
        <w:jc w:val="lowKashida"/>
        <w:rPr>
          <w:rFonts w:asciiTheme="majorBidi" w:hAnsiTheme="majorBidi" w:cstheme="majorBidi"/>
          <w:sz w:val="28"/>
          <w:szCs w:val="28"/>
          <w:rtl/>
          <w:lang w:bidi="ar-EG"/>
        </w:rPr>
      </w:pPr>
    </w:p>
    <w:p w14:paraId="05DF6198" w14:textId="77777777" w:rsidR="00202E2A" w:rsidRDefault="00202E2A" w:rsidP="00202E2A">
      <w:pPr>
        <w:bidi/>
        <w:spacing w:line="276" w:lineRule="auto"/>
        <w:jc w:val="lowKashida"/>
        <w:rPr>
          <w:rFonts w:asciiTheme="majorBidi" w:hAnsiTheme="majorBidi" w:cstheme="majorBidi"/>
          <w:sz w:val="28"/>
          <w:szCs w:val="28"/>
          <w:rtl/>
          <w:lang w:bidi="ar-EG"/>
        </w:rPr>
      </w:pPr>
    </w:p>
    <w:p w14:paraId="1EE81334" w14:textId="77777777" w:rsidR="00202E2A" w:rsidRDefault="00202E2A" w:rsidP="00202E2A">
      <w:pPr>
        <w:bidi/>
        <w:spacing w:line="276" w:lineRule="auto"/>
        <w:jc w:val="lowKashida"/>
        <w:rPr>
          <w:rFonts w:asciiTheme="majorBidi" w:hAnsiTheme="majorBidi" w:cstheme="majorBidi"/>
          <w:sz w:val="28"/>
          <w:szCs w:val="28"/>
          <w:rtl/>
          <w:lang w:bidi="ar-EG"/>
        </w:rPr>
      </w:pPr>
    </w:p>
    <w:p w14:paraId="2014FB2F" w14:textId="3BDB7FA2" w:rsidR="0083447C" w:rsidRPr="0019590B" w:rsidRDefault="0016276E" w:rsidP="0019590B">
      <w:pPr>
        <w:bidi/>
        <w:spacing w:line="276" w:lineRule="auto"/>
        <w:rPr>
          <w:rFonts w:asciiTheme="majorBidi" w:hAnsiTheme="majorBidi" w:cstheme="majorBidi"/>
          <w:b/>
          <w:bCs/>
          <w:color w:val="002060"/>
          <w:sz w:val="28"/>
          <w:szCs w:val="28"/>
          <w:rtl/>
          <w:lang w:bidi="ar-EG"/>
        </w:rPr>
      </w:pPr>
      <w:r w:rsidRPr="0019590B">
        <w:rPr>
          <w:rFonts w:asciiTheme="majorBidi" w:hAnsiTheme="majorBidi" w:cstheme="majorBidi"/>
          <w:b/>
          <w:bCs/>
          <w:color w:val="002060"/>
          <w:sz w:val="28"/>
          <w:szCs w:val="28"/>
          <w:rtl/>
          <w:lang w:bidi="ar-EG"/>
        </w:rPr>
        <w:t>ا</w:t>
      </w:r>
      <w:r w:rsidR="0083447C" w:rsidRPr="0019590B">
        <w:rPr>
          <w:rFonts w:asciiTheme="majorBidi" w:hAnsiTheme="majorBidi" w:cstheme="majorBidi"/>
          <w:b/>
          <w:bCs/>
          <w:color w:val="002060"/>
          <w:sz w:val="28"/>
          <w:szCs w:val="28"/>
          <w:rtl/>
          <w:lang w:bidi="ar-EG"/>
        </w:rPr>
        <w:t>لمراجع:</w:t>
      </w:r>
    </w:p>
    <w:p w14:paraId="4752E80A" w14:textId="6D186F9A" w:rsidR="0037744D" w:rsidRPr="0019590B" w:rsidRDefault="0037744D" w:rsidP="0019590B">
      <w:pPr>
        <w:bidi/>
        <w:spacing w:line="276" w:lineRule="auto"/>
        <w:rPr>
          <w:rFonts w:asciiTheme="majorBidi" w:hAnsiTheme="majorBidi" w:cstheme="majorBidi"/>
          <w:b/>
          <w:bCs/>
          <w:color w:val="002060"/>
          <w:sz w:val="28"/>
          <w:szCs w:val="28"/>
          <w:rtl/>
          <w:lang w:bidi="ar-EG"/>
        </w:rPr>
      </w:pPr>
      <w:r w:rsidRPr="0019590B">
        <w:rPr>
          <w:rFonts w:asciiTheme="majorBidi" w:hAnsiTheme="majorBidi" w:cstheme="majorBidi"/>
          <w:b/>
          <w:bCs/>
          <w:color w:val="002060"/>
          <w:sz w:val="28"/>
          <w:szCs w:val="28"/>
          <w:rtl/>
          <w:lang w:bidi="ar-EG"/>
        </w:rPr>
        <w:t>المراجع العربية:</w:t>
      </w:r>
    </w:p>
    <w:p w14:paraId="4A6A31C5" w14:textId="77777777" w:rsidR="00680C4A" w:rsidRPr="007C444D" w:rsidRDefault="00680C4A">
      <w:pPr>
        <w:pStyle w:val="ListParagraph"/>
        <w:numPr>
          <w:ilvl w:val="0"/>
          <w:numId w:val="17"/>
        </w:numPr>
        <w:bidi/>
        <w:spacing w:line="240" w:lineRule="auto"/>
        <w:rPr>
          <w:rFonts w:ascii="Times New Roman" w:eastAsia="Times New Roman" w:hAnsi="Times New Roman" w:cs="Times New Roman"/>
          <w:sz w:val="24"/>
          <w:szCs w:val="24"/>
        </w:rPr>
      </w:pPr>
      <w:r w:rsidRPr="007C444D">
        <w:rPr>
          <w:rFonts w:ascii="Times New Roman" w:eastAsia="Times New Roman" w:hAnsi="Times New Roman" w:cs="Times New Roman"/>
          <w:sz w:val="24"/>
          <w:szCs w:val="24"/>
          <w:rtl/>
        </w:rPr>
        <w:t>الهيئة السعودية للبيانات والذكاء الاصطناعي</w:t>
      </w:r>
      <w:r w:rsidRPr="007C444D">
        <w:rPr>
          <w:rFonts w:ascii="Times New Roman" w:eastAsia="Times New Roman" w:hAnsi="Times New Roman" w:cs="Times New Roman"/>
          <w:sz w:val="24"/>
          <w:szCs w:val="24"/>
        </w:rPr>
        <w:t xml:space="preserve"> (SDAIA). (2023). </w:t>
      </w:r>
      <w:r w:rsidRPr="007C444D">
        <w:rPr>
          <w:rFonts w:ascii="Times New Roman" w:eastAsia="Times New Roman" w:hAnsi="Times New Roman" w:cs="Times New Roman"/>
          <w:sz w:val="24"/>
          <w:szCs w:val="24"/>
          <w:rtl/>
        </w:rPr>
        <w:t>التحول الرقمي في المملكة العربية السعودية: الإطار الاستراتيجي والتحديات [تقرير إلكتروني]. الرياض، المملكة العربية السعودية</w:t>
      </w:r>
      <w:r w:rsidRPr="007C444D">
        <w:rPr>
          <w:rFonts w:ascii="Times New Roman" w:eastAsia="Times New Roman" w:hAnsi="Times New Roman" w:cs="Times New Roman"/>
          <w:sz w:val="24"/>
          <w:szCs w:val="24"/>
        </w:rPr>
        <w:t>. https://www.sdaia.gov.sa</w:t>
      </w:r>
    </w:p>
    <w:p w14:paraId="5E7E5916" w14:textId="6B81BFD0" w:rsidR="0037744D" w:rsidRPr="007C444D" w:rsidRDefault="0037744D">
      <w:pPr>
        <w:pStyle w:val="ListParagraph"/>
        <w:numPr>
          <w:ilvl w:val="0"/>
          <w:numId w:val="17"/>
        </w:numPr>
        <w:bidi/>
        <w:spacing w:line="240" w:lineRule="auto"/>
        <w:jc w:val="lowKashida"/>
        <w:rPr>
          <w:rFonts w:ascii="Times New Roman" w:eastAsia="Times New Roman" w:hAnsi="Times New Roman" w:cs="Times New Roman"/>
          <w:sz w:val="24"/>
          <w:szCs w:val="24"/>
          <w:rtl/>
        </w:rPr>
      </w:pPr>
      <w:r w:rsidRPr="007C444D">
        <w:rPr>
          <w:rFonts w:ascii="Times New Roman" w:eastAsia="Times New Roman" w:hAnsi="Times New Roman" w:cs="Times New Roman"/>
          <w:sz w:val="24"/>
          <w:szCs w:val="24"/>
          <w:rtl/>
        </w:rPr>
        <w:t>الهيئة العامة للجمارك السعودية. (</w:t>
      </w:r>
      <w:r w:rsidR="003F0B6A" w:rsidRPr="007C444D">
        <w:rPr>
          <w:rFonts w:ascii="Times New Roman" w:eastAsia="Times New Roman" w:hAnsi="Times New Roman" w:cs="Times New Roman"/>
          <w:sz w:val="24"/>
          <w:szCs w:val="24"/>
        </w:rPr>
        <w:t>2023</w:t>
      </w:r>
      <w:r w:rsidRPr="007C444D">
        <w:rPr>
          <w:rFonts w:ascii="Times New Roman" w:eastAsia="Times New Roman" w:hAnsi="Times New Roman" w:cs="Times New Roman"/>
          <w:sz w:val="24"/>
          <w:szCs w:val="24"/>
          <w:rtl/>
        </w:rPr>
        <w:t>). التقرير السنوي لتحسين الإجراءات الجمركية. تم الاسترداد من</w:t>
      </w:r>
      <w:r w:rsidRPr="007C444D">
        <w:rPr>
          <w:rFonts w:ascii="Times New Roman" w:eastAsia="Times New Roman" w:hAnsi="Times New Roman" w:cs="Times New Roman"/>
          <w:sz w:val="24"/>
          <w:szCs w:val="24"/>
        </w:rPr>
        <w:t xml:space="preserve"> https://www.customs.gov.sa</w:t>
      </w:r>
    </w:p>
    <w:p w14:paraId="334B6A1B" w14:textId="37483BE2" w:rsidR="0037744D" w:rsidRPr="007C444D" w:rsidRDefault="0037744D">
      <w:pPr>
        <w:pStyle w:val="ListParagraph"/>
        <w:numPr>
          <w:ilvl w:val="0"/>
          <w:numId w:val="17"/>
        </w:numPr>
        <w:bidi/>
        <w:spacing w:line="240" w:lineRule="auto"/>
        <w:jc w:val="lowKashida"/>
        <w:rPr>
          <w:rFonts w:ascii="Times New Roman" w:eastAsia="Times New Roman" w:hAnsi="Times New Roman" w:cs="Times New Roman"/>
          <w:sz w:val="24"/>
          <w:szCs w:val="24"/>
          <w:rtl/>
        </w:rPr>
      </w:pPr>
      <w:r w:rsidRPr="007C444D">
        <w:rPr>
          <w:rFonts w:ascii="Times New Roman" w:eastAsia="Times New Roman" w:hAnsi="Times New Roman" w:cs="Times New Roman"/>
          <w:sz w:val="24"/>
          <w:szCs w:val="24"/>
          <w:rtl/>
        </w:rPr>
        <w:t>الهيئة العامة للإحصاء. (</w:t>
      </w:r>
      <w:r w:rsidR="003F0B6A" w:rsidRPr="007C444D">
        <w:rPr>
          <w:rFonts w:ascii="Times New Roman" w:eastAsia="Times New Roman" w:hAnsi="Times New Roman" w:cs="Times New Roman"/>
          <w:sz w:val="24"/>
          <w:szCs w:val="24"/>
        </w:rPr>
        <w:t>2023</w:t>
      </w:r>
      <w:r w:rsidRPr="007C444D">
        <w:rPr>
          <w:rFonts w:ascii="Times New Roman" w:eastAsia="Times New Roman" w:hAnsi="Times New Roman" w:cs="Times New Roman"/>
          <w:sz w:val="24"/>
          <w:szCs w:val="24"/>
          <w:rtl/>
        </w:rPr>
        <w:t>). تقرير الأداء الاقتصادي للصادرات غير النفطية. تم الاسترداد من</w:t>
      </w:r>
      <w:r w:rsidRPr="007C444D">
        <w:rPr>
          <w:rFonts w:ascii="Times New Roman" w:eastAsia="Times New Roman" w:hAnsi="Times New Roman" w:cs="Times New Roman"/>
          <w:sz w:val="24"/>
          <w:szCs w:val="24"/>
        </w:rPr>
        <w:t xml:space="preserve"> https://www.stats.gov.sa</w:t>
      </w:r>
    </w:p>
    <w:p w14:paraId="0D2EA63D" w14:textId="448AA598" w:rsidR="0037744D" w:rsidRDefault="0037744D">
      <w:pPr>
        <w:pStyle w:val="ListParagraph"/>
        <w:numPr>
          <w:ilvl w:val="0"/>
          <w:numId w:val="17"/>
        </w:numPr>
        <w:bidi/>
        <w:spacing w:line="240" w:lineRule="auto"/>
        <w:jc w:val="lowKashida"/>
        <w:rPr>
          <w:rFonts w:ascii="Times New Roman" w:eastAsia="Times New Roman" w:hAnsi="Times New Roman" w:cs="Times New Roman"/>
          <w:sz w:val="24"/>
          <w:szCs w:val="24"/>
        </w:rPr>
      </w:pPr>
      <w:r w:rsidRPr="007C444D">
        <w:rPr>
          <w:rFonts w:ascii="Times New Roman" w:eastAsia="Times New Roman" w:hAnsi="Times New Roman" w:cs="Times New Roman"/>
          <w:sz w:val="24"/>
          <w:szCs w:val="24"/>
          <w:rtl/>
        </w:rPr>
        <w:t>الهيئة الوطنية للأمن السيبراني. (</w:t>
      </w:r>
      <w:r w:rsidR="003F0B6A" w:rsidRPr="007C444D">
        <w:rPr>
          <w:rFonts w:ascii="Times New Roman" w:eastAsia="Times New Roman" w:hAnsi="Times New Roman" w:cs="Times New Roman"/>
          <w:sz w:val="24"/>
          <w:szCs w:val="24"/>
        </w:rPr>
        <w:t>2022</w:t>
      </w:r>
      <w:r w:rsidRPr="007C444D">
        <w:rPr>
          <w:rFonts w:ascii="Times New Roman" w:eastAsia="Times New Roman" w:hAnsi="Times New Roman" w:cs="Times New Roman"/>
          <w:sz w:val="24"/>
          <w:szCs w:val="24"/>
          <w:rtl/>
        </w:rPr>
        <w:t>). التقرير الاستراتيجي لحماية البنى التحتية الحيوية. تم الاسترداد من</w:t>
      </w:r>
      <w:r w:rsidRPr="007C444D">
        <w:rPr>
          <w:rFonts w:ascii="Times New Roman" w:eastAsia="Times New Roman" w:hAnsi="Times New Roman" w:cs="Times New Roman"/>
          <w:sz w:val="24"/>
          <w:szCs w:val="24"/>
        </w:rPr>
        <w:t xml:space="preserve"> </w:t>
      </w:r>
      <w:hyperlink r:id="rId14" w:history="1">
        <w:r w:rsidR="007C444D" w:rsidRPr="00630538">
          <w:rPr>
            <w:rStyle w:val="Hyperlink"/>
            <w:rFonts w:ascii="Times New Roman" w:eastAsia="Times New Roman" w:hAnsi="Times New Roman" w:cs="Times New Roman"/>
            <w:sz w:val="24"/>
            <w:szCs w:val="24"/>
          </w:rPr>
          <w:t>https://www.nca.gov.sa</w:t>
        </w:r>
      </w:hyperlink>
    </w:p>
    <w:p w14:paraId="529D891C" w14:textId="77777777" w:rsidR="007C444D" w:rsidRPr="007C444D" w:rsidRDefault="007C444D">
      <w:pPr>
        <w:pStyle w:val="ListParagraph"/>
        <w:numPr>
          <w:ilvl w:val="0"/>
          <w:numId w:val="17"/>
        </w:numPr>
        <w:bidi/>
        <w:spacing w:line="240" w:lineRule="auto"/>
        <w:rPr>
          <w:rFonts w:ascii="Times New Roman" w:eastAsia="Times New Roman" w:hAnsi="Times New Roman" w:cs="Times New Roman"/>
          <w:sz w:val="24"/>
          <w:szCs w:val="24"/>
          <w:rtl/>
        </w:rPr>
      </w:pPr>
      <w:r w:rsidRPr="007C444D">
        <w:rPr>
          <w:rFonts w:ascii="Times New Roman" w:eastAsia="Times New Roman" w:hAnsi="Times New Roman" w:cs="Times New Roman"/>
          <w:sz w:val="24"/>
          <w:szCs w:val="24"/>
          <w:rtl/>
        </w:rPr>
        <w:t>بسام، ع. س. (2022). التحول الرقمي وأثره على أداء المؤسسات الخدمية الحكومية. مجلة البحوث المالية والتجارية, 414192(1), 721-729.</w:t>
      </w:r>
    </w:p>
    <w:p w14:paraId="37357EBE" w14:textId="003337F4" w:rsidR="0037744D" w:rsidRPr="007C444D" w:rsidRDefault="0037744D">
      <w:pPr>
        <w:pStyle w:val="ListParagraph"/>
        <w:numPr>
          <w:ilvl w:val="0"/>
          <w:numId w:val="17"/>
        </w:numPr>
        <w:bidi/>
        <w:spacing w:line="240" w:lineRule="auto"/>
        <w:jc w:val="lowKashida"/>
        <w:rPr>
          <w:rFonts w:ascii="Times New Roman" w:eastAsia="Times New Roman" w:hAnsi="Times New Roman" w:cs="Times New Roman"/>
          <w:sz w:val="24"/>
          <w:szCs w:val="24"/>
        </w:rPr>
      </w:pPr>
      <w:r w:rsidRPr="007C444D">
        <w:rPr>
          <w:rFonts w:ascii="Times New Roman" w:eastAsia="Times New Roman" w:hAnsi="Times New Roman" w:cs="Times New Roman"/>
          <w:sz w:val="24"/>
          <w:szCs w:val="24"/>
          <w:rtl/>
        </w:rPr>
        <w:t>منظمة التجارة العالمية. (</w:t>
      </w:r>
      <w:r w:rsidR="003F0B6A" w:rsidRPr="007C444D">
        <w:rPr>
          <w:rFonts w:ascii="Times New Roman" w:eastAsia="Times New Roman" w:hAnsi="Times New Roman" w:cs="Times New Roman"/>
          <w:sz w:val="24"/>
          <w:szCs w:val="24"/>
        </w:rPr>
        <w:t>2023</w:t>
      </w:r>
      <w:r w:rsidRPr="007C444D">
        <w:rPr>
          <w:rFonts w:ascii="Times New Roman" w:eastAsia="Times New Roman" w:hAnsi="Times New Roman" w:cs="Times New Roman"/>
          <w:sz w:val="24"/>
          <w:szCs w:val="24"/>
          <w:rtl/>
        </w:rPr>
        <w:t>). تقرير تنفيذ اتفاقية تيسير التجارة</w:t>
      </w:r>
      <w:r w:rsidRPr="007C444D">
        <w:rPr>
          <w:rFonts w:ascii="Times New Roman" w:eastAsia="Times New Roman" w:hAnsi="Times New Roman" w:cs="Times New Roman"/>
          <w:sz w:val="24"/>
          <w:szCs w:val="24"/>
        </w:rPr>
        <w:t xml:space="preserve"> (TFA) </w:t>
      </w:r>
      <w:r w:rsidRPr="007C444D">
        <w:rPr>
          <w:rFonts w:ascii="Times New Roman" w:eastAsia="Times New Roman" w:hAnsi="Times New Roman" w:cs="Times New Roman"/>
          <w:sz w:val="24"/>
          <w:szCs w:val="24"/>
          <w:rtl/>
        </w:rPr>
        <w:t>في المملكة العربية السعودية. تم الاسترداد من</w:t>
      </w:r>
      <w:r w:rsidRPr="007C444D">
        <w:rPr>
          <w:rFonts w:ascii="Times New Roman" w:eastAsia="Times New Roman" w:hAnsi="Times New Roman" w:cs="Times New Roman"/>
          <w:sz w:val="24"/>
          <w:szCs w:val="24"/>
        </w:rPr>
        <w:t xml:space="preserve"> </w:t>
      </w:r>
      <w:hyperlink r:id="rId15" w:history="1">
        <w:r w:rsidR="006F2446" w:rsidRPr="007C444D">
          <w:rPr>
            <w:rStyle w:val="Hyperlink"/>
            <w:rFonts w:ascii="Times New Roman" w:eastAsia="Times New Roman" w:hAnsi="Times New Roman" w:cs="Times New Roman"/>
            <w:sz w:val="24"/>
            <w:szCs w:val="24"/>
          </w:rPr>
          <w:t>https://www.wto.org</w:t>
        </w:r>
      </w:hyperlink>
    </w:p>
    <w:p w14:paraId="10DE642A" w14:textId="18D69FFB" w:rsidR="006F2446" w:rsidRPr="007C444D" w:rsidRDefault="006F2446">
      <w:pPr>
        <w:pStyle w:val="ListParagraph"/>
        <w:numPr>
          <w:ilvl w:val="0"/>
          <w:numId w:val="17"/>
        </w:numPr>
        <w:bidi/>
        <w:spacing w:line="240" w:lineRule="auto"/>
        <w:jc w:val="lowKashida"/>
        <w:rPr>
          <w:rFonts w:ascii="Times New Roman" w:eastAsia="Times New Roman" w:hAnsi="Times New Roman" w:cs="Times New Roman"/>
          <w:sz w:val="24"/>
          <w:szCs w:val="24"/>
        </w:rPr>
      </w:pPr>
      <w:r w:rsidRPr="007C444D">
        <w:rPr>
          <w:rFonts w:ascii="Times New Roman" w:eastAsia="Times New Roman" w:hAnsi="Times New Roman" w:cs="Times New Roman"/>
          <w:sz w:val="24"/>
          <w:szCs w:val="24"/>
          <w:rtl/>
        </w:rPr>
        <w:t xml:space="preserve">الهيئة العامة للجمارك </w:t>
      </w:r>
      <w:r w:rsidRPr="007C444D">
        <w:rPr>
          <w:rFonts w:ascii="Times New Roman" w:eastAsia="Times New Roman" w:hAnsi="Times New Roman" w:cs="Times New Roman"/>
          <w:sz w:val="24"/>
          <w:szCs w:val="24"/>
        </w:rPr>
        <w:t>(ZATCA)</w:t>
      </w:r>
      <w:r w:rsidRPr="007C444D">
        <w:rPr>
          <w:rFonts w:ascii="Times New Roman" w:eastAsia="Times New Roman" w:hAnsi="Times New Roman" w:cs="Times New Roman"/>
          <w:sz w:val="24"/>
          <w:szCs w:val="24"/>
          <w:rtl/>
        </w:rPr>
        <w:t>. (</w:t>
      </w:r>
      <w:r w:rsidR="003F0B6A" w:rsidRPr="007C444D">
        <w:rPr>
          <w:rFonts w:ascii="Times New Roman" w:eastAsia="Times New Roman" w:hAnsi="Times New Roman" w:cs="Times New Roman"/>
          <w:sz w:val="24"/>
          <w:szCs w:val="24"/>
        </w:rPr>
        <w:t>2023</w:t>
      </w:r>
      <w:r w:rsidRPr="007C444D">
        <w:rPr>
          <w:rFonts w:ascii="Times New Roman" w:eastAsia="Times New Roman" w:hAnsi="Times New Roman" w:cs="Times New Roman"/>
          <w:sz w:val="24"/>
          <w:szCs w:val="24"/>
          <w:rtl/>
        </w:rPr>
        <w:t xml:space="preserve">). التقرير السنوي لأداء الخدمات الجمركية. تم الاسترداد من </w:t>
      </w:r>
      <w:r w:rsidRPr="007C444D">
        <w:rPr>
          <w:rFonts w:ascii="Times New Roman" w:eastAsia="Times New Roman" w:hAnsi="Times New Roman" w:cs="Times New Roman"/>
          <w:sz w:val="24"/>
          <w:szCs w:val="24"/>
        </w:rPr>
        <w:t>https://zatca.gov.sa</w:t>
      </w:r>
    </w:p>
    <w:p w14:paraId="50F258B8" w14:textId="48CA97E4" w:rsidR="006F2446" w:rsidRPr="007C444D" w:rsidRDefault="006F2446">
      <w:pPr>
        <w:pStyle w:val="ListParagraph"/>
        <w:numPr>
          <w:ilvl w:val="0"/>
          <w:numId w:val="17"/>
        </w:numPr>
        <w:bidi/>
        <w:spacing w:line="240" w:lineRule="auto"/>
        <w:jc w:val="lowKashida"/>
        <w:rPr>
          <w:rFonts w:ascii="Times New Roman" w:eastAsia="Times New Roman" w:hAnsi="Times New Roman" w:cs="Times New Roman"/>
          <w:sz w:val="24"/>
          <w:szCs w:val="24"/>
        </w:rPr>
      </w:pPr>
      <w:r w:rsidRPr="007C444D">
        <w:rPr>
          <w:rFonts w:ascii="Times New Roman" w:eastAsia="Times New Roman" w:hAnsi="Times New Roman" w:cs="Times New Roman"/>
          <w:sz w:val="24"/>
          <w:szCs w:val="24"/>
          <w:rtl/>
        </w:rPr>
        <w:t xml:space="preserve">الهيئة الوطنية للأمن السيبراني </w:t>
      </w:r>
      <w:r w:rsidRPr="007C444D">
        <w:rPr>
          <w:rFonts w:ascii="Times New Roman" w:eastAsia="Times New Roman" w:hAnsi="Times New Roman" w:cs="Times New Roman"/>
          <w:sz w:val="24"/>
          <w:szCs w:val="24"/>
        </w:rPr>
        <w:t>(NCA)</w:t>
      </w:r>
      <w:r w:rsidRPr="007C444D">
        <w:rPr>
          <w:rFonts w:ascii="Times New Roman" w:eastAsia="Times New Roman" w:hAnsi="Times New Roman" w:cs="Times New Roman"/>
          <w:sz w:val="24"/>
          <w:szCs w:val="24"/>
          <w:rtl/>
        </w:rPr>
        <w:t>. (</w:t>
      </w:r>
      <w:r w:rsidR="003F0B6A" w:rsidRPr="007C444D">
        <w:rPr>
          <w:rFonts w:ascii="Times New Roman" w:eastAsia="Times New Roman" w:hAnsi="Times New Roman" w:cs="Times New Roman"/>
          <w:sz w:val="24"/>
          <w:szCs w:val="24"/>
        </w:rPr>
        <w:t>2022</w:t>
      </w:r>
      <w:r w:rsidRPr="007C444D">
        <w:rPr>
          <w:rFonts w:ascii="Times New Roman" w:eastAsia="Times New Roman" w:hAnsi="Times New Roman" w:cs="Times New Roman"/>
          <w:sz w:val="24"/>
          <w:szCs w:val="24"/>
          <w:rtl/>
        </w:rPr>
        <w:t xml:space="preserve">). التقرير الاستراتيجي للأمن السيبراني. تم الاسترداد من </w:t>
      </w:r>
      <w:r w:rsidRPr="007C444D">
        <w:rPr>
          <w:rFonts w:ascii="Times New Roman" w:eastAsia="Times New Roman" w:hAnsi="Times New Roman" w:cs="Times New Roman"/>
          <w:sz w:val="24"/>
          <w:szCs w:val="24"/>
        </w:rPr>
        <w:t>https://nca.gov.sa</w:t>
      </w:r>
    </w:p>
    <w:p w14:paraId="1C5F2541" w14:textId="08BA99A5" w:rsidR="006F2446" w:rsidRPr="007C444D" w:rsidRDefault="006F2446">
      <w:pPr>
        <w:pStyle w:val="ListParagraph"/>
        <w:numPr>
          <w:ilvl w:val="0"/>
          <w:numId w:val="17"/>
        </w:numPr>
        <w:bidi/>
        <w:spacing w:line="240" w:lineRule="auto"/>
        <w:jc w:val="lowKashida"/>
        <w:rPr>
          <w:rFonts w:ascii="Times New Roman" w:eastAsia="Times New Roman" w:hAnsi="Times New Roman" w:cs="Times New Roman"/>
          <w:sz w:val="24"/>
          <w:szCs w:val="24"/>
        </w:rPr>
      </w:pPr>
      <w:r w:rsidRPr="007C444D">
        <w:rPr>
          <w:rFonts w:ascii="Times New Roman" w:eastAsia="Times New Roman" w:hAnsi="Times New Roman" w:cs="Times New Roman"/>
          <w:sz w:val="24"/>
          <w:szCs w:val="24"/>
          <w:rtl/>
        </w:rPr>
        <w:t>البنك الدولي. (</w:t>
      </w:r>
      <w:r w:rsidR="003F0B6A" w:rsidRPr="007C444D">
        <w:rPr>
          <w:rFonts w:ascii="Times New Roman" w:eastAsia="Times New Roman" w:hAnsi="Times New Roman" w:cs="Times New Roman"/>
          <w:sz w:val="24"/>
          <w:szCs w:val="24"/>
        </w:rPr>
        <w:t>2023</w:t>
      </w:r>
      <w:r w:rsidRPr="007C444D">
        <w:rPr>
          <w:rFonts w:ascii="Times New Roman" w:eastAsia="Times New Roman" w:hAnsi="Times New Roman" w:cs="Times New Roman"/>
          <w:sz w:val="24"/>
          <w:szCs w:val="24"/>
          <w:rtl/>
        </w:rPr>
        <w:t>). تقرير مؤشر أداء الخدمات اللوجستية (</w:t>
      </w:r>
      <w:r w:rsidRPr="007C444D">
        <w:rPr>
          <w:rFonts w:ascii="Times New Roman" w:eastAsia="Times New Roman" w:hAnsi="Times New Roman" w:cs="Times New Roman"/>
          <w:sz w:val="24"/>
          <w:szCs w:val="24"/>
        </w:rPr>
        <w:t>LPI</w:t>
      </w:r>
      <w:r w:rsidRPr="007C444D">
        <w:rPr>
          <w:rFonts w:ascii="Times New Roman" w:eastAsia="Times New Roman" w:hAnsi="Times New Roman" w:cs="Times New Roman"/>
          <w:sz w:val="24"/>
          <w:szCs w:val="24"/>
          <w:rtl/>
        </w:rPr>
        <w:t xml:space="preserve">). تم الاسترداد من </w:t>
      </w:r>
      <w:r w:rsidRPr="007C444D">
        <w:rPr>
          <w:rFonts w:ascii="Times New Roman" w:eastAsia="Times New Roman" w:hAnsi="Times New Roman" w:cs="Times New Roman"/>
          <w:sz w:val="24"/>
          <w:szCs w:val="24"/>
        </w:rPr>
        <w:t>https://worldbank.org</w:t>
      </w:r>
    </w:p>
    <w:p w14:paraId="694CC3A5" w14:textId="0C10C271" w:rsidR="006F2446" w:rsidRPr="007C444D" w:rsidRDefault="006F2446">
      <w:pPr>
        <w:pStyle w:val="ListParagraph"/>
        <w:numPr>
          <w:ilvl w:val="0"/>
          <w:numId w:val="17"/>
        </w:numPr>
        <w:bidi/>
        <w:spacing w:line="240" w:lineRule="auto"/>
        <w:jc w:val="lowKashida"/>
        <w:rPr>
          <w:rFonts w:ascii="Times New Roman" w:eastAsia="Times New Roman" w:hAnsi="Times New Roman" w:cs="Times New Roman"/>
          <w:sz w:val="24"/>
          <w:szCs w:val="24"/>
        </w:rPr>
      </w:pPr>
      <w:r w:rsidRPr="007C444D">
        <w:rPr>
          <w:rFonts w:ascii="Times New Roman" w:eastAsia="Times New Roman" w:hAnsi="Times New Roman" w:cs="Times New Roman"/>
          <w:sz w:val="24"/>
          <w:szCs w:val="24"/>
          <w:rtl/>
        </w:rPr>
        <w:t xml:space="preserve">وزارة الاستثمار </w:t>
      </w:r>
      <w:r w:rsidRPr="007C444D">
        <w:rPr>
          <w:rFonts w:ascii="Times New Roman" w:eastAsia="Times New Roman" w:hAnsi="Times New Roman" w:cs="Times New Roman"/>
          <w:sz w:val="24"/>
          <w:szCs w:val="24"/>
        </w:rPr>
        <w:t>(MISA)</w:t>
      </w:r>
      <w:r w:rsidRPr="007C444D">
        <w:rPr>
          <w:rFonts w:ascii="Times New Roman" w:eastAsia="Times New Roman" w:hAnsi="Times New Roman" w:cs="Times New Roman"/>
          <w:sz w:val="24"/>
          <w:szCs w:val="24"/>
          <w:rtl/>
        </w:rPr>
        <w:t>. (</w:t>
      </w:r>
      <w:r w:rsidR="003F0B6A" w:rsidRPr="007C444D">
        <w:rPr>
          <w:rFonts w:ascii="Times New Roman" w:eastAsia="Times New Roman" w:hAnsi="Times New Roman" w:cs="Times New Roman"/>
          <w:sz w:val="24"/>
          <w:szCs w:val="24"/>
        </w:rPr>
        <w:t>2023</w:t>
      </w:r>
      <w:r w:rsidRPr="007C444D">
        <w:rPr>
          <w:rFonts w:ascii="Times New Roman" w:eastAsia="Times New Roman" w:hAnsi="Times New Roman" w:cs="Times New Roman"/>
          <w:sz w:val="24"/>
          <w:szCs w:val="24"/>
          <w:rtl/>
        </w:rPr>
        <w:t xml:space="preserve">). تقرير تدفقات الاستثمار الأجنبي المباشر. تم الاسترداد من </w:t>
      </w:r>
      <w:r w:rsidRPr="007C444D">
        <w:rPr>
          <w:rFonts w:ascii="Times New Roman" w:eastAsia="Times New Roman" w:hAnsi="Times New Roman" w:cs="Times New Roman"/>
          <w:sz w:val="24"/>
          <w:szCs w:val="24"/>
        </w:rPr>
        <w:t>https://misa.gov.sa</w:t>
      </w:r>
    </w:p>
    <w:p w14:paraId="080D64DC" w14:textId="2CC0B11E" w:rsidR="00202E2A" w:rsidRPr="007C444D" w:rsidRDefault="006F2446">
      <w:pPr>
        <w:pStyle w:val="ListParagraph"/>
        <w:numPr>
          <w:ilvl w:val="0"/>
          <w:numId w:val="17"/>
        </w:numPr>
        <w:bidi/>
        <w:spacing w:line="240" w:lineRule="auto"/>
        <w:jc w:val="lowKashida"/>
        <w:rPr>
          <w:rFonts w:ascii="Times New Roman" w:eastAsia="Times New Roman" w:hAnsi="Times New Roman" w:cs="Times New Roman"/>
          <w:sz w:val="24"/>
          <w:szCs w:val="24"/>
        </w:rPr>
      </w:pPr>
      <w:r w:rsidRPr="007C444D">
        <w:rPr>
          <w:rFonts w:ascii="Times New Roman" w:eastAsia="Times New Roman" w:hAnsi="Times New Roman" w:cs="Times New Roman"/>
          <w:sz w:val="24"/>
          <w:szCs w:val="24"/>
          <w:rtl/>
        </w:rPr>
        <w:t xml:space="preserve">منظمة التجارة العالمية </w:t>
      </w:r>
      <w:r w:rsidRPr="007C444D">
        <w:rPr>
          <w:rFonts w:ascii="Times New Roman" w:eastAsia="Times New Roman" w:hAnsi="Times New Roman" w:cs="Times New Roman"/>
          <w:sz w:val="24"/>
          <w:szCs w:val="24"/>
        </w:rPr>
        <w:t>(WTO)</w:t>
      </w:r>
      <w:r w:rsidRPr="007C444D">
        <w:rPr>
          <w:rFonts w:ascii="Times New Roman" w:eastAsia="Times New Roman" w:hAnsi="Times New Roman" w:cs="Times New Roman"/>
          <w:sz w:val="24"/>
          <w:szCs w:val="24"/>
          <w:rtl/>
        </w:rPr>
        <w:t>. (</w:t>
      </w:r>
      <w:r w:rsidR="003F0B6A" w:rsidRPr="007C444D">
        <w:rPr>
          <w:rFonts w:ascii="Times New Roman" w:eastAsia="Times New Roman" w:hAnsi="Times New Roman" w:cs="Times New Roman"/>
          <w:sz w:val="24"/>
          <w:szCs w:val="24"/>
        </w:rPr>
        <w:t>2023</w:t>
      </w:r>
      <w:r w:rsidRPr="007C444D">
        <w:rPr>
          <w:rFonts w:ascii="Times New Roman" w:eastAsia="Times New Roman" w:hAnsi="Times New Roman" w:cs="Times New Roman"/>
          <w:sz w:val="24"/>
          <w:szCs w:val="24"/>
          <w:rtl/>
        </w:rPr>
        <w:t xml:space="preserve">). تقرير تنفيذ اتفاقية تيسير التجارة. تم الاسترداد من </w:t>
      </w:r>
      <w:hyperlink r:id="rId16" w:history="1">
        <w:r w:rsidR="00A829B1" w:rsidRPr="007C444D">
          <w:rPr>
            <w:rStyle w:val="Hyperlink"/>
            <w:rFonts w:ascii="Times New Roman" w:eastAsia="Times New Roman" w:hAnsi="Times New Roman" w:cs="Times New Roman"/>
            <w:sz w:val="24"/>
            <w:szCs w:val="24"/>
          </w:rPr>
          <w:t>https://wto.org</w:t>
        </w:r>
      </w:hyperlink>
      <w:r w:rsidR="00A829B1" w:rsidRPr="007C444D">
        <w:rPr>
          <w:rFonts w:ascii="Times New Roman" w:eastAsia="Times New Roman" w:hAnsi="Times New Roman" w:cs="Times New Roman"/>
          <w:sz w:val="24"/>
          <w:szCs w:val="24"/>
          <w:rtl/>
        </w:rPr>
        <w:t>.</w:t>
      </w:r>
    </w:p>
    <w:p w14:paraId="493068DC" w14:textId="13081733" w:rsidR="00A829B1" w:rsidRPr="007C444D" w:rsidRDefault="00A829B1">
      <w:pPr>
        <w:pStyle w:val="ds-markdown-paragraph"/>
        <w:numPr>
          <w:ilvl w:val="0"/>
          <w:numId w:val="17"/>
        </w:numPr>
        <w:shd w:val="clear" w:color="auto" w:fill="FFFFFF"/>
        <w:bidi/>
        <w:spacing w:before="206" w:beforeAutospacing="0" w:after="206" w:afterAutospacing="0"/>
        <w:rPr>
          <w:color w:val="404040"/>
        </w:rPr>
      </w:pPr>
      <w:r w:rsidRPr="007C444D">
        <w:rPr>
          <w:rtl/>
        </w:rPr>
        <w:t>المركز الوطني للتنافسية</w:t>
      </w:r>
      <w:r w:rsidRPr="007C444D">
        <w:t>. (2023). </w:t>
      </w:r>
      <w:r w:rsidRPr="007C444D">
        <w:rPr>
          <w:rtl/>
        </w:rPr>
        <w:t>تقرير</w:t>
      </w:r>
      <w:r w:rsidRPr="007C444D">
        <w:rPr>
          <w:i/>
          <w:iCs/>
          <w:rtl/>
        </w:rPr>
        <w:t xml:space="preserve"> مؤشر التنافسية العالمية للمملكة العربية السعودية: تحسين بيئة الأعمال والخدمات الجمركية</w:t>
      </w:r>
      <w:r w:rsidRPr="007C444D">
        <w:rPr>
          <w:rtl/>
        </w:rPr>
        <w:t> </w:t>
      </w:r>
      <w:r w:rsidRPr="007C444D">
        <w:t xml:space="preserve">[Global Competitiveness Index Report for Saudi Arabia: Improving </w:t>
      </w:r>
      <w:r w:rsidRPr="007C444D">
        <w:rPr>
          <w:rtl/>
        </w:rPr>
        <w:t xml:space="preserve"> </w:t>
      </w:r>
      <w:r w:rsidRPr="007C444D">
        <w:t xml:space="preserve">Business Environment and Customs Services].  </w:t>
      </w:r>
      <w:r w:rsidRPr="007C444D">
        <w:rPr>
          <w:rtl/>
        </w:rPr>
        <w:t>الهيئة السعودية للتنافسية</w:t>
      </w:r>
      <w:r w:rsidRPr="007C444D">
        <w:t>. </w:t>
      </w:r>
      <w:hyperlink r:id="rId17" w:tgtFrame="_blank" w:history="1">
        <w:r w:rsidRPr="007C444D">
          <w:t>https://www.ncc.gov.sa</w:t>
        </w:r>
      </w:hyperlink>
    </w:p>
    <w:p w14:paraId="12220881" w14:textId="77777777" w:rsidR="00202E2A" w:rsidRPr="007C444D" w:rsidRDefault="00202E2A">
      <w:pPr>
        <w:pStyle w:val="ListParagraph"/>
        <w:numPr>
          <w:ilvl w:val="0"/>
          <w:numId w:val="17"/>
        </w:numPr>
        <w:bidi/>
        <w:spacing w:line="240" w:lineRule="auto"/>
        <w:rPr>
          <w:rFonts w:ascii="Times New Roman" w:eastAsia="Times New Roman" w:hAnsi="Times New Roman" w:cs="Times New Roman"/>
          <w:sz w:val="24"/>
          <w:szCs w:val="24"/>
          <w:rtl/>
        </w:rPr>
      </w:pPr>
      <w:r w:rsidRPr="007C444D">
        <w:rPr>
          <w:rFonts w:ascii="Times New Roman" w:eastAsia="Times New Roman" w:hAnsi="Times New Roman" w:cs="Times New Roman"/>
          <w:sz w:val="24"/>
          <w:szCs w:val="24"/>
          <w:rtl/>
        </w:rPr>
        <w:t>هيئة الحكومة الرقمية. (2024). المملكة تحقق أفضل نتيجة تاريخية وتتقدم 12 مرتبة عالمياً في مؤشر الأمم المتحدة لتطور الحكومة الإلكترونية. (بيان صحفي).</w:t>
      </w:r>
    </w:p>
    <w:p w14:paraId="7810DA3E" w14:textId="44497CE4" w:rsidR="00202E2A" w:rsidRPr="007C444D" w:rsidRDefault="00202E2A">
      <w:pPr>
        <w:pStyle w:val="ListParagraph"/>
        <w:numPr>
          <w:ilvl w:val="0"/>
          <w:numId w:val="17"/>
        </w:numPr>
        <w:bidi/>
        <w:spacing w:line="240" w:lineRule="auto"/>
        <w:rPr>
          <w:rFonts w:ascii="Times New Roman" w:eastAsia="Times New Roman" w:hAnsi="Times New Roman" w:cs="Times New Roman"/>
          <w:sz w:val="24"/>
          <w:szCs w:val="24"/>
        </w:rPr>
      </w:pPr>
      <w:r w:rsidRPr="007C444D">
        <w:rPr>
          <w:rFonts w:ascii="Times New Roman" w:eastAsia="Times New Roman" w:hAnsi="Times New Roman" w:cs="Times New Roman"/>
          <w:sz w:val="24"/>
          <w:szCs w:val="24"/>
          <w:rtl/>
        </w:rPr>
        <w:t>هيئة الحكومة الرقمية. (2025). ارتفاع مؤشر نضج التجربة الرقمية لعام 2025 إلى (86.71%). (تقرير دوري).</w:t>
      </w:r>
    </w:p>
    <w:p w14:paraId="7DEC5DB5" w14:textId="1F7B8727" w:rsidR="0037744D" w:rsidRPr="0019590B" w:rsidRDefault="0037744D" w:rsidP="0019590B">
      <w:pPr>
        <w:bidi/>
        <w:spacing w:line="276" w:lineRule="auto"/>
        <w:rPr>
          <w:rFonts w:asciiTheme="majorBidi" w:hAnsiTheme="majorBidi" w:cstheme="majorBidi"/>
          <w:b/>
          <w:bCs/>
          <w:color w:val="002060"/>
          <w:sz w:val="28"/>
          <w:szCs w:val="28"/>
          <w:rtl/>
          <w:lang w:bidi="ar-EG"/>
        </w:rPr>
      </w:pPr>
      <w:r w:rsidRPr="0019590B">
        <w:rPr>
          <w:rFonts w:asciiTheme="majorBidi" w:hAnsiTheme="majorBidi" w:cstheme="majorBidi"/>
          <w:b/>
          <w:bCs/>
          <w:color w:val="002060"/>
          <w:sz w:val="28"/>
          <w:szCs w:val="28"/>
          <w:rtl/>
          <w:lang w:bidi="ar-EG"/>
        </w:rPr>
        <w:t>المراجع الأجنبية:</w:t>
      </w:r>
    </w:p>
    <w:p w14:paraId="4CA40E7D" w14:textId="0207311E"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 xml:space="preserve">Alharbi, N., &amp; Qureshi, K. (2025). Cyber resilience in ZATCA: Post-quantum encryption readiness. </w:t>
      </w:r>
      <w:r w:rsidRPr="00D04085">
        <w:rPr>
          <w:rFonts w:asciiTheme="majorBidi" w:hAnsiTheme="majorBidi"/>
          <w:rtl/>
        </w:rPr>
        <w:t>مجلة أمن المعلومات, 31</w:t>
      </w:r>
      <w:r w:rsidRPr="00D04085">
        <w:rPr>
          <w:rFonts w:asciiTheme="majorBidi" w:hAnsiTheme="majorBidi" w:cstheme="majorBidi"/>
        </w:rPr>
        <w:t>(2).</w:t>
      </w:r>
    </w:p>
    <w:p w14:paraId="63F7BABB" w14:textId="68F407EA"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lastRenderedPageBreak/>
        <w:t xml:space="preserve">Alharbi, T. D. (2025). </w:t>
      </w:r>
      <w:r w:rsidRPr="00D04085">
        <w:rPr>
          <w:rFonts w:asciiTheme="majorBidi" w:hAnsiTheme="majorBidi"/>
          <w:rtl/>
        </w:rPr>
        <w:t>دور الحكومة الرقمية ودعمها للجهات الحكومية في تبني التقنيات الناشئة</w:t>
      </w:r>
      <w:r w:rsidRPr="00D04085">
        <w:rPr>
          <w:rFonts w:asciiTheme="majorBidi" w:hAnsiTheme="majorBidi" w:cstheme="majorBidi"/>
        </w:rPr>
        <w:t xml:space="preserve"> [Unpublished master’s thesis]. King Abdulaziz University.</w:t>
      </w:r>
    </w:p>
    <w:p w14:paraId="321E8889" w14:textId="74E088CE"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Almarzooqi, H., El Sayed, H., &amp; Al Marzooqi, F. (2021). Digital transformation in the public sector: Critical success factors and challenges in the UAE. Government Information Quarterly, 38(2), Article 101569.</w:t>
      </w:r>
    </w:p>
    <w:p w14:paraId="42D827B6" w14:textId="64ED2DC9"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 xml:space="preserve">Al-Mashari, M., &amp; Al-Somali, S. (2023). Digital transformation and trade facilitation: A secure cross-border e-commerce framework in GCC. </w:t>
      </w:r>
      <w:r w:rsidRPr="00D04085">
        <w:rPr>
          <w:rFonts w:asciiTheme="majorBidi" w:hAnsiTheme="majorBidi"/>
          <w:rtl/>
        </w:rPr>
        <w:t>مجلة الإدارة والأعمال الخليجية, 19(4), 112–135</w:t>
      </w:r>
      <w:r w:rsidRPr="00D04085">
        <w:rPr>
          <w:rFonts w:asciiTheme="majorBidi" w:hAnsiTheme="majorBidi" w:cstheme="majorBidi"/>
        </w:rPr>
        <w:t>.</w:t>
      </w:r>
    </w:p>
    <w:p w14:paraId="17D1DFD1" w14:textId="7A026809"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Al-Mashari, M., &amp; Al-Somali, S. A. (2019). Digital transformation and trade facilitation: A framework for secure cross-border e-commerce. Journal of Global Information Technology Management, 22(3), 123–140.</w:t>
      </w:r>
    </w:p>
    <w:p w14:paraId="09152B2A" w14:textId="495E1050"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 xml:space="preserve">Alotaibi, S., &amp; Alghamdi, A. (2024). Impact of e-invoicing phase 2 on trade security and revenue assurance: ZATCA field study. </w:t>
      </w:r>
      <w:r w:rsidRPr="00D04085">
        <w:rPr>
          <w:rFonts w:asciiTheme="majorBidi" w:hAnsiTheme="majorBidi"/>
          <w:rtl/>
        </w:rPr>
        <w:t>مجلة البحوث المالية والضريبية, 28, 45–68</w:t>
      </w:r>
      <w:r w:rsidRPr="00D04085">
        <w:rPr>
          <w:rFonts w:asciiTheme="majorBidi" w:hAnsiTheme="majorBidi" w:cstheme="majorBidi"/>
        </w:rPr>
        <w:t>.</w:t>
      </w:r>
    </w:p>
    <w:p w14:paraId="1871DA5F" w14:textId="38A4AE65"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 xml:space="preserve">American Journal of Research in Social Sciences and Humanities. (2025). </w:t>
      </w:r>
      <w:r w:rsidRPr="00D04085">
        <w:rPr>
          <w:rFonts w:asciiTheme="majorBidi" w:hAnsiTheme="majorBidi"/>
          <w:rtl/>
        </w:rPr>
        <w:t>التحول الرقمي كمسار لتحقيق حكومة فاعلة ضمن مستهدفات الرؤية 2030</w:t>
      </w:r>
      <w:r w:rsidRPr="00D04085">
        <w:rPr>
          <w:rFonts w:asciiTheme="majorBidi" w:hAnsiTheme="majorBidi" w:cstheme="majorBidi"/>
        </w:rPr>
        <w:t>. American Journal of Research in Social Sciences and Humanities, 12(3).</w:t>
      </w:r>
    </w:p>
    <w:p w14:paraId="596131DB" w14:textId="20C330A9"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Brown, A. (2021). Digital transformation in customs procedures: Enhancing efficiency and transparency. Journal of International Trade and Customs, 15(3), 45–67.</w:t>
      </w:r>
    </w:p>
    <w:p w14:paraId="41E1D816" w14:textId="7B2E804F"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Chirumalla, K. (2021). The role of digital capabilities in digital transformation: A dynamic capabilities perspective. Journal of Strategic Information Systems, 30(2), Article 101660.</w:t>
      </w:r>
    </w:p>
    <w:p w14:paraId="7383DAD3" w14:textId="41FD4A64"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Deloitte. (2020). Cybersecurity as a catalyst for innovation. Deloitte Insights.</w:t>
      </w:r>
    </w:p>
    <w:p w14:paraId="47837395" w14:textId="2D1BA330"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Digital Government Authority. (2025). Digital experience maturity index 2025: ZATCA at 93.25%.</w:t>
      </w:r>
    </w:p>
    <w:p w14:paraId="2F56392C" w14:textId="18503F82"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Dong, B. (2023). Digital transformation in public sector: A perspective on evolutionary e-government. Journal of Public Administration and Technology, 12(3), 45–60.</w:t>
      </w:r>
    </w:p>
    <w:p w14:paraId="2AF8BEC9" w14:textId="59A11440"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EY Saudi Arabia &amp; ZATCA. (2025). E-invoicing wave 23-25: Compliance impact on customs efficiency &amp; cyber resilience. EY KSA &amp; ZATCA.</w:t>
      </w:r>
    </w:p>
    <w:p w14:paraId="7DE532D3" w14:textId="1392B3AB"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Garcia, R. (2020). Economic digitalization and investment growth. Springer.</w:t>
      </w:r>
    </w:p>
    <w:p w14:paraId="74D540D3" w14:textId="7E03677B"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Gartner. (2024). The Gartner digital transformation roadmap: From initiative to strategy. Gartner Inc.</w:t>
      </w:r>
    </w:p>
    <w:p w14:paraId="051BEE2B" w14:textId="63A5DB02"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Gupta, S., &amp; Kumar, V. (2020). Blockchain technology and its role in enhancing supply chain security. International Journal of Production Economics, 228, 107831.</w:t>
      </w:r>
    </w:p>
    <w:p w14:paraId="7E06EA27" w14:textId="6CCFC958"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Hanelt, A., Bohnsack, R., Marz, D., &amp; Antunes, J. (2021). A systematic review of the literature on digital transformation: Insights and future research avenues. European Journal of Information Systems, 30(3), 290–310.</w:t>
      </w:r>
    </w:p>
    <w:p w14:paraId="617B1CF3" w14:textId="7A6C2B34"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lastRenderedPageBreak/>
        <w:t>Hermann, F., Schermann, J., &amp; Matt, C. (2024). Understanding digital transformation in the public sector: A process perspective. Information Systems Frontiers, 26(1), 1–17.</w:t>
      </w:r>
    </w:p>
    <w:p w14:paraId="1F218C87" w14:textId="22C25C02"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International Monetary Fund (IMF). (2022). Digital fiscal solutions for emerging economies. IMF Working Paper.</w:t>
      </w:r>
    </w:p>
    <w:p w14:paraId="050F6B9E" w14:textId="155084C8"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Johnson, P. (2019). Tax compliance and transparency in the digital age. Cambridge University Press.</w:t>
      </w:r>
    </w:p>
    <w:p w14:paraId="10124B48" w14:textId="4D02AE25"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Lee, H., et al. (2022). AI-powered customs surveillance: A case study of Singapore. International Journal of Logistics Management, 34(2), 112–130.</w:t>
      </w:r>
    </w:p>
    <w:p w14:paraId="028A54F4" w14:textId="7ADF91D6"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Lee, J., &amp; et al. (2024). UNI-PASS 2.0: AI-driven risk management in Korean customs. Journal of Customs and Trade, 15, 89–112.</w:t>
      </w:r>
    </w:p>
    <w:p w14:paraId="148FB105" w14:textId="6DEABB1F"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Lee, J., Lee, H., &amp; Kim, Y. (2021). Artificial intelligence in customs automation: A case study of South Korea’s trade security. Computers &amp; Security, 104, 102212.</w:t>
      </w:r>
    </w:p>
    <w:p w14:paraId="36EAD629" w14:textId="6119822E"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Marx, M., Pletzer, L., &amp; Schermann, J. (2021). Dynamic capabilities and digital maturity: A moderated mediation model. Strategic Management Journal, 42(6), 1145–1172.</w:t>
      </w:r>
    </w:p>
    <w:p w14:paraId="6B2909B5" w14:textId="2AA40A89"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Matt, C., Hess, T., &amp; Benlian, A. (2015). Digital transformation strategies. Business &amp; Information Systems Engineering, 57(5), 339–343.</w:t>
      </w:r>
    </w:p>
    <w:p w14:paraId="11EE6BC1" w14:textId="7234EBDB"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McKinsey &amp; Company. (2022). The six dimensions of digital transformation: A roadmap for public sector organizations. https://www.mckinsey.com/digital-transformation</w:t>
      </w:r>
    </w:p>
    <w:p w14:paraId="18ADAEC2" w14:textId="73491256"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Megrel, A., &amp; et al. (2018). User engagement in digital transformation: The role of dynamic capabilities and co-creation. International Journal of Digital Innovation, 7(4), 22–38.</w:t>
      </w:r>
    </w:p>
    <w:p w14:paraId="1A1BF50C" w14:textId="55516F18"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Muehlburger, M., &amp; et al. (2019). Digital transformation as a driver of value chain reconfiguration. Strategic Management Journal, 40(5), 789–812.</w:t>
      </w:r>
    </w:p>
    <w:p w14:paraId="09697204" w14:textId="301FBD51"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OECD. (2018). Digital trade: Promoting security and trust in global value chains. OECD Publishing.</w:t>
      </w:r>
    </w:p>
    <w:p w14:paraId="32FC9D3D" w14:textId="4CAE9ED9"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OECD. (2020). OECD digital economy outlook 2020. OECD Publishing.</w:t>
      </w:r>
    </w:p>
    <w:p w14:paraId="5E803961" w14:textId="6210BD2D"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OECD. (2025). Measuring the digital transformation: A roadmap. OECD Publishing.</w:t>
      </w:r>
    </w:p>
    <w:p w14:paraId="6D44D195" w14:textId="37365917"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Pagero &amp; UnifiedPost Group. (2025). CTC e-invoicing in GCC &amp; ASEAN: ZATCA vs FTA vs Singapore customs. Gartner Magic Quadrant.</w:t>
      </w:r>
    </w:p>
    <w:p w14:paraId="3DD32A97" w14:textId="3B0496DB"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PwC. (2023). AI-driven tax compliance: Global trends and case studies. PwC Insights.</w:t>
      </w:r>
    </w:p>
    <w:p w14:paraId="03BDD5C7" w14:textId="3A1C1EAF"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Rogers, E. M. (2003). Diffusion of innovations (5th ed.). Free Press.</w:t>
      </w:r>
    </w:p>
    <w:p w14:paraId="4A20CB51" w14:textId="63D1F238"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Rukanova, B., &amp; et al. (2025). Digital customs in EU single window: Security vs speed trade-off. European Commission.</w:t>
      </w:r>
    </w:p>
    <w:p w14:paraId="078DEBEC" w14:textId="08463599"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lastRenderedPageBreak/>
        <w:t>Smith, A. (2020). Enhancing cybersecurity for digital government transformation. Government Information Quarterly, 36(2), 300–312.</w:t>
      </w:r>
    </w:p>
    <w:p w14:paraId="27AFFCC8" w14:textId="0882ED9A"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Smith, J. (2018). Artificial intelligence in customs and border security. Routledge.</w:t>
      </w:r>
    </w:p>
    <w:p w14:paraId="6E6F272D" w14:textId="21E1D735"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United Nations. (2023). Sustainable trade practices: A pathway to SDGs. UNCTAD Publications.</w:t>
      </w:r>
    </w:p>
    <w:p w14:paraId="3E367086" w14:textId="7009D0D0"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Vial, G. (2019). Understanding digital transformation: A review and a research agenda. The Journal of Strategic Information Systems, 28(2), 118–144.</w:t>
      </w:r>
    </w:p>
    <w:p w14:paraId="7212CEE9" w14:textId="439C9D1F"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Westerman, G., &amp; Bonnet, D. (2023). The digital master: How to thrive in the next decade of digital business. MIT Press.</w:t>
      </w:r>
    </w:p>
    <w:p w14:paraId="39B89E35" w14:textId="6A4474EB"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World Bank. (2020). World development report 2020: Trading for development in the age of global value chains. World Bank Publications.</w:t>
      </w:r>
    </w:p>
    <w:p w14:paraId="08295998" w14:textId="5F464039"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World Customs Organization. (2023). Customs 4.0: A roadmap for digital transformation. WCO Publications.</w:t>
      </w:r>
    </w:p>
    <w:p w14:paraId="10447D7F" w14:textId="251AB748"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World Customs Organization. (2025). Customs 4.0 global benchmark: ZATCA case study &amp; virtual reality training. WCO Publications.</w:t>
      </w:r>
    </w:p>
    <w:p w14:paraId="5B3D0EBA" w14:textId="77777777"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Zakat, Tax and Customs Authority. (2021). Annual report on digital transformation initiatives. Riyadh: Zakat, Tax and Customs Authority</w:t>
      </w:r>
    </w:p>
    <w:p w14:paraId="0976CC3E" w14:textId="3261566B" w:rsidR="00202E2A"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ZATCA. (2025). From Fasah to smart customs 2030: AI &amp; blockchain roadmap. ZATCA.</w:t>
      </w:r>
    </w:p>
    <w:sectPr w:rsidR="00202E2A" w:rsidRPr="00D04085" w:rsidSect="00125506">
      <w:footerReference w:type="default" r:id="rId18"/>
      <w:pgSz w:w="12240" w:h="15840"/>
      <w:pgMar w:top="1440" w:right="1440" w:bottom="1440" w:left="1440" w:header="720" w:footer="720" w:gutter="0"/>
      <w:pgBorders w:offsetFrom="page">
        <w:top w:val="threeDEngrave" w:sz="24" w:space="24" w:color="ACB9CA" w:themeColor="text2" w:themeTint="66"/>
        <w:left w:val="threeDEngrave" w:sz="24" w:space="24" w:color="ACB9CA" w:themeColor="text2" w:themeTint="66"/>
        <w:bottom w:val="threeDEngrave" w:sz="24" w:space="24" w:color="ACB9CA" w:themeColor="text2" w:themeTint="66"/>
        <w:right w:val="threeDEngrave" w:sz="24" w:space="24" w:color="ACB9CA" w:themeColor="text2" w:themeTint="66"/>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799231" w14:textId="77777777" w:rsidR="0031241C" w:rsidRDefault="0031241C" w:rsidP="003B58F9">
      <w:pPr>
        <w:spacing w:after="0" w:line="240" w:lineRule="auto"/>
      </w:pPr>
      <w:r>
        <w:separator/>
      </w:r>
    </w:p>
  </w:endnote>
  <w:endnote w:type="continuationSeparator" w:id="0">
    <w:p w14:paraId="192ED894" w14:textId="77777777" w:rsidR="0031241C" w:rsidRDefault="0031241C" w:rsidP="003B58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T Bold Broken">
    <w:panose1 w:val="02010400000000000000"/>
    <w:charset w:val="B2"/>
    <w:family w:val="auto"/>
    <w:pitch w:val="variable"/>
    <w:sig w:usb0="00002001" w:usb1="80000000" w:usb2="00000008" w:usb3="00000000" w:csb0="00000040" w:csb1="00000000"/>
  </w:font>
  <w:font w:name="PT Bold Heading">
    <w:panose1 w:val="02010400000000000000"/>
    <w:charset w:val="B2"/>
    <w:family w:val="auto"/>
    <w:pitch w:val="variable"/>
    <w:sig w:usb0="00002001" w:usb1="80000000" w:usb2="00000008" w:usb3="00000000" w:csb0="00000040"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FA9B12" w14:textId="6855F36E" w:rsidR="003B58F9" w:rsidRDefault="00B40D1C">
    <w:pPr>
      <w:pStyle w:val="Footer"/>
    </w:pPr>
    <w:r>
      <w:rPr>
        <w:noProof/>
        <w:color w:val="808080" w:themeColor="background1" w:themeShade="80"/>
      </w:rPr>
      <mc:AlternateContent>
        <mc:Choice Requires="wpg">
          <w:drawing>
            <wp:anchor distT="0" distB="0" distL="0" distR="0" simplePos="0" relativeHeight="251660288" behindDoc="0" locked="0" layoutInCell="1" allowOverlap="1" wp14:anchorId="4468AE09" wp14:editId="7EE95865">
              <wp:simplePos x="0" y="0"/>
              <wp:positionH relativeFrom="margin">
                <wp:align>right</wp:align>
              </wp:positionH>
              <mc:AlternateContent>
                <mc:Choice Requires="wp14">
                  <wp:positionV relativeFrom="bottomMargin">
                    <wp14:pctPosVOffset>20000</wp14:pctPosVOffset>
                  </wp:positionV>
                </mc:Choice>
                <mc:Fallback>
                  <wp:positionV relativeFrom="page">
                    <wp:posOffset>9326880</wp:posOffset>
                  </wp:positionV>
                </mc:Fallback>
              </mc:AlternateContent>
              <wp:extent cx="5943600" cy="320040"/>
              <wp:effectExtent l="0" t="0" r="0" b="3810"/>
              <wp:wrapSquare wrapText="bothSides"/>
              <wp:docPr id="37" name="Group 7"/>
              <wp:cNvGraphicFramePr/>
              <a:graphic xmlns:a="http://schemas.openxmlformats.org/drawingml/2006/main">
                <a:graphicData uri="http://schemas.microsoft.com/office/word/2010/wordprocessingGroup">
                  <wpg:wgp>
                    <wpg:cNvGrpSpPr/>
                    <wpg:grpSpPr>
                      <a:xfrm>
                        <a:off x="0" y="0"/>
                        <a:ext cx="5943600" cy="320040"/>
                        <a:chOff x="0" y="0"/>
                        <a:chExt cx="5962650" cy="323851"/>
                      </a:xfrm>
                    </wpg:grpSpPr>
                    <wps:wsp>
                      <wps:cNvPr id="38" name="Rectangle 38"/>
                      <wps:cNvSpPr/>
                      <wps:spPr>
                        <a:xfrm>
                          <a:off x="19050" y="0"/>
                          <a:ext cx="5943600" cy="18826"/>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Text Box 39"/>
                      <wps:cNvSpPr txBox="1"/>
                      <wps:spPr>
                        <a:xfrm>
                          <a:off x="0" y="66676"/>
                          <a:ext cx="5943600"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F2E31A" w14:textId="0157CCF8" w:rsidR="00B40D1C" w:rsidRPr="00B40D1C" w:rsidRDefault="00B40D1C" w:rsidP="00BC22A0">
                            <w:pPr>
                              <w:bidi/>
                              <w:jc w:val="lowKashida"/>
                              <w:rPr>
                                <w:rFonts w:ascii="Sakkal Majalla" w:hAnsi="Sakkal Majalla" w:cs="Sakkal Majalla"/>
                                <w:b/>
                                <w:bCs/>
                                <w:color w:val="000000" w:themeColor="text1"/>
                                <w:sz w:val="18"/>
                                <w:szCs w:val="18"/>
                                <w:rtl/>
                                <w:lang w:bidi="ar-EG"/>
                              </w:rPr>
                            </w:pPr>
                            <w:r w:rsidRPr="00B40D1C">
                              <w:rPr>
                                <w:rFonts w:ascii="Sakkal Majalla" w:hAnsi="Sakkal Majalla" w:cs="Sakkal Majalla"/>
                                <w:b/>
                                <w:bCs/>
                                <w:color w:val="000000" w:themeColor="text1"/>
                                <w:sz w:val="18"/>
                                <w:szCs w:val="18"/>
                                <w:rtl/>
                              </w:rPr>
                              <w:t xml:space="preserve">دور التحول الرقمي في تعزيز الأمن </w:t>
                            </w:r>
                            <w:r w:rsidR="00A9676E">
                              <w:rPr>
                                <w:rFonts w:ascii="Sakkal Majalla" w:hAnsi="Sakkal Majalla" w:cs="Sakkal Majalla" w:hint="cs"/>
                                <w:b/>
                                <w:bCs/>
                                <w:color w:val="000000" w:themeColor="text1"/>
                                <w:sz w:val="18"/>
                                <w:szCs w:val="18"/>
                                <w:rtl/>
                              </w:rPr>
                              <w:t>وتيسير</w:t>
                            </w:r>
                            <w:r w:rsidRPr="00B40D1C">
                              <w:rPr>
                                <w:rFonts w:ascii="Sakkal Majalla" w:hAnsi="Sakkal Majalla" w:cs="Sakkal Majalla"/>
                                <w:b/>
                                <w:bCs/>
                                <w:color w:val="000000" w:themeColor="text1"/>
                                <w:sz w:val="18"/>
                                <w:szCs w:val="18"/>
                                <w:rtl/>
                              </w:rPr>
                              <w:t xml:space="preserve"> التجارة </w:t>
                            </w: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100000</wp14:pctWidth>
              </wp14:sizeRelH>
              <wp14:sizeRelV relativeFrom="margin">
                <wp14:pctHeight>0</wp14:pctHeight>
              </wp14:sizeRelV>
            </wp:anchor>
          </w:drawing>
        </mc:Choice>
        <mc:Fallback>
          <w:pict>
            <v:group w14:anchorId="4468AE09" id="Group 7" o:spid="_x0000_s1026" style="position:absolute;margin-left:416.8pt;margin-top:0;width:468pt;height:25.2pt;z-index:251660288;mso-width-percent:1000;mso-top-percent:200;mso-wrap-distance-left:0;mso-wrap-distance-right:0;mso-position-horizontal:right;mso-position-horizontal-relative:margin;mso-position-vertical-relative:bottom-margin-area;mso-width-percent:1000;mso-top-percent:200;mso-width-relative:margin;mso-height-relative:margin" coordsize="59626,3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">
              <v:rect id="Rectangle 38" o:spid="_x0000_s1027" style="position:absolute;left:190;width:59436;height: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" fillcolor="black [3213]" stroked="f" strokeweight="1pt"/>
              <v:shapetype id="_x0000_t202" coordsize="21600,21600" o:spt="202" path="m,l,21600r21600,l21600,xe">
                <v:stroke joinstyle="miter"/>
                <v:path gradientshapeok="t" o:connecttype="rect"/>
              </v:shapetype>
              <v:shape id="Text Box 39" o:spid="_x0000_s1028" type="#_x0000_t202" style="position:absolute;top:666;width:59436;height:257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" filled="f" stroked="f" strokeweight=".5pt">
                <v:textbox inset=",,,0">
                  <w:txbxContent>
                    <w:p w14:paraId="5AF2E31A" w14:textId="0157CCF8" w:rsidR="00B40D1C" w:rsidRPr="00B40D1C" w:rsidRDefault="00B40D1C" w:rsidP="00BC22A0">
                      <w:pPr>
                        <w:bidi/>
                        <w:jc w:val="lowKashida"/>
                        <w:rPr>
                          <w:rFonts w:ascii="Sakkal Majalla" w:hAnsi="Sakkal Majalla" w:cs="Sakkal Majalla"/>
                          <w:b/>
                          <w:bCs/>
                          <w:color w:val="000000" w:themeColor="text1"/>
                          <w:sz w:val="18"/>
                          <w:szCs w:val="18"/>
                          <w:rtl/>
                          <w:lang w:bidi="ar-EG"/>
                        </w:rPr>
                      </w:pPr>
                      <w:r w:rsidRPr="00B40D1C">
                        <w:rPr>
                          <w:rFonts w:ascii="Sakkal Majalla" w:hAnsi="Sakkal Majalla" w:cs="Sakkal Majalla"/>
                          <w:b/>
                          <w:bCs/>
                          <w:color w:val="000000" w:themeColor="text1"/>
                          <w:sz w:val="18"/>
                          <w:szCs w:val="18"/>
                          <w:rtl/>
                        </w:rPr>
                        <w:t xml:space="preserve">دور التحول الرقمي في تعزيز الأمن </w:t>
                      </w:r>
                      <w:r w:rsidR="00A9676E">
                        <w:rPr>
                          <w:rFonts w:ascii="Sakkal Majalla" w:hAnsi="Sakkal Majalla" w:cs="Sakkal Majalla" w:hint="cs"/>
                          <w:b/>
                          <w:bCs/>
                          <w:color w:val="000000" w:themeColor="text1"/>
                          <w:sz w:val="18"/>
                          <w:szCs w:val="18"/>
                          <w:rtl/>
                        </w:rPr>
                        <w:t>وتيسير</w:t>
                      </w:r>
                      <w:r w:rsidRPr="00B40D1C">
                        <w:rPr>
                          <w:rFonts w:ascii="Sakkal Majalla" w:hAnsi="Sakkal Majalla" w:cs="Sakkal Majalla"/>
                          <w:b/>
                          <w:bCs/>
                          <w:color w:val="000000" w:themeColor="text1"/>
                          <w:sz w:val="18"/>
                          <w:szCs w:val="18"/>
                          <w:rtl/>
                        </w:rPr>
                        <w:t xml:space="preserve"> التجارة </w:t>
                      </w:r>
                    </w:p>
                  </w:txbxContent>
                </v:textbox>
              </v:shape>
              <w10:wrap type="square" anchorx="margin" anchory="margin"/>
            </v:group>
          </w:pict>
        </mc:Fallback>
      </mc:AlternateContent>
    </w:r>
    <w:r>
      <w:rPr>
        <w:noProof/>
      </w:rPr>
      <mc:AlternateContent>
        <mc:Choice Requires="wps">
          <w:drawing>
            <wp:anchor distT="0" distB="0" distL="0" distR="0" simplePos="0" relativeHeight="251659264" behindDoc="0" locked="0" layoutInCell="1" allowOverlap="1" wp14:anchorId="58F125AF" wp14:editId="363F8251">
              <wp:simplePos x="0" y="0"/>
              <wp:positionH relativeFrom="rightMargin">
                <wp:align>left</wp:align>
              </wp:positionH>
              <mc:AlternateContent>
                <mc:Choice Requires="wp14">
                  <wp:positionV relativeFrom="bottomMargin">
                    <wp14:pctPosVOffset>20000</wp14:pctPosVOffset>
                  </wp:positionV>
                </mc:Choice>
                <mc:Fallback>
                  <wp:positionV relativeFrom="page">
                    <wp:posOffset>9326880</wp:posOffset>
                  </wp:positionV>
                </mc:Fallback>
              </mc:AlternateContent>
              <wp:extent cx="457200" cy="320040"/>
              <wp:effectExtent l="0" t="0" r="0" b="3810"/>
              <wp:wrapSquare wrapText="bothSides"/>
              <wp:docPr id="40" name="Rectangle 8"/>
              <wp:cNvGraphicFramePr/>
              <a:graphic xmlns:a="http://schemas.openxmlformats.org/drawingml/2006/main">
                <a:graphicData uri="http://schemas.microsoft.com/office/word/2010/wordprocessingShape">
                  <wps:wsp>
                    <wps:cNvSpPr/>
                    <wps:spPr>
                      <a:xfrm>
                        <a:off x="0" y="0"/>
                        <a:ext cx="457200" cy="32004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3D81FF0" w14:textId="77777777" w:rsidR="00B40D1C" w:rsidRPr="00B40D1C" w:rsidRDefault="00B40D1C">
                          <w:pPr>
                            <w:jc w:val="right"/>
                            <w:rPr>
                              <w:rFonts w:ascii="Sakkal Majalla" w:hAnsi="Sakkal Majalla" w:cs="Sakkal Majalla"/>
                              <w:color w:val="FFFFFF" w:themeColor="background1"/>
                              <w:sz w:val="24"/>
                              <w:szCs w:val="24"/>
                            </w:rPr>
                          </w:pPr>
                          <w:r w:rsidRPr="00B40D1C">
                            <w:rPr>
                              <w:rFonts w:ascii="Sakkal Majalla" w:hAnsi="Sakkal Majalla" w:cs="Sakkal Majalla"/>
                              <w:color w:val="FFFFFF" w:themeColor="background1"/>
                              <w:sz w:val="24"/>
                              <w:szCs w:val="24"/>
                            </w:rPr>
                            <w:fldChar w:fldCharType="begin"/>
                          </w:r>
                          <w:r w:rsidRPr="00B40D1C">
                            <w:rPr>
                              <w:rFonts w:ascii="Sakkal Majalla" w:hAnsi="Sakkal Majalla" w:cs="Sakkal Majalla"/>
                              <w:color w:val="FFFFFF" w:themeColor="background1"/>
                              <w:sz w:val="24"/>
                              <w:szCs w:val="24"/>
                            </w:rPr>
                            <w:instrText xml:space="preserve"> PAGE   \* MERGEFORMAT </w:instrText>
                          </w:r>
                          <w:r w:rsidRPr="00B40D1C">
                            <w:rPr>
                              <w:rFonts w:ascii="Sakkal Majalla" w:hAnsi="Sakkal Majalla" w:cs="Sakkal Majalla"/>
                              <w:color w:val="FFFFFF" w:themeColor="background1"/>
                              <w:sz w:val="24"/>
                              <w:szCs w:val="24"/>
                            </w:rPr>
                            <w:fldChar w:fldCharType="separate"/>
                          </w:r>
                          <w:r w:rsidRPr="00B40D1C">
                            <w:rPr>
                              <w:rFonts w:ascii="Sakkal Majalla" w:hAnsi="Sakkal Majalla" w:cs="Sakkal Majalla"/>
                              <w:noProof/>
                              <w:color w:val="FFFFFF" w:themeColor="background1"/>
                              <w:sz w:val="24"/>
                              <w:szCs w:val="24"/>
                            </w:rPr>
                            <w:t>2</w:t>
                          </w:r>
                          <w:r w:rsidRPr="00B40D1C">
                            <w:rPr>
                              <w:rFonts w:ascii="Sakkal Majalla" w:hAnsi="Sakkal Majalla" w:cs="Sakkal Majalla"/>
                              <w:noProof/>
                              <w:color w:val="FFFFFF" w:themeColor="background1"/>
                              <w:sz w:val="24"/>
                              <w:szCs w:val="24"/>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F125AF" id="Rectangle 8" o:spid="_x0000_s1029" style="position:absolute;margin-left:0;margin-top:0;width:36pt;height:25.2pt;z-index:251659264;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" fillcolor="black [3213]" stroked="f" strokeweight="3pt">
              <v:textbox>
                <w:txbxContent>
                  <w:p w14:paraId="03D81FF0" w14:textId="77777777" w:rsidR="00B40D1C" w:rsidRPr="00B40D1C" w:rsidRDefault="00B40D1C">
                    <w:pPr>
                      <w:jc w:val="right"/>
                      <w:rPr>
                        <w:rFonts w:ascii="Sakkal Majalla" w:hAnsi="Sakkal Majalla" w:cs="Sakkal Majalla"/>
                        <w:color w:val="FFFFFF" w:themeColor="background1"/>
                        <w:sz w:val="24"/>
                        <w:szCs w:val="24"/>
                      </w:rPr>
                    </w:pPr>
                    <w:r w:rsidRPr="00B40D1C">
                      <w:rPr>
                        <w:rFonts w:ascii="Sakkal Majalla" w:hAnsi="Sakkal Majalla" w:cs="Sakkal Majalla"/>
                        <w:color w:val="FFFFFF" w:themeColor="background1"/>
                        <w:sz w:val="24"/>
                        <w:szCs w:val="24"/>
                      </w:rPr>
                      <w:fldChar w:fldCharType="begin"/>
                    </w:r>
                    <w:r w:rsidRPr="00B40D1C">
                      <w:rPr>
                        <w:rFonts w:ascii="Sakkal Majalla" w:hAnsi="Sakkal Majalla" w:cs="Sakkal Majalla"/>
                        <w:color w:val="FFFFFF" w:themeColor="background1"/>
                        <w:sz w:val="24"/>
                        <w:szCs w:val="24"/>
                      </w:rPr>
                      <w:instrText xml:space="preserve"> PAGE   \* MERGEFORMAT </w:instrText>
                    </w:r>
                    <w:r w:rsidRPr="00B40D1C">
                      <w:rPr>
                        <w:rFonts w:ascii="Sakkal Majalla" w:hAnsi="Sakkal Majalla" w:cs="Sakkal Majalla"/>
                        <w:color w:val="FFFFFF" w:themeColor="background1"/>
                        <w:sz w:val="24"/>
                        <w:szCs w:val="24"/>
                      </w:rPr>
                      <w:fldChar w:fldCharType="separate"/>
                    </w:r>
                    <w:r w:rsidRPr="00B40D1C">
                      <w:rPr>
                        <w:rFonts w:ascii="Sakkal Majalla" w:hAnsi="Sakkal Majalla" w:cs="Sakkal Majalla"/>
                        <w:noProof/>
                        <w:color w:val="FFFFFF" w:themeColor="background1"/>
                        <w:sz w:val="24"/>
                        <w:szCs w:val="24"/>
                      </w:rPr>
                      <w:t>2</w:t>
                    </w:r>
                    <w:r w:rsidRPr="00B40D1C">
                      <w:rPr>
                        <w:rFonts w:ascii="Sakkal Majalla" w:hAnsi="Sakkal Majalla" w:cs="Sakkal Majalla"/>
                        <w:noProof/>
                        <w:color w:val="FFFFFF" w:themeColor="background1"/>
                        <w:sz w:val="24"/>
                        <w:szCs w:val="24"/>
                      </w:rPr>
                      <w:fldChar w:fldCharType="end"/>
                    </w:r>
                  </w:p>
                </w:txbxContent>
              </v:textbox>
              <w10:wrap type="square"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5AECC0" w14:textId="77777777" w:rsidR="0031241C" w:rsidRDefault="0031241C" w:rsidP="003B58F9">
      <w:pPr>
        <w:spacing w:after="0" w:line="240" w:lineRule="auto"/>
      </w:pPr>
      <w:r>
        <w:separator/>
      </w:r>
    </w:p>
  </w:footnote>
  <w:footnote w:type="continuationSeparator" w:id="0">
    <w:p w14:paraId="17102141" w14:textId="77777777" w:rsidR="0031241C" w:rsidRDefault="0031241C" w:rsidP="003B58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81DEB"/>
    <w:multiLevelType w:val="multilevel"/>
    <w:tmpl w:val="1034E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340542"/>
    <w:multiLevelType w:val="hybridMultilevel"/>
    <w:tmpl w:val="A81493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612FCE"/>
    <w:multiLevelType w:val="multilevel"/>
    <w:tmpl w:val="46A80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2B6F24"/>
    <w:multiLevelType w:val="multilevel"/>
    <w:tmpl w:val="15B06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9A046E"/>
    <w:multiLevelType w:val="multilevel"/>
    <w:tmpl w:val="23A48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2BF0B86"/>
    <w:multiLevelType w:val="multilevel"/>
    <w:tmpl w:val="894EE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3563B80"/>
    <w:multiLevelType w:val="multilevel"/>
    <w:tmpl w:val="CDB8A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3C252E5"/>
    <w:multiLevelType w:val="multilevel"/>
    <w:tmpl w:val="AAB2F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4A600EC"/>
    <w:multiLevelType w:val="multilevel"/>
    <w:tmpl w:val="14542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4AB551A"/>
    <w:multiLevelType w:val="multilevel"/>
    <w:tmpl w:val="19AE7A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5263CD9"/>
    <w:multiLevelType w:val="hybridMultilevel"/>
    <w:tmpl w:val="6E38E1C8"/>
    <w:lvl w:ilvl="0" w:tplc="BDFAD40C">
      <w:start w:val="1"/>
      <w:numFmt w:val="decimal"/>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1" w15:restartNumberingAfterBreak="0">
    <w:nsid w:val="05E66768"/>
    <w:multiLevelType w:val="hybridMultilevel"/>
    <w:tmpl w:val="B5089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62021E4"/>
    <w:multiLevelType w:val="multilevel"/>
    <w:tmpl w:val="B31A9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72F45CC"/>
    <w:multiLevelType w:val="multilevel"/>
    <w:tmpl w:val="A6C07E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7416DEE"/>
    <w:multiLevelType w:val="multilevel"/>
    <w:tmpl w:val="49548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8456363"/>
    <w:multiLevelType w:val="multilevel"/>
    <w:tmpl w:val="10363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96C296D"/>
    <w:multiLevelType w:val="hybridMultilevel"/>
    <w:tmpl w:val="FF02987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9A079AF"/>
    <w:multiLevelType w:val="multilevel"/>
    <w:tmpl w:val="1E4EFA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C5B2D42"/>
    <w:multiLevelType w:val="multilevel"/>
    <w:tmpl w:val="1714B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E5D48F2"/>
    <w:multiLevelType w:val="multilevel"/>
    <w:tmpl w:val="4DD8B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EE34115"/>
    <w:multiLevelType w:val="hybridMultilevel"/>
    <w:tmpl w:val="00366AF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FFB5161"/>
    <w:multiLevelType w:val="multilevel"/>
    <w:tmpl w:val="656EBA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06065BF"/>
    <w:multiLevelType w:val="multilevel"/>
    <w:tmpl w:val="5094C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1355F20"/>
    <w:multiLevelType w:val="multilevel"/>
    <w:tmpl w:val="465CAC20"/>
    <w:lvl w:ilvl="0">
      <w:numFmt w:val="bullet"/>
      <w:lvlText w:val="-"/>
      <w:lvlJc w:val="left"/>
      <w:pPr>
        <w:tabs>
          <w:tab w:val="num" w:pos="720"/>
        </w:tabs>
        <w:ind w:left="720" w:hanging="360"/>
      </w:pPr>
      <w:rPr>
        <w:rFonts w:ascii="Sakkal Majalla" w:eastAsiaTheme="minorHAnsi" w:hAnsi="Sakkal Majalla" w:cs="Sakkal Majalla"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1AB0895"/>
    <w:multiLevelType w:val="multilevel"/>
    <w:tmpl w:val="C944CF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54C34E0"/>
    <w:multiLevelType w:val="multilevel"/>
    <w:tmpl w:val="5874C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757099B"/>
    <w:multiLevelType w:val="multilevel"/>
    <w:tmpl w:val="65C0D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8202BA4"/>
    <w:multiLevelType w:val="multilevel"/>
    <w:tmpl w:val="F5C06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9161960"/>
    <w:multiLevelType w:val="hybridMultilevel"/>
    <w:tmpl w:val="5F08207A"/>
    <w:lvl w:ilvl="0" w:tplc="4A12066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9ED6168"/>
    <w:multiLevelType w:val="hybridMultilevel"/>
    <w:tmpl w:val="6C322396"/>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1CA40070"/>
    <w:multiLevelType w:val="multilevel"/>
    <w:tmpl w:val="11B00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D033805"/>
    <w:multiLevelType w:val="hybridMultilevel"/>
    <w:tmpl w:val="4F502A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1D1E41E2"/>
    <w:multiLevelType w:val="hybridMultilevel"/>
    <w:tmpl w:val="675467CE"/>
    <w:lvl w:ilvl="0" w:tplc="4A12066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14878A3"/>
    <w:multiLevelType w:val="hybridMultilevel"/>
    <w:tmpl w:val="52922250"/>
    <w:lvl w:ilvl="0" w:tplc="D96EF204">
      <w:start w:val="1"/>
      <w:numFmt w:val="decimal"/>
      <w:lvlText w:val="%1-"/>
      <w:lvlJc w:val="left"/>
      <w:pPr>
        <w:ind w:left="648" w:hanging="360"/>
      </w:pPr>
      <w:rPr>
        <w:rFonts w:hint="default"/>
        <w:b/>
        <w:bCs/>
        <w:i/>
        <w:sz w:val="28"/>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34" w15:restartNumberingAfterBreak="0">
    <w:nsid w:val="22CE70CE"/>
    <w:multiLevelType w:val="multilevel"/>
    <w:tmpl w:val="A3CAE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494700C"/>
    <w:multiLevelType w:val="multilevel"/>
    <w:tmpl w:val="9788CD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25381379"/>
    <w:multiLevelType w:val="hybridMultilevel"/>
    <w:tmpl w:val="8C7E3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5F67C7D"/>
    <w:multiLevelType w:val="multilevel"/>
    <w:tmpl w:val="41CC819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6537974"/>
    <w:multiLevelType w:val="multilevel"/>
    <w:tmpl w:val="55249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87E20CD"/>
    <w:multiLevelType w:val="multilevel"/>
    <w:tmpl w:val="2E361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A623643"/>
    <w:multiLevelType w:val="hybridMultilevel"/>
    <w:tmpl w:val="E862B3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2A715B00"/>
    <w:multiLevelType w:val="multilevel"/>
    <w:tmpl w:val="CB12E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B2E4BFF"/>
    <w:multiLevelType w:val="multilevel"/>
    <w:tmpl w:val="7862AE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B98119C"/>
    <w:multiLevelType w:val="multilevel"/>
    <w:tmpl w:val="61C66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C4A599C"/>
    <w:multiLevelType w:val="hybridMultilevel"/>
    <w:tmpl w:val="08121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E301353"/>
    <w:multiLevelType w:val="multilevel"/>
    <w:tmpl w:val="04546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E5A5C25"/>
    <w:multiLevelType w:val="multilevel"/>
    <w:tmpl w:val="8E5620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2E7C1280"/>
    <w:multiLevelType w:val="hybridMultilevel"/>
    <w:tmpl w:val="CB54DA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2FBE4F87"/>
    <w:multiLevelType w:val="multilevel"/>
    <w:tmpl w:val="5EA8D4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3073580E"/>
    <w:multiLevelType w:val="hybridMultilevel"/>
    <w:tmpl w:val="69AEB24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30AC01AE"/>
    <w:multiLevelType w:val="hybridMultilevel"/>
    <w:tmpl w:val="4FB40D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0B13CD8"/>
    <w:multiLevelType w:val="multilevel"/>
    <w:tmpl w:val="61C091A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Times New Roman" w:eastAsiaTheme="minorHAnsi"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1666085"/>
    <w:multiLevelType w:val="multilevel"/>
    <w:tmpl w:val="18F25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39A50E1"/>
    <w:multiLevelType w:val="hybridMultilevel"/>
    <w:tmpl w:val="109A5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34473810"/>
    <w:multiLevelType w:val="hybridMultilevel"/>
    <w:tmpl w:val="526EAC92"/>
    <w:lvl w:ilvl="0" w:tplc="F3D0F416">
      <w:start w:val="1"/>
      <w:numFmt w:val="decimal"/>
      <w:lvlText w:val="%1."/>
      <w:lvlJc w:val="left"/>
      <w:pPr>
        <w:ind w:left="720" w:hanging="360"/>
      </w:pPr>
      <w:rPr>
        <w:rFonts w:asciiTheme="majorBidi" w:hAnsiTheme="majorBidi" w:cstheme="maj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4EC7A43"/>
    <w:multiLevelType w:val="hybridMultilevel"/>
    <w:tmpl w:val="45A08814"/>
    <w:lvl w:ilvl="0" w:tplc="0409000F">
      <w:start w:val="1"/>
      <w:numFmt w:val="decimal"/>
      <w:lvlText w:val="%1."/>
      <w:lvlJc w:val="left"/>
      <w:pPr>
        <w:ind w:left="746" w:hanging="360"/>
      </w:pPr>
    </w:lvl>
    <w:lvl w:ilvl="1" w:tplc="04090019" w:tentative="1">
      <w:start w:val="1"/>
      <w:numFmt w:val="lowerLetter"/>
      <w:lvlText w:val="%2."/>
      <w:lvlJc w:val="left"/>
      <w:pPr>
        <w:ind w:left="1466" w:hanging="360"/>
      </w:pPr>
    </w:lvl>
    <w:lvl w:ilvl="2" w:tplc="0409001B" w:tentative="1">
      <w:start w:val="1"/>
      <w:numFmt w:val="lowerRoman"/>
      <w:lvlText w:val="%3."/>
      <w:lvlJc w:val="right"/>
      <w:pPr>
        <w:ind w:left="2186" w:hanging="180"/>
      </w:pPr>
    </w:lvl>
    <w:lvl w:ilvl="3" w:tplc="0409000F" w:tentative="1">
      <w:start w:val="1"/>
      <w:numFmt w:val="decimal"/>
      <w:lvlText w:val="%4."/>
      <w:lvlJc w:val="left"/>
      <w:pPr>
        <w:ind w:left="2906" w:hanging="360"/>
      </w:pPr>
    </w:lvl>
    <w:lvl w:ilvl="4" w:tplc="04090019" w:tentative="1">
      <w:start w:val="1"/>
      <w:numFmt w:val="lowerLetter"/>
      <w:lvlText w:val="%5."/>
      <w:lvlJc w:val="left"/>
      <w:pPr>
        <w:ind w:left="3626" w:hanging="360"/>
      </w:pPr>
    </w:lvl>
    <w:lvl w:ilvl="5" w:tplc="0409001B" w:tentative="1">
      <w:start w:val="1"/>
      <w:numFmt w:val="lowerRoman"/>
      <w:lvlText w:val="%6."/>
      <w:lvlJc w:val="right"/>
      <w:pPr>
        <w:ind w:left="4346" w:hanging="180"/>
      </w:pPr>
    </w:lvl>
    <w:lvl w:ilvl="6" w:tplc="0409000F" w:tentative="1">
      <w:start w:val="1"/>
      <w:numFmt w:val="decimal"/>
      <w:lvlText w:val="%7."/>
      <w:lvlJc w:val="left"/>
      <w:pPr>
        <w:ind w:left="5066" w:hanging="360"/>
      </w:pPr>
    </w:lvl>
    <w:lvl w:ilvl="7" w:tplc="04090019" w:tentative="1">
      <w:start w:val="1"/>
      <w:numFmt w:val="lowerLetter"/>
      <w:lvlText w:val="%8."/>
      <w:lvlJc w:val="left"/>
      <w:pPr>
        <w:ind w:left="5786" w:hanging="360"/>
      </w:pPr>
    </w:lvl>
    <w:lvl w:ilvl="8" w:tplc="0409001B" w:tentative="1">
      <w:start w:val="1"/>
      <w:numFmt w:val="lowerRoman"/>
      <w:lvlText w:val="%9."/>
      <w:lvlJc w:val="right"/>
      <w:pPr>
        <w:ind w:left="6506" w:hanging="180"/>
      </w:pPr>
    </w:lvl>
  </w:abstractNum>
  <w:abstractNum w:abstractNumId="56" w15:restartNumberingAfterBreak="0">
    <w:nsid w:val="35B64F21"/>
    <w:multiLevelType w:val="multilevel"/>
    <w:tmpl w:val="BCC41E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5D903FF"/>
    <w:multiLevelType w:val="hybridMultilevel"/>
    <w:tmpl w:val="DA1CF072"/>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367035A0"/>
    <w:multiLevelType w:val="hybridMultilevel"/>
    <w:tmpl w:val="F926CF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15:restartNumberingAfterBreak="0">
    <w:nsid w:val="368723BB"/>
    <w:multiLevelType w:val="multilevel"/>
    <w:tmpl w:val="F7F65C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36B85D87"/>
    <w:multiLevelType w:val="multilevel"/>
    <w:tmpl w:val="B2B41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73114A6"/>
    <w:multiLevelType w:val="hybridMultilevel"/>
    <w:tmpl w:val="379471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384A2472"/>
    <w:multiLevelType w:val="multilevel"/>
    <w:tmpl w:val="EF6CB39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397C1B91"/>
    <w:multiLevelType w:val="multilevel"/>
    <w:tmpl w:val="833274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3B126F8B"/>
    <w:multiLevelType w:val="multilevel"/>
    <w:tmpl w:val="07B28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B27193A"/>
    <w:multiLevelType w:val="hybridMultilevel"/>
    <w:tmpl w:val="117034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409B3DEA"/>
    <w:multiLevelType w:val="multilevel"/>
    <w:tmpl w:val="D9D41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109257B"/>
    <w:multiLevelType w:val="multilevel"/>
    <w:tmpl w:val="10CCE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1D84269"/>
    <w:multiLevelType w:val="multilevel"/>
    <w:tmpl w:val="0F268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2224438"/>
    <w:multiLevelType w:val="multilevel"/>
    <w:tmpl w:val="CCF67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3014915"/>
    <w:multiLevelType w:val="multilevel"/>
    <w:tmpl w:val="FB40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3EF5AAB"/>
    <w:multiLevelType w:val="hybridMultilevel"/>
    <w:tmpl w:val="138EB45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2" w15:restartNumberingAfterBreak="0">
    <w:nsid w:val="44622408"/>
    <w:multiLevelType w:val="multilevel"/>
    <w:tmpl w:val="0CFC7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44B647C8"/>
    <w:multiLevelType w:val="hybridMultilevel"/>
    <w:tmpl w:val="71460A62"/>
    <w:lvl w:ilvl="0" w:tplc="FFFFFFFF">
      <w:start w:val="1"/>
      <w:numFmt w:val="bullet"/>
      <w:lvlText w:val=""/>
      <w:lvlJc w:val="left"/>
      <w:pPr>
        <w:ind w:left="144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74" w15:restartNumberingAfterBreak="0">
    <w:nsid w:val="44E30C77"/>
    <w:multiLevelType w:val="hybridMultilevel"/>
    <w:tmpl w:val="A2CC09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45D830DC"/>
    <w:multiLevelType w:val="multilevel"/>
    <w:tmpl w:val="5C5CA6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4634769B"/>
    <w:multiLevelType w:val="multilevel"/>
    <w:tmpl w:val="BA248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6600A77"/>
    <w:multiLevelType w:val="multilevel"/>
    <w:tmpl w:val="41384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6710DCF"/>
    <w:multiLevelType w:val="multilevel"/>
    <w:tmpl w:val="C44AD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6BF47AB"/>
    <w:multiLevelType w:val="hybridMultilevel"/>
    <w:tmpl w:val="6A12A7C4"/>
    <w:lvl w:ilvl="0" w:tplc="0409000F">
      <w:start w:val="1"/>
      <w:numFmt w:val="decimal"/>
      <w:lvlText w:val="%1."/>
      <w:lvlJc w:val="left"/>
      <w:pPr>
        <w:ind w:left="1008" w:hanging="360"/>
      </w:p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80" w15:restartNumberingAfterBreak="0">
    <w:nsid w:val="47555968"/>
    <w:multiLevelType w:val="multilevel"/>
    <w:tmpl w:val="68027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7B65DDB"/>
    <w:multiLevelType w:val="hybridMultilevel"/>
    <w:tmpl w:val="39F01EE2"/>
    <w:lvl w:ilvl="0" w:tplc="924E1F2C">
      <w:start w:val="1"/>
      <w:numFmt w:val="decimal"/>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82" w15:restartNumberingAfterBreak="0">
    <w:nsid w:val="4ACA5BD5"/>
    <w:multiLevelType w:val="multilevel"/>
    <w:tmpl w:val="73981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ACF2B0D"/>
    <w:multiLevelType w:val="hybridMultilevel"/>
    <w:tmpl w:val="2BB4EF72"/>
    <w:lvl w:ilvl="0" w:tplc="855447F2">
      <w:start w:val="1"/>
      <w:numFmt w:val="decimal"/>
      <w:lvlText w:val="%1-"/>
      <w:lvlJc w:val="left"/>
      <w:pPr>
        <w:ind w:left="648" w:hanging="360"/>
      </w:pPr>
      <w:rPr>
        <w:rFonts w:hint="default"/>
        <w:sz w:val="28"/>
        <w:szCs w:val="28"/>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84" w15:restartNumberingAfterBreak="0">
    <w:nsid w:val="4B734F37"/>
    <w:multiLevelType w:val="hybridMultilevel"/>
    <w:tmpl w:val="488476A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5" w15:restartNumberingAfterBreak="0">
    <w:nsid w:val="4B7C100E"/>
    <w:multiLevelType w:val="hybridMultilevel"/>
    <w:tmpl w:val="5C106C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4C301022"/>
    <w:multiLevelType w:val="multilevel"/>
    <w:tmpl w:val="3A60F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4EDA486C"/>
    <w:multiLevelType w:val="hybridMultilevel"/>
    <w:tmpl w:val="FC4ED3BC"/>
    <w:lvl w:ilvl="0" w:tplc="827435DE">
      <w:start w:val="1"/>
      <w:numFmt w:val="decimal"/>
      <w:lvlText w:val="%1-"/>
      <w:lvlJc w:val="left"/>
      <w:pPr>
        <w:ind w:left="1368" w:hanging="360"/>
      </w:pPr>
      <w:rPr>
        <w:rFonts w:cs="Simplified Arabic" w:hint="default"/>
        <w:i/>
        <w:sz w:val="28"/>
      </w:rPr>
    </w:lvl>
    <w:lvl w:ilvl="1" w:tplc="04090019" w:tentative="1">
      <w:start w:val="1"/>
      <w:numFmt w:val="lowerLetter"/>
      <w:lvlText w:val="%2."/>
      <w:lvlJc w:val="left"/>
      <w:pPr>
        <w:ind w:left="2088" w:hanging="360"/>
      </w:pPr>
    </w:lvl>
    <w:lvl w:ilvl="2" w:tplc="0409001B" w:tentative="1">
      <w:start w:val="1"/>
      <w:numFmt w:val="lowerRoman"/>
      <w:lvlText w:val="%3."/>
      <w:lvlJc w:val="right"/>
      <w:pPr>
        <w:ind w:left="2808" w:hanging="180"/>
      </w:pPr>
    </w:lvl>
    <w:lvl w:ilvl="3" w:tplc="0409000F" w:tentative="1">
      <w:start w:val="1"/>
      <w:numFmt w:val="decimal"/>
      <w:lvlText w:val="%4."/>
      <w:lvlJc w:val="left"/>
      <w:pPr>
        <w:ind w:left="3528" w:hanging="360"/>
      </w:pPr>
    </w:lvl>
    <w:lvl w:ilvl="4" w:tplc="04090019" w:tentative="1">
      <w:start w:val="1"/>
      <w:numFmt w:val="lowerLetter"/>
      <w:lvlText w:val="%5."/>
      <w:lvlJc w:val="left"/>
      <w:pPr>
        <w:ind w:left="4248" w:hanging="360"/>
      </w:pPr>
    </w:lvl>
    <w:lvl w:ilvl="5" w:tplc="0409001B" w:tentative="1">
      <w:start w:val="1"/>
      <w:numFmt w:val="lowerRoman"/>
      <w:lvlText w:val="%6."/>
      <w:lvlJc w:val="right"/>
      <w:pPr>
        <w:ind w:left="4968" w:hanging="180"/>
      </w:pPr>
    </w:lvl>
    <w:lvl w:ilvl="6" w:tplc="0409000F" w:tentative="1">
      <w:start w:val="1"/>
      <w:numFmt w:val="decimal"/>
      <w:lvlText w:val="%7."/>
      <w:lvlJc w:val="left"/>
      <w:pPr>
        <w:ind w:left="5688" w:hanging="360"/>
      </w:pPr>
    </w:lvl>
    <w:lvl w:ilvl="7" w:tplc="04090019" w:tentative="1">
      <w:start w:val="1"/>
      <w:numFmt w:val="lowerLetter"/>
      <w:lvlText w:val="%8."/>
      <w:lvlJc w:val="left"/>
      <w:pPr>
        <w:ind w:left="6408" w:hanging="360"/>
      </w:pPr>
    </w:lvl>
    <w:lvl w:ilvl="8" w:tplc="0409001B" w:tentative="1">
      <w:start w:val="1"/>
      <w:numFmt w:val="lowerRoman"/>
      <w:lvlText w:val="%9."/>
      <w:lvlJc w:val="right"/>
      <w:pPr>
        <w:ind w:left="7128" w:hanging="180"/>
      </w:pPr>
    </w:lvl>
  </w:abstractNum>
  <w:abstractNum w:abstractNumId="88" w15:restartNumberingAfterBreak="0">
    <w:nsid w:val="50743722"/>
    <w:multiLevelType w:val="multilevel"/>
    <w:tmpl w:val="B34600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51742804"/>
    <w:multiLevelType w:val="hybridMultilevel"/>
    <w:tmpl w:val="BF2CB4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51E62C29"/>
    <w:multiLevelType w:val="multilevel"/>
    <w:tmpl w:val="D9E26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5427328A"/>
    <w:multiLevelType w:val="multilevel"/>
    <w:tmpl w:val="39529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54B74919"/>
    <w:multiLevelType w:val="hybridMultilevel"/>
    <w:tmpl w:val="7A86D16E"/>
    <w:lvl w:ilvl="0" w:tplc="0E0AF2C6">
      <w:start w:val="1"/>
      <w:numFmt w:val="decimal"/>
      <w:lvlText w:val="%1-"/>
      <w:lvlJc w:val="left"/>
      <w:pPr>
        <w:ind w:left="1008" w:hanging="360"/>
      </w:pPr>
      <w:rPr>
        <w:rFonts w:hint="default"/>
        <w:b w:val="0"/>
        <w:bCs w:val="0"/>
      </w:r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93" w15:restartNumberingAfterBreak="0">
    <w:nsid w:val="5A9709FE"/>
    <w:multiLevelType w:val="multilevel"/>
    <w:tmpl w:val="016A9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5B812A72"/>
    <w:multiLevelType w:val="multilevel"/>
    <w:tmpl w:val="0448B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B854F7E"/>
    <w:multiLevelType w:val="multilevel"/>
    <w:tmpl w:val="9536D17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5C1C5FAE"/>
    <w:multiLevelType w:val="multilevel"/>
    <w:tmpl w:val="D4BCCF7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5C9A4D57"/>
    <w:multiLevelType w:val="multilevel"/>
    <w:tmpl w:val="A3A69B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CA0271D"/>
    <w:multiLevelType w:val="multilevel"/>
    <w:tmpl w:val="95824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0A96F88"/>
    <w:multiLevelType w:val="multilevel"/>
    <w:tmpl w:val="F2426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0C40D12"/>
    <w:multiLevelType w:val="multilevel"/>
    <w:tmpl w:val="6002C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31017E4"/>
    <w:multiLevelType w:val="multilevel"/>
    <w:tmpl w:val="538C93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654A132F"/>
    <w:multiLevelType w:val="multilevel"/>
    <w:tmpl w:val="4D5080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65D01F25"/>
    <w:multiLevelType w:val="hybridMultilevel"/>
    <w:tmpl w:val="095446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66603BDB"/>
    <w:multiLevelType w:val="multilevel"/>
    <w:tmpl w:val="15968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68153405"/>
    <w:multiLevelType w:val="hybridMultilevel"/>
    <w:tmpl w:val="DF0C78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6A5D3EF3"/>
    <w:multiLevelType w:val="multilevel"/>
    <w:tmpl w:val="3F3AFC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6D371D25"/>
    <w:multiLevelType w:val="multilevel"/>
    <w:tmpl w:val="9B5A7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6D3F66E5"/>
    <w:multiLevelType w:val="multilevel"/>
    <w:tmpl w:val="7D361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6D687AFB"/>
    <w:multiLevelType w:val="multilevel"/>
    <w:tmpl w:val="89726E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6D6E6BDC"/>
    <w:multiLevelType w:val="multilevel"/>
    <w:tmpl w:val="4F98E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6E6F6A7C"/>
    <w:multiLevelType w:val="multilevel"/>
    <w:tmpl w:val="C9BCCF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6FAA14F5"/>
    <w:multiLevelType w:val="multilevel"/>
    <w:tmpl w:val="72C67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08A39A5"/>
    <w:multiLevelType w:val="hybridMultilevel"/>
    <w:tmpl w:val="D20238CC"/>
    <w:lvl w:ilvl="0" w:tplc="5B2E87D0">
      <w:start w:val="1"/>
      <w:numFmt w:val="decimal"/>
      <w:lvlText w:val="%1-"/>
      <w:lvlJc w:val="left"/>
      <w:pPr>
        <w:ind w:left="1368" w:hanging="360"/>
      </w:pPr>
      <w:rPr>
        <w:rFonts w:hint="default"/>
        <w:sz w:val="28"/>
      </w:rPr>
    </w:lvl>
    <w:lvl w:ilvl="1" w:tplc="04090019" w:tentative="1">
      <w:start w:val="1"/>
      <w:numFmt w:val="lowerLetter"/>
      <w:lvlText w:val="%2."/>
      <w:lvlJc w:val="left"/>
      <w:pPr>
        <w:ind w:left="2088" w:hanging="360"/>
      </w:pPr>
    </w:lvl>
    <w:lvl w:ilvl="2" w:tplc="0409001B" w:tentative="1">
      <w:start w:val="1"/>
      <w:numFmt w:val="lowerRoman"/>
      <w:lvlText w:val="%3."/>
      <w:lvlJc w:val="right"/>
      <w:pPr>
        <w:ind w:left="2808" w:hanging="180"/>
      </w:pPr>
    </w:lvl>
    <w:lvl w:ilvl="3" w:tplc="0409000F" w:tentative="1">
      <w:start w:val="1"/>
      <w:numFmt w:val="decimal"/>
      <w:lvlText w:val="%4."/>
      <w:lvlJc w:val="left"/>
      <w:pPr>
        <w:ind w:left="3528" w:hanging="360"/>
      </w:pPr>
    </w:lvl>
    <w:lvl w:ilvl="4" w:tplc="04090019" w:tentative="1">
      <w:start w:val="1"/>
      <w:numFmt w:val="lowerLetter"/>
      <w:lvlText w:val="%5."/>
      <w:lvlJc w:val="left"/>
      <w:pPr>
        <w:ind w:left="4248" w:hanging="360"/>
      </w:pPr>
    </w:lvl>
    <w:lvl w:ilvl="5" w:tplc="0409001B" w:tentative="1">
      <w:start w:val="1"/>
      <w:numFmt w:val="lowerRoman"/>
      <w:lvlText w:val="%6."/>
      <w:lvlJc w:val="right"/>
      <w:pPr>
        <w:ind w:left="4968" w:hanging="180"/>
      </w:pPr>
    </w:lvl>
    <w:lvl w:ilvl="6" w:tplc="0409000F" w:tentative="1">
      <w:start w:val="1"/>
      <w:numFmt w:val="decimal"/>
      <w:lvlText w:val="%7."/>
      <w:lvlJc w:val="left"/>
      <w:pPr>
        <w:ind w:left="5688" w:hanging="360"/>
      </w:pPr>
    </w:lvl>
    <w:lvl w:ilvl="7" w:tplc="04090019" w:tentative="1">
      <w:start w:val="1"/>
      <w:numFmt w:val="lowerLetter"/>
      <w:lvlText w:val="%8."/>
      <w:lvlJc w:val="left"/>
      <w:pPr>
        <w:ind w:left="6408" w:hanging="360"/>
      </w:pPr>
    </w:lvl>
    <w:lvl w:ilvl="8" w:tplc="0409001B" w:tentative="1">
      <w:start w:val="1"/>
      <w:numFmt w:val="lowerRoman"/>
      <w:lvlText w:val="%9."/>
      <w:lvlJc w:val="right"/>
      <w:pPr>
        <w:ind w:left="7128" w:hanging="180"/>
      </w:pPr>
    </w:lvl>
  </w:abstractNum>
  <w:abstractNum w:abstractNumId="114" w15:restartNumberingAfterBreak="0">
    <w:nsid w:val="71150910"/>
    <w:multiLevelType w:val="multilevel"/>
    <w:tmpl w:val="A2CE6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71952FE4"/>
    <w:multiLevelType w:val="hybridMultilevel"/>
    <w:tmpl w:val="45A08814"/>
    <w:lvl w:ilvl="0" w:tplc="FFFFFFFF">
      <w:start w:val="1"/>
      <w:numFmt w:val="decimal"/>
      <w:lvlText w:val="%1."/>
      <w:lvlJc w:val="left"/>
      <w:pPr>
        <w:ind w:left="746" w:hanging="360"/>
      </w:pPr>
    </w:lvl>
    <w:lvl w:ilvl="1" w:tplc="FFFFFFFF" w:tentative="1">
      <w:start w:val="1"/>
      <w:numFmt w:val="lowerLetter"/>
      <w:lvlText w:val="%2."/>
      <w:lvlJc w:val="left"/>
      <w:pPr>
        <w:ind w:left="1466" w:hanging="360"/>
      </w:pPr>
    </w:lvl>
    <w:lvl w:ilvl="2" w:tplc="FFFFFFFF" w:tentative="1">
      <w:start w:val="1"/>
      <w:numFmt w:val="lowerRoman"/>
      <w:lvlText w:val="%3."/>
      <w:lvlJc w:val="right"/>
      <w:pPr>
        <w:ind w:left="2186" w:hanging="180"/>
      </w:pPr>
    </w:lvl>
    <w:lvl w:ilvl="3" w:tplc="FFFFFFFF" w:tentative="1">
      <w:start w:val="1"/>
      <w:numFmt w:val="decimal"/>
      <w:lvlText w:val="%4."/>
      <w:lvlJc w:val="left"/>
      <w:pPr>
        <w:ind w:left="2906" w:hanging="360"/>
      </w:pPr>
    </w:lvl>
    <w:lvl w:ilvl="4" w:tplc="FFFFFFFF" w:tentative="1">
      <w:start w:val="1"/>
      <w:numFmt w:val="lowerLetter"/>
      <w:lvlText w:val="%5."/>
      <w:lvlJc w:val="left"/>
      <w:pPr>
        <w:ind w:left="3626" w:hanging="360"/>
      </w:pPr>
    </w:lvl>
    <w:lvl w:ilvl="5" w:tplc="FFFFFFFF" w:tentative="1">
      <w:start w:val="1"/>
      <w:numFmt w:val="lowerRoman"/>
      <w:lvlText w:val="%6."/>
      <w:lvlJc w:val="right"/>
      <w:pPr>
        <w:ind w:left="4346" w:hanging="180"/>
      </w:pPr>
    </w:lvl>
    <w:lvl w:ilvl="6" w:tplc="FFFFFFFF" w:tentative="1">
      <w:start w:val="1"/>
      <w:numFmt w:val="decimal"/>
      <w:lvlText w:val="%7."/>
      <w:lvlJc w:val="left"/>
      <w:pPr>
        <w:ind w:left="5066" w:hanging="360"/>
      </w:pPr>
    </w:lvl>
    <w:lvl w:ilvl="7" w:tplc="FFFFFFFF" w:tentative="1">
      <w:start w:val="1"/>
      <w:numFmt w:val="lowerLetter"/>
      <w:lvlText w:val="%8."/>
      <w:lvlJc w:val="left"/>
      <w:pPr>
        <w:ind w:left="5786" w:hanging="360"/>
      </w:pPr>
    </w:lvl>
    <w:lvl w:ilvl="8" w:tplc="FFFFFFFF" w:tentative="1">
      <w:start w:val="1"/>
      <w:numFmt w:val="lowerRoman"/>
      <w:lvlText w:val="%9."/>
      <w:lvlJc w:val="right"/>
      <w:pPr>
        <w:ind w:left="6506" w:hanging="180"/>
      </w:pPr>
    </w:lvl>
  </w:abstractNum>
  <w:abstractNum w:abstractNumId="116" w15:restartNumberingAfterBreak="0">
    <w:nsid w:val="72980286"/>
    <w:multiLevelType w:val="hybridMultilevel"/>
    <w:tmpl w:val="AF7003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75396D43"/>
    <w:multiLevelType w:val="multilevel"/>
    <w:tmpl w:val="014C1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546546C"/>
    <w:multiLevelType w:val="multilevel"/>
    <w:tmpl w:val="FDB6B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75D6695B"/>
    <w:multiLevelType w:val="multilevel"/>
    <w:tmpl w:val="1C4E3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75E17EBE"/>
    <w:multiLevelType w:val="hybridMultilevel"/>
    <w:tmpl w:val="30C8F6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76C6495E"/>
    <w:multiLevelType w:val="multilevel"/>
    <w:tmpl w:val="D65AC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7541DDE"/>
    <w:multiLevelType w:val="multilevel"/>
    <w:tmpl w:val="F08CF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7F417E9"/>
    <w:multiLevelType w:val="hybridMultilevel"/>
    <w:tmpl w:val="E0B085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7A206F3C"/>
    <w:multiLevelType w:val="multilevel"/>
    <w:tmpl w:val="50A2D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7A253BAA"/>
    <w:multiLevelType w:val="multilevel"/>
    <w:tmpl w:val="57C44AB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7C496185"/>
    <w:multiLevelType w:val="multilevel"/>
    <w:tmpl w:val="E58EF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7D003CA9"/>
    <w:multiLevelType w:val="hybridMultilevel"/>
    <w:tmpl w:val="A7201E96"/>
    <w:lvl w:ilvl="0" w:tplc="04090001">
      <w:start w:val="1"/>
      <w:numFmt w:val="bullet"/>
      <w:lvlText w:val=""/>
      <w:lvlJc w:val="left"/>
      <w:pPr>
        <w:ind w:left="746" w:hanging="360"/>
      </w:pPr>
      <w:rPr>
        <w:rFonts w:ascii="Symbol" w:hAnsi="Symbol" w:hint="default"/>
      </w:rPr>
    </w:lvl>
    <w:lvl w:ilvl="1" w:tplc="04090003" w:tentative="1">
      <w:start w:val="1"/>
      <w:numFmt w:val="bullet"/>
      <w:lvlText w:val="o"/>
      <w:lvlJc w:val="left"/>
      <w:pPr>
        <w:ind w:left="1466" w:hanging="360"/>
      </w:pPr>
      <w:rPr>
        <w:rFonts w:ascii="Courier New" w:hAnsi="Courier New" w:cs="Courier New" w:hint="default"/>
      </w:rPr>
    </w:lvl>
    <w:lvl w:ilvl="2" w:tplc="04090005" w:tentative="1">
      <w:start w:val="1"/>
      <w:numFmt w:val="bullet"/>
      <w:lvlText w:val=""/>
      <w:lvlJc w:val="left"/>
      <w:pPr>
        <w:ind w:left="2186" w:hanging="360"/>
      </w:pPr>
      <w:rPr>
        <w:rFonts w:ascii="Wingdings" w:hAnsi="Wingdings" w:hint="default"/>
      </w:rPr>
    </w:lvl>
    <w:lvl w:ilvl="3" w:tplc="04090001" w:tentative="1">
      <w:start w:val="1"/>
      <w:numFmt w:val="bullet"/>
      <w:lvlText w:val=""/>
      <w:lvlJc w:val="left"/>
      <w:pPr>
        <w:ind w:left="2906" w:hanging="360"/>
      </w:pPr>
      <w:rPr>
        <w:rFonts w:ascii="Symbol" w:hAnsi="Symbol" w:hint="default"/>
      </w:rPr>
    </w:lvl>
    <w:lvl w:ilvl="4" w:tplc="04090003" w:tentative="1">
      <w:start w:val="1"/>
      <w:numFmt w:val="bullet"/>
      <w:lvlText w:val="o"/>
      <w:lvlJc w:val="left"/>
      <w:pPr>
        <w:ind w:left="3626" w:hanging="360"/>
      </w:pPr>
      <w:rPr>
        <w:rFonts w:ascii="Courier New" w:hAnsi="Courier New" w:cs="Courier New" w:hint="default"/>
      </w:rPr>
    </w:lvl>
    <w:lvl w:ilvl="5" w:tplc="04090005" w:tentative="1">
      <w:start w:val="1"/>
      <w:numFmt w:val="bullet"/>
      <w:lvlText w:val=""/>
      <w:lvlJc w:val="left"/>
      <w:pPr>
        <w:ind w:left="4346" w:hanging="360"/>
      </w:pPr>
      <w:rPr>
        <w:rFonts w:ascii="Wingdings" w:hAnsi="Wingdings" w:hint="default"/>
      </w:rPr>
    </w:lvl>
    <w:lvl w:ilvl="6" w:tplc="04090001" w:tentative="1">
      <w:start w:val="1"/>
      <w:numFmt w:val="bullet"/>
      <w:lvlText w:val=""/>
      <w:lvlJc w:val="left"/>
      <w:pPr>
        <w:ind w:left="5066" w:hanging="360"/>
      </w:pPr>
      <w:rPr>
        <w:rFonts w:ascii="Symbol" w:hAnsi="Symbol" w:hint="default"/>
      </w:rPr>
    </w:lvl>
    <w:lvl w:ilvl="7" w:tplc="04090003" w:tentative="1">
      <w:start w:val="1"/>
      <w:numFmt w:val="bullet"/>
      <w:lvlText w:val="o"/>
      <w:lvlJc w:val="left"/>
      <w:pPr>
        <w:ind w:left="5786" w:hanging="360"/>
      </w:pPr>
      <w:rPr>
        <w:rFonts w:ascii="Courier New" w:hAnsi="Courier New" w:cs="Courier New" w:hint="default"/>
      </w:rPr>
    </w:lvl>
    <w:lvl w:ilvl="8" w:tplc="04090005" w:tentative="1">
      <w:start w:val="1"/>
      <w:numFmt w:val="bullet"/>
      <w:lvlText w:val=""/>
      <w:lvlJc w:val="left"/>
      <w:pPr>
        <w:ind w:left="6506" w:hanging="360"/>
      </w:pPr>
      <w:rPr>
        <w:rFonts w:ascii="Wingdings" w:hAnsi="Wingdings" w:hint="default"/>
      </w:rPr>
    </w:lvl>
  </w:abstractNum>
  <w:abstractNum w:abstractNumId="128" w15:restartNumberingAfterBreak="0">
    <w:nsid w:val="7DDC3775"/>
    <w:multiLevelType w:val="hybridMultilevel"/>
    <w:tmpl w:val="938E11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15:restartNumberingAfterBreak="0">
    <w:nsid w:val="7DFE3EDF"/>
    <w:multiLevelType w:val="hybridMultilevel"/>
    <w:tmpl w:val="346A55E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0" w15:restartNumberingAfterBreak="0">
    <w:nsid w:val="7E887B1D"/>
    <w:multiLevelType w:val="hybridMultilevel"/>
    <w:tmpl w:val="A3789B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15:restartNumberingAfterBreak="0">
    <w:nsid w:val="7EC80952"/>
    <w:multiLevelType w:val="hybridMultilevel"/>
    <w:tmpl w:val="939A19DA"/>
    <w:lvl w:ilvl="0" w:tplc="6B6EC5B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61495195">
    <w:abstractNumId w:val="123"/>
  </w:num>
  <w:num w:numId="2" w16cid:durableId="806823111">
    <w:abstractNumId w:val="32"/>
  </w:num>
  <w:num w:numId="3" w16cid:durableId="1688285210">
    <w:abstractNumId w:val="28"/>
  </w:num>
  <w:num w:numId="4" w16cid:durableId="769662026">
    <w:abstractNumId w:val="128"/>
  </w:num>
  <w:num w:numId="5" w16cid:durableId="1408914895">
    <w:abstractNumId w:val="58"/>
  </w:num>
  <w:num w:numId="6" w16cid:durableId="2069956385">
    <w:abstractNumId w:val="73"/>
  </w:num>
  <w:num w:numId="7" w16cid:durableId="881671549">
    <w:abstractNumId w:val="61"/>
  </w:num>
  <w:num w:numId="8" w16cid:durableId="60056646">
    <w:abstractNumId w:val="47"/>
  </w:num>
  <w:num w:numId="9" w16cid:durableId="1090615865">
    <w:abstractNumId w:val="44"/>
  </w:num>
  <w:num w:numId="10" w16cid:durableId="1146972903">
    <w:abstractNumId w:val="105"/>
  </w:num>
  <w:num w:numId="11" w16cid:durableId="964121156">
    <w:abstractNumId w:val="34"/>
  </w:num>
  <w:num w:numId="12" w16cid:durableId="1524855196">
    <w:abstractNumId w:val="131"/>
  </w:num>
  <w:num w:numId="13" w16cid:durableId="1820687382">
    <w:abstractNumId w:val="31"/>
  </w:num>
  <w:num w:numId="14" w16cid:durableId="410590860">
    <w:abstractNumId w:val="11"/>
  </w:num>
  <w:num w:numId="15" w16cid:durableId="2064677219">
    <w:abstractNumId w:val="23"/>
  </w:num>
  <w:num w:numId="16" w16cid:durableId="1353730215">
    <w:abstractNumId w:val="62"/>
  </w:num>
  <w:num w:numId="17" w16cid:durableId="812403681">
    <w:abstractNumId w:val="54"/>
  </w:num>
  <w:num w:numId="18" w16cid:durableId="1634287680">
    <w:abstractNumId w:val="20"/>
  </w:num>
  <w:num w:numId="19" w16cid:durableId="222521756">
    <w:abstractNumId w:val="89"/>
  </w:num>
  <w:num w:numId="20" w16cid:durableId="669677657">
    <w:abstractNumId w:val="29"/>
  </w:num>
  <w:num w:numId="21" w16cid:durableId="1441799464">
    <w:abstractNumId w:val="49"/>
  </w:num>
  <w:num w:numId="22" w16cid:durableId="681322175">
    <w:abstractNumId w:val="129"/>
  </w:num>
  <w:num w:numId="23" w16cid:durableId="1969582423">
    <w:abstractNumId w:val="57"/>
  </w:num>
  <w:num w:numId="24" w16cid:durableId="1705596832">
    <w:abstractNumId w:val="84"/>
  </w:num>
  <w:num w:numId="25" w16cid:durableId="701632400">
    <w:abstractNumId w:val="40"/>
  </w:num>
  <w:num w:numId="26" w16cid:durableId="2002080270">
    <w:abstractNumId w:val="50"/>
  </w:num>
  <w:num w:numId="27" w16cid:durableId="2051031214">
    <w:abstractNumId w:val="16"/>
  </w:num>
  <w:num w:numId="28" w16cid:durableId="2031058873">
    <w:abstractNumId w:val="53"/>
  </w:num>
  <w:num w:numId="29" w16cid:durableId="987244282">
    <w:abstractNumId w:val="126"/>
  </w:num>
  <w:num w:numId="30" w16cid:durableId="1255943871">
    <w:abstractNumId w:val="6"/>
  </w:num>
  <w:num w:numId="31" w16cid:durableId="1265454271">
    <w:abstractNumId w:val="19"/>
  </w:num>
  <w:num w:numId="32" w16cid:durableId="1292664097">
    <w:abstractNumId w:val="13"/>
  </w:num>
  <w:num w:numId="33" w16cid:durableId="2106337847">
    <w:abstractNumId w:val="35"/>
  </w:num>
  <w:num w:numId="34" w16cid:durableId="1637641234">
    <w:abstractNumId w:val="59"/>
  </w:num>
  <w:num w:numId="35" w16cid:durableId="1265652719">
    <w:abstractNumId w:val="46"/>
  </w:num>
  <w:num w:numId="36" w16cid:durableId="1445193">
    <w:abstractNumId w:val="82"/>
  </w:num>
  <w:num w:numId="37" w16cid:durableId="1603803058">
    <w:abstractNumId w:val="109"/>
  </w:num>
  <w:num w:numId="38" w16cid:durableId="1969506287">
    <w:abstractNumId w:val="72"/>
  </w:num>
  <w:num w:numId="39" w16cid:durableId="569853321">
    <w:abstractNumId w:val="102"/>
  </w:num>
  <w:num w:numId="40" w16cid:durableId="1458596882">
    <w:abstractNumId w:val="111"/>
  </w:num>
  <w:num w:numId="41" w16cid:durableId="1072696305">
    <w:abstractNumId w:val="48"/>
  </w:num>
  <w:num w:numId="42" w16cid:durableId="1997879261">
    <w:abstractNumId w:val="80"/>
  </w:num>
  <w:num w:numId="43" w16cid:durableId="1998606495">
    <w:abstractNumId w:val="93"/>
  </w:num>
  <w:num w:numId="44" w16cid:durableId="1324049731">
    <w:abstractNumId w:val="41"/>
  </w:num>
  <w:num w:numId="45" w16cid:durableId="647129221">
    <w:abstractNumId w:val="15"/>
  </w:num>
  <w:num w:numId="46" w16cid:durableId="1609119828">
    <w:abstractNumId w:val="25"/>
  </w:num>
  <w:num w:numId="47" w16cid:durableId="2007316659">
    <w:abstractNumId w:val="63"/>
  </w:num>
  <w:num w:numId="48" w16cid:durableId="282618583">
    <w:abstractNumId w:val="39"/>
  </w:num>
  <w:num w:numId="49" w16cid:durableId="938559746">
    <w:abstractNumId w:val="3"/>
  </w:num>
  <w:num w:numId="50" w16cid:durableId="2059621716">
    <w:abstractNumId w:val="7"/>
  </w:num>
  <w:num w:numId="51" w16cid:durableId="389500938">
    <w:abstractNumId w:val="86"/>
  </w:num>
  <w:num w:numId="52" w16cid:durableId="1680423115">
    <w:abstractNumId w:val="96"/>
  </w:num>
  <w:num w:numId="53" w16cid:durableId="1968660188">
    <w:abstractNumId w:val="18"/>
  </w:num>
  <w:num w:numId="54" w16cid:durableId="174153842">
    <w:abstractNumId w:val="112"/>
  </w:num>
  <w:num w:numId="55" w16cid:durableId="1597328801">
    <w:abstractNumId w:val="66"/>
  </w:num>
  <w:num w:numId="56" w16cid:durableId="671756425">
    <w:abstractNumId w:val="90"/>
  </w:num>
  <w:num w:numId="57" w16cid:durableId="1833061094">
    <w:abstractNumId w:val="37"/>
  </w:num>
  <w:num w:numId="58" w16cid:durableId="1942451957">
    <w:abstractNumId w:val="21"/>
  </w:num>
  <w:num w:numId="59" w16cid:durableId="1039865966">
    <w:abstractNumId w:val="94"/>
  </w:num>
  <w:num w:numId="60" w16cid:durableId="1125737545">
    <w:abstractNumId w:val="97"/>
  </w:num>
  <w:num w:numId="61" w16cid:durableId="728574270">
    <w:abstractNumId w:val="0"/>
  </w:num>
  <w:num w:numId="62" w16cid:durableId="2042436742">
    <w:abstractNumId w:val="125"/>
  </w:num>
  <w:num w:numId="63" w16cid:durableId="397634157">
    <w:abstractNumId w:val="108"/>
  </w:num>
  <w:num w:numId="64" w16cid:durableId="736320719">
    <w:abstractNumId w:val="38"/>
  </w:num>
  <w:num w:numId="65" w16cid:durableId="695690416">
    <w:abstractNumId w:val="69"/>
  </w:num>
  <w:num w:numId="66" w16cid:durableId="300617620">
    <w:abstractNumId w:val="4"/>
  </w:num>
  <w:num w:numId="67" w16cid:durableId="2095542644">
    <w:abstractNumId w:val="77"/>
  </w:num>
  <w:num w:numId="68" w16cid:durableId="1051268236">
    <w:abstractNumId w:val="76"/>
  </w:num>
  <w:num w:numId="69" w16cid:durableId="1065953912">
    <w:abstractNumId w:val="100"/>
  </w:num>
  <w:num w:numId="70" w16cid:durableId="1100221680">
    <w:abstractNumId w:val="118"/>
  </w:num>
  <w:num w:numId="71" w16cid:durableId="169376111">
    <w:abstractNumId w:val="119"/>
  </w:num>
  <w:num w:numId="72" w16cid:durableId="1272933911">
    <w:abstractNumId w:val="124"/>
  </w:num>
  <w:num w:numId="73" w16cid:durableId="1007560015">
    <w:abstractNumId w:val="43"/>
  </w:num>
  <w:num w:numId="74" w16cid:durableId="1228492384">
    <w:abstractNumId w:val="5"/>
  </w:num>
  <w:num w:numId="75" w16cid:durableId="550460556">
    <w:abstractNumId w:val="17"/>
  </w:num>
  <w:num w:numId="76" w16cid:durableId="720787696">
    <w:abstractNumId w:val="56"/>
  </w:num>
  <w:num w:numId="77" w16cid:durableId="523592597">
    <w:abstractNumId w:val="42"/>
  </w:num>
  <w:num w:numId="78" w16cid:durableId="1803646302">
    <w:abstractNumId w:val="26"/>
  </w:num>
  <w:num w:numId="79" w16cid:durableId="1648169514">
    <w:abstractNumId w:val="106"/>
  </w:num>
  <w:num w:numId="80" w16cid:durableId="1702171995">
    <w:abstractNumId w:val="122"/>
  </w:num>
  <w:num w:numId="81" w16cid:durableId="1459715822">
    <w:abstractNumId w:val="104"/>
  </w:num>
  <w:num w:numId="82" w16cid:durableId="1480533170">
    <w:abstractNumId w:val="64"/>
  </w:num>
  <w:num w:numId="83" w16cid:durableId="1624310981">
    <w:abstractNumId w:val="121"/>
  </w:num>
  <w:num w:numId="84" w16cid:durableId="281154335">
    <w:abstractNumId w:val="30"/>
  </w:num>
  <w:num w:numId="85" w16cid:durableId="1411467727">
    <w:abstractNumId w:val="45"/>
  </w:num>
  <w:num w:numId="86" w16cid:durableId="476577920">
    <w:abstractNumId w:val="99"/>
  </w:num>
  <w:num w:numId="87" w16cid:durableId="1126583457">
    <w:abstractNumId w:val="110"/>
  </w:num>
  <w:num w:numId="88" w16cid:durableId="1400203737">
    <w:abstractNumId w:val="117"/>
  </w:num>
  <w:num w:numId="89" w16cid:durableId="168108085">
    <w:abstractNumId w:val="2"/>
  </w:num>
  <w:num w:numId="90" w16cid:durableId="1426606305">
    <w:abstractNumId w:val="91"/>
  </w:num>
  <w:num w:numId="91" w16cid:durableId="621613363">
    <w:abstractNumId w:val="27"/>
  </w:num>
  <w:num w:numId="92" w16cid:durableId="660699575">
    <w:abstractNumId w:val="14"/>
  </w:num>
  <w:num w:numId="93" w16cid:durableId="896551557">
    <w:abstractNumId w:val="60"/>
  </w:num>
  <w:num w:numId="94" w16cid:durableId="2111310723">
    <w:abstractNumId w:val="22"/>
  </w:num>
  <w:num w:numId="95" w16cid:durableId="1663123076">
    <w:abstractNumId w:val="67"/>
  </w:num>
  <w:num w:numId="96" w16cid:durableId="1041200130">
    <w:abstractNumId w:val="68"/>
  </w:num>
  <w:num w:numId="97" w16cid:durableId="1974367840">
    <w:abstractNumId w:val="70"/>
  </w:num>
  <w:num w:numId="98" w16cid:durableId="515925674">
    <w:abstractNumId w:val="12"/>
  </w:num>
  <w:num w:numId="99" w16cid:durableId="1296333251">
    <w:abstractNumId w:val="78"/>
  </w:num>
  <w:num w:numId="100" w16cid:durableId="104692155">
    <w:abstractNumId w:val="114"/>
  </w:num>
  <w:num w:numId="101" w16cid:durableId="2081174916">
    <w:abstractNumId w:val="9"/>
  </w:num>
  <w:num w:numId="102" w16cid:durableId="1866862079">
    <w:abstractNumId w:val="52"/>
  </w:num>
  <w:num w:numId="103" w16cid:durableId="675838879">
    <w:abstractNumId w:val="51"/>
  </w:num>
  <w:num w:numId="104" w16cid:durableId="1510565095">
    <w:abstractNumId w:val="98"/>
  </w:num>
  <w:num w:numId="105" w16cid:durableId="655451145">
    <w:abstractNumId w:val="24"/>
  </w:num>
  <w:num w:numId="106" w16cid:durableId="1576478271">
    <w:abstractNumId w:val="101"/>
  </w:num>
  <w:num w:numId="107" w16cid:durableId="1729184752">
    <w:abstractNumId w:val="75"/>
  </w:num>
  <w:num w:numId="108" w16cid:durableId="1455948961">
    <w:abstractNumId w:val="71"/>
  </w:num>
  <w:num w:numId="109" w16cid:durableId="418868824">
    <w:abstractNumId w:val="1"/>
  </w:num>
  <w:num w:numId="110" w16cid:durableId="285813708">
    <w:abstractNumId w:val="130"/>
  </w:num>
  <w:num w:numId="111" w16cid:durableId="1448503794">
    <w:abstractNumId w:val="74"/>
  </w:num>
  <w:num w:numId="112" w16cid:durableId="1228997643">
    <w:abstractNumId w:val="65"/>
  </w:num>
  <w:num w:numId="113" w16cid:durableId="1282107508">
    <w:abstractNumId w:val="120"/>
  </w:num>
  <w:num w:numId="114" w16cid:durableId="403258601">
    <w:abstractNumId w:val="103"/>
  </w:num>
  <w:num w:numId="115" w16cid:durableId="1779761209">
    <w:abstractNumId w:val="85"/>
  </w:num>
  <w:num w:numId="116" w16cid:durableId="626086387">
    <w:abstractNumId w:val="36"/>
  </w:num>
  <w:num w:numId="117" w16cid:durableId="452746782">
    <w:abstractNumId w:val="116"/>
  </w:num>
  <w:num w:numId="118" w16cid:durableId="1764838768">
    <w:abstractNumId w:val="10"/>
  </w:num>
  <w:num w:numId="119" w16cid:durableId="1400056010">
    <w:abstractNumId w:val="92"/>
  </w:num>
  <w:num w:numId="120" w16cid:durableId="1044788108">
    <w:abstractNumId w:val="113"/>
  </w:num>
  <w:num w:numId="121" w16cid:durableId="2006275596">
    <w:abstractNumId w:val="33"/>
  </w:num>
  <w:num w:numId="122" w16cid:durableId="1543128492">
    <w:abstractNumId w:val="87"/>
  </w:num>
  <w:num w:numId="123" w16cid:durableId="145174491">
    <w:abstractNumId w:val="83"/>
  </w:num>
  <w:num w:numId="124" w16cid:durableId="58477297">
    <w:abstractNumId w:val="81"/>
  </w:num>
  <w:num w:numId="125" w16cid:durableId="1951664149">
    <w:abstractNumId w:val="79"/>
  </w:num>
  <w:num w:numId="126" w16cid:durableId="926496405">
    <w:abstractNumId w:val="107"/>
  </w:num>
  <w:num w:numId="127" w16cid:durableId="2047294267">
    <w:abstractNumId w:val="127"/>
  </w:num>
  <w:num w:numId="128" w16cid:durableId="1143740405">
    <w:abstractNumId w:val="55"/>
  </w:num>
  <w:num w:numId="129" w16cid:durableId="1923416389">
    <w:abstractNumId w:val="115"/>
  </w:num>
  <w:num w:numId="130" w16cid:durableId="1257904532">
    <w:abstractNumId w:val="95"/>
  </w:num>
  <w:num w:numId="131" w16cid:durableId="1714428894">
    <w:abstractNumId w:val="8"/>
  </w:num>
  <w:num w:numId="132" w16cid:durableId="1272279030">
    <w:abstractNumId w:val="88"/>
  </w:num>
  <w:numIdMacAtCleanup w:val="1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63C"/>
    <w:rsid w:val="0000152A"/>
    <w:rsid w:val="00001C78"/>
    <w:rsid w:val="0000289E"/>
    <w:rsid w:val="00003A24"/>
    <w:rsid w:val="000043DF"/>
    <w:rsid w:val="000051AA"/>
    <w:rsid w:val="000105B3"/>
    <w:rsid w:val="00012F32"/>
    <w:rsid w:val="00013446"/>
    <w:rsid w:val="00013660"/>
    <w:rsid w:val="00015016"/>
    <w:rsid w:val="00016071"/>
    <w:rsid w:val="00020217"/>
    <w:rsid w:val="00021D6C"/>
    <w:rsid w:val="00023999"/>
    <w:rsid w:val="00024C2F"/>
    <w:rsid w:val="000256A7"/>
    <w:rsid w:val="00025751"/>
    <w:rsid w:val="0003069F"/>
    <w:rsid w:val="000317EB"/>
    <w:rsid w:val="00031EEA"/>
    <w:rsid w:val="00032399"/>
    <w:rsid w:val="00032907"/>
    <w:rsid w:val="00034460"/>
    <w:rsid w:val="00034EFE"/>
    <w:rsid w:val="000378E2"/>
    <w:rsid w:val="00037977"/>
    <w:rsid w:val="00040AF4"/>
    <w:rsid w:val="00042342"/>
    <w:rsid w:val="0004363A"/>
    <w:rsid w:val="00044263"/>
    <w:rsid w:val="00044343"/>
    <w:rsid w:val="000443D3"/>
    <w:rsid w:val="00050E10"/>
    <w:rsid w:val="00051B61"/>
    <w:rsid w:val="00051C1B"/>
    <w:rsid w:val="000538DF"/>
    <w:rsid w:val="00053C55"/>
    <w:rsid w:val="000542B4"/>
    <w:rsid w:val="00057D0A"/>
    <w:rsid w:val="000601A5"/>
    <w:rsid w:val="00060B17"/>
    <w:rsid w:val="00060CD5"/>
    <w:rsid w:val="000611A7"/>
    <w:rsid w:val="00062091"/>
    <w:rsid w:val="0006241E"/>
    <w:rsid w:val="00065E80"/>
    <w:rsid w:val="000703D1"/>
    <w:rsid w:val="00072239"/>
    <w:rsid w:val="00072512"/>
    <w:rsid w:val="00075653"/>
    <w:rsid w:val="00075E4B"/>
    <w:rsid w:val="00075F8F"/>
    <w:rsid w:val="00076119"/>
    <w:rsid w:val="00076AD9"/>
    <w:rsid w:val="00076E56"/>
    <w:rsid w:val="00080357"/>
    <w:rsid w:val="0008102E"/>
    <w:rsid w:val="00081766"/>
    <w:rsid w:val="00081E64"/>
    <w:rsid w:val="00081E97"/>
    <w:rsid w:val="00082534"/>
    <w:rsid w:val="00084E86"/>
    <w:rsid w:val="00085F8C"/>
    <w:rsid w:val="00090F80"/>
    <w:rsid w:val="00091D8E"/>
    <w:rsid w:val="000925F6"/>
    <w:rsid w:val="00092648"/>
    <w:rsid w:val="00093EF4"/>
    <w:rsid w:val="0009423E"/>
    <w:rsid w:val="0009511F"/>
    <w:rsid w:val="000959C4"/>
    <w:rsid w:val="00096219"/>
    <w:rsid w:val="000964AB"/>
    <w:rsid w:val="000967DD"/>
    <w:rsid w:val="0009692C"/>
    <w:rsid w:val="00097CC8"/>
    <w:rsid w:val="00097CDE"/>
    <w:rsid w:val="00097E4B"/>
    <w:rsid w:val="000A0CC1"/>
    <w:rsid w:val="000A12A6"/>
    <w:rsid w:val="000A2044"/>
    <w:rsid w:val="000A42AC"/>
    <w:rsid w:val="000A4462"/>
    <w:rsid w:val="000A5373"/>
    <w:rsid w:val="000A5B15"/>
    <w:rsid w:val="000A6B81"/>
    <w:rsid w:val="000B0CA9"/>
    <w:rsid w:val="000B1875"/>
    <w:rsid w:val="000B1AA1"/>
    <w:rsid w:val="000B22C2"/>
    <w:rsid w:val="000B2DC2"/>
    <w:rsid w:val="000B3BB5"/>
    <w:rsid w:val="000B4EB4"/>
    <w:rsid w:val="000B528C"/>
    <w:rsid w:val="000B5D58"/>
    <w:rsid w:val="000B5FB1"/>
    <w:rsid w:val="000B65B6"/>
    <w:rsid w:val="000B7F10"/>
    <w:rsid w:val="000C1320"/>
    <w:rsid w:val="000C1D53"/>
    <w:rsid w:val="000C25AB"/>
    <w:rsid w:val="000C385B"/>
    <w:rsid w:val="000C4153"/>
    <w:rsid w:val="000C44D9"/>
    <w:rsid w:val="000C5421"/>
    <w:rsid w:val="000D0785"/>
    <w:rsid w:val="000D2B7F"/>
    <w:rsid w:val="000D3DC6"/>
    <w:rsid w:val="000D4662"/>
    <w:rsid w:val="000D4FA5"/>
    <w:rsid w:val="000D54DD"/>
    <w:rsid w:val="000D58FD"/>
    <w:rsid w:val="000D6867"/>
    <w:rsid w:val="000E1C7A"/>
    <w:rsid w:val="000E1DDA"/>
    <w:rsid w:val="000E3C1D"/>
    <w:rsid w:val="000E3E7E"/>
    <w:rsid w:val="000E4F30"/>
    <w:rsid w:val="000E6DB7"/>
    <w:rsid w:val="000E7FC8"/>
    <w:rsid w:val="000F10F7"/>
    <w:rsid w:val="000F2C42"/>
    <w:rsid w:val="000F2F65"/>
    <w:rsid w:val="000F2FC1"/>
    <w:rsid w:val="000F400B"/>
    <w:rsid w:val="000F5305"/>
    <w:rsid w:val="000F533E"/>
    <w:rsid w:val="000F59FD"/>
    <w:rsid w:val="00102078"/>
    <w:rsid w:val="001022EF"/>
    <w:rsid w:val="0010249E"/>
    <w:rsid w:val="001026CD"/>
    <w:rsid w:val="00102D74"/>
    <w:rsid w:val="00103B8D"/>
    <w:rsid w:val="0010436C"/>
    <w:rsid w:val="00105BC8"/>
    <w:rsid w:val="00106271"/>
    <w:rsid w:val="00110597"/>
    <w:rsid w:val="001106B7"/>
    <w:rsid w:val="001118F2"/>
    <w:rsid w:val="001122B9"/>
    <w:rsid w:val="00113414"/>
    <w:rsid w:val="00113EF2"/>
    <w:rsid w:val="00114104"/>
    <w:rsid w:val="00114D43"/>
    <w:rsid w:val="00117776"/>
    <w:rsid w:val="00121317"/>
    <w:rsid w:val="001228DC"/>
    <w:rsid w:val="001231D6"/>
    <w:rsid w:val="00123332"/>
    <w:rsid w:val="00124C1F"/>
    <w:rsid w:val="00125506"/>
    <w:rsid w:val="0012757F"/>
    <w:rsid w:val="00127696"/>
    <w:rsid w:val="00127801"/>
    <w:rsid w:val="00130A6E"/>
    <w:rsid w:val="00130B7F"/>
    <w:rsid w:val="00134A23"/>
    <w:rsid w:val="00135283"/>
    <w:rsid w:val="00135A1E"/>
    <w:rsid w:val="001368E8"/>
    <w:rsid w:val="00137010"/>
    <w:rsid w:val="0013736F"/>
    <w:rsid w:val="0013793D"/>
    <w:rsid w:val="00137B0E"/>
    <w:rsid w:val="00140B52"/>
    <w:rsid w:val="00140E30"/>
    <w:rsid w:val="001414E0"/>
    <w:rsid w:val="00141823"/>
    <w:rsid w:val="001419A3"/>
    <w:rsid w:val="00141C2D"/>
    <w:rsid w:val="0014272B"/>
    <w:rsid w:val="001437A3"/>
    <w:rsid w:val="001442C4"/>
    <w:rsid w:val="00144F8F"/>
    <w:rsid w:val="00145824"/>
    <w:rsid w:val="00145CD6"/>
    <w:rsid w:val="00146197"/>
    <w:rsid w:val="001475AA"/>
    <w:rsid w:val="00150B2A"/>
    <w:rsid w:val="00151E30"/>
    <w:rsid w:val="001539B4"/>
    <w:rsid w:val="001562F4"/>
    <w:rsid w:val="00156BD0"/>
    <w:rsid w:val="00161C06"/>
    <w:rsid w:val="00162281"/>
    <w:rsid w:val="0016276E"/>
    <w:rsid w:val="0016339D"/>
    <w:rsid w:val="0016362B"/>
    <w:rsid w:val="00164BDC"/>
    <w:rsid w:val="001652E8"/>
    <w:rsid w:val="00166ED6"/>
    <w:rsid w:val="001674E0"/>
    <w:rsid w:val="00167568"/>
    <w:rsid w:val="00170221"/>
    <w:rsid w:val="00170284"/>
    <w:rsid w:val="00170BE2"/>
    <w:rsid w:val="0017134C"/>
    <w:rsid w:val="00171664"/>
    <w:rsid w:val="00173A6C"/>
    <w:rsid w:val="00174C29"/>
    <w:rsid w:val="00174E50"/>
    <w:rsid w:val="00175769"/>
    <w:rsid w:val="0017707D"/>
    <w:rsid w:val="00177491"/>
    <w:rsid w:val="0017759C"/>
    <w:rsid w:val="00180DAA"/>
    <w:rsid w:val="001829B9"/>
    <w:rsid w:val="00184D68"/>
    <w:rsid w:val="00185572"/>
    <w:rsid w:val="00185B8A"/>
    <w:rsid w:val="00186601"/>
    <w:rsid w:val="00187C83"/>
    <w:rsid w:val="00190F8C"/>
    <w:rsid w:val="00191111"/>
    <w:rsid w:val="0019292F"/>
    <w:rsid w:val="001937B9"/>
    <w:rsid w:val="0019590B"/>
    <w:rsid w:val="00196025"/>
    <w:rsid w:val="00196CBF"/>
    <w:rsid w:val="0019767F"/>
    <w:rsid w:val="001A03A0"/>
    <w:rsid w:val="001A03FD"/>
    <w:rsid w:val="001A1D41"/>
    <w:rsid w:val="001A29B2"/>
    <w:rsid w:val="001A441F"/>
    <w:rsid w:val="001A54B6"/>
    <w:rsid w:val="001A5730"/>
    <w:rsid w:val="001A69B6"/>
    <w:rsid w:val="001A6BFB"/>
    <w:rsid w:val="001A7FEA"/>
    <w:rsid w:val="001B0839"/>
    <w:rsid w:val="001B1E6C"/>
    <w:rsid w:val="001B246C"/>
    <w:rsid w:val="001B4185"/>
    <w:rsid w:val="001B71DB"/>
    <w:rsid w:val="001C03F2"/>
    <w:rsid w:val="001C14A3"/>
    <w:rsid w:val="001C188F"/>
    <w:rsid w:val="001C24B0"/>
    <w:rsid w:val="001C2533"/>
    <w:rsid w:val="001C3035"/>
    <w:rsid w:val="001C7320"/>
    <w:rsid w:val="001C78BA"/>
    <w:rsid w:val="001C7A47"/>
    <w:rsid w:val="001C7DE5"/>
    <w:rsid w:val="001D16E8"/>
    <w:rsid w:val="001D1F92"/>
    <w:rsid w:val="001D2094"/>
    <w:rsid w:val="001D4D39"/>
    <w:rsid w:val="001D511A"/>
    <w:rsid w:val="001D689F"/>
    <w:rsid w:val="001D704D"/>
    <w:rsid w:val="001D7382"/>
    <w:rsid w:val="001D7399"/>
    <w:rsid w:val="001D7413"/>
    <w:rsid w:val="001E3DF1"/>
    <w:rsid w:val="001E3FA0"/>
    <w:rsid w:val="001E45CA"/>
    <w:rsid w:val="001E4D37"/>
    <w:rsid w:val="001E656C"/>
    <w:rsid w:val="001E6B72"/>
    <w:rsid w:val="001E752C"/>
    <w:rsid w:val="001E79B3"/>
    <w:rsid w:val="001E7A97"/>
    <w:rsid w:val="001E7F3D"/>
    <w:rsid w:val="001F00E0"/>
    <w:rsid w:val="001F317A"/>
    <w:rsid w:val="001F3B78"/>
    <w:rsid w:val="001F6261"/>
    <w:rsid w:val="001F71E1"/>
    <w:rsid w:val="00202E2A"/>
    <w:rsid w:val="00204323"/>
    <w:rsid w:val="002123B3"/>
    <w:rsid w:val="00213D26"/>
    <w:rsid w:val="0021466C"/>
    <w:rsid w:val="0021505E"/>
    <w:rsid w:val="00215085"/>
    <w:rsid w:val="002156AB"/>
    <w:rsid w:val="00220D05"/>
    <w:rsid w:val="00220E27"/>
    <w:rsid w:val="002218B0"/>
    <w:rsid w:val="00221C04"/>
    <w:rsid w:val="00223993"/>
    <w:rsid w:val="00224728"/>
    <w:rsid w:val="00224DB3"/>
    <w:rsid w:val="00224F3A"/>
    <w:rsid w:val="00225212"/>
    <w:rsid w:val="0022680C"/>
    <w:rsid w:val="002268F6"/>
    <w:rsid w:val="00230B41"/>
    <w:rsid w:val="00233695"/>
    <w:rsid w:val="002342EF"/>
    <w:rsid w:val="0023434F"/>
    <w:rsid w:val="00234F58"/>
    <w:rsid w:val="002366FD"/>
    <w:rsid w:val="0024195E"/>
    <w:rsid w:val="002425A9"/>
    <w:rsid w:val="00244546"/>
    <w:rsid w:val="0024761A"/>
    <w:rsid w:val="0025050B"/>
    <w:rsid w:val="00254064"/>
    <w:rsid w:val="00254D41"/>
    <w:rsid w:val="00255552"/>
    <w:rsid w:val="00255927"/>
    <w:rsid w:val="002579E8"/>
    <w:rsid w:val="0026156D"/>
    <w:rsid w:val="002615C1"/>
    <w:rsid w:val="00261D58"/>
    <w:rsid w:val="00262608"/>
    <w:rsid w:val="00263200"/>
    <w:rsid w:val="002638AE"/>
    <w:rsid w:val="0026665D"/>
    <w:rsid w:val="00266952"/>
    <w:rsid w:val="00270B8A"/>
    <w:rsid w:val="00270CB3"/>
    <w:rsid w:val="00272371"/>
    <w:rsid w:val="00272384"/>
    <w:rsid w:val="00272603"/>
    <w:rsid w:val="00272EE3"/>
    <w:rsid w:val="00275A9B"/>
    <w:rsid w:val="00281019"/>
    <w:rsid w:val="00281DF9"/>
    <w:rsid w:val="00282B7A"/>
    <w:rsid w:val="00282C3C"/>
    <w:rsid w:val="00282EA7"/>
    <w:rsid w:val="00283A83"/>
    <w:rsid w:val="00287308"/>
    <w:rsid w:val="00290D78"/>
    <w:rsid w:val="00290ECC"/>
    <w:rsid w:val="00292F7C"/>
    <w:rsid w:val="0029518D"/>
    <w:rsid w:val="00295648"/>
    <w:rsid w:val="00296F85"/>
    <w:rsid w:val="00297E11"/>
    <w:rsid w:val="002A2170"/>
    <w:rsid w:val="002A22CC"/>
    <w:rsid w:val="002A3A72"/>
    <w:rsid w:val="002A4769"/>
    <w:rsid w:val="002A652C"/>
    <w:rsid w:val="002A7D65"/>
    <w:rsid w:val="002B0091"/>
    <w:rsid w:val="002B08F1"/>
    <w:rsid w:val="002B0B9C"/>
    <w:rsid w:val="002B3226"/>
    <w:rsid w:val="002B53F9"/>
    <w:rsid w:val="002B7FD5"/>
    <w:rsid w:val="002C00A4"/>
    <w:rsid w:val="002C010C"/>
    <w:rsid w:val="002C0D21"/>
    <w:rsid w:val="002C1151"/>
    <w:rsid w:val="002C2334"/>
    <w:rsid w:val="002C77B4"/>
    <w:rsid w:val="002C7A9D"/>
    <w:rsid w:val="002C7D89"/>
    <w:rsid w:val="002D046B"/>
    <w:rsid w:val="002D04B3"/>
    <w:rsid w:val="002D0B7D"/>
    <w:rsid w:val="002D226B"/>
    <w:rsid w:val="002D2633"/>
    <w:rsid w:val="002D55EB"/>
    <w:rsid w:val="002D5958"/>
    <w:rsid w:val="002D5D7D"/>
    <w:rsid w:val="002D612F"/>
    <w:rsid w:val="002D6AAD"/>
    <w:rsid w:val="002D77AD"/>
    <w:rsid w:val="002D7A85"/>
    <w:rsid w:val="002D7EB4"/>
    <w:rsid w:val="002D7EE7"/>
    <w:rsid w:val="002E2277"/>
    <w:rsid w:val="002E27F0"/>
    <w:rsid w:val="002E3FCB"/>
    <w:rsid w:val="002E5F99"/>
    <w:rsid w:val="002F1D5C"/>
    <w:rsid w:val="002F2BFE"/>
    <w:rsid w:val="002F3516"/>
    <w:rsid w:val="002F3527"/>
    <w:rsid w:val="002F6C2F"/>
    <w:rsid w:val="0030012B"/>
    <w:rsid w:val="00300472"/>
    <w:rsid w:val="00300907"/>
    <w:rsid w:val="00301690"/>
    <w:rsid w:val="0030502B"/>
    <w:rsid w:val="00306A48"/>
    <w:rsid w:val="00306D51"/>
    <w:rsid w:val="003074DC"/>
    <w:rsid w:val="0031241C"/>
    <w:rsid w:val="00313A9D"/>
    <w:rsid w:val="00314379"/>
    <w:rsid w:val="00315588"/>
    <w:rsid w:val="0031776A"/>
    <w:rsid w:val="003211E9"/>
    <w:rsid w:val="0032302A"/>
    <w:rsid w:val="00325AC8"/>
    <w:rsid w:val="00326BF2"/>
    <w:rsid w:val="00326EB2"/>
    <w:rsid w:val="00327AD6"/>
    <w:rsid w:val="0033152E"/>
    <w:rsid w:val="003328DF"/>
    <w:rsid w:val="00332956"/>
    <w:rsid w:val="00334519"/>
    <w:rsid w:val="00334EAF"/>
    <w:rsid w:val="00334F42"/>
    <w:rsid w:val="00335220"/>
    <w:rsid w:val="00337601"/>
    <w:rsid w:val="003412A5"/>
    <w:rsid w:val="00341FFC"/>
    <w:rsid w:val="003424C3"/>
    <w:rsid w:val="00343701"/>
    <w:rsid w:val="003441D9"/>
    <w:rsid w:val="00345913"/>
    <w:rsid w:val="00347858"/>
    <w:rsid w:val="003515E4"/>
    <w:rsid w:val="00351695"/>
    <w:rsid w:val="00351B9E"/>
    <w:rsid w:val="003540F0"/>
    <w:rsid w:val="00355984"/>
    <w:rsid w:val="00355F0C"/>
    <w:rsid w:val="00355F4F"/>
    <w:rsid w:val="00360167"/>
    <w:rsid w:val="003621C4"/>
    <w:rsid w:val="003623D2"/>
    <w:rsid w:val="0036326B"/>
    <w:rsid w:val="0036353F"/>
    <w:rsid w:val="00364A1E"/>
    <w:rsid w:val="00364E15"/>
    <w:rsid w:val="003671F4"/>
    <w:rsid w:val="00367DDB"/>
    <w:rsid w:val="003707C5"/>
    <w:rsid w:val="00371F43"/>
    <w:rsid w:val="0037207F"/>
    <w:rsid w:val="00373C73"/>
    <w:rsid w:val="0037744D"/>
    <w:rsid w:val="00377A3D"/>
    <w:rsid w:val="003804AC"/>
    <w:rsid w:val="00380B84"/>
    <w:rsid w:val="00380B99"/>
    <w:rsid w:val="00380BB2"/>
    <w:rsid w:val="00381DD6"/>
    <w:rsid w:val="003824C6"/>
    <w:rsid w:val="003856FE"/>
    <w:rsid w:val="00385F54"/>
    <w:rsid w:val="00386364"/>
    <w:rsid w:val="003869C3"/>
    <w:rsid w:val="00387551"/>
    <w:rsid w:val="0039078C"/>
    <w:rsid w:val="003911CA"/>
    <w:rsid w:val="00391DDF"/>
    <w:rsid w:val="00392087"/>
    <w:rsid w:val="0039292A"/>
    <w:rsid w:val="0039372C"/>
    <w:rsid w:val="003943B3"/>
    <w:rsid w:val="0039466D"/>
    <w:rsid w:val="003948DD"/>
    <w:rsid w:val="00394D47"/>
    <w:rsid w:val="00395731"/>
    <w:rsid w:val="00396803"/>
    <w:rsid w:val="003A23DB"/>
    <w:rsid w:val="003A3CE9"/>
    <w:rsid w:val="003A53D5"/>
    <w:rsid w:val="003A640D"/>
    <w:rsid w:val="003A6425"/>
    <w:rsid w:val="003A7345"/>
    <w:rsid w:val="003A7EC3"/>
    <w:rsid w:val="003B2D66"/>
    <w:rsid w:val="003B30F2"/>
    <w:rsid w:val="003B32CA"/>
    <w:rsid w:val="003B4694"/>
    <w:rsid w:val="003B5201"/>
    <w:rsid w:val="003B58F9"/>
    <w:rsid w:val="003B5C31"/>
    <w:rsid w:val="003B5FA4"/>
    <w:rsid w:val="003B721E"/>
    <w:rsid w:val="003B75F1"/>
    <w:rsid w:val="003B7B65"/>
    <w:rsid w:val="003C10E7"/>
    <w:rsid w:val="003C1680"/>
    <w:rsid w:val="003C1EA9"/>
    <w:rsid w:val="003C4AAC"/>
    <w:rsid w:val="003C4F40"/>
    <w:rsid w:val="003C6697"/>
    <w:rsid w:val="003C7627"/>
    <w:rsid w:val="003C7975"/>
    <w:rsid w:val="003C7FC1"/>
    <w:rsid w:val="003D02BD"/>
    <w:rsid w:val="003D15AC"/>
    <w:rsid w:val="003D3111"/>
    <w:rsid w:val="003D3CFA"/>
    <w:rsid w:val="003D4C08"/>
    <w:rsid w:val="003D58B0"/>
    <w:rsid w:val="003D6D11"/>
    <w:rsid w:val="003E06FF"/>
    <w:rsid w:val="003E5DC5"/>
    <w:rsid w:val="003E603A"/>
    <w:rsid w:val="003F0B6A"/>
    <w:rsid w:val="003F1240"/>
    <w:rsid w:val="003F170B"/>
    <w:rsid w:val="003F1912"/>
    <w:rsid w:val="003F2012"/>
    <w:rsid w:val="003F379A"/>
    <w:rsid w:val="003F381C"/>
    <w:rsid w:val="003F69CD"/>
    <w:rsid w:val="003F6D31"/>
    <w:rsid w:val="003F71D9"/>
    <w:rsid w:val="00400D65"/>
    <w:rsid w:val="0040124C"/>
    <w:rsid w:val="00401622"/>
    <w:rsid w:val="004018EA"/>
    <w:rsid w:val="00403273"/>
    <w:rsid w:val="00404544"/>
    <w:rsid w:val="0040550D"/>
    <w:rsid w:val="00406DE8"/>
    <w:rsid w:val="004079DA"/>
    <w:rsid w:val="00410CDE"/>
    <w:rsid w:val="00412565"/>
    <w:rsid w:val="00412E06"/>
    <w:rsid w:val="00413B3A"/>
    <w:rsid w:val="00414269"/>
    <w:rsid w:val="00414593"/>
    <w:rsid w:val="004152FD"/>
    <w:rsid w:val="0041619D"/>
    <w:rsid w:val="004172DD"/>
    <w:rsid w:val="00420C0B"/>
    <w:rsid w:val="00421774"/>
    <w:rsid w:val="00421C50"/>
    <w:rsid w:val="00422BCC"/>
    <w:rsid w:val="00423639"/>
    <w:rsid w:val="004237DD"/>
    <w:rsid w:val="00424515"/>
    <w:rsid w:val="004250DA"/>
    <w:rsid w:val="00425D0B"/>
    <w:rsid w:val="00425EC1"/>
    <w:rsid w:val="00426B1C"/>
    <w:rsid w:val="00426BC5"/>
    <w:rsid w:val="0043120D"/>
    <w:rsid w:val="00431600"/>
    <w:rsid w:val="00431F54"/>
    <w:rsid w:val="004330AA"/>
    <w:rsid w:val="0043536B"/>
    <w:rsid w:val="004360D5"/>
    <w:rsid w:val="00440D3B"/>
    <w:rsid w:val="00441014"/>
    <w:rsid w:val="00441C9E"/>
    <w:rsid w:val="00441F51"/>
    <w:rsid w:val="0044356A"/>
    <w:rsid w:val="0044433A"/>
    <w:rsid w:val="004448CF"/>
    <w:rsid w:val="004454E1"/>
    <w:rsid w:val="004474D0"/>
    <w:rsid w:val="00451233"/>
    <w:rsid w:val="00451752"/>
    <w:rsid w:val="004549A0"/>
    <w:rsid w:val="00454C0A"/>
    <w:rsid w:val="004559B2"/>
    <w:rsid w:val="00455D1F"/>
    <w:rsid w:val="00455DE3"/>
    <w:rsid w:val="00456311"/>
    <w:rsid w:val="0045666D"/>
    <w:rsid w:val="00457D55"/>
    <w:rsid w:val="0046007D"/>
    <w:rsid w:val="004602F0"/>
    <w:rsid w:val="004606ED"/>
    <w:rsid w:val="00461D91"/>
    <w:rsid w:val="004633E1"/>
    <w:rsid w:val="004636E5"/>
    <w:rsid w:val="00463BA0"/>
    <w:rsid w:val="0046477A"/>
    <w:rsid w:val="00464BB8"/>
    <w:rsid w:val="00464C77"/>
    <w:rsid w:val="00471493"/>
    <w:rsid w:val="00471608"/>
    <w:rsid w:val="00472E91"/>
    <w:rsid w:val="0047478C"/>
    <w:rsid w:val="00474999"/>
    <w:rsid w:val="00476860"/>
    <w:rsid w:val="0047722A"/>
    <w:rsid w:val="00483B44"/>
    <w:rsid w:val="004854A7"/>
    <w:rsid w:val="00485A5F"/>
    <w:rsid w:val="004871CA"/>
    <w:rsid w:val="00490CC6"/>
    <w:rsid w:val="00490D3C"/>
    <w:rsid w:val="00492BDA"/>
    <w:rsid w:val="00492BDE"/>
    <w:rsid w:val="00492FCA"/>
    <w:rsid w:val="004939C8"/>
    <w:rsid w:val="00493EE4"/>
    <w:rsid w:val="00494924"/>
    <w:rsid w:val="00495842"/>
    <w:rsid w:val="004A2E78"/>
    <w:rsid w:val="004A2EA2"/>
    <w:rsid w:val="004A2F75"/>
    <w:rsid w:val="004A30BF"/>
    <w:rsid w:val="004A30E3"/>
    <w:rsid w:val="004A4127"/>
    <w:rsid w:val="004A4CA4"/>
    <w:rsid w:val="004A571B"/>
    <w:rsid w:val="004A7C97"/>
    <w:rsid w:val="004B07BC"/>
    <w:rsid w:val="004B2CB4"/>
    <w:rsid w:val="004B46B7"/>
    <w:rsid w:val="004B4A0D"/>
    <w:rsid w:val="004B695F"/>
    <w:rsid w:val="004B7F39"/>
    <w:rsid w:val="004C142A"/>
    <w:rsid w:val="004C1A39"/>
    <w:rsid w:val="004C4301"/>
    <w:rsid w:val="004C5D89"/>
    <w:rsid w:val="004C6018"/>
    <w:rsid w:val="004C6838"/>
    <w:rsid w:val="004D02B7"/>
    <w:rsid w:val="004D2623"/>
    <w:rsid w:val="004D3718"/>
    <w:rsid w:val="004D39F1"/>
    <w:rsid w:val="004D436A"/>
    <w:rsid w:val="004D4A95"/>
    <w:rsid w:val="004D5030"/>
    <w:rsid w:val="004D6F44"/>
    <w:rsid w:val="004D6F7C"/>
    <w:rsid w:val="004D7683"/>
    <w:rsid w:val="004D7E45"/>
    <w:rsid w:val="004E0A53"/>
    <w:rsid w:val="004E0FB1"/>
    <w:rsid w:val="004E1178"/>
    <w:rsid w:val="004E1F96"/>
    <w:rsid w:val="004E1FF2"/>
    <w:rsid w:val="004E20CA"/>
    <w:rsid w:val="004E381A"/>
    <w:rsid w:val="004E40F6"/>
    <w:rsid w:val="004E4266"/>
    <w:rsid w:val="004E5458"/>
    <w:rsid w:val="004E7BFD"/>
    <w:rsid w:val="004F105D"/>
    <w:rsid w:val="004F14EB"/>
    <w:rsid w:val="004F341C"/>
    <w:rsid w:val="004F3CB3"/>
    <w:rsid w:val="004F3E3C"/>
    <w:rsid w:val="004F4564"/>
    <w:rsid w:val="004F4D6A"/>
    <w:rsid w:val="004F578B"/>
    <w:rsid w:val="004F65C1"/>
    <w:rsid w:val="004F775A"/>
    <w:rsid w:val="00500633"/>
    <w:rsid w:val="005011B3"/>
    <w:rsid w:val="00501683"/>
    <w:rsid w:val="00503414"/>
    <w:rsid w:val="00504E58"/>
    <w:rsid w:val="0050589C"/>
    <w:rsid w:val="00505ADF"/>
    <w:rsid w:val="00507F09"/>
    <w:rsid w:val="0051001C"/>
    <w:rsid w:val="00513851"/>
    <w:rsid w:val="00515092"/>
    <w:rsid w:val="005167BF"/>
    <w:rsid w:val="0051724E"/>
    <w:rsid w:val="00520AC9"/>
    <w:rsid w:val="00520ED4"/>
    <w:rsid w:val="0052103D"/>
    <w:rsid w:val="00522A0B"/>
    <w:rsid w:val="00524510"/>
    <w:rsid w:val="00525A01"/>
    <w:rsid w:val="00525C3B"/>
    <w:rsid w:val="0052619C"/>
    <w:rsid w:val="005266B5"/>
    <w:rsid w:val="0052705F"/>
    <w:rsid w:val="00532C87"/>
    <w:rsid w:val="00534C99"/>
    <w:rsid w:val="00534CA0"/>
    <w:rsid w:val="00534EEA"/>
    <w:rsid w:val="00535983"/>
    <w:rsid w:val="005371E5"/>
    <w:rsid w:val="005431D4"/>
    <w:rsid w:val="00544F10"/>
    <w:rsid w:val="00546058"/>
    <w:rsid w:val="005462AA"/>
    <w:rsid w:val="00546CCE"/>
    <w:rsid w:val="005470A7"/>
    <w:rsid w:val="005473A4"/>
    <w:rsid w:val="00547529"/>
    <w:rsid w:val="00547CB9"/>
    <w:rsid w:val="00550DD2"/>
    <w:rsid w:val="005523BB"/>
    <w:rsid w:val="00553969"/>
    <w:rsid w:val="0055498B"/>
    <w:rsid w:val="00555297"/>
    <w:rsid w:val="0055681B"/>
    <w:rsid w:val="00556C24"/>
    <w:rsid w:val="00560C97"/>
    <w:rsid w:val="00560E30"/>
    <w:rsid w:val="00562512"/>
    <w:rsid w:val="00562B61"/>
    <w:rsid w:val="00562BDD"/>
    <w:rsid w:val="00563003"/>
    <w:rsid w:val="0056585E"/>
    <w:rsid w:val="0056647A"/>
    <w:rsid w:val="005714E1"/>
    <w:rsid w:val="0057419A"/>
    <w:rsid w:val="00575934"/>
    <w:rsid w:val="00581372"/>
    <w:rsid w:val="00581CE8"/>
    <w:rsid w:val="0058380C"/>
    <w:rsid w:val="005838DC"/>
    <w:rsid w:val="005848B9"/>
    <w:rsid w:val="00585F97"/>
    <w:rsid w:val="005906D2"/>
    <w:rsid w:val="0059090A"/>
    <w:rsid w:val="0059114F"/>
    <w:rsid w:val="00593404"/>
    <w:rsid w:val="00594013"/>
    <w:rsid w:val="00595326"/>
    <w:rsid w:val="005954BB"/>
    <w:rsid w:val="00595B7B"/>
    <w:rsid w:val="00596997"/>
    <w:rsid w:val="005975A9"/>
    <w:rsid w:val="005A0080"/>
    <w:rsid w:val="005A0E2F"/>
    <w:rsid w:val="005A1BD9"/>
    <w:rsid w:val="005A2625"/>
    <w:rsid w:val="005A3B9F"/>
    <w:rsid w:val="005A3C32"/>
    <w:rsid w:val="005A3D3C"/>
    <w:rsid w:val="005A4E71"/>
    <w:rsid w:val="005A5932"/>
    <w:rsid w:val="005A5AA1"/>
    <w:rsid w:val="005A632F"/>
    <w:rsid w:val="005B41FF"/>
    <w:rsid w:val="005B44B6"/>
    <w:rsid w:val="005B770C"/>
    <w:rsid w:val="005B7BD2"/>
    <w:rsid w:val="005B7E3C"/>
    <w:rsid w:val="005C1209"/>
    <w:rsid w:val="005C2D92"/>
    <w:rsid w:val="005C61D2"/>
    <w:rsid w:val="005C694C"/>
    <w:rsid w:val="005C7044"/>
    <w:rsid w:val="005C7EAA"/>
    <w:rsid w:val="005D06D9"/>
    <w:rsid w:val="005D0822"/>
    <w:rsid w:val="005D53FB"/>
    <w:rsid w:val="005D7091"/>
    <w:rsid w:val="005E1BA4"/>
    <w:rsid w:val="005E1D54"/>
    <w:rsid w:val="005E3D42"/>
    <w:rsid w:val="005F1539"/>
    <w:rsid w:val="005F33A9"/>
    <w:rsid w:val="005F4137"/>
    <w:rsid w:val="005F496D"/>
    <w:rsid w:val="005F5DE8"/>
    <w:rsid w:val="005F6F78"/>
    <w:rsid w:val="005F7A11"/>
    <w:rsid w:val="005F7C9C"/>
    <w:rsid w:val="005F7F47"/>
    <w:rsid w:val="00602985"/>
    <w:rsid w:val="00603459"/>
    <w:rsid w:val="00603EBE"/>
    <w:rsid w:val="00605036"/>
    <w:rsid w:val="00605937"/>
    <w:rsid w:val="00605F1D"/>
    <w:rsid w:val="006072FF"/>
    <w:rsid w:val="00607F0D"/>
    <w:rsid w:val="006135BF"/>
    <w:rsid w:val="00614D41"/>
    <w:rsid w:val="00615735"/>
    <w:rsid w:val="00616B58"/>
    <w:rsid w:val="00624374"/>
    <w:rsid w:val="006244D5"/>
    <w:rsid w:val="006244FA"/>
    <w:rsid w:val="00624699"/>
    <w:rsid w:val="0062570A"/>
    <w:rsid w:val="006276A4"/>
    <w:rsid w:val="00632D85"/>
    <w:rsid w:val="00632EA0"/>
    <w:rsid w:val="0063397F"/>
    <w:rsid w:val="00633D3C"/>
    <w:rsid w:val="00634CC7"/>
    <w:rsid w:val="0063548E"/>
    <w:rsid w:val="006354DD"/>
    <w:rsid w:val="006373CA"/>
    <w:rsid w:val="00637D95"/>
    <w:rsid w:val="00640180"/>
    <w:rsid w:val="006461CB"/>
    <w:rsid w:val="00646DEC"/>
    <w:rsid w:val="00647143"/>
    <w:rsid w:val="006504AD"/>
    <w:rsid w:val="0065115A"/>
    <w:rsid w:val="006515F1"/>
    <w:rsid w:val="006516C9"/>
    <w:rsid w:val="00652D58"/>
    <w:rsid w:val="006546A2"/>
    <w:rsid w:val="00655C10"/>
    <w:rsid w:val="00655DD8"/>
    <w:rsid w:val="0065638A"/>
    <w:rsid w:val="00660313"/>
    <w:rsid w:val="00660B78"/>
    <w:rsid w:val="00660D6E"/>
    <w:rsid w:val="0066178A"/>
    <w:rsid w:val="006640D6"/>
    <w:rsid w:val="0066552E"/>
    <w:rsid w:val="00667BC9"/>
    <w:rsid w:val="00667EDD"/>
    <w:rsid w:val="00672459"/>
    <w:rsid w:val="0067288A"/>
    <w:rsid w:val="00673862"/>
    <w:rsid w:val="0067487F"/>
    <w:rsid w:val="006749DA"/>
    <w:rsid w:val="006753F3"/>
    <w:rsid w:val="0067733A"/>
    <w:rsid w:val="00677459"/>
    <w:rsid w:val="00677FE2"/>
    <w:rsid w:val="00680C4A"/>
    <w:rsid w:val="00681644"/>
    <w:rsid w:val="00681C9E"/>
    <w:rsid w:val="00682617"/>
    <w:rsid w:val="00684A82"/>
    <w:rsid w:val="00684D49"/>
    <w:rsid w:val="0068716F"/>
    <w:rsid w:val="00690349"/>
    <w:rsid w:val="006909F5"/>
    <w:rsid w:val="00691C8C"/>
    <w:rsid w:val="00691F9B"/>
    <w:rsid w:val="00692A3F"/>
    <w:rsid w:val="00692D53"/>
    <w:rsid w:val="00694537"/>
    <w:rsid w:val="00694D15"/>
    <w:rsid w:val="00694D62"/>
    <w:rsid w:val="006956BB"/>
    <w:rsid w:val="00697A62"/>
    <w:rsid w:val="006A0F06"/>
    <w:rsid w:val="006A29C3"/>
    <w:rsid w:val="006A3945"/>
    <w:rsid w:val="006A4BEF"/>
    <w:rsid w:val="006A6755"/>
    <w:rsid w:val="006A7DBE"/>
    <w:rsid w:val="006B04F0"/>
    <w:rsid w:val="006B1193"/>
    <w:rsid w:val="006B4120"/>
    <w:rsid w:val="006B4A17"/>
    <w:rsid w:val="006C0C5C"/>
    <w:rsid w:val="006C0CAA"/>
    <w:rsid w:val="006C25E5"/>
    <w:rsid w:val="006C28EC"/>
    <w:rsid w:val="006C3B54"/>
    <w:rsid w:val="006C6334"/>
    <w:rsid w:val="006D0C52"/>
    <w:rsid w:val="006D2699"/>
    <w:rsid w:val="006D3EE5"/>
    <w:rsid w:val="006D5763"/>
    <w:rsid w:val="006D5C97"/>
    <w:rsid w:val="006D73A5"/>
    <w:rsid w:val="006D7EEA"/>
    <w:rsid w:val="006E16EA"/>
    <w:rsid w:val="006E19BC"/>
    <w:rsid w:val="006E354F"/>
    <w:rsid w:val="006E3673"/>
    <w:rsid w:val="006F0162"/>
    <w:rsid w:val="006F078A"/>
    <w:rsid w:val="006F2446"/>
    <w:rsid w:val="006F31BE"/>
    <w:rsid w:val="006F349D"/>
    <w:rsid w:val="006F413C"/>
    <w:rsid w:val="006F55DF"/>
    <w:rsid w:val="006F67FC"/>
    <w:rsid w:val="006F72A6"/>
    <w:rsid w:val="006F768E"/>
    <w:rsid w:val="006F7EA6"/>
    <w:rsid w:val="00702E35"/>
    <w:rsid w:val="007035E5"/>
    <w:rsid w:val="00703892"/>
    <w:rsid w:val="007039CC"/>
    <w:rsid w:val="007044EE"/>
    <w:rsid w:val="0070581D"/>
    <w:rsid w:val="00705A40"/>
    <w:rsid w:val="00706118"/>
    <w:rsid w:val="007072E0"/>
    <w:rsid w:val="007077F7"/>
    <w:rsid w:val="007078FA"/>
    <w:rsid w:val="00707E30"/>
    <w:rsid w:val="00710937"/>
    <w:rsid w:val="00710C89"/>
    <w:rsid w:val="00711F7E"/>
    <w:rsid w:val="007135BC"/>
    <w:rsid w:val="00713CD5"/>
    <w:rsid w:val="00714F6F"/>
    <w:rsid w:val="00716E23"/>
    <w:rsid w:val="00720426"/>
    <w:rsid w:val="00720E43"/>
    <w:rsid w:val="00721527"/>
    <w:rsid w:val="007247E4"/>
    <w:rsid w:val="00726085"/>
    <w:rsid w:val="007269B0"/>
    <w:rsid w:val="00726A7B"/>
    <w:rsid w:val="0072737D"/>
    <w:rsid w:val="0072781E"/>
    <w:rsid w:val="00731324"/>
    <w:rsid w:val="007319D6"/>
    <w:rsid w:val="00733102"/>
    <w:rsid w:val="00733E67"/>
    <w:rsid w:val="007343B7"/>
    <w:rsid w:val="00734C77"/>
    <w:rsid w:val="007358D7"/>
    <w:rsid w:val="007378DE"/>
    <w:rsid w:val="00740B3A"/>
    <w:rsid w:val="00741215"/>
    <w:rsid w:val="00743E16"/>
    <w:rsid w:val="00744D05"/>
    <w:rsid w:val="00744E98"/>
    <w:rsid w:val="00745558"/>
    <w:rsid w:val="00746153"/>
    <w:rsid w:val="00746307"/>
    <w:rsid w:val="0074696B"/>
    <w:rsid w:val="00750E60"/>
    <w:rsid w:val="00755055"/>
    <w:rsid w:val="00760A72"/>
    <w:rsid w:val="00762D80"/>
    <w:rsid w:val="007632FE"/>
    <w:rsid w:val="00763C16"/>
    <w:rsid w:val="007645A2"/>
    <w:rsid w:val="00764E5F"/>
    <w:rsid w:val="00766D00"/>
    <w:rsid w:val="00767035"/>
    <w:rsid w:val="007676FE"/>
    <w:rsid w:val="00770E05"/>
    <w:rsid w:val="00771294"/>
    <w:rsid w:val="00771C0E"/>
    <w:rsid w:val="00772C24"/>
    <w:rsid w:val="00772DA4"/>
    <w:rsid w:val="00773A67"/>
    <w:rsid w:val="00773D91"/>
    <w:rsid w:val="007740A9"/>
    <w:rsid w:val="00774DBE"/>
    <w:rsid w:val="00775C9E"/>
    <w:rsid w:val="007800D0"/>
    <w:rsid w:val="007807E9"/>
    <w:rsid w:val="0078102A"/>
    <w:rsid w:val="00781BA9"/>
    <w:rsid w:val="0078244A"/>
    <w:rsid w:val="007836A2"/>
    <w:rsid w:val="007841BF"/>
    <w:rsid w:val="007842FF"/>
    <w:rsid w:val="007863EA"/>
    <w:rsid w:val="00786E19"/>
    <w:rsid w:val="00787591"/>
    <w:rsid w:val="00787C25"/>
    <w:rsid w:val="00787C6E"/>
    <w:rsid w:val="00787FC3"/>
    <w:rsid w:val="007902C7"/>
    <w:rsid w:val="00791AF1"/>
    <w:rsid w:val="00791D7F"/>
    <w:rsid w:val="00793145"/>
    <w:rsid w:val="00796950"/>
    <w:rsid w:val="007A0B3B"/>
    <w:rsid w:val="007A1A32"/>
    <w:rsid w:val="007A2F35"/>
    <w:rsid w:val="007A5AE5"/>
    <w:rsid w:val="007A6205"/>
    <w:rsid w:val="007A6D03"/>
    <w:rsid w:val="007A7D7A"/>
    <w:rsid w:val="007A7F3B"/>
    <w:rsid w:val="007B0811"/>
    <w:rsid w:val="007B3DD9"/>
    <w:rsid w:val="007B49D6"/>
    <w:rsid w:val="007B5A5F"/>
    <w:rsid w:val="007B60EC"/>
    <w:rsid w:val="007B756B"/>
    <w:rsid w:val="007B7C28"/>
    <w:rsid w:val="007C0017"/>
    <w:rsid w:val="007C12AF"/>
    <w:rsid w:val="007C190B"/>
    <w:rsid w:val="007C28C1"/>
    <w:rsid w:val="007C28EA"/>
    <w:rsid w:val="007C2CF9"/>
    <w:rsid w:val="007C30EE"/>
    <w:rsid w:val="007C3199"/>
    <w:rsid w:val="007C38C8"/>
    <w:rsid w:val="007C444D"/>
    <w:rsid w:val="007C63F4"/>
    <w:rsid w:val="007C7210"/>
    <w:rsid w:val="007C75E8"/>
    <w:rsid w:val="007C7D86"/>
    <w:rsid w:val="007C7FA9"/>
    <w:rsid w:val="007D0BAA"/>
    <w:rsid w:val="007D15FD"/>
    <w:rsid w:val="007D1835"/>
    <w:rsid w:val="007D1DD5"/>
    <w:rsid w:val="007D504F"/>
    <w:rsid w:val="007D5D3D"/>
    <w:rsid w:val="007D647F"/>
    <w:rsid w:val="007D6FBE"/>
    <w:rsid w:val="007D7F00"/>
    <w:rsid w:val="007E0A3E"/>
    <w:rsid w:val="007E1FDB"/>
    <w:rsid w:val="007E2978"/>
    <w:rsid w:val="007E323D"/>
    <w:rsid w:val="007E4C5F"/>
    <w:rsid w:val="007E6A31"/>
    <w:rsid w:val="007F09AF"/>
    <w:rsid w:val="007F26DA"/>
    <w:rsid w:val="007F3BA4"/>
    <w:rsid w:val="007F49F6"/>
    <w:rsid w:val="007F527B"/>
    <w:rsid w:val="007F7EDA"/>
    <w:rsid w:val="008019E3"/>
    <w:rsid w:val="0080233F"/>
    <w:rsid w:val="008024A7"/>
    <w:rsid w:val="0080351C"/>
    <w:rsid w:val="008039E7"/>
    <w:rsid w:val="00803CA6"/>
    <w:rsid w:val="00804733"/>
    <w:rsid w:val="00804C41"/>
    <w:rsid w:val="00805ABE"/>
    <w:rsid w:val="00806DAE"/>
    <w:rsid w:val="00810178"/>
    <w:rsid w:val="00810B3D"/>
    <w:rsid w:val="008113E9"/>
    <w:rsid w:val="00811C6F"/>
    <w:rsid w:val="00811D12"/>
    <w:rsid w:val="00812450"/>
    <w:rsid w:val="0081274B"/>
    <w:rsid w:val="008139CE"/>
    <w:rsid w:val="0081402D"/>
    <w:rsid w:val="00814BF5"/>
    <w:rsid w:val="008171D0"/>
    <w:rsid w:val="008219FD"/>
    <w:rsid w:val="008232F5"/>
    <w:rsid w:val="008237A2"/>
    <w:rsid w:val="0082467D"/>
    <w:rsid w:val="00824BE6"/>
    <w:rsid w:val="00824F5F"/>
    <w:rsid w:val="00826FE7"/>
    <w:rsid w:val="00827769"/>
    <w:rsid w:val="008279D1"/>
    <w:rsid w:val="00830D46"/>
    <w:rsid w:val="008319FF"/>
    <w:rsid w:val="00831B92"/>
    <w:rsid w:val="00832D8F"/>
    <w:rsid w:val="0083447C"/>
    <w:rsid w:val="008351F0"/>
    <w:rsid w:val="00836A17"/>
    <w:rsid w:val="00837157"/>
    <w:rsid w:val="00837D70"/>
    <w:rsid w:val="00840041"/>
    <w:rsid w:val="00845CB1"/>
    <w:rsid w:val="00846A38"/>
    <w:rsid w:val="00846DCA"/>
    <w:rsid w:val="008473BD"/>
    <w:rsid w:val="008478CF"/>
    <w:rsid w:val="00847DA8"/>
    <w:rsid w:val="00847F91"/>
    <w:rsid w:val="008508CD"/>
    <w:rsid w:val="00853ED2"/>
    <w:rsid w:val="00854C4D"/>
    <w:rsid w:val="00854D02"/>
    <w:rsid w:val="008565CA"/>
    <w:rsid w:val="0086041F"/>
    <w:rsid w:val="008608F0"/>
    <w:rsid w:val="00861D8E"/>
    <w:rsid w:val="00861F4F"/>
    <w:rsid w:val="00866353"/>
    <w:rsid w:val="00866B6F"/>
    <w:rsid w:val="00866BAD"/>
    <w:rsid w:val="00866C99"/>
    <w:rsid w:val="0087037B"/>
    <w:rsid w:val="0087067E"/>
    <w:rsid w:val="0087117A"/>
    <w:rsid w:val="008723A9"/>
    <w:rsid w:val="00872B7B"/>
    <w:rsid w:val="00873029"/>
    <w:rsid w:val="00874CCD"/>
    <w:rsid w:val="00875BF1"/>
    <w:rsid w:val="0088052F"/>
    <w:rsid w:val="00880C8F"/>
    <w:rsid w:val="008828CB"/>
    <w:rsid w:val="008828EA"/>
    <w:rsid w:val="00882E19"/>
    <w:rsid w:val="00883F6B"/>
    <w:rsid w:val="00884796"/>
    <w:rsid w:val="00885220"/>
    <w:rsid w:val="0088700F"/>
    <w:rsid w:val="0088791A"/>
    <w:rsid w:val="008923E1"/>
    <w:rsid w:val="00892D4A"/>
    <w:rsid w:val="008938D0"/>
    <w:rsid w:val="00894C3F"/>
    <w:rsid w:val="00895EFD"/>
    <w:rsid w:val="00895F3E"/>
    <w:rsid w:val="008A01AE"/>
    <w:rsid w:val="008A13B6"/>
    <w:rsid w:val="008A17DC"/>
    <w:rsid w:val="008A259A"/>
    <w:rsid w:val="008A25E1"/>
    <w:rsid w:val="008A2C14"/>
    <w:rsid w:val="008A4039"/>
    <w:rsid w:val="008B027B"/>
    <w:rsid w:val="008B070D"/>
    <w:rsid w:val="008B0ECF"/>
    <w:rsid w:val="008B51DC"/>
    <w:rsid w:val="008B5CE0"/>
    <w:rsid w:val="008B6BBB"/>
    <w:rsid w:val="008B7724"/>
    <w:rsid w:val="008C00B5"/>
    <w:rsid w:val="008C156D"/>
    <w:rsid w:val="008C59EB"/>
    <w:rsid w:val="008D27AF"/>
    <w:rsid w:val="008D31F8"/>
    <w:rsid w:val="008D343D"/>
    <w:rsid w:val="008D45D6"/>
    <w:rsid w:val="008D49D1"/>
    <w:rsid w:val="008D4BA4"/>
    <w:rsid w:val="008D7A2F"/>
    <w:rsid w:val="008D7C38"/>
    <w:rsid w:val="008E4489"/>
    <w:rsid w:val="008E6CD9"/>
    <w:rsid w:val="008F0BC1"/>
    <w:rsid w:val="008F1E83"/>
    <w:rsid w:val="008F2783"/>
    <w:rsid w:val="008F329A"/>
    <w:rsid w:val="008F377E"/>
    <w:rsid w:val="008F5F9A"/>
    <w:rsid w:val="008F6DFF"/>
    <w:rsid w:val="0090207F"/>
    <w:rsid w:val="009063FC"/>
    <w:rsid w:val="00906A9F"/>
    <w:rsid w:val="009070D6"/>
    <w:rsid w:val="00907F95"/>
    <w:rsid w:val="00912174"/>
    <w:rsid w:val="00912A4E"/>
    <w:rsid w:val="00912B68"/>
    <w:rsid w:val="00913001"/>
    <w:rsid w:val="009134FA"/>
    <w:rsid w:val="00913F17"/>
    <w:rsid w:val="0091490E"/>
    <w:rsid w:val="009159B4"/>
    <w:rsid w:val="00915C0A"/>
    <w:rsid w:val="00916F08"/>
    <w:rsid w:val="00916FC3"/>
    <w:rsid w:val="00917013"/>
    <w:rsid w:val="00917D5A"/>
    <w:rsid w:val="00920178"/>
    <w:rsid w:val="00921372"/>
    <w:rsid w:val="00921F9A"/>
    <w:rsid w:val="00923041"/>
    <w:rsid w:val="009262F9"/>
    <w:rsid w:val="00927266"/>
    <w:rsid w:val="00927A7A"/>
    <w:rsid w:val="00927A96"/>
    <w:rsid w:val="009310A9"/>
    <w:rsid w:val="009318FF"/>
    <w:rsid w:val="009343C8"/>
    <w:rsid w:val="00934E89"/>
    <w:rsid w:val="0093565B"/>
    <w:rsid w:val="00935F46"/>
    <w:rsid w:val="00936DD5"/>
    <w:rsid w:val="0093732B"/>
    <w:rsid w:val="0094114F"/>
    <w:rsid w:val="0094415B"/>
    <w:rsid w:val="00945668"/>
    <w:rsid w:val="00946659"/>
    <w:rsid w:val="00946836"/>
    <w:rsid w:val="009509D0"/>
    <w:rsid w:val="00951CAB"/>
    <w:rsid w:val="00953514"/>
    <w:rsid w:val="00954E44"/>
    <w:rsid w:val="00956067"/>
    <w:rsid w:val="009571EE"/>
    <w:rsid w:val="00957E6B"/>
    <w:rsid w:val="009619F1"/>
    <w:rsid w:val="00961E87"/>
    <w:rsid w:val="00962696"/>
    <w:rsid w:val="00962F03"/>
    <w:rsid w:val="00963A01"/>
    <w:rsid w:val="009662D4"/>
    <w:rsid w:val="00966F63"/>
    <w:rsid w:val="00970A60"/>
    <w:rsid w:val="00971388"/>
    <w:rsid w:val="00971C09"/>
    <w:rsid w:val="00973156"/>
    <w:rsid w:val="00973399"/>
    <w:rsid w:val="00977293"/>
    <w:rsid w:val="009811BA"/>
    <w:rsid w:val="00981AE9"/>
    <w:rsid w:val="00982090"/>
    <w:rsid w:val="009824E2"/>
    <w:rsid w:val="0098268F"/>
    <w:rsid w:val="0098397A"/>
    <w:rsid w:val="009870B0"/>
    <w:rsid w:val="009876CD"/>
    <w:rsid w:val="00987A94"/>
    <w:rsid w:val="00987D88"/>
    <w:rsid w:val="00990737"/>
    <w:rsid w:val="00990B56"/>
    <w:rsid w:val="009917EE"/>
    <w:rsid w:val="00991D09"/>
    <w:rsid w:val="0099201E"/>
    <w:rsid w:val="009928E0"/>
    <w:rsid w:val="00993BBF"/>
    <w:rsid w:val="00994149"/>
    <w:rsid w:val="00995E2A"/>
    <w:rsid w:val="0099710D"/>
    <w:rsid w:val="009979C1"/>
    <w:rsid w:val="00997AE2"/>
    <w:rsid w:val="009A4BF8"/>
    <w:rsid w:val="009A5187"/>
    <w:rsid w:val="009A7BCC"/>
    <w:rsid w:val="009B1405"/>
    <w:rsid w:val="009B4683"/>
    <w:rsid w:val="009B4D60"/>
    <w:rsid w:val="009B6A68"/>
    <w:rsid w:val="009B724F"/>
    <w:rsid w:val="009C2320"/>
    <w:rsid w:val="009C2A4C"/>
    <w:rsid w:val="009C3B01"/>
    <w:rsid w:val="009D0A6C"/>
    <w:rsid w:val="009D15CE"/>
    <w:rsid w:val="009D2BFE"/>
    <w:rsid w:val="009D3A88"/>
    <w:rsid w:val="009D3BAA"/>
    <w:rsid w:val="009D401F"/>
    <w:rsid w:val="009D525D"/>
    <w:rsid w:val="009E0517"/>
    <w:rsid w:val="009E08E7"/>
    <w:rsid w:val="009E0F62"/>
    <w:rsid w:val="009E1253"/>
    <w:rsid w:val="009E1832"/>
    <w:rsid w:val="009E23D8"/>
    <w:rsid w:val="009E3D55"/>
    <w:rsid w:val="009E44FB"/>
    <w:rsid w:val="009E4852"/>
    <w:rsid w:val="009F0C5E"/>
    <w:rsid w:val="009F2349"/>
    <w:rsid w:val="009F319E"/>
    <w:rsid w:val="00A00811"/>
    <w:rsid w:val="00A0127A"/>
    <w:rsid w:val="00A014B7"/>
    <w:rsid w:val="00A02A12"/>
    <w:rsid w:val="00A04785"/>
    <w:rsid w:val="00A05378"/>
    <w:rsid w:val="00A05AAE"/>
    <w:rsid w:val="00A06AB2"/>
    <w:rsid w:val="00A06F4F"/>
    <w:rsid w:val="00A07726"/>
    <w:rsid w:val="00A07F68"/>
    <w:rsid w:val="00A102EE"/>
    <w:rsid w:val="00A10967"/>
    <w:rsid w:val="00A117A9"/>
    <w:rsid w:val="00A11F09"/>
    <w:rsid w:val="00A12038"/>
    <w:rsid w:val="00A136EF"/>
    <w:rsid w:val="00A13E76"/>
    <w:rsid w:val="00A13ED3"/>
    <w:rsid w:val="00A160F7"/>
    <w:rsid w:val="00A16B63"/>
    <w:rsid w:val="00A177E6"/>
    <w:rsid w:val="00A238B8"/>
    <w:rsid w:val="00A24C29"/>
    <w:rsid w:val="00A24D85"/>
    <w:rsid w:val="00A25BBD"/>
    <w:rsid w:val="00A26CD5"/>
    <w:rsid w:val="00A27300"/>
    <w:rsid w:val="00A2783B"/>
    <w:rsid w:val="00A30014"/>
    <w:rsid w:val="00A30484"/>
    <w:rsid w:val="00A30975"/>
    <w:rsid w:val="00A315C6"/>
    <w:rsid w:val="00A32FA2"/>
    <w:rsid w:val="00A33362"/>
    <w:rsid w:val="00A35971"/>
    <w:rsid w:val="00A36C80"/>
    <w:rsid w:val="00A40456"/>
    <w:rsid w:val="00A404FA"/>
    <w:rsid w:val="00A40DE1"/>
    <w:rsid w:val="00A42257"/>
    <w:rsid w:val="00A426DD"/>
    <w:rsid w:val="00A451EB"/>
    <w:rsid w:val="00A462B4"/>
    <w:rsid w:val="00A46AE2"/>
    <w:rsid w:val="00A47058"/>
    <w:rsid w:val="00A47741"/>
    <w:rsid w:val="00A501B0"/>
    <w:rsid w:val="00A507C0"/>
    <w:rsid w:val="00A52092"/>
    <w:rsid w:val="00A52BF5"/>
    <w:rsid w:val="00A532F9"/>
    <w:rsid w:val="00A552BD"/>
    <w:rsid w:val="00A556C0"/>
    <w:rsid w:val="00A55837"/>
    <w:rsid w:val="00A55F20"/>
    <w:rsid w:val="00A562BF"/>
    <w:rsid w:val="00A56B7E"/>
    <w:rsid w:val="00A57628"/>
    <w:rsid w:val="00A60CF0"/>
    <w:rsid w:val="00A612C7"/>
    <w:rsid w:val="00A62CCB"/>
    <w:rsid w:val="00A6326E"/>
    <w:rsid w:val="00A6376D"/>
    <w:rsid w:val="00A66BDB"/>
    <w:rsid w:val="00A712B0"/>
    <w:rsid w:val="00A71EC9"/>
    <w:rsid w:val="00A72819"/>
    <w:rsid w:val="00A733F4"/>
    <w:rsid w:val="00A742FF"/>
    <w:rsid w:val="00A751D5"/>
    <w:rsid w:val="00A81B45"/>
    <w:rsid w:val="00A82108"/>
    <w:rsid w:val="00A829B1"/>
    <w:rsid w:val="00A840CC"/>
    <w:rsid w:val="00A84F57"/>
    <w:rsid w:val="00A857CA"/>
    <w:rsid w:val="00A86355"/>
    <w:rsid w:val="00A86429"/>
    <w:rsid w:val="00A900B7"/>
    <w:rsid w:val="00A90C06"/>
    <w:rsid w:val="00A91790"/>
    <w:rsid w:val="00A92C88"/>
    <w:rsid w:val="00A939BB"/>
    <w:rsid w:val="00A93BA4"/>
    <w:rsid w:val="00A93F96"/>
    <w:rsid w:val="00A95248"/>
    <w:rsid w:val="00A95E26"/>
    <w:rsid w:val="00A9676E"/>
    <w:rsid w:val="00A9708A"/>
    <w:rsid w:val="00A9739E"/>
    <w:rsid w:val="00AA0245"/>
    <w:rsid w:val="00AA0DC5"/>
    <w:rsid w:val="00AA3EC0"/>
    <w:rsid w:val="00AB27A9"/>
    <w:rsid w:val="00AB64D2"/>
    <w:rsid w:val="00AB6D6F"/>
    <w:rsid w:val="00AB6E1A"/>
    <w:rsid w:val="00AC6484"/>
    <w:rsid w:val="00AC6725"/>
    <w:rsid w:val="00AC7FA4"/>
    <w:rsid w:val="00AD2812"/>
    <w:rsid w:val="00AD569D"/>
    <w:rsid w:val="00AD6AEA"/>
    <w:rsid w:val="00AD6F3B"/>
    <w:rsid w:val="00AD7CF7"/>
    <w:rsid w:val="00AD7D53"/>
    <w:rsid w:val="00AE054E"/>
    <w:rsid w:val="00AE2BA9"/>
    <w:rsid w:val="00AE46CD"/>
    <w:rsid w:val="00AE493A"/>
    <w:rsid w:val="00AE5B77"/>
    <w:rsid w:val="00AE65A9"/>
    <w:rsid w:val="00AE6780"/>
    <w:rsid w:val="00AE7585"/>
    <w:rsid w:val="00AF000E"/>
    <w:rsid w:val="00AF133B"/>
    <w:rsid w:val="00AF4319"/>
    <w:rsid w:val="00AF4A76"/>
    <w:rsid w:val="00B00976"/>
    <w:rsid w:val="00B00B06"/>
    <w:rsid w:val="00B0191A"/>
    <w:rsid w:val="00B01DEB"/>
    <w:rsid w:val="00B103D3"/>
    <w:rsid w:val="00B10415"/>
    <w:rsid w:val="00B1136D"/>
    <w:rsid w:val="00B1181E"/>
    <w:rsid w:val="00B1183F"/>
    <w:rsid w:val="00B11B77"/>
    <w:rsid w:val="00B133AA"/>
    <w:rsid w:val="00B1461E"/>
    <w:rsid w:val="00B154B7"/>
    <w:rsid w:val="00B1586C"/>
    <w:rsid w:val="00B16A48"/>
    <w:rsid w:val="00B1731C"/>
    <w:rsid w:val="00B20549"/>
    <w:rsid w:val="00B229BD"/>
    <w:rsid w:val="00B23A5B"/>
    <w:rsid w:val="00B24307"/>
    <w:rsid w:val="00B24677"/>
    <w:rsid w:val="00B24839"/>
    <w:rsid w:val="00B25969"/>
    <w:rsid w:val="00B27DAC"/>
    <w:rsid w:val="00B30F9C"/>
    <w:rsid w:val="00B315BA"/>
    <w:rsid w:val="00B34B06"/>
    <w:rsid w:val="00B3703D"/>
    <w:rsid w:val="00B373D4"/>
    <w:rsid w:val="00B401A5"/>
    <w:rsid w:val="00B405CE"/>
    <w:rsid w:val="00B40D1C"/>
    <w:rsid w:val="00B4604F"/>
    <w:rsid w:val="00B4760B"/>
    <w:rsid w:val="00B47D90"/>
    <w:rsid w:val="00B516F1"/>
    <w:rsid w:val="00B52880"/>
    <w:rsid w:val="00B52E85"/>
    <w:rsid w:val="00B531E8"/>
    <w:rsid w:val="00B545B1"/>
    <w:rsid w:val="00B54CC0"/>
    <w:rsid w:val="00B574E3"/>
    <w:rsid w:val="00B57E1C"/>
    <w:rsid w:val="00B61FAC"/>
    <w:rsid w:val="00B63049"/>
    <w:rsid w:val="00B633D8"/>
    <w:rsid w:val="00B63B01"/>
    <w:rsid w:val="00B6644D"/>
    <w:rsid w:val="00B6653F"/>
    <w:rsid w:val="00B66642"/>
    <w:rsid w:val="00B67D7F"/>
    <w:rsid w:val="00B7198F"/>
    <w:rsid w:val="00B71ACB"/>
    <w:rsid w:val="00B729BD"/>
    <w:rsid w:val="00B72F96"/>
    <w:rsid w:val="00B76062"/>
    <w:rsid w:val="00B76A0E"/>
    <w:rsid w:val="00B818C6"/>
    <w:rsid w:val="00B81DE1"/>
    <w:rsid w:val="00B84AC6"/>
    <w:rsid w:val="00B85419"/>
    <w:rsid w:val="00B86169"/>
    <w:rsid w:val="00B9079C"/>
    <w:rsid w:val="00B90AC8"/>
    <w:rsid w:val="00B9145A"/>
    <w:rsid w:val="00B92B78"/>
    <w:rsid w:val="00B93D36"/>
    <w:rsid w:val="00B941FC"/>
    <w:rsid w:val="00B94704"/>
    <w:rsid w:val="00BA1C07"/>
    <w:rsid w:val="00BA1E64"/>
    <w:rsid w:val="00BA3AFD"/>
    <w:rsid w:val="00BA4F6A"/>
    <w:rsid w:val="00BA4F86"/>
    <w:rsid w:val="00BA57EB"/>
    <w:rsid w:val="00BA7C6F"/>
    <w:rsid w:val="00BB220E"/>
    <w:rsid w:val="00BB5350"/>
    <w:rsid w:val="00BB5380"/>
    <w:rsid w:val="00BB594B"/>
    <w:rsid w:val="00BB6685"/>
    <w:rsid w:val="00BC08BF"/>
    <w:rsid w:val="00BC1D5E"/>
    <w:rsid w:val="00BC22A0"/>
    <w:rsid w:val="00BC6481"/>
    <w:rsid w:val="00BD033E"/>
    <w:rsid w:val="00BD4B09"/>
    <w:rsid w:val="00BD5AC3"/>
    <w:rsid w:val="00BD63BD"/>
    <w:rsid w:val="00BD75F5"/>
    <w:rsid w:val="00BE0CC0"/>
    <w:rsid w:val="00BE13D0"/>
    <w:rsid w:val="00BE21D1"/>
    <w:rsid w:val="00BE24F5"/>
    <w:rsid w:val="00BE2D1C"/>
    <w:rsid w:val="00BE399D"/>
    <w:rsid w:val="00BE3A77"/>
    <w:rsid w:val="00BE40C1"/>
    <w:rsid w:val="00BE6B0B"/>
    <w:rsid w:val="00BE751A"/>
    <w:rsid w:val="00BE7B79"/>
    <w:rsid w:val="00BF137F"/>
    <w:rsid w:val="00BF15E8"/>
    <w:rsid w:val="00BF1E6C"/>
    <w:rsid w:val="00BF2BBA"/>
    <w:rsid w:val="00BF30FC"/>
    <w:rsid w:val="00BF37D3"/>
    <w:rsid w:val="00BF45CE"/>
    <w:rsid w:val="00BF77AD"/>
    <w:rsid w:val="00C0063C"/>
    <w:rsid w:val="00C03B22"/>
    <w:rsid w:val="00C044F9"/>
    <w:rsid w:val="00C04E77"/>
    <w:rsid w:val="00C05F84"/>
    <w:rsid w:val="00C06ABA"/>
    <w:rsid w:val="00C11CFC"/>
    <w:rsid w:val="00C13384"/>
    <w:rsid w:val="00C1406B"/>
    <w:rsid w:val="00C141E9"/>
    <w:rsid w:val="00C16C3D"/>
    <w:rsid w:val="00C22705"/>
    <w:rsid w:val="00C2395A"/>
    <w:rsid w:val="00C24D1B"/>
    <w:rsid w:val="00C24E15"/>
    <w:rsid w:val="00C24F0F"/>
    <w:rsid w:val="00C274E4"/>
    <w:rsid w:val="00C304E9"/>
    <w:rsid w:val="00C328AF"/>
    <w:rsid w:val="00C33A7D"/>
    <w:rsid w:val="00C36C66"/>
    <w:rsid w:val="00C37601"/>
    <w:rsid w:val="00C404E6"/>
    <w:rsid w:val="00C419B0"/>
    <w:rsid w:val="00C4358F"/>
    <w:rsid w:val="00C441F9"/>
    <w:rsid w:val="00C453CD"/>
    <w:rsid w:val="00C45FFE"/>
    <w:rsid w:val="00C46AF4"/>
    <w:rsid w:val="00C46C5D"/>
    <w:rsid w:val="00C476A5"/>
    <w:rsid w:val="00C47B85"/>
    <w:rsid w:val="00C5046A"/>
    <w:rsid w:val="00C51EF1"/>
    <w:rsid w:val="00C528DA"/>
    <w:rsid w:val="00C53C4D"/>
    <w:rsid w:val="00C552A2"/>
    <w:rsid w:val="00C553D2"/>
    <w:rsid w:val="00C55BA8"/>
    <w:rsid w:val="00C5793E"/>
    <w:rsid w:val="00C57B74"/>
    <w:rsid w:val="00C60518"/>
    <w:rsid w:val="00C614C5"/>
    <w:rsid w:val="00C61B73"/>
    <w:rsid w:val="00C61BCF"/>
    <w:rsid w:val="00C62406"/>
    <w:rsid w:val="00C649ED"/>
    <w:rsid w:val="00C64D4F"/>
    <w:rsid w:val="00C65FD4"/>
    <w:rsid w:val="00C673C8"/>
    <w:rsid w:val="00C67DE6"/>
    <w:rsid w:val="00C71BCB"/>
    <w:rsid w:val="00C7240E"/>
    <w:rsid w:val="00C73F84"/>
    <w:rsid w:val="00C74953"/>
    <w:rsid w:val="00C7592C"/>
    <w:rsid w:val="00C76995"/>
    <w:rsid w:val="00C7749B"/>
    <w:rsid w:val="00C8074B"/>
    <w:rsid w:val="00C823AC"/>
    <w:rsid w:val="00C825C8"/>
    <w:rsid w:val="00C83488"/>
    <w:rsid w:val="00C848B2"/>
    <w:rsid w:val="00C85431"/>
    <w:rsid w:val="00C859DF"/>
    <w:rsid w:val="00C86500"/>
    <w:rsid w:val="00C869FF"/>
    <w:rsid w:val="00C874D8"/>
    <w:rsid w:val="00C877A8"/>
    <w:rsid w:val="00C917B4"/>
    <w:rsid w:val="00C92376"/>
    <w:rsid w:val="00C937B9"/>
    <w:rsid w:val="00C94AA1"/>
    <w:rsid w:val="00C95F9D"/>
    <w:rsid w:val="00C9674E"/>
    <w:rsid w:val="00C96A5F"/>
    <w:rsid w:val="00C974C6"/>
    <w:rsid w:val="00CA143E"/>
    <w:rsid w:val="00CA41D8"/>
    <w:rsid w:val="00CA4AAE"/>
    <w:rsid w:val="00CA616B"/>
    <w:rsid w:val="00CA6DFF"/>
    <w:rsid w:val="00CA7D07"/>
    <w:rsid w:val="00CB0D64"/>
    <w:rsid w:val="00CB2AE8"/>
    <w:rsid w:val="00CB2B7E"/>
    <w:rsid w:val="00CB3EFA"/>
    <w:rsid w:val="00CB5E8A"/>
    <w:rsid w:val="00CB6706"/>
    <w:rsid w:val="00CC04F2"/>
    <w:rsid w:val="00CC14BD"/>
    <w:rsid w:val="00CC23EF"/>
    <w:rsid w:val="00CC3249"/>
    <w:rsid w:val="00CC4879"/>
    <w:rsid w:val="00CC4A8D"/>
    <w:rsid w:val="00CC5203"/>
    <w:rsid w:val="00CC5FB0"/>
    <w:rsid w:val="00CC6D2A"/>
    <w:rsid w:val="00CD09D3"/>
    <w:rsid w:val="00CD3B61"/>
    <w:rsid w:val="00CD3BB6"/>
    <w:rsid w:val="00CD53F2"/>
    <w:rsid w:val="00CD59DF"/>
    <w:rsid w:val="00CD5CFD"/>
    <w:rsid w:val="00CD62C3"/>
    <w:rsid w:val="00CE0670"/>
    <w:rsid w:val="00CE1415"/>
    <w:rsid w:val="00CE1C5A"/>
    <w:rsid w:val="00CE2867"/>
    <w:rsid w:val="00CE2D37"/>
    <w:rsid w:val="00CE32AB"/>
    <w:rsid w:val="00CE3670"/>
    <w:rsid w:val="00CE48B2"/>
    <w:rsid w:val="00CE5A58"/>
    <w:rsid w:val="00CE5ADA"/>
    <w:rsid w:val="00CE6B79"/>
    <w:rsid w:val="00CE6F0C"/>
    <w:rsid w:val="00CF2ABF"/>
    <w:rsid w:val="00CF3429"/>
    <w:rsid w:val="00CF3D22"/>
    <w:rsid w:val="00CF5585"/>
    <w:rsid w:val="00CF5D58"/>
    <w:rsid w:val="00CF6A61"/>
    <w:rsid w:val="00D00306"/>
    <w:rsid w:val="00D0094E"/>
    <w:rsid w:val="00D00A83"/>
    <w:rsid w:val="00D0104C"/>
    <w:rsid w:val="00D028A5"/>
    <w:rsid w:val="00D03937"/>
    <w:rsid w:val="00D04085"/>
    <w:rsid w:val="00D053B1"/>
    <w:rsid w:val="00D101D8"/>
    <w:rsid w:val="00D11A88"/>
    <w:rsid w:val="00D14FED"/>
    <w:rsid w:val="00D151DB"/>
    <w:rsid w:val="00D160F6"/>
    <w:rsid w:val="00D17BD8"/>
    <w:rsid w:val="00D203F2"/>
    <w:rsid w:val="00D20B71"/>
    <w:rsid w:val="00D2141E"/>
    <w:rsid w:val="00D22AA8"/>
    <w:rsid w:val="00D243F8"/>
    <w:rsid w:val="00D24BDB"/>
    <w:rsid w:val="00D25CD5"/>
    <w:rsid w:val="00D26266"/>
    <w:rsid w:val="00D26410"/>
    <w:rsid w:val="00D26511"/>
    <w:rsid w:val="00D2653D"/>
    <w:rsid w:val="00D26F2C"/>
    <w:rsid w:val="00D27CC0"/>
    <w:rsid w:val="00D304B2"/>
    <w:rsid w:val="00D30B85"/>
    <w:rsid w:val="00D310F6"/>
    <w:rsid w:val="00D330AD"/>
    <w:rsid w:val="00D332BA"/>
    <w:rsid w:val="00D34DAC"/>
    <w:rsid w:val="00D35B73"/>
    <w:rsid w:val="00D35B8A"/>
    <w:rsid w:val="00D36274"/>
    <w:rsid w:val="00D40AD3"/>
    <w:rsid w:val="00D42C56"/>
    <w:rsid w:val="00D43414"/>
    <w:rsid w:val="00D45F8E"/>
    <w:rsid w:val="00D4776E"/>
    <w:rsid w:val="00D5018A"/>
    <w:rsid w:val="00D50AB3"/>
    <w:rsid w:val="00D50B81"/>
    <w:rsid w:val="00D50DC3"/>
    <w:rsid w:val="00D51F70"/>
    <w:rsid w:val="00D52F70"/>
    <w:rsid w:val="00D54006"/>
    <w:rsid w:val="00D54DFF"/>
    <w:rsid w:val="00D5502A"/>
    <w:rsid w:val="00D554C5"/>
    <w:rsid w:val="00D570D8"/>
    <w:rsid w:val="00D572DE"/>
    <w:rsid w:val="00D61595"/>
    <w:rsid w:val="00D61B29"/>
    <w:rsid w:val="00D638E0"/>
    <w:rsid w:val="00D644E8"/>
    <w:rsid w:val="00D64F1A"/>
    <w:rsid w:val="00D666FC"/>
    <w:rsid w:val="00D707C5"/>
    <w:rsid w:val="00D72FA4"/>
    <w:rsid w:val="00D73725"/>
    <w:rsid w:val="00D76077"/>
    <w:rsid w:val="00D80311"/>
    <w:rsid w:val="00D822A4"/>
    <w:rsid w:val="00D847F1"/>
    <w:rsid w:val="00D85D6D"/>
    <w:rsid w:val="00D85E11"/>
    <w:rsid w:val="00D86A1B"/>
    <w:rsid w:val="00D87FD6"/>
    <w:rsid w:val="00D92482"/>
    <w:rsid w:val="00D94B9E"/>
    <w:rsid w:val="00D960BD"/>
    <w:rsid w:val="00D976D0"/>
    <w:rsid w:val="00DA06FA"/>
    <w:rsid w:val="00DA2EEE"/>
    <w:rsid w:val="00DA602F"/>
    <w:rsid w:val="00DA6328"/>
    <w:rsid w:val="00DA7683"/>
    <w:rsid w:val="00DB13BD"/>
    <w:rsid w:val="00DB1ADB"/>
    <w:rsid w:val="00DB4000"/>
    <w:rsid w:val="00DB5C15"/>
    <w:rsid w:val="00DB671F"/>
    <w:rsid w:val="00DB6BAB"/>
    <w:rsid w:val="00DB6E55"/>
    <w:rsid w:val="00DC1A42"/>
    <w:rsid w:val="00DC2879"/>
    <w:rsid w:val="00DC3FDC"/>
    <w:rsid w:val="00DC431B"/>
    <w:rsid w:val="00DC4EA2"/>
    <w:rsid w:val="00DC63F2"/>
    <w:rsid w:val="00DC7305"/>
    <w:rsid w:val="00DC7B9A"/>
    <w:rsid w:val="00DD1DDB"/>
    <w:rsid w:val="00DD21F5"/>
    <w:rsid w:val="00DD237C"/>
    <w:rsid w:val="00DD2600"/>
    <w:rsid w:val="00DD4156"/>
    <w:rsid w:val="00DD5C57"/>
    <w:rsid w:val="00DD661D"/>
    <w:rsid w:val="00DD7D9C"/>
    <w:rsid w:val="00DE14E9"/>
    <w:rsid w:val="00DE1718"/>
    <w:rsid w:val="00DE2D70"/>
    <w:rsid w:val="00DE3621"/>
    <w:rsid w:val="00DE408D"/>
    <w:rsid w:val="00DE647B"/>
    <w:rsid w:val="00DE6972"/>
    <w:rsid w:val="00DF228B"/>
    <w:rsid w:val="00DF515B"/>
    <w:rsid w:val="00DF5A15"/>
    <w:rsid w:val="00DF5C58"/>
    <w:rsid w:val="00DF6266"/>
    <w:rsid w:val="00DF7821"/>
    <w:rsid w:val="00E01439"/>
    <w:rsid w:val="00E02A78"/>
    <w:rsid w:val="00E048A9"/>
    <w:rsid w:val="00E0492E"/>
    <w:rsid w:val="00E04CEF"/>
    <w:rsid w:val="00E06157"/>
    <w:rsid w:val="00E102BC"/>
    <w:rsid w:val="00E10B12"/>
    <w:rsid w:val="00E11C83"/>
    <w:rsid w:val="00E12137"/>
    <w:rsid w:val="00E1328D"/>
    <w:rsid w:val="00E13B08"/>
    <w:rsid w:val="00E13C8A"/>
    <w:rsid w:val="00E142D9"/>
    <w:rsid w:val="00E170B3"/>
    <w:rsid w:val="00E20231"/>
    <w:rsid w:val="00E2033B"/>
    <w:rsid w:val="00E20BFC"/>
    <w:rsid w:val="00E21DE0"/>
    <w:rsid w:val="00E22C06"/>
    <w:rsid w:val="00E22CFB"/>
    <w:rsid w:val="00E23AC7"/>
    <w:rsid w:val="00E23F6D"/>
    <w:rsid w:val="00E2626C"/>
    <w:rsid w:val="00E2719C"/>
    <w:rsid w:val="00E271A2"/>
    <w:rsid w:val="00E27BEE"/>
    <w:rsid w:val="00E300C1"/>
    <w:rsid w:val="00E307E2"/>
    <w:rsid w:val="00E30B03"/>
    <w:rsid w:val="00E31A0C"/>
    <w:rsid w:val="00E32359"/>
    <w:rsid w:val="00E32407"/>
    <w:rsid w:val="00E32ED5"/>
    <w:rsid w:val="00E332F9"/>
    <w:rsid w:val="00E3390A"/>
    <w:rsid w:val="00E3451A"/>
    <w:rsid w:val="00E3480C"/>
    <w:rsid w:val="00E3655D"/>
    <w:rsid w:val="00E41181"/>
    <w:rsid w:val="00E4249C"/>
    <w:rsid w:val="00E439A9"/>
    <w:rsid w:val="00E44380"/>
    <w:rsid w:val="00E46844"/>
    <w:rsid w:val="00E5114A"/>
    <w:rsid w:val="00E515B1"/>
    <w:rsid w:val="00E5248C"/>
    <w:rsid w:val="00E53C12"/>
    <w:rsid w:val="00E54869"/>
    <w:rsid w:val="00E550E9"/>
    <w:rsid w:val="00E603C3"/>
    <w:rsid w:val="00E604E7"/>
    <w:rsid w:val="00E6353E"/>
    <w:rsid w:val="00E63B9D"/>
    <w:rsid w:val="00E65D34"/>
    <w:rsid w:val="00E65D9B"/>
    <w:rsid w:val="00E66B2A"/>
    <w:rsid w:val="00E66EEE"/>
    <w:rsid w:val="00E674ED"/>
    <w:rsid w:val="00E70B63"/>
    <w:rsid w:val="00E7167F"/>
    <w:rsid w:val="00E71EEA"/>
    <w:rsid w:val="00E72951"/>
    <w:rsid w:val="00E734C5"/>
    <w:rsid w:val="00E7434B"/>
    <w:rsid w:val="00E8028A"/>
    <w:rsid w:val="00E80FC0"/>
    <w:rsid w:val="00E81C95"/>
    <w:rsid w:val="00E8240A"/>
    <w:rsid w:val="00E8291C"/>
    <w:rsid w:val="00E83A63"/>
    <w:rsid w:val="00E83C73"/>
    <w:rsid w:val="00E840B0"/>
    <w:rsid w:val="00E84DF5"/>
    <w:rsid w:val="00E8501A"/>
    <w:rsid w:val="00E854FE"/>
    <w:rsid w:val="00E86953"/>
    <w:rsid w:val="00E87814"/>
    <w:rsid w:val="00E87D5A"/>
    <w:rsid w:val="00E91119"/>
    <w:rsid w:val="00E92151"/>
    <w:rsid w:val="00E92919"/>
    <w:rsid w:val="00E93BB1"/>
    <w:rsid w:val="00E93C6D"/>
    <w:rsid w:val="00E95ED1"/>
    <w:rsid w:val="00E96BFF"/>
    <w:rsid w:val="00EA15F7"/>
    <w:rsid w:val="00EA2395"/>
    <w:rsid w:val="00EA2966"/>
    <w:rsid w:val="00EA36F9"/>
    <w:rsid w:val="00EA42F2"/>
    <w:rsid w:val="00EA4992"/>
    <w:rsid w:val="00EA49DA"/>
    <w:rsid w:val="00EA6A76"/>
    <w:rsid w:val="00EB0225"/>
    <w:rsid w:val="00EB2E8B"/>
    <w:rsid w:val="00EB3765"/>
    <w:rsid w:val="00EB559C"/>
    <w:rsid w:val="00EB5ECC"/>
    <w:rsid w:val="00EB5F22"/>
    <w:rsid w:val="00EB6ABD"/>
    <w:rsid w:val="00EC045E"/>
    <w:rsid w:val="00EC065E"/>
    <w:rsid w:val="00EC1B09"/>
    <w:rsid w:val="00EC22A8"/>
    <w:rsid w:val="00EC3ACA"/>
    <w:rsid w:val="00EC47BF"/>
    <w:rsid w:val="00EC7089"/>
    <w:rsid w:val="00EC715D"/>
    <w:rsid w:val="00EC72B9"/>
    <w:rsid w:val="00EC7C7E"/>
    <w:rsid w:val="00ED0D33"/>
    <w:rsid w:val="00ED151D"/>
    <w:rsid w:val="00ED1AFC"/>
    <w:rsid w:val="00ED336B"/>
    <w:rsid w:val="00ED344B"/>
    <w:rsid w:val="00ED36DF"/>
    <w:rsid w:val="00ED5057"/>
    <w:rsid w:val="00ED70BE"/>
    <w:rsid w:val="00ED7CA2"/>
    <w:rsid w:val="00EE0226"/>
    <w:rsid w:val="00EE1892"/>
    <w:rsid w:val="00EE43AA"/>
    <w:rsid w:val="00EE451E"/>
    <w:rsid w:val="00EE5DDF"/>
    <w:rsid w:val="00EE5E4D"/>
    <w:rsid w:val="00EE77AB"/>
    <w:rsid w:val="00EE7C4E"/>
    <w:rsid w:val="00EF188F"/>
    <w:rsid w:val="00EF1A8F"/>
    <w:rsid w:val="00EF3342"/>
    <w:rsid w:val="00EF524A"/>
    <w:rsid w:val="00EF62AC"/>
    <w:rsid w:val="00F0240C"/>
    <w:rsid w:val="00F02D97"/>
    <w:rsid w:val="00F0318F"/>
    <w:rsid w:val="00F0415F"/>
    <w:rsid w:val="00F04C09"/>
    <w:rsid w:val="00F0535E"/>
    <w:rsid w:val="00F05C2F"/>
    <w:rsid w:val="00F06F37"/>
    <w:rsid w:val="00F0711B"/>
    <w:rsid w:val="00F10CF0"/>
    <w:rsid w:val="00F128BF"/>
    <w:rsid w:val="00F1428C"/>
    <w:rsid w:val="00F151FD"/>
    <w:rsid w:val="00F2126A"/>
    <w:rsid w:val="00F213BB"/>
    <w:rsid w:val="00F21B96"/>
    <w:rsid w:val="00F21F08"/>
    <w:rsid w:val="00F22032"/>
    <w:rsid w:val="00F22473"/>
    <w:rsid w:val="00F22545"/>
    <w:rsid w:val="00F23A52"/>
    <w:rsid w:val="00F240D0"/>
    <w:rsid w:val="00F24582"/>
    <w:rsid w:val="00F245DB"/>
    <w:rsid w:val="00F24C1F"/>
    <w:rsid w:val="00F24F7B"/>
    <w:rsid w:val="00F273DC"/>
    <w:rsid w:val="00F27B5C"/>
    <w:rsid w:val="00F3005E"/>
    <w:rsid w:val="00F314FD"/>
    <w:rsid w:val="00F31C6D"/>
    <w:rsid w:val="00F32681"/>
    <w:rsid w:val="00F33064"/>
    <w:rsid w:val="00F33538"/>
    <w:rsid w:val="00F341DD"/>
    <w:rsid w:val="00F3464B"/>
    <w:rsid w:val="00F34C92"/>
    <w:rsid w:val="00F354E7"/>
    <w:rsid w:val="00F36334"/>
    <w:rsid w:val="00F36F58"/>
    <w:rsid w:val="00F3740B"/>
    <w:rsid w:val="00F405EE"/>
    <w:rsid w:val="00F40E40"/>
    <w:rsid w:val="00F42EA5"/>
    <w:rsid w:val="00F430A8"/>
    <w:rsid w:val="00F4369A"/>
    <w:rsid w:val="00F442E1"/>
    <w:rsid w:val="00F45C4E"/>
    <w:rsid w:val="00F46C62"/>
    <w:rsid w:val="00F50810"/>
    <w:rsid w:val="00F50E40"/>
    <w:rsid w:val="00F51ECB"/>
    <w:rsid w:val="00F530ED"/>
    <w:rsid w:val="00F55EBD"/>
    <w:rsid w:val="00F5608F"/>
    <w:rsid w:val="00F566DC"/>
    <w:rsid w:val="00F56A81"/>
    <w:rsid w:val="00F56BFF"/>
    <w:rsid w:val="00F61A46"/>
    <w:rsid w:val="00F61CCF"/>
    <w:rsid w:val="00F61F6A"/>
    <w:rsid w:val="00F6364D"/>
    <w:rsid w:val="00F65709"/>
    <w:rsid w:val="00F67EEC"/>
    <w:rsid w:val="00F700DB"/>
    <w:rsid w:val="00F710ED"/>
    <w:rsid w:val="00F71C3F"/>
    <w:rsid w:val="00F7284F"/>
    <w:rsid w:val="00F75BA3"/>
    <w:rsid w:val="00F76431"/>
    <w:rsid w:val="00F77252"/>
    <w:rsid w:val="00F77553"/>
    <w:rsid w:val="00F8112A"/>
    <w:rsid w:val="00F8167F"/>
    <w:rsid w:val="00F8322D"/>
    <w:rsid w:val="00F84FAA"/>
    <w:rsid w:val="00F9023C"/>
    <w:rsid w:val="00F92309"/>
    <w:rsid w:val="00F927D1"/>
    <w:rsid w:val="00F92FCF"/>
    <w:rsid w:val="00F93DD4"/>
    <w:rsid w:val="00F95AB3"/>
    <w:rsid w:val="00F97ADA"/>
    <w:rsid w:val="00FA06B9"/>
    <w:rsid w:val="00FA1FBB"/>
    <w:rsid w:val="00FA2878"/>
    <w:rsid w:val="00FA42EA"/>
    <w:rsid w:val="00FA4E9D"/>
    <w:rsid w:val="00FA5C6A"/>
    <w:rsid w:val="00FB0105"/>
    <w:rsid w:val="00FB0527"/>
    <w:rsid w:val="00FB0614"/>
    <w:rsid w:val="00FB2042"/>
    <w:rsid w:val="00FB244F"/>
    <w:rsid w:val="00FB2E7E"/>
    <w:rsid w:val="00FB4757"/>
    <w:rsid w:val="00FB69F7"/>
    <w:rsid w:val="00FB6AC8"/>
    <w:rsid w:val="00FB74BC"/>
    <w:rsid w:val="00FB75E8"/>
    <w:rsid w:val="00FB7722"/>
    <w:rsid w:val="00FC0022"/>
    <w:rsid w:val="00FC031A"/>
    <w:rsid w:val="00FC1AE9"/>
    <w:rsid w:val="00FC3CB4"/>
    <w:rsid w:val="00FC4DBE"/>
    <w:rsid w:val="00FC5193"/>
    <w:rsid w:val="00FC5227"/>
    <w:rsid w:val="00FC6F20"/>
    <w:rsid w:val="00FC734C"/>
    <w:rsid w:val="00FC7813"/>
    <w:rsid w:val="00FD12E4"/>
    <w:rsid w:val="00FD18AC"/>
    <w:rsid w:val="00FD2867"/>
    <w:rsid w:val="00FD320B"/>
    <w:rsid w:val="00FD4882"/>
    <w:rsid w:val="00FD48C2"/>
    <w:rsid w:val="00FD53DA"/>
    <w:rsid w:val="00FD64C6"/>
    <w:rsid w:val="00FD7079"/>
    <w:rsid w:val="00FD7498"/>
    <w:rsid w:val="00FE1E59"/>
    <w:rsid w:val="00FE1E98"/>
    <w:rsid w:val="00FE4B77"/>
    <w:rsid w:val="00FE4DD9"/>
    <w:rsid w:val="00FE5A4F"/>
    <w:rsid w:val="00FE7039"/>
    <w:rsid w:val="00FE7433"/>
    <w:rsid w:val="00FF0F6B"/>
    <w:rsid w:val="00FF1660"/>
    <w:rsid w:val="00FF1A7D"/>
    <w:rsid w:val="00FF2DD2"/>
    <w:rsid w:val="00FF53D6"/>
    <w:rsid w:val="00FF5B87"/>
    <w:rsid w:val="00FF6E8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09FD76"/>
  <w15:chartTrackingRefBased/>
  <w15:docId w15:val="{93872A44-2E56-403F-BA93-3BDBC3DFF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2D9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705A40"/>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705A4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F56BFF"/>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4114F"/>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94114F"/>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202E2A"/>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nhideWhenUsed/>
    <w:qFormat/>
    <w:rsid w:val="00202E2A"/>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202E2A"/>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248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
    <w:name w:val="Grid Table 4"/>
    <w:basedOn w:val="TableNormal"/>
    <w:uiPriority w:val="49"/>
    <w:rsid w:val="00B2483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ListParagraph">
    <w:name w:val="List Paragraph"/>
    <w:basedOn w:val="Normal"/>
    <w:uiPriority w:val="34"/>
    <w:qFormat/>
    <w:rsid w:val="001D7382"/>
    <w:pPr>
      <w:ind w:left="720"/>
      <w:contextualSpacing/>
    </w:pPr>
  </w:style>
  <w:style w:type="paragraph" w:styleId="Header">
    <w:name w:val="header"/>
    <w:basedOn w:val="Normal"/>
    <w:link w:val="HeaderChar"/>
    <w:uiPriority w:val="99"/>
    <w:unhideWhenUsed/>
    <w:rsid w:val="003B58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B58F9"/>
  </w:style>
  <w:style w:type="paragraph" w:styleId="Footer">
    <w:name w:val="footer"/>
    <w:basedOn w:val="Normal"/>
    <w:link w:val="FooterChar"/>
    <w:uiPriority w:val="99"/>
    <w:unhideWhenUsed/>
    <w:rsid w:val="003B58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58F9"/>
  </w:style>
  <w:style w:type="character" w:styleId="CommentReference">
    <w:name w:val="annotation reference"/>
    <w:basedOn w:val="DefaultParagraphFont"/>
    <w:uiPriority w:val="99"/>
    <w:semiHidden/>
    <w:unhideWhenUsed/>
    <w:rsid w:val="001E752C"/>
    <w:rPr>
      <w:sz w:val="16"/>
      <w:szCs w:val="16"/>
    </w:rPr>
  </w:style>
  <w:style w:type="paragraph" w:styleId="CommentText">
    <w:name w:val="annotation text"/>
    <w:basedOn w:val="Normal"/>
    <w:link w:val="CommentTextChar"/>
    <w:uiPriority w:val="99"/>
    <w:semiHidden/>
    <w:unhideWhenUsed/>
    <w:rsid w:val="001E752C"/>
    <w:pPr>
      <w:spacing w:line="240" w:lineRule="auto"/>
    </w:pPr>
    <w:rPr>
      <w:sz w:val="20"/>
      <w:szCs w:val="20"/>
    </w:rPr>
  </w:style>
  <w:style w:type="character" w:customStyle="1" w:styleId="CommentTextChar">
    <w:name w:val="Comment Text Char"/>
    <w:basedOn w:val="DefaultParagraphFont"/>
    <w:link w:val="CommentText"/>
    <w:uiPriority w:val="99"/>
    <w:semiHidden/>
    <w:rsid w:val="001E752C"/>
    <w:rPr>
      <w:sz w:val="20"/>
      <w:szCs w:val="20"/>
    </w:rPr>
  </w:style>
  <w:style w:type="paragraph" w:styleId="CommentSubject">
    <w:name w:val="annotation subject"/>
    <w:basedOn w:val="CommentText"/>
    <w:next w:val="CommentText"/>
    <w:link w:val="CommentSubjectChar"/>
    <w:uiPriority w:val="99"/>
    <w:semiHidden/>
    <w:unhideWhenUsed/>
    <w:rsid w:val="001E752C"/>
    <w:rPr>
      <w:b/>
      <w:bCs/>
    </w:rPr>
  </w:style>
  <w:style w:type="character" w:customStyle="1" w:styleId="CommentSubjectChar">
    <w:name w:val="Comment Subject Char"/>
    <w:basedOn w:val="CommentTextChar"/>
    <w:link w:val="CommentSubject"/>
    <w:uiPriority w:val="99"/>
    <w:semiHidden/>
    <w:rsid w:val="001E752C"/>
    <w:rPr>
      <w:b/>
      <w:bCs/>
      <w:sz w:val="20"/>
      <w:szCs w:val="20"/>
    </w:rPr>
  </w:style>
  <w:style w:type="character" w:customStyle="1" w:styleId="Heading2Char">
    <w:name w:val="Heading 2 Char"/>
    <w:basedOn w:val="DefaultParagraphFont"/>
    <w:link w:val="Heading2"/>
    <w:uiPriority w:val="9"/>
    <w:rsid w:val="00705A40"/>
    <w:rPr>
      <w:rFonts w:ascii="Times New Roman" w:eastAsia="Times New Roman" w:hAnsi="Times New Roman" w:cs="Times New Roman"/>
      <w:b/>
      <w:bCs/>
      <w:sz w:val="36"/>
      <w:szCs w:val="36"/>
    </w:rPr>
  </w:style>
  <w:style w:type="paragraph" w:styleId="NormalWeb">
    <w:name w:val="Normal (Web)"/>
    <w:basedOn w:val="Normal"/>
    <w:uiPriority w:val="99"/>
    <w:unhideWhenUsed/>
    <w:rsid w:val="00705A4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05A40"/>
    <w:rPr>
      <w:b/>
      <w:bCs/>
    </w:rPr>
  </w:style>
  <w:style w:type="character" w:customStyle="1" w:styleId="Heading3Char">
    <w:name w:val="Heading 3 Char"/>
    <w:basedOn w:val="DefaultParagraphFont"/>
    <w:link w:val="Heading3"/>
    <w:uiPriority w:val="9"/>
    <w:rsid w:val="00705A40"/>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705A40"/>
    <w:rPr>
      <w:color w:val="0000FF"/>
      <w:u w:val="single"/>
    </w:rPr>
  </w:style>
  <w:style w:type="character" w:customStyle="1" w:styleId="Heading1Char">
    <w:name w:val="Heading 1 Char"/>
    <w:basedOn w:val="DefaultParagraphFont"/>
    <w:link w:val="Heading1"/>
    <w:uiPriority w:val="9"/>
    <w:rsid w:val="00F02D97"/>
    <w:rPr>
      <w:rFonts w:asciiTheme="majorHAnsi" w:eastAsiaTheme="majorEastAsia" w:hAnsiTheme="majorHAnsi" w:cstheme="majorBidi"/>
      <w:color w:val="2F5496" w:themeColor="accent1" w:themeShade="BF"/>
      <w:sz w:val="32"/>
      <w:szCs w:val="32"/>
    </w:rPr>
  </w:style>
  <w:style w:type="character" w:styleId="Emphasis">
    <w:name w:val="Emphasis"/>
    <w:basedOn w:val="DefaultParagraphFont"/>
    <w:qFormat/>
    <w:rsid w:val="0067487F"/>
    <w:rPr>
      <w:i/>
      <w:iCs/>
    </w:rPr>
  </w:style>
  <w:style w:type="character" w:customStyle="1" w:styleId="Heading5Char">
    <w:name w:val="Heading 5 Char"/>
    <w:basedOn w:val="DefaultParagraphFont"/>
    <w:link w:val="Heading5"/>
    <w:uiPriority w:val="9"/>
    <w:semiHidden/>
    <w:rsid w:val="0094114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94114F"/>
    <w:rPr>
      <w:rFonts w:asciiTheme="majorHAnsi" w:eastAsiaTheme="majorEastAsia" w:hAnsiTheme="majorHAnsi" w:cstheme="majorBidi"/>
      <w:color w:val="1F3763" w:themeColor="accent1" w:themeShade="7F"/>
    </w:rPr>
  </w:style>
  <w:style w:type="character" w:styleId="UnresolvedMention">
    <w:name w:val="Unresolved Mention"/>
    <w:basedOn w:val="DefaultParagraphFont"/>
    <w:uiPriority w:val="99"/>
    <w:semiHidden/>
    <w:unhideWhenUsed/>
    <w:rsid w:val="00287308"/>
    <w:rPr>
      <w:color w:val="605E5C"/>
      <w:shd w:val="clear" w:color="auto" w:fill="E1DFDD"/>
    </w:rPr>
  </w:style>
  <w:style w:type="character" w:customStyle="1" w:styleId="Heading4Char">
    <w:name w:val="Heading 4 Char"/>
    <w:basedOn w:val="DefaultParagraphFont"/>
    <w:link w:val="Heading4"/>
    <w:uiPriority w:val="9"/>
    <w:rsid w:val="00F56BFF"/>
    <w:rPr>
      <w:rFonts w:asciiTheme="majorHAnsi" w:eastAsiaTheme="majorEastAsia" w:hAnsiTheme="majorHAnsi" w:cstheme="majorBidi"/>
      <w:i/>
      <w:iCs/>
      <w:color w:val="2F5496" w:themeColor="accent1" w:themeShade="BF"/>
    </w:rPr>
  </w:style>
  <w:style w:type="paragraph" w:customStyle="1" w:styleId="ds-markdown-paragraph">
    <w:name w:val="ds-markdown-paragraph"/>
    <w:basedOn w:val="Normal"/>
    <w:rsid w:val="00A829B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7Char">
    <w:name w:val="Heading 7 Char"/>
    <w:basedOn w:val="DefaultParagraphFont"/>
    <w:link w:val="Heading7"/>
    <w:uiPriority w:val="9"/>
    <w:semiHidden/>
    <w:rsid w:val="00202E2A"/>
    <w:rPr>
      <w:rFonts w:eastAsiaTheme="majorEastAsia" w:cstheme="majorBidi"/>
      <w:color w:val="595959" w:themeColor="text1" w:themeTint="A6"/>
      <w:kern w:val="2"/>
      <w:sz w:val="24"/>
      <w:szCs w:val="24"/>
      <w14:ligatures w14:val="standardContextual"/>
    </w:rPr>
  </w:style>
  <w:style w:type="character" w:customStyle="1" w:styleId="Heading8Char">
    <w:name w:val="Heading 8 Char"/>
    <w:basedOn w:val="DefaultParagraphFont"/>
    <w:link w:val="Heading8"/>
    <w:rsid w:val="00202E2A"/>
    <w:rPr>
      <w:rFonts w:eastAsiaTheme="majorEastAsia" w:cstheme="majorBidi"/>
      <w:i/>
      <w:iCs/>
      <w:color w:val="272727" w:themeColor="text1" w:themeTint="D8"/>
      <w:kern w:val="2"/>
      <w:sz w:val="24"/>
      <w:szCs w:val="24"/>
      <w14:ligatures w14:val="standardContextual"/>
    </w:rPr>
  </w:style>
  <w:style w:type="character" w:customStyle="1" w:styleId="Heading9Char">
    <w:name w:val="Heading 9 Char"/>
    <w:basedOn w:val="DefaultParagraphFont"/>
    <w:link w:val="Heading9"/>
    <w:uiPriority w:val="9"/>
    <w:semiHidden/>
    <w:rsid w:val="00202E2A"/>
    <w:rPr>
      <w:rFonts w:eastAsiaTheme="majorEastAsia" w:cstheme="majorBidi"/>
      <w:color w:val="272727" w:themeColor="text1" w:themeTint="D8"/>
      <w:kern w:val="2"/>
      <w:sz w:val="24"/>
      <w:szCs w:val="24"/>
      <w14:ligatures w14:val="standardContextual"/>
    </w:rPr>
  </w:style>
  <w:style w:type="paragraph" w:styleId="Title">
    <w:name w:val="Title"/>
    <w:basedOn w:val="Normal"/>
    <w:next w:val="Normal"/>
    <w:link w:val="TitleChar"/>
    <w:uiPriority w:val="10"/>
    <w:qFormat/>
    <w:rsid w:val="00202E2A"/>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202E2A"/>
    <w:rPr>
      <w:rFonts w:asciiTheme="majorHAnsi" w:eastAsiaTheme="majorEastAsia" w:hAnsiTheme="majorHAnsi" w:cstheme="majorBidi"/>
      <w:spacing w:val="-10"/>
      <w:kern w:val="28"/>
      <w:sz w:val="56"/>
      <w:szCs w:val="56"/>
      <w14:ligatures w14:val="standardContextual"/>
    </w:rPr>
  </w:style>
  <w:style w:type="paragraph" w:styleId="Subtitle">
    <w:name w:val="Subtitle"/>
    <w:basedOn w:val="Normal"/>
    <w:next w:val="Normal"/>
    <w:link w:val="SubtitleChar"/>
    <w:uiPriority w:val="11"/>
    <w:qFormat/>
    <w:rsid w:val="00202E2A"/>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202E2A"/>
    <w:rPr>
      <w:rFonts w:eastAsiaTheme="majorEastAsia" w:cstheme="majorBidi"/>
      <w:color w:val="595959" w:themeColor="text1" w:themeTint="A6"/>
      <w:spacing w:val="15"/>
      <w:kern w:val="2"/>
      <w:sz w:val="28"/>
      <w:szCs w:val="28"/>
      <w14:ligatures w14:val="standardContextual"/>
    </w:rPr>
  </w:style>
  <w:style w:type="paragraph" w:styleId="Quote">
    <w:name w:val="Quote"/>
    <w:basedOn w:val="Normal"/>
    <w:next w:val="Normal"/>
    <w:link w:val="QuoteChar"/>
    <w:uiPriority w:val="29"/>
    <w:qFormat/>
    <w:rsid w:val="00202E2A"/>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202E2A"/>
    <w:rPr>
      <w:i/>
      <w:iCs/>
      <w:color w:val="404040" w:themeColor="text1" w:themeTint="BF"/>
      <w:kern w:val="2"/>
      <w:sz w:val="24"/>
      <w:szCs w:val="24"/>
      <w14:ligatures w14:val="standardContextual"/>
    </w:rPr>
  </w:style>
  <w:style w:type="character" w:styleId="IntenseEmphasis">
    <w:name w:val="Intense Emphasis"/>
    <w:basedOn w:val="DefaultParagraphFont"/>
    <w:uiPriority w:val="21"/>
    <w:qFormat/>
    <w:rsid w:val="00202E2A"/>
    <w:rPr>
      <w:i/>
      <w:iCs/>
      <w:color w:val="2F5496" w:themeColor="accent1" w:themeShade="BF"/>
    </w:rPr>
  </w:style>
  <w:style w:type="paragraph" w:styleId="IntenseQuote">
    <w:name w:val="Intense Quote"/>
    <w:basedOn w:val="Normal"/>
    <w:next w:val="Normal"/>
    <w:link w:val="IntenseQuoteChar"/>
    <w:uiPriority w:val="30"/>
    <w:qFormat/>
    <w:rsid w:val="00202E2A"/>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202E2A"/>
    <w:rPr>
      <w:i/>
      <w:iCs/>
      <w:color w:val="2F5496" w:themeColor="accent1" w:themeShade="BF"/>
      <w:kern w:val="2"/>
      <w:sz w:val="24"/>
      <w:szCs w:val="24"/>
      <w14:ligatures w14:val="standardContextual"/>
    </w:rPr>
  </w:style>
  <w:style w:type="character" w:styleId="IntenseReference">
    <w:name w:val="Intense Reference"/>
    <w:basedOn w:val="DefaultParagraphFont"/>
    <w:uiPriority w:val="32"/>
    <w:qFormat/>
    <w:rsid w:val="00202E2A"/>
    <w:rPr>
      <w:b/>
      <w:bCs/>
      <w:smallCaps/>
      <w:color w:val="2F5496" w:themeColor="accent1" w:themeShade="BF"/>
      <w:spacing w:val="5"/>
    </w:rPr>
  </w:style>
  <w:style w:type="table" w:styleId="GridTable5Dark">
    <w:name w:val="Grid Table 5 Dark"/>
    <w:basedOn w:val="TableNormal"/>
    <w:uiPriority w:val="50"/>
    <w:rsid w:val="00202E2A"/>
    <w:pPr>
      <w:spacing w:after="0" w:line="240" w:lineRule="auto"/>
    </w:pPr>
    <w:rPr>
      <w:kern w:val="2"/>
      <w:sz w:val="24"/>
      <w:szCs w:val="24"/>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paragraph" w:styleId="NoSpacing">
    <w:name w:val="No Spacing"/>
    <w:link w:val="NoSpacingChar"/>
    <w:uiPriority w:val="1"/>
    <w:qFormat/>
    <w:rsid w:val="007A0B3B"/>
    <w:pPr>
      <w:spacing w:after="0" w:line="240" w:lineRule="auto"/>
    </w:pPr>
    <w:rPr>
      <w:rFonts w:ascii="Calibri" w:eastAsia="Times New Roman" w:hAnsi="Calibri" w:cs="Arial"/>
    </w:rPr>
  </w:style>
  <w:style w:type="character" w:customStyle="1" w:styleId="NoSpacingChar">
    <w:name w:val="No Spacing Char"/>
    <w:basedOn w:val="DefaultParagraphFont"/>
    <w:link w:val="NoSpacing"/>
    <w:uiPriority w:val="1"/>
    <w:rsid w:val="007A0B3B"/>
    <w:rPr>
      <w:rFonts w:ascii="Calibri" w:eastAsia="Times New Roman" w:hAnsi="Calibri" w:cs="Arial"/>
    </w:rPr>
  </w:style>
  <w:style w:type="paragraph" w:styleId="BodyText2">
    <w:name w:val="Body Text 2"/>
    <w:basedOn w:val="Normal"/>
    <w:link w:val="BodyText2Char"/>
    <w:rsid w:val="007A0B3B"/>
    <w:pPr>
      <w:bidi/>
      <w:spacing w:after="0" w:line="240" w:lineRule="auto"/>
    </w:pPr>
    <w:rPr>
      <w:rFonts w:ascii="Times New Roman" w:eastAsia="Times New Roman" w:hAnsi="Times New Roman" w:cs="Arial"/>
      <w:sz w:val="20"/>
      <w:szCs w:val="28"/>
    </w:rPr>
  </w:style>
  <w:style w:type="character" w:customStyle="1" w:styleId="BodyText2Char">
    <w:name w:val="Body Text 2 Char"/>
    <w:basedOn w:val="DefaultParagraphFont"/>
    <w:link w:val="BodyText2"/>
    <w:rsid w:val="007A0B3B"/>
    <w:rPr>
      <w:rFonts w:ascii="Times New Roman" w:eastAsia="Times New Roman" w:hAnsi="Times New Roman" w:cs="Arial"/>
      <w:sz w:val="20"/>
      <w:szCs w:val="28"/>
    </w:rPr>
  </w:style>
  <w:style w:type="paragraph" w:styleId="BlockText">
    <w:name w:val="Block Text"/>
    <w:basedOn w:val="Normal"/>
    <w:rsid w:val="007A0B3B"/>
    <w:pPr>
      <w:bidi/>
      <w:spacing w:after="0" w:line="240" w:lineRule="auto"/>
      <w:ind w:left="288"/>
    </w:pPr>
    <w:rPr>
      <w:rFonts w:ascii="Times New Roman" w:eastAsia="Times New Roman" w:hAnsi="Times New Roman" w:cs="Arial"/>
      <w:sz w:val="20"/>
      <w:szCs w:val="28"/>
    </w:rPr>
  </w:style>
  <w:style w:type="character" w:styleId="PageNumber">
    <w:name w:val="page number"/>
    <w:basedOn w:val="DefaultParagraphFont"/>
    <w:rsid w:val="007A0B3B"/>
  </w:style>
  <w:style w:type="paragraph" w:styleId="BalloonText">
    <w:name w:val="Balloon Text"/>
    <w:basedOn w:val="Normal"/>
    <w:link w:val="BalloonTextChar"/>
    <w:semiHidden/>
    <w:rsid w:val="007A0B3B"/>
    <w:pPr>
      <w:bidi/>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7A0B3B"/>
    <w:rPr>
      <w:rFonts w:ascii="Tahoma" w:eastAsia="Times New Roman" w:hAnsi="Tahoma" w:cs="Tahoma"/>
      <w:sz w:val="16"/>
      <w:szCs w:val="16"/>
    </w:rPr>
  </w:style>
  <w:style w:type="paragraph" w:styleId="DocumentMap">
    <w:name w:val="Document Map"/>
    <w:basedOn w:val="Normal"/>
    <w:link w:val="DocumentMapChar"/>
    <w:uiPriority w:val="99"/>
    <w:semiHidden/>
    <w:unhideWhenUsed/>
    <w:rsid w:val="007A0B3B"/>
    <w:pPr>
      <w:bidi/>
      <w:spacing w:after="0" w:line="240" w:lineRule="auto"/>
    </w:pPr>
    <w:rPr>
      <w:rFonts w:ascii="Tahoma" w:eastAsia="Times New Roman" w:hAnsi="Tahoma" w:cs="Tahoma"/>
      <w:sz w:val="16"/>
      <w:szCs w:val="16"/>
    </w:rPr>
  </w:style>
  <w:style w:type="character" w:customStyle="1" w:styleId="DocumentMapChar">
    <w:name w:val="Document Map Char"/>
    <w:basedOn w:val="DefaultParagraphFont"/>
    <w:link w:val="DocumentMap"/>
    <w:uiPriority w:val="99"/>
    <w:semiHidden/>
    <w:rsid w:val="007A0B3B"/>
    <w:rPr>
      <w:rFonts w:ascii="Tahoma" w:eastAsia="Times New Roman" w:hAnsi="Tahoma" w:cs="Tahoma"/>
      <w:sz w:val="16"/>
      <w:szCs w:val="16"/>
    </w:rPr>
  </w:style>
  <w:style w:type="paragraph" w:styleId="BodyTextIndent2">
    <w:name w:val="Body Text Indent 2"/>
    <w:basedOn w:val="Normal"/>
    <w:link w:val="BodyTextIndent2Char"/>
    <w:rsid w:val="007A0B3B"/>
    <w:pPr>
      <w:bidi/>
      <w:spacing w:after="120" w:line="480" w:lineRule="auto"/>
      <w:ind w:left="283"/>
    </w:pPr>
    <w:rPr>
      <w:rFonts w:ascii="Times New Roman" w:eastAsia="Times New Roman" w:hAnsi="Times New Roman" w:cs="Times New Roman"/>
      <w:sz w:val="24"/>
      <w:szCs w:val="24"/>
      <w:lang w:bidi="ar-EG"/>
    </w:rPr>
  </w:style>
  <w:style w:type="character" w:customStyle="1" w:styleId="BodyTextIndent2Char">
    <w:name w:val="Body Text Indent 2 Char"/>
    <w:basedOn w:val="DefaultParagraphFont"/>
    <w:link w:val="BodyTextIndent2"/>
    <w:rsid w:val="007A0B3B"/>
    <w:rPr>
      <w:rFonts w:ascii="Times New Roman" w:eastAsia="Times New Roman" w:hAnsi="Times New Roman" w:cs="Times New Roman"/>
      <w:sz w:val="24"/>
      <w:szCs w:val="24"/>
      <w:lang w:bidi="ar-EG"/>
    </w:rPr>
  </w:style>
  <w:style w:type="character" w:customStyle="1" w:styleId="longtext">
    <w:name w:val="long_text"/>
    <w:basedOn w:val="DefaultParagraphFont"/>
    <w:rsid w:val="007A0B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71464">
      <w:bodyDiv w:val="1"/>
      <w:marLeft w:val="0"/>
      <w:marRight w:val="0"/>
      <w:marTop w:val="0"/>
      <w:marBottom w:val="0"/>
      <w:divBdr>
        <w:top w:val="none" w:sz="0" w:space="0" w:color="auto"/>
        <w:left w:val="none" w:sz="0" w:space="0" w:color="auto"/>
        <w:bottom w:val="none" w:sz="0" w:space="0" w:color="auto"/>
        <w:right w:val="none" w:sz="0" w:space="0" w:color="auto"/>
      </w:divBdr>
    </w:div>
    <w:div w:id="95949081">
      <w:bodyDiv w:val="1"/>
      <w:marLeft w:val="0"/>
      <w:marRight w:val="0"/>
      <w:marTop w:val="0"/>
      <w:marBottom w:val="0"/>
      <w:divBdr>
        <w:top w:val="none" w:sz="0" w:space="0" w:color="auto"/>
        <w:left w:val="none" w:sz="0" w:space="0" w:color="auto"/>
        <w:bottom w:val="none" w:sz="0" w:space="0" w:color="auto"/>
        <w:right w:val="none" w:sz="0" w:space="0" w:color="auto"/>
      </w:divBdr>
    </w:div>
    <w:div w:id="199098489">
      <w:bodyDiv w:val="1"/>
      <w:marLeft w:val="0"/>
      <w:marRight w:val="0"/>
      <w:marTop w:val="0"/>
      <w:marBottom w:val="0"/>
      <w:divBdr>
        <w:top w:val="none" w:sz="0" w:space="0" w:color="auto"/>
        <w:left w:val="none" w:sz="0" w:space="0" w:color="auto"/>
        <w:bottom w:val="none" w:sz="0" w:space="0" w:color="auto"/>
        <w:right w:val="none" w:sz="0" w:space="0" w:color="auto"/>
      </w:divBdr>
    </w:div>
    <w:div w:id="213858650">
      <w:bodyDiv w:val="1"/>
      <w:marLeft w:val="0"/>
      <w:marRight w:val="0"/>
      <w:marTop w:val="0"/>
      <w:marBottom w:val="0"/>
      <w:divBdr>
        <w:top w:val="none" w:sz="0" w:space="0" w:color="auto"/>
        <w:left w:val="none" w:sz="0" w:space="0" w:color="auto"/>
        <w:bottom w:val="none" w:sz="0" w:space="0" w:color="auto"/>
        <w:right w:val="none" w:sz="0" w:space="0" w:color="auto"/>
      </w:divBdr>
    </w:div>
    <w:div w:id="214312735">
      <w:bodyDiv w:val="1"/>
      <w:marLeft w:val="0"/>
      <w:marRight w:val="0"/>
      <w:marTop w:val="0"/>
      <w:marBottom w:val="0"/>
      <w:divBdr>
        <w:top w:val="none" w:sz="0" w:space="0" w:color="auto"/>
        <w:left w:val="none" w:sz="0" w:space="0" w:color="auto"/>
        <w:bottom w:val="none" w:sz="0" w:space="0" w:color="auto"/>
        <w:right w:val="none" w:sz="0" w:space="0" w:color="auto"/>
      </w:divBdr>
      <w:divsChild>
        <w:div w:id="528026378">
          <w:marLeft w:val="0"/>
          <w:marRight w:val="0"/>
          <w:marTop w:val="0"/>
          <w:marBottom w:val="0"/>
          <w:divBdr>
            <w:top w:val="none" w:sz="0" w:space="0" w:color="auto"/>
            <w:left w:val="none" w:sz="0" w:space="0" w:color="auto"/>
            <w:bottom w:val="none" w:sz="0" w:space="0" w:color="auto"/>
            <w:right w:val="none" w:sz="0" w:space="0" w:color="auto"/>
          </w:divBdr>
        </w:div>
      </w:divsChild>
    </w:div>
    <w:div w:id="224145829">
      <w:bodyDiv w:val="1"/>
      <w:marLeft w:val="0"/>
      <w:marRight w:val="0"/>
      <w:marTop w:val="0"/>
      <w:marBottom w:val="0"/>
      <w:divBdr>
        <w:top w:val="none" w:sz="0" w:space="0" w:color="auto"/>
        <w:left w:val="none" w:sz="0" w:space="0" w:color="auto"/>
        <w:bottom w:val="none" w:sz="0" w:space="0" w:color="auto"/>
        <w:right w:val="none" w:sz="0" w:space="0" w:color="auto"/>
      </w:divBdr>
      <w:divsChild>
        <w:div w:id="438178886">
          <w:marLeft w:val="0"/>
          <w:marRight w:val="0"/>
          <w:marTop w:val="0"/>
          <w:marBottom w:val="0"/>
          <w:divBdr>
            <w:top w:val="none" w:sz="0" w:space="0" w:color="auto"/>
            <w:left w:val="none" w:sz="0" w:space="0" w:color="auto"/>
            <w:bottom w:val="none" w:sz="0" w:space="0" w:color="auto"/>
            <w:right w:val="none" w:sz="0" w:space="0" w:color="auto"/>
          </w:divBdr>
          <w:divsChild>
            <w:div w:id="511188668">
              <w:marLeft w:val="0"/>
              <w:marRight w:val="0"/>
              <w:marTop w:val="0"/>
              <w:marBottom w:val="0"/>
              <w:divBdr>
                <w:top w:val="none" w:sz="0" w:space="0" w:color="auto"/>
                <w:left w:val="none" w:sz="0" w:space="0" w:color="auto"/>
                <w:bottom w:val="none" w:sz="0" w:space="0" w:color="auto"/>
                <w:right w:val="none" w:sz="0" w:space="0" w:color="auto"/>
              </w:divBdr>
              <w:divsChild>
                <w:div w:id="2074574327">
                  <w:marLeft w:val="0"/>
                  <w:marRight w:val="0"/>
                  <w:marTop w:val="0"/>
                  <w:marBottom w:val="0"/>
                  <w:divBdr>
                    <w:top w:val="none" w:sz="0" w:space="0" w:color="auto"/>
                    <w:left w:val="none" w:sz="0" w:space="0" w:color="auto"/>
                    <w:bottom w:val="none" w:sz="0" w:space="0" w:color="auto"/>
                    <w:right w:val="none" w:sz="0" w:space="0" w:color="auto"/>
                  </w:divBdr>
                  <w:divsChild>
                    <w:div w:id="147288605">
                      <w:marLeft w:val="0"/>
                      <w:marRight w:val="0"/>
                      <w:marTop w:val="0"/>
                      <w:marBottom w:val="0"/>
                      <w:divBdr>
                        <w:top w:val="none" w:sz="0" w:space="0" w:color="auto"/>
                        <w:left w:val="none" w:sz="0" w:space="0" w:color="auto"/>
                        <w:bottom w:val="none" w:sz="0" w:space="0" w:color="auto"/>
                        <w:right w:val="none" w:sz="0" w:space="0" w:color="auto"/>
                      </w:divBdr>
                      <w:divsChild>
                        <w:div w:id="682050521">
                          <w:marLeft w:val="0"/>
                          <w:marRight w:val="0"/>
                          <w:marTop w:val="0"/>
                          <w:marBottom w:val="0"/>
                          <w:divBdr>
                            <w:top w:val="none" w:sz="0" w:space="0" w:color="auto"/>
                            <w:left w:val="none" w:sz="0" w:space="0" w:color="auto"/>
                            <w:bottom w:val="none" w:sz="0" w:space="0" w:color="auto"/>
                            <w:right w:val="none" w:sz="0" w:space="0" w:color="auto"/>
                          </w:divBdr>
                          <w:divsChild>
                            <w:div w:id="1953629759">
                              <w:marLeft w:val="0"/>
                              <w:marRight w:val="0"/>
                              <w:marTop w:val="0"/>
                              <w:marBottom w:val="0"/>
                              <w:divBdr>
                                <w:top w:val="none" w:sz="0" w:space="0" w:color="auto"/>
                                <w:left w:val="none" w:sz="0" w:space="0" w:color="auto"/>
                                <w:bottom w:val="none" w:sz="0" w:space="0" w:color="auto"/>
                                <w:right w:val="none" w:sz="0" w:space="0" w:color="auto"/>
                              </w:divBdr>
                              <w:divsChild>
                                <w:div w:id="1639846062">
                                  <w:marLeft w:val="0"/>
                                  <w:marRight w:val="0"/>
                                  <w:marTop w:val="0"/>
                                  <w:marBottom w:val="0"/>
                                  <w:divBdr>
                                    <w:top w:val="none" w:sz="0" w:space="0" w:color="auto"/>
                                    <w:left w:val="none" w:sz="0" w:space="0" w:color="auto"/>
                                    <w:bottom w:val="none" w:sz="0" w:space="0" w:color="auto"/>
                                    <w:right w:val="none" w:sz="0" w:space="0" w:color="auto"/>
                                  </w:divBdr>
                                  <w:divsChild>
                                    <w:div w:id="1346591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3403089">
          <w:marLeft w:val="0"/>
          <w:marRight w:val="0"/>
          <w:marTop w:val="0"/>
          <w:marBottom w:val="0"/>
          <w:divBdr>
            <w:top w:val="none" w:sz="0" w:space="0" w:color="auto"/>
            <w:left w:val="none" w:sz="0" w:space="0" w:color="auto"/>
            <w:bottom w:val="none" w:sz="0" w:space="0" w:color="auto"/>
            <w:right w:val="none" w:sz="0" w:space="0" w:color="auto"/>
          </w:divBdr>
          <w:divsChild>
            <w:div w:id="1506745574">
              <w:marLeft w:val="0"/>
              <w:marRight w:val="0"/>
              <w:marTop w:val="0"/>
              <w:marBottom w:val="0"/>
              <w:divBdr>
                <w:top w:val="none" w:sz="0" w:space="0" w:color="auto"/>
                <w:left w:val="none" w:sz="0" w:space="0" w:color="auto"/>
                <w:bottom w:val="none" w:sz="0" w:space="0" w:color="auto"/>
                <w:right w:val="none" w:sz="0" w:space="0" w:color="auto"/>
              </w:divBdr>
              <w:divsChild>
                <w:div w:id="1241058857">
                  <w:marLeft w:val="0"/>
                  <w:marRight w:val="0"/>
                  <w:marTop w:val="0"/>
                  <w:marBottom w:val="0"/>
                  <w:divBdr>
                    <w:top w:val="none" w:sz="0" w:space="0" w:color="auto"/>
                    <w:left w:val="none" w:sz="0" w:space="0" w:color="auto"/>
                    <w:bottom w:val="none" w:sz="0" w:space="0" w:color="auto"/>
                    <w:right w:val="none" w:sz="0" w:space="0" w:color="auto"/>
                  </w:divBdr>
                  <w:divsChild>
                    <w:div w:id="1711606269">
                      <w:marLeft w:val="0"/>
                      <w:marRight w:val="0"/>
                      <w:marTop w:val="0"/>
                      <w:marBottom w:val="0"/>
                      <w:divBdr>
                        <w:top w:val="none" w:sz="0" w:space="0" w:color="auto"/>
                        <w:left w:val="none" w:sz="0" w:space="0" w:color="auto"/>
                        <w:bottom w:val="none" w:sz="0" w:space="0" w:color="auto"/>
                        <w:right w:val="none" w:sz="0" w:space="0" w:color="auto"/>
                      </w:divBdr>
                      <w:divsChild>
                        <w:div w:id="957178299">
                          <w:marLeft w:val="0"/>
                          <w:marRight w:val="0"/>
                          <w:marTop w:val="0"/>
                          <w:marBottom w:val="0"/>
                          <w:divBdr>
                            <w:top w:val="none" w:sz="0" w:space="0" w:color="auto"/>
                            <w:left w:val="none" w:sz="0" w:space="0" w:color="auto"/>
                            <w:bottom w:val="none" w:sz="0" w:space="0" w:color="auto"/>
                            <w:right w:val="none" w:sz="0" w:space="0" w:color="auto"/>
                          </w:divBdr>
                          <w:divsChild>
                            <w:div w:id="2082294187">
                              <w:marLeft w:val="0"/>
                              <w:marRight w:val="0"/>
                              <w:marTop w:val="0"/>
                              <w:marBottom w:val="0"/>
                              <w:divBdr>
                                <w:top w:val="none" w:sz="0" w:space="0" w:color="auto"/>
                                <w:left w:val="none" w:sz="0" w:space="0" w:color="auto"/>
                                <w:bottom w:val="none" w:sz="0" w:space="0" w:color="auto"/>
                                <w:right w:val="none" w:sz="0" w:space="0" w:color="auto"/>
                              </w:divBdr>
                              <w:divsChild>
                                <w:div w:id="944456368">
                                  <w:marLeft w:val="0"/>
                                  <w:marRight w:val="0"/>
                                  <w:marTop w:val="0"/>
                                  <w:marBottom w:val="0"/>
                                  <w:divBdr>
                                    <w:top w:val="none" w:sz="0" w:space="0" w:color="auto"/>
                                    <w:left w:val="none" w:sz="0" w:space="0" w:color="auto"/>
                                    <w:bottom w:val="none" w:sz="0" w:space="0" w:color="auto"/>
                                    <w:right w:val="none" w:sz="0" w:space="0" w:color="auto"/>
                                  </w:divBdr>
                                  <w:divsChild>
                                    <w:div w:id="1888444244">
                                      <w:marLeft w:val="0"/>
                                      <w:marRight w:val="0"/>
                                      <w:marTop w:val="0"/>
                                      <w:marBottom w:val="0"/>
                                      <w:divBdr>
                                        <w:top w:val="none" w:sz="0" w:space="0" w:color="auto"/>
                                        <w:left w:val="none" w:sz="0" w:space="0" w:color="auto"/>
                                        <w:bottom w:val="none" w:sz="0" w:space="0" w:color="auto"/>
                                        <w:right w:val="none" w:sz="0" w:space="0" w:color="auto"/>
                                      </w:divBdr>
                                      <w:divsChild>
                                        <w:div w:id="119009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1295725">
          <w:marLeft w:val="0"/>
          <w:marRight w:val="0"/>
          <w:marTop w:val="0"/>
          <w:marBottom w:val="0"/>
          <w:divBdr>
            <w:top w:val="none" w:sz="0" w:space="0" w:color="auto"/>
            <w:left w:val="none" w:sz="0" w:space="0" w:color="auto"/>
            <w:bottom w:val="none" w:sz="0" w:space="0" w:color="auto"/>
            <w:right w:val="none" w:sz="0" w:space="0" w:color="auto"/>
          </w:divBdr>
          <w:divsChild>
            <w:div w:id="1145778630">
              <w:marLeft w:val="0"/>
              <w:marRight w:val="0"/>
              <w:marTop w:val="0"/>
              <w:marBottom w:val="0"/>
              <w:divBdr>
                <w:top w:val="none" w:sz="0" w:space="0" w:color="auto"/>
                <w:left w:val="none" w:sz="0" w:space="0" w:color="auto"/>
                <w:bottom w:val="none" w:sz="0" w:space="0" w:color="auto"/>
                <w:right w:val="none" w:sz="0" w:space="0" w:color="auto"/>
              </w:divBdr>
              <w:divsChild>
                <w:div w:id="1940261662">
                  <w:marLeft w:val="0"/>
                  <w:marRight w:val="0"/>
                  <w:marTop w:val="0"/>
                  <w:marBottom w:val="0"/>
                  <w:divBdr>
                    <w:top w:val="none" w:sz="0" w:space="0" w:color="auto"/>
                    <w:left w:val="none" w:sz="0" w:space="0" w:color="auto"/>
                    <w:bottom w:val="none" w:sz="0" w:space="0" w:color="auto"/>
                    <w:right w:val="none" w:sz="0" w:space="0" w:color="auto"/>
                  </w:divBdr>
                  <w:divsChild>
                    <w:div w:id="1833330311">
                      <w:marLeft w:val="0"/>
                      <w:marRight w:val="0"/>
                      <w:marTop w:val="0"/>
                      <w:marBottom w:val="0"/>
                      <w:divBdr>
                        <w:top w:val="none" w:sz="0" w:space="0" w:color="auto"/>
                        <w:left w:val="none" w:sz="0" w:space="0" w:color="auto"/>
                        <w:bottom w:val="none" w:sz="0" w:space="0" w:color="auto"/>
                        <w:right w:val="none" w:sz="0" w:space="0" w:color="auto"/>
                      </w:divBdr>
                      <w:divsChild>
                        <w:div w:id="410548862">
                          <w:marLeft w:val="0"/>
                          <w:marRight w:val="0"/>
                          <w:marTop w:val="0"/>
                          <w:marBottom w:val="0"/>
                          <w:divBdr>
                            <w:top w:val="none" w:sz="0" w:space="0" w:color="auto"/>
                            <w:left w:val="none" w:sz="0" w:space="0" w:color="auto"/>
                            <w:bottom w:val="none" w:sz="0" w:space="0" w:color="auto"/>
                            <w:right w:val="none" w:sz="0" w:space="0" w:color="auto"/>
                          </w:divBdr>
                          <w:divsChild>
                            <w:div w:id="10690750">
                              <w:marLeft w:val="0"/>
                              <w:marRight w:val="0"/>
                              <w:marTop w:val="0"/>
                              <w:marBottom w:val="0"/>
                              <w:divBdr>
                                <w:top w:val="none" w:sz="0" w:space="0" w:color="auto"/>
                                <w:left w:val="none" w:sz="0" w:space="0" w:color="auto"/>
                                <w:bottom w:val="none" w:sz="0" w:space="0" w:color="auto"/>
                                <w:right w:val="none" w:sz="0" w:space="0" w:color="auto"/>
                              </w:divBdr>
                              <w:divsChild>
                                <w:div w:id="1691376149">
                                  <w:marLeft w:val="0"/>
                                  <w:marRight w:val="0"/>
                                  <w:marTop w:val="0"/>
                                  <w:marBottom w:val="0"/>
                                  <w:divBdr>
                                    <w:top w:val="none" w:sz="0" w:space="0" w:color="auto"/>
                                    <w:left w:val="none" w:sz="0" w:space="0" w:color="auto"/>
                                    <w:bottom w:val="none" w:sz="0" w:space="0" w:color="auto"/>
                                    <w:right w:val="none" w:sz="0" w:space="0" w:color="auto"/>
                                  </w:divBdr>
                                  <w:divsChild>
                                    <w:div w:id="749740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5506366">
                  <w:marLeft w:val="0"/>
                  <w:marRight w:val="0"/>
                  <w:marTop w:val="0"/>
                  <w:marBottom w:val="0"/>
                  <w:divBdr>
                    <w:top w:val="none" w:sz="0" w:space="0" w:color="auto"/>
                    <w:left w:val="none" w:sz="0" w:space="0" w:color="auto"/>
                    <w:bottom w:val="none" w:sz="0" w:space="0" w:color="auto"/>
                    <w:right w:val="none" w:sz="0" w:space="0" w:color="auto"/>
                  </w:divBdr>
                  <w:divsChild>
                    <w:div w:id="1750998146">
                      <w:marLeft w:val="0"/>
                      <w:marRight w:val="0"/>
                      <w:marTop w:val="0"/>
                      <w:marBottom w:val="0"/>
                      <w:divBdr>
                        <w:top w:val="none" w:sz="0" w:space="0" w:color="auto"/>
                        <w:left w:val="none" w:sz="0" w:space="0" w:color="auto"/>
                        <w:bottom w:val="none" w:sz="0" w:space="0" w:color="auto"/>
                        <w:right w:val="none" w:sz="0" w:space="0" w:color="auto"/>
                      </w:divBdr>
                      <w:divsChild>
                        <w:div w:id="504058982">
                          <w:marLeft w:val="0"/>
                          <w:marRight w:val="0"/>
                          <w:marTop w:val="0"/>
                          <w:marBottom w:val="0"/>
                          <w:divBdr>
                            <w:top w:val="none" w:sz="0" w:space="0" w:color="auto"/>
                            <w:left w:val="none" w:sz="0" w:space="0" w:color="auto"/>
                            <w:bottom w:val="none" w:sz="0" w:space="0" w:color="auto"/>
                            <w:right w:val="none" w:sz="0" w:space="0" w:color="auto"/>
                          </w:divBdr>
                          <w:divsChild>
                            <w:div w:id="855578122">
                              <w:marLeft w:val="0"/>
                              <w:marRight w:val="0"/>
                              <w:marTop w:val="0"/>
                              <w:marBottom w:val="0"/>
                              <w:divBdr>
                                <w:top w:val="none" w:sz="0" w:space="0" w:color="auto"/>
                                <w:left w:val="none" w:sz="0" w:space="0" w:color="auto"/>
                                <w:bottom w:val="none" w:sz="0" w:space="0" w:color="auto"/>
                                <w:right w:val="none" w:sz="0" w:space="0" w:color="auto"/>
                              </w:divBdr>
                              <w:divsChild>
                                <w:div w:id="1784228191">
                                  <w:marLeft w:val="0"/>
                                  <w:marRight w:val="0"/>
                                  <w:marTop w:val="0"/>
                                  <w:marBottom w:val="0"/>
                                  <w:divBdr>
                                    <w:top w:val="none" w:sz="0" w:space="0" w:color="auto"/>
                                    <w:left w:val="none" w:sz="0" w:space="0" w:color="auto"/>
                                    <w:bottom w:val="none" w:sz="0" w:space="0" w:color="auto"/>
                                    <w:right w:val="none" w:sz="0" w:space="0" w:color="auto"/>
                                  </w:divBdr>
                                  <w:divsChild>
                                    <w:div w:id="17912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5695443">
      <w:bodyDiv w:val="1"/>
      <w:marLeft w:val="0"/>
      <w:marRight w:val="0"/>
      <w:marTop w:val="0"/>
      <w:marBottom w:val="0"/>
      <w:divBdr>
        <w:top w:val="none" w:sz="0" w:space="0" w:color="auto"/>
        <w:left w:val="none" w:sz="0" w:space="0" w:color="auto"/>
        <w:bottom w:val="none" w:sz="0" w:space="0" w:color="auto"/>
        <w:right w:val="none" w:sz="0" w:space="0" w:color="auto"/>
      </w:divBdr>
      <w:divsChild>
        <w:div w:id="1711303841">
          <w:marLeft w:val="0"/>
          <w:marRight w:val="0"/>
          <w:marTop w:val="100"/>
          <w:marBottom w:val="100"/>
          <w:divBdr>
            <w:top w:val="none" w:sz="0" w:space="0" w:color="auto"/>
            <w:left w:val="none" w:sz="0" w:space="0" w:color="auto"/>
            <w:bottom w:val="none" w:sz="0" w:space="0" w:color="auto"/>
            <w:right w:val="none" w:sz="0" w:space="0" w:color="auto"/>
          </w:divBdr>
          <w:divsChild>
            <w:div w:id="1052653034">
              <w:marLeft w:val="0"/>
              <w:marRight w:val="0"/>
              <w:marTop w:val="0"/>
              <w:marBottom w:val="0"/>
              <w:divBdr>
                <w:top w:val="none" w:sz="0" w:space="0" w:color="auto"/>
                <w:left w:val="none" w:sz="0" w:space="0" w:color="auto"/>
                <w:bottom w:val="none" w:sz="0" w:space="0" w:color="auto"/>
                <w:right w:val="none" w:sz="0" w:space="0" w:color="auto"/>
              </w:divBdr>
              <w:divsChild>
                <w:div w:id="1221601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0966558">
      <w:bodyDiv w:val="1"/>
      <w:marLeft w:val="0"/>
      <w:marRight w:val="0"/>
      <w:marTop w:val="0"/>
      <w:marBottom w:val="0"/>
      <w:divBdr>
        <w:top w:val="none" w:sz="0" w:space="0" w:color="auto"/>
        <w:left w:val="none" w:sz="0" w:space="0" w:color="auto"/>
        <w:bottom w:val="none" w:sz="0" w:space="0" w:color="auto"/>
        <w:right w:val="none" w:sz="0" w:space="0" w:color="auto"/>
      </w:divBdr>
    </w:div>
    <w:div w:id="273829575">
      <w:bodyDiv w:val="1"/>
      <w:marLeft w:val="0"/>
      <w:marRight w:val="0"/>
      <w:marTop w:val="0"/>
      <w:marBottom w:val="0"/>
      <w:divBdr>
        <w:top w:val="none" w:sz="0" w:space="0" w:color="auto"/>
        <w:left w:val="none" w:sz="0" w:space="0" w:color="auto"/>
        <w:bottom w:val="none" w:sz="0" w:space="0" w:color="auto"/>
        <w:right w:val="none" w:sz="0" w:space="0" w:color="auto"/>
      </w:divBdr>
    </w:div>
    <w:div w:id="343215177">
      <w:bodyDiv w:val="1"/>
      <w:marLeft w:val="0"/>
      <w:marRight w:val="0"/>
      <w:marTop w:val="0"/>
      <w:marBottom w:val="0"/>
      <w:divBdr>
        <w:top w:val="none" w:sz="0" w:space="0" w:color="auto"/>
        <w:left w:val="none" w:sz="0" w:space="0" w:color="auto"/>
        <w:bottom w:val="none" w:sz="0" w:space="0" w:color="auto"/>
        <w:right w:val="none" w:sz="0" w:space="0" w:color="auto"/>
      </w:divBdr>
    </w:div>
    <w:div w:id="421921844">
      <w:bodyDiv w:val="1"/>
      <w:marLeft w:val="0"/>
      <w:marRight w:val="0"/>
      <w:marTop w:val="0"/>
      <w:marBottom w:val="0"/>
      <w:divBdr>
        <w:top w:val="none" w:sz="0" w:space="0" w:color="auto"/>
        <w:left w:val="none" w:sz="0" w:space="0" w:color="auto"/>
        <w:bottom w:val="none" w:sz="0" w:space="0" w:color="auto"/>
        <w:right w:val="none" w:sz="0" w:space="0" w:color="auto"/>
      </w:divBdr>
    </w:div>
    <w:div w:id="421999506">
      <w:bodyDiv w:val="1"/>
      <w:marLeft w:val="0"/>
      <w:marRight w:val="0"/>
      <w:marTop w:val="0"/>
      <w:marBottom w:val="0"/>
      <w:divBdr>
        <w:top w:val="none" w:sz="0" w:space="0" w:color="auto"/>
        <w:left w:val="none" w:sz="0" w:space="0" w:color="auto"/>
        <w:bottom w:val="none" w:sz="0" w:space="0" w:color="auto"/>
        <w:right w:val="none" w:sz="0" w:space="0" w:color="auto"/>
      </w:divBdr>
      <w:divsChild>
        <w:div w:id="1807771349">
          <w:marLeft w:val="0"/>
          <w:marRight w:val="0"/>
          <w:marTop w:val="0"/>
          <w:marBottom w:val="0"/>
          <w:divBdr>
            <w:top w:val="none" w:sz="0" w:space="0" w:color="auto"/>
            <w:left w:val="none" w:sz="0" w:space="0" w:color="auto"/>
            <w:bottom w:val="none" w:sz="0" w:space="0" w:color="auto"/>
            <w:right w:val="none" w:sz="0" w:space="0" w:color="auto"/>
          </w:divBdr>
        </w:div>
      </w:divsChild>
    </w:div>
    <w:div w:id="461994847">
      <w:bodyDiv w:val="1"/>
      <w:marLeft w:val="0"/>
      <w:marRight w:val="0"/>
      <w:marTop w:val="0"/>
      <w:marBottom w:val="0"/>
      <w:divBdr>
        <w:top w:val="none" w:sz="0" w:space="0" w:color="auto"/>
        <w:left w:val="none" w:sz="0" w:space="0" w:color="auto"/>
        <w:bottom w:val="none" w:sz="0" w:space="0" w:color="auto"/>
        <w:right w:val="none" w:sz="0" w:space="0" w:color="auto"/>
      </w:divBdr>
    </w:div>
    <w:div w:id="466628629">
      <w:bodyDiv w:val="1"/>
      <w:marLeft w:val="0"/>
      <w:marRight w:val="0"/>
      <w:marTop w:val="0"/>
      <w:marBottom w:val="0"/>
      <w:divBdr>
        <w:top w:val="none" w:sz="0" w:space="0" w:color="auto"/>
        <w:left w:val="none" w:sz="0" w:space="0" w:color="auto"/>
        <w:bottom w:val="none" w:sz="0" w:space="0" w:color="auto"/>
        <w:right w:val="none" w:sz="0" w:space="0" w:color="auto"/>
      </w:divBdr>
    </w:div>
    <w:div w:id="466778328">
      <w:bodyDiv w:val="1"/>
      <w:marLeft w:val="0"/>
      <w:marRight w:val="0"/>
      <w:marTop w:val="0"/>
      <w:marBottom w:val="0"/>
      <w:divBdr>
        <w:top w:val="none" w:sz="0" w:space="0" w:color="auto"/>
        <w:left w:val="none" w:sz="0" w:space="0" w:color="auto"/>
        <w:bottom w:val="none" w:sz="0" w:space="0" w:color="auto"/>
        <w:right w:val="none" w:sz="0" w:space="0" w:color="auto"/>
      </w:divBdr>
      <w:divsChild>
        <w:div w:id="701786726">
          <w:marLeft w:val="0"/>
          <w:marRight w:val="0"/>
          <w:marTop w:val="300"/>
          <w:marBottom w:val="210"/>
          <w:divBdr>
            <w:top w:val="single" w:sz="18" w:space="19" w:color="F5F5F5"/>
            <w:left w:val="single" w:sz="18" w:space="23" w:color="F5F5F5"/>
            <w:bottom w:val="single" w:sz="18" w:space="19" w:color="F5F5F5"/>
            <w:right w:val="single" w:sz="18" w:space="23" w:color="F5F5F5"/>
          </w:divBdr>
        </w:div>
      </w:divsChild>
    </w:div>
    <w:div w:id="580333784">
      <w:bodyDiv w:val="1"/>
      <w:marLeft w:val="0"/>
      <w:marRight w:val="0"/>
      <w:marTop w:val="0"/>
      <w:marBottom w:val="0"/>
      <w:divBdr>
        <w:top w:val="none" w:sz="0" w:space="0" w:color="auto"/>
        <w:left w:val="none" w:sz="0" w:space="0" w:color="auto"/>
        <w:bottom w:val="none" w:sz="0" w:space="0" w:color="auto"/>
        <w:right w:val="none" w:sz="0" w:space="0" w:color="auto"/>
      </w:divBdr>
    </w:div>
    <w:div w:id="595290274">
      <w:bodyDiv w:val="1"/>
      <w:marLeft w:val="0"/>
      <w:marRight w:val="0"/>
      <w:marTop w:val="0"/>
      <w:marBottom w:val="0"/>
      <w:divBdr>
        <w:top w:val="none" w:sz="0" w:space="0" w:color="auto"/>
        <w:left w:val="none" w:sz="0" w:space="0" w:color="auto"/>
        <w:bottom w:val="none" w:sz="0" w:space="0" w:color="auto"/>
        <w:right w:val="none" w:sz="0" w:space="0" w:color="auto"/>
      </w:divBdr>
    </w:div>
    <w:div w:id="612905455">
      <w:bodyDiv w:val="1"/>
      <w:marLeft w:val="0"/>
      <w:marRight w:val="0"/>
      <w:marTop w:val="0"/>
      <w:marBottom w:val="0"/>
      <w:divBdr>
        <w:top w:val="none" w:sz="0" w:space="0" w:color="auto"/>
        <w:left w:val="none" w:sz="0" w:space="0" w:color="auto"/>
        <w:bottom w:val="none" w:sz="0" w:space="0" w:color="auto"/>
        <w:right w:val="none" w:sz="0" w:space="0" w:color="auto"/>
      </w:divBdr>
    </w:div>
    <w:div w:id="613555490">
      <w:bodyDiv w:val="1"/>
      <w:marLeft w:val="0"/>
      <w:marRight w:val="0"/>
      <w:marTop w:val="0"/>
      <w:marBottom w:val="0"/>
      <w:divBdr>
        <w:top w:val="none" w:sz="0" w:space="0" w:color="auto"/>
        <w:left w:val="none" w:sz="0" w:space="0" w:color="auto"/>
        <w:bottom w:val="none" w:sz="0" w:space="0" w:color="auto"/>
        <w:right w:val="none" w:sz="0" w:space="0" w:color="auto"/>
      </w:divBdr>
      <w:divsChild>
        <w:div w:id="92285986">
          <w:marLeft w:val="0"/>
          <w:marRight w:val="0"/>
          <w:marTop w:val="0"/>
          <w:marBottom w:val="0"/>
          <w:divBdr>
            <w:top w:val="none" w:sz="0" w:space="0" w:color="auto"/>
            <w:left w:val="none" w:sz="0" w:space="0" w:color="auto"/>
            <w:bottom w:val="none" w:sz="0" w:space="0" w:color="auto"/>
            <w:right w:val="none" w:sz="0" w:space="0" w:color="auto"/>
          </w:divBdr>
          <w:divsChild>
            <w:div w:id="857157609">
              <w:marLeft w:val="0"/>
              <w:marRight w:val="0"/>
              <w:marTop w:val="0"/>
              <w:marBottom w:val="0"/>
              <w:divBdr>
                <w:top w:val="none" w:sz="0" w:space="0" w:color="auto"/>
                <w:left w:val="none" w:sz="0" w:space="0" w:color="auto"/>
                <w:bottom w:val="none" w:sz="0" w:space="0" w:color="auto"/>
                <w:right w:val="none" w:sz="0" w:space="0" w:color="auto"/>
              </w:divBdr>
              <w:divsChild>
                <w:div w:id="527958638">
                  <w:marLeft w:val="0"/>
                  <w:marRight w:val="0"/>
                  <w:marTop w:val="0"/>
                  <w:marBottom w:val="0"/>
                  <w:divBdr>
                    <w:top w:val="none" w:sz="0" w:space="0" w:color="auto"/>
                    <w:left w:val="none" w:sz="0" w:space="0" w:color="auto"/>
                    <w:bottom w:val="none" w:sz="0" w:space="0" w:color="auto"/>
                    <w:right w:val="none" w:sz="0" w:space="0" w:color="auto"/>
                  </w:divBdr>
                  <w:divsChild>
                    <w:div w:id="469714322">
                      <w:marLeft w:val="0"/>
                      <w:marRight w:val="0"/>
                      <w:marTop w:val="0"/>
                      <w:marBottom w:val="0"/>
                      <w:divBdr>
                        <w:top w:val="none" w:sz="0" w:space="0" w:color="auto"/>
                        <w:left w:val="none" w:sz="0" w:space="0" w:color="auto"/>
                        <w:bottom w:val="none" w:sz="0" w:space="0" w:color="auto"/>
                        <w:right w:val="none" w:sz="0" w:space="0" w:color="auto"/>
                      </w:divBdr>
                      <w:divsChild>
                        <w:div w:id="764568407">
                          <w:marLeft w:val="0"/>
                          <w:marRight w:val="0"/>
                          <w:marTop w:val="0"/>
                          <w:marBottom w:val="0"/>
                          <w:divBdr>
                            <w:top w:val="none" w:sz="0" w:space="0" w:color="auto"/>
                            <w:left w:val="none" w:sz="0" w:space="0" w:color="auto"/>
                            <w:bottom w:val="none" w:sz="0" w:space="0" w:color="auto"/>
                            <w:right w:val="none" w:sz="0" w:space="0" w:color="auto"/>
                          </w:divBdr>
                          <w:divsChild>
                            <w:div w:id="1318388137">
                              <w:marLeft w:val="0"/>
                              <w:marRight w:val="0"/>
                              <w:marTop w:val="0"/>
                              <w:marBottom w:val="0"/>
                              <w:divBdr>
                                <w:top w:val="none" w:sz="0" w:space="0" w:color="auto"/>
                                <w:left w:val="none" w:sz="0" w:space="0" w:color="auto"/>
                                <w:bottom w:val="none" w:sz="0" w:space="0" w:color="auto"/>
                                <w:right w:val="none" w:sz="0" w:space="0" w:color="auto"/>
                              </w:divBdr>
                              <w:divsChild>
                                <w:div w:id="947081514">
                                  <w:marLeft w:val="0"/>
                                  <w:marRight w:val="0"/>
                                  <w:marTop w:val="0"/>
                                  <w:marBottom w:val="0"/>
                                  <w:divBdr>
                                    <w:top w:val="none" w:sz="0" w:space="0" w:color="auto"/>
                                    <w:left w:val="none" w:sz="0" w:space="0" w:color="auto"/>
                                    <w:bottom w:val="none" w:sz="0" w:space="0" w:color="auto"/>
                                    <w:right w:val="none" w:sz="0" w:space="0" w:color="auto"/>
                                  </w:divBdr>
                                  <w:divsChild>
                                    <w:div w:id="3639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4387563">
          <w:marLeft w:val="0"/>
          <w:marRight w:val="0"/>
          <w:marTop w:val="0"/>
          <w:marBottom w:val="0"/>
          <w:divBdr>
            <w:top w:val="none" w:sz="0" w:space="0" w:color="auto"/>
            <w:left w:val="none" w:sz="0" w:space="0" w:color="auto"/>
            <w:bottom w:val="none" w:sz="0" w:space="0" w:color="auto"/>
            <w:right w:val="none" w:sz="0" w:space="0" w:color="auto"/>
          </w:divBdr>
          <w:divsChild>
            <w:div w:id="1046640744">
              <w:marLeft w:val="0"/>
              <w:marRight w:val="0"/>
              <w:marTop w:val="0"/>
              <w:marBottom w:val="0"/>
              <w:divBdr>
                <w:top w:val="none" w:sz="0" w:space="0" w:color="auto"/>
                <w:left w:val="none" w:sz="0" w:space="0" w:color="auto"/>
                <w:bottom w:val="none" w:sz="0" w:space="0" w:color="auto"/>
                <w:right w:val="none" w:sz="0" w:space="0" w:color="auto"/>
              </w:divBdr>
              <w:divsChild>
                <w:div w:id="1531525893">
                  <w:marLeft w:val="0"/>
                  <w:marRight w:val="0"/>
                  <w:marTop w:val="0"/>
                  <w:marBottom w:val="0"/>
                  <w:divBdr>
                    <w:top w:val="none" w:sz="0" w:space="0" w:color="auto"/>
                    <w:left w:val="none" w:sz="0" w:space="0" w:color="auto"/>
                    <w:bottom w:val="none" w:sz="0" w:space="0" w:color="auto"/>
                    <w:right w:val="none" w:sz="0" w:space="0" w:color="auto"/>
                  </w:divBdr>
                  <w:divsChild>
                    <w:div w:id="1508473557">
                      <w:marLeft w:val="0"/>
                      <w:marRight w:val="0"/>
                      <w:marTop w:val="0"/>
                      <w:marBottom w:val="0"/>
                      <w:divBdr>
                        <w:top w:val="none" w:sz="0" w:space="0" w:color="auto"/>
                        <w:left w:val="none" w:sz="0" w:space="0" w:color="auto"/>
                        <w:bottom w:val="none" w:sz="0" w:space="0" w:color="auto"/>
                        <w:right w:val="none" w:sz="0" w:space="0" w:color="auto"/>
                      </w:divBdr>
                      <w:divsChild>
                        <w:div w:id="2065979724">
                          <w:marLeft w:val="0"/>
                          <w:marRight w:val="0"/>
                          <w:marTop w:val="0"/>
                          <w:marBottom w:val="0"/>
                          <w:divBdr>
                            <w:top w:val="none" w:sz="0" w:space="0" w:color="auto"/>
                            <w:left w:val="none" w:sz="0" w:space="0" w:color="auto"/>
                            <w:bottom w:val="none" w:sz="0" w:space="0" w:color="auto"/>
                            <w:right w:val="none" w:sz="0" w:space="0" w:color="auto"/>
                          </w:divBdr>
                          <w:divsChild>
                            <w:div w:id="1943413415">
                              <w:marLeft w:val="0"/>
                              <w:marRight w:val="0"/>
                              <w:marTop w:val="0"/>
                              <w:marBottom w:val="0"/>
                              <w:divBdr>
                                <w:top w:val="none" w:sz="0" w:space="0" w:color="auto"/>
                                <w:left w:val="none" w:sz="0" w:space="0" w:color="auto"/>
                                <w:bottom w:val="none" w:sz="0" w:space="0" w:color="auto"/>
                                <w:right w:val="none" w:sz="0" w:space="0" w:color="auto"/>
                              </w:divBdr>
                              <w:divsChild>
                                <w:div w:id="1430350535">
                                  <w:marLeft w:val="0"/>
                                  <w:marRight w:val="0"/>
                                  <w:marTop w:val="0"/>
                                  <w:marBottom w:val="0"/>
                                  <w:divBdr>
                                    <w:top w:val="none" w:sz="0" w:space="0" w:color="auto"/>
                                    <w:left w:val="none" w:sz="0" w:space="0" w:color="auto"/>
                                    <w:bottom w:val="none" w:sz="0" w:space="0" w:color="auto"/>
                                    <w:right w:val="none" w:sz="0" w:space="0" w:color="auto"/>
                                  </w:divBdr>
                                  <w:divsChild>
                                    <w:div w:id="1689915705">
                                      <w:marLeft w:val="0"/>
                                      <w:marRight w:val="0"/>
                                      <w:marTop w:val="0"/>
                                      <w:marBottom w:val="0"/>
                                      <w:divBdr>
                                        <w:top w:val="none" w:sz="0" w:space="0" w:color="auto"/>
                                        <w:left w:val="none" w:sz="0" w:space="0" w:color="auto"/>
                                        <w:bottom w:val="none" w:sz="0" w:space="0" w:color="auto"/>
                                        <w:right w:val="none" w:sz="0" w:space="0" w:color="auto"/>
                                      </w:divBdr>
                                      <w:divsChild>
                                        <w:div w:id="626547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1088458">
          <w:marLeft w:val="0"/>
          <w:marRight w:val="0"/>
          <w:marTop w:val="0"/>
          <w:marBottom w:val="0"/>
          <w:divBdr>
            <w:top w:val="none" w:sz="0" w:space="0" w:color="auto"/>
            <w:left w:val="none" w:sz="0" w:space="0" w:color="auto"/>
            <w:bottom w:val="none" w:sz="0" w:space="0" w:color="auto"/>
            <w:right w:val="none" w:sz="0" w:space="0" w:color="auto"/>
          </w:divBdr>
          <w:divsChild>
            <w:div w:id="726302045">
              <w:marLeft w:val="0"/>
              <w:marRight w:val="0"/>
              <w:marTop w:val="0"/>
              <w:marBottom w:val="0"/>
              <w:divBdr>
                <w:top w:val="none" w:sz="0" w:space="0" w:color="auto"/>
                <w:left w:val="none" w:sz="0" w:space="0" w:color="auto"/>
                <w:bottom w:val="none" w:sz="0" w:space="0" w:color="auto"/>
                <w:right w:val="none" w:sz="0" w:space="0" w:color="auto"/>
              </w:divBdr>
              <w:divsChild>
                <w:div w:id="2037270383">
                  <w:marLeft w:val="0"/>
                  <w:marRight w:val="0"/>
                  <w:marTop w:val="0"/>
                  <w:marBottom w:val="0"/>
                  <w:divBdr>
                    <w:top w:val="none" w:sz="0" w:space="0" w:color="auto"/>
                    <w:left w:val="none" w:sz="0" w:space="0" w:color="auto"/>
                    <w:bottom w:val="none" w:sz="0" w:space="0" w:color="auto"/>
                    <w:right w:val="none" w:sz="0" w:space="0" w:color="auto"/>
                  </w:divBdr>
                  <w:divsChild>
                    <w:div w:id="455635535">
                      <w:marLeft w:val="0"/>
                      <w:marRight w:val="0"/>
                      <w:marTop w:val="0"/>
                      <w:marBottom w:val="0"/>
                      <w:divBdr>
                        <w:top w:val="none" w:sz="0" w:space="0" w:color="auto"/>
                        <w:left w:val="none" w:sz="0" w:space="0" w:color="auto"/>
                        <w:bottom w:val="none" w:sz="0" w:space="0" w:color="auto"/>
                        <w:right w:val="none" w:sz="0" w:space="0" w:color="auto"/>
                      </w:divBdr>
                      <w:divsChild>
                        <w:div w:id="254899215">
                          <w:marLeft w:val="0"/>
                          <w:marRight w:val="0"/>
                          <w:marTop w:val="0"/>
                          <w:marBottom w:val="0"/>
                          <w:divBdr>
                            <w:top w:val="none" w:sz="0" w:space="0" w:color="auto"/>
                            <w:left w:val="none" w:sz="0" w:space="0" w:color="auto"/>
                            <w:bottom w:val="none" w:sz="0" w:space="0" w:color="auto"/>
                            <w:right w:val="none" w:sz="0" w:space="0" w:color="auto"/>
                          </w:divBdr>
                          <w:divsChild>
                            <w:div w:id="1280262833">
                              <w:marLeft w:val="0"/>
                              <w:marRight w:val="0"/>
                              <w:marTop w:val="0"/>
                              <w:marBottom w:val="0"/>
                              <w:divBdr>
                                <w:top w:val="none" w:sz="0" w:space="0" w:color="auto"/>
                                <w:left w:val="none" w:sz="0" w:space="0" w:color="auto"/>
                                <w:bottom w:val="none" w:sz="0" w:space="0" w:color="auto"/>
                                <w:right w:val="none" w:sz="0" w:space="0" w:color="auto"/>
                              </w:divBdr>
                              <w:divsChild>
                                <w:div w:id="2010788639">
                                  <w:marLeft w:val="0"/>
                                  <w:marRight w:val="0"/>
                                  <w:marTop w:val="0"/>
                                  <w:marBottom w:val="0"/>
                                  <w:divBdr>
                                    <w:top w:val="none" w:sz="0" w:space="0" w:color="auto"/>
                                    <w:left w:val="none" w:sz="0" w:space="0" w:color="auto"/>
                                    <w:bottom w:val="none" w:sz="0" w:space="0" w:color="auto"/>
                                    <w:right w:val="none" w:sz="0" w:space="0" w:color="auto"/>
                                  </w:divBdr>
                                  <w:divsChild>
                                    <w:div w:id="1492871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6490267">
                  <w:marLeft w:val="0"/>
                  <w:marRight w:val="0"/>
                  <w:marTop w:val="0"/>
                  <w:marBottom w:val="0"/>
                  <w:divBdr>
                    <w:top w:val="none" w:sz="0" w:space="0" w:color="auto"/>
                    <w:left w:val="none" w:sz="0" w:space="0" w:color="auto"/>
                    <w:bottom w:val="none" w:sz="0" w:space="0" w:color="auto"/>
                    <w:right w:val="none" w:sz="0" w:space="0" w:color="auto"/>
                  </w:divBdr>
                  <w:divsChild>
                    <w:div w:id="154343733">
                      <w:marLeft w:val="0"/>
                      <w:marRight w:val="0"/>
                      <w:marTop w:val="0"/>
                      <w:marBottom w:val="0"/>
                      <w:divBdr>
                        <w:top w:val="none" w:sz="0" w:space="0" w:color="auto"/>
                        <w:left w:val="none" w:sz="0" w:space="0" w:color="auto"/>
                        <w:bottom w:val="none" w:sz="0" w:space="0" w:color="auto"/>
                        <w:right w:val="none" w:sz="0" w:space="0" w:color="auto"/>
                      </w:divBdr>
                      <w:divsChild>
                        <w:div w:id="1003161614">
                          <w:marLeft w:val="0"/>
                          <w:marRight w:val="0"/>
                          <w:marTop w:val="0"/>
                          <w:marBottom w:val="0"/>
                          <w:divBdr>
                            <w:top w:val="none" w:sz="0" w:space="0" w:color="auto"/>
                            <w:left w:val="none" w:sz="0" w:space="0" w:color="auto"/>
                            <w:bottom w:val="none" w:sz="0" w:space="0" w:color="auto"/>
                            <w:right w:val="none" w:sz="0" w:space="0" w:color="auto"/>
                          </w:divBdr>
                          <w:divsChild>
                            <w:div w:id="783622902">
                              <w:marLeft w:val="0"/>
                              <w:marRight w:val="0"/>
                              <w:marTop w:val="0"/>
                              <w:marBottom w:val="0"/>
                              <w:divBdr>
                                <w:top w:val="none" w:sz="0" w:space="0" w:color="auto"/>
                                <w:left w:val="none" w:sz="0" w:space="0" w:color="auto"/>
                                <w:bottom w:val="none" w:sz="0" w:space="0" w:color="auto"/>
                                <w:right w:val="none" w:sz="0" w:space="0" w:color="auto"/>
                              </w:divBdr>
                              <w:divsChild>
                                <w:div w:id="62529005">
                                  <w:marLeft w:val="0"/>
                                  <w:marRight w:val="0"/>
                                  <w:marTop w:val="0"/>
                                  <w:marBottom w:val="0"/>
                                  <w:divBdr>
                                    <w:top w:val="none" w:sz="0" w:space="0" w:color="auto"/>
                                    <w:left w:val="none" w:sz="0" w:space="0" w:color="auto"/>
                                    <w:bottom w:val="none" w:sz="0" w:space="0" w:color="auto"/>
                                    <w:right w:val="none" w:sz="0" w:space="0" w:color="auto"/>
                                  </w:divBdr>
                                  <w:divsChild>
                                    <w:div w:id="151994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8707786">
      <w:bodyDiv w:val="1"/>
      <w:marLeft w:val="0"/>
      <w:marRight w:val="0"/>
      <w:marTop w:val="0"/>
      <w:marBottom w:val="0"/>
      <w:divBdr>
        <w:top w:val="none" w:sz="0" w:space="0" w:color="auto"/>
        <w:left w:val="none" w:sz="0" w:space="0" w:color="auto"/>
        <w:bottom w:val="none" w:sz="0" w:space="0" w:color="auto"/>
        <w:right w:val="none" w:sz="0" w:space="0" w:color="auto"/>
      </w:divBdr>
      <w:divsChild>
        <w:div w:id="99884348">
          <w:marLeft w:val="0"/>
          <w:marRight w:val="0"/>
          <w:marTop w:val="0"/>
          <w:marBottom w:val="0"/>
          <w:divBdr>
            <w:top w:val="none" w:sz="0" w:space="0" w:color="auto"/>
            <w:left w:val="none" w:sz="0" w:space="0" w:color="auto"/>
            <w:bottom w:val="none" w:sz="0" w:space="0" w:color="auto"/>
            <w:right w:val="none" w:sz="0" w:space="0" w:color="auto"/>
          </w:divBdr>
        </w:div>
      </w:divsChild>
    </w:div>
    <w:div w:id="641925132">
      <w:bodyDiv w:val="1"/>
      <w:marLeft w:val="0"/>
      <w:marRight w:val="0"/>
      <w:marTop w:val="0"/>
      <w:marBottom w:val="0"/>
      <w:divBdr>
        <w:top w:val="none" w:sz="0" w:space="0" w:color="auto"/>
        <w:left w:val="none" w:sz="0" w:space="0" w:color="auto"/>
        <w:bottom w:val="none" w:sz="0" w:space="0" w:color="auto"/>
        <w:right w:val="none" w:sz="0" w:space="0" w:color="auto"/>
      </w:divBdr>
      <w:divsChild>
        <w:div w:id="205215704">
          <w:marLeft w:val="0"/>
          <w:marRight w:val="0"/>
          <w:marTop w:val="0"/>
          <w:marBottom w:val="0"/>
          <w:divBdr>
            <w:top w:val="none" w:sz="0" w:space="0" w:color="auto"/>
            <w:left w:val="none" w:sz="0" w:space="0" w:color="auto"/>
            <w:bottom w:val="none" w:sz="0" w:space="0" w:color="auto"/>
            <w:right w:val="none" w:sz="0" w:space="0" w:color="auto"/>
          </w:divBdr>
          <w:divsChild>
            <w:div w:id="603418268">
              <w:marLeft w:val="0"/>
              <w:marRight w:val="0"/>
              <w:marTop w:val="0"/>
              <w:marBottom w:val="0"/>
              <w:divBdr>
                <w:top w:val="none" w:sz="0" w:space="0" w:color="auto"/>
                <w:left w:val="none" w:sz="0" w:space="0" w:color="auto"/>
                <w:bottom w:val="none" w:sz="0" w:space="0" w:color="auto"/>
                <w:right w:val="none" w:sz="0" w:space="0" w:color="auto"/>
              </w:divBdr>
              <w:divsChild>
                <w:div w:id="1257445255">
                  <w:marLeft w:val="0"/>
                  <w:marRight w:val="0"/>
                  <w:marTop w:val="0"/>
                  <w:marBottom w:val="0"/>
                  <w:divBdr>
                    <w:top w:val="none" w:sz="0" w:space="0" w:color="auto"/>
                    <w:left w:val="none" w:sz="0" w:space="0" w:color="auto"/>
                    <w:bottom w:val="none" w:sz="0" w:space="0" w:color="auto"/>
                    <w:right w:val="none" w:sz="0" w:space="0" w:color="auto"/>
                  </w:divBdr>
                  <w:divsChild>
                    <w:div w:id="1573157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3727018">
      <w:bodyDiv w:val="1"/>
      <w:marLeft w:val="0"/>
      <w:marRight w:val="0"/>
      <w:marTop w:val="0"/>
      <w:marBottom w:val="0"/>
      <w:divBdr>
        <w:top w:val="none" w:sz="0" w:space="0" w:color="auto"/>
        <w:left w:val="none" w:sz="0" w:space="0" w:color="auto"/>
        <w:bottom w:val="none" w:sz="0" w:space="0" w:color="auto"/>
        <w:right w:val="none" w:sz="0" w:space="0" w:color="auto"/>
      </w:divBdr>
    </w:div>
    <w:div w:id="693265027">
      <w:bodyDiv w:val="1"/>
      <w:marLeft w:val="0"/>
      <w:marRight w:val="0"/>
      <w:marTop w:val="0"/>
      <w:marBottom w:val="0"/>
      <w:divBdr>
        <w:top w:val="none" w:sz="0" w:space="0" w:color="auto"/>
        <w:left w:val="none" w:sz="0" w:space="0" w:color="auto"/>
        <w:bottom w:val="none" w:sz="0" w:space="0" w:color="auto"/>
        <w:right w:val="none" w:sz="0" w:space="0" w:color="auto"/>
      </w:divBdr>
    </w:div>
    <w:div w:id="759108356">
      <w:bodyDiv w:val="1"/>
      <w:marLeft w:val="0"/>
      <w:marRight w:val="0"/>
      <w:marTop w:val="0"/>
      <w:marBottom w:val="0"/>
      <w:divBdr>
        <w:top w:val="none" w:sz="0" w:space="0" w:color="auto"/>
        <w:left w:val="none" w:sz="0" w:space="0" w:color="auto"/>
        <w:bottom w:val="none" w:sz="0" w:space="0" w:color="auto"/>
        <w:right w:val="none" w:sz="0" w:space="0" w:color="auto"/>
      </w:divBdr>
      <w:divsChild>
        <w:div w:id="966273975">
          <w:marLeft w:val="0"/>
          <w:marRight w:val="0"/>
          <w:marTop w:val="0"/>
          <w:marBottom w:val="0"/>
          <w:divBdr>
            <w:top w:val="none" w:sz="0" w:space="0" w:color="auto"/>
            <w:left w:val="none" w:sz="0" w:space="0" w:color="auto"/>
            <w:bottom w:val="none" w:sz="0" w:space="0" w:color="auto"/>
            <w:right w:val="none" w:sz="0" w:space="0" w:color="auto"/>
          </w:divBdr>
        </w:div>
      </w:divsChild>
    </w:div>
    <w:div w:id="759372582">
      <w:bodyDiv w:val="1"/>
      <w:marLeft w:val="0"/>
      <w:marRight w:val="0"/>
      <w:marTop w:val="0"/>
      <w:marBottom w:val="0"/>
      <w:divBdr>
        <w:top w:val="none" w:sz="0" w:space="0" w:color="auto"/>
        <w:left w:val="none" w:sz="0" w:space="0" w:color="auto"/>
        <w:bottom w:val="none" w:sz="0" w:space="0" w:color="auto"/>
        <w:right w:val="none" w:sz="0" w:space="0" w:color="auto"/>
      </w:divBdr>
    </w:div>
    <w:div w:id="803811170">
      <w:bodyDiv w:val="1"/>
      <w:marLeft w:val="0"/>
      <w:marRight w:val="0"/>
      <w:marTop w:val="0"/>
      <w:marBottom w:val="0"/>
      <w:divBdr>
        <w:top w:val="none" w:sz="0" w:space="0" w:color="auto"/>
        <w:left w:val="none" w:sz="0" w:space="0" w:color="auto"/>
        <w:bottom w:val="none" w:sz="0" w:space="0" w:color="auto"/>
        <w:right w:val="none" w:sz="0" w:space="0" w:color="auto"/>
      </w:divBdr>
      <w:divsChild>
        <w:div w:id="722026458">
          <w:marLeft w:val="0"/>
          <w:marRight w:val="0"/>
          <w:marTop w:val="0"/>
          <w:marBottom w:val="0"/>
          <w:divBdr>
            <w:top w:val="none" w:sz="0" w:space="0" w:color="auto"/>
            <w:left w:val="none" w:sz="0" w:space="0" w:color="auto"/>
            <w:bottom w:val="none" w:sz="0" w:space="0" w:color="auto"/>
            <w:right w:val="none" w:sz="0" w:space="0" w:color="auto"/>
          </w:divBdr>
          <w:divsChild>
            <w:div w:id="1938366697">
              <w:marLeft w:val="0"/>
              <w:marRight w:val="0"/>
              <w:marTop w:val="0"/>
              <w:marBottom w:val="0"/>
              <w:divBdr>
                <w:top w:val="none" w:sz="0" w:space="0" w:color="auto"/>
                <w:left w:val="none" w:sz="0" w:space="0" w:color="auto"/>
                <w:bottom w:val="none" w:sz="0" w:space="0" w:color="auto"/>
                <w:right w:val="none" w:sz="0" w:space="0" w:color="auto"/>
              </w:divBdr>
              <w:divsChild>
                <w:div w:id="313219278">
                  <w:marLeft w:val="0"/>
                  <w:marRight w:val="0"/>
                  <w:marTop w:val="0"/>
                  <w:marBottom w:val="0"/>
                  <w:divBdr>
                    <w:top w:val="none" w:sz="0" w:space="0" w:color="auto"/>
                    <w:left w:val="none" w:sz="0" w:space="0" w:color="auto"/>
                    <w:bottom w:val="none" w:sz="0" w:space="0" w:color="auto"/>
                    <w:right w:val="none" w:sz="0" w:space="0" w:color="auto"/>
                  </w:divBdr>
                  <w:divsChild>
                    <w:div w:id="542446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4005545">
      <w:bodyDiv w:val="1"/>
      <w:marLeft w:val="0"/>
      <w:marRight w:val="0"/>
      <w:marTop w:val="0"/>
      <w:marBottom w:val="0"/>
      <w:divBdr>
        <w:top w:val="none" w:sz="0" w:space="0" w:color="auto"/>
        <w:left w:val="none" w:sz="0" w:space="0" w:color="auto"/>
        <w:bottom w:val="none" w:sz="0" w:space="0" w:color="auto"/>
        <w:right w:val="none" w:sz="0" w:space="0" w:color="auto"/>
      </w:divBdr>
    </w:div>
    <w:div w:id="894387285">
      <w:bodyDiv w:val="1"/>
      <w:marLeft w:val="0"/>
      <w:marRight w:val="0"/>
      <w:marTop w:val="0"/>
      <w:marBottom w:val="0"/>
      <w:divBdr>
        <w:top w:val="none" w:sz="0" w:space="0" w:color="auto"/>
        <w:left w:val="none" w:sz="0" w:space="0" w:color="auto"/>
        <w:bottom w:val="none" w:sz="0" w:space="0" w:color="auto"/>
        <w:right w:val="none" w:sz="0" w:space="0" w:color="auto"/>
      </w:divBdr>
      <w:divsChild>
        <w:div w:id="1222523729">
          <w:marLeft w:val="0"/>
          <w:marRight w:val="0"/>
          <w:marTop w:val="0"/>
          <w:marBottom w:val="0"/>
          <w:divBdr>
            <w:top w:val="none" w:sz="0" w:space="0" w:color="auto"/>
            <w:left w:val="none" w:sz="0" w:space="0" w:color="auto"/>
            <w:bottom w:val="none" w:sz="0" w:space="0" w:color="auto"/>
            <w:right w:val="none" w:sz="0" w:space="0" w:color="auto"/>
          </w:divBdr>
        </w:div>
      </w:divsChild>
    </w:div>
    <w:div w:id="921455374">
      <w:bodyDiv w:val="1"/>
      <w:marLeft w:val="0"/>
      <w:marRight w:val="0"/>
      <w:marTop w:val="0"/>
      <w:marBottom w:val="0"/>
      <w:divBdr>
        <w:top w:val="none" w:sz="0" w:space="0" w:color="auto"/>
        <w:left w:val="none" w:sz="0" w:space="0" w:color="auto"/>
        <w:bottom w:val="none" w:sz="0" w:space="0" w:color="auto"/>
        <w:right w:val="none" w:sz="0" w:space="0" w:color="auto"/>
      </w:divBdr>
    </w:div>
    <w:div w:id="931818356">
      <w:bodyDiv w:val="1"/>
      <w:marLeft w:val="0"/>
      <w:marRight w:val="0"/>
      <w:marTop w:val="0"/>
      <w:marBottom w:val="0"/>
      <w:divBdr>
        <w:top w:val="none" w:sz="0" w:space="0" w:color="auto"/>
        <w:left w:val="none" w:sz="0" w:space="0" w:color="auto"/>
        <w:bottom w:val="none" w:sz="0" w:space="0" w:color="auto"/>
        <w:right w:val="none" w:sz="0" w:space="0" w:color="auto"/>
      </w:divBdr>
      <w:divsChild>
        <w:div w:id="1338776676">
          <w:marLeft w:val="0"/>
          <w:marRight w:val="0"/>
          <w:marTop w:val="0"/>
          <w:marBottom w:val="0"/>
          <w:divBdr>
            <w:top w:val="none" w:sz="0" w:space="0" w:color="auto"/>
            <w:left w:val="none" w:sz="0" w:space="0" w:color="auto"/>
            <w:bottom w:val="none" w:sz="0" w:space="0" w:color="auto"/>
            <w:right w:val="none" w:sz="0" w:space="0" w:color="auto"/>
          </w:divBdr>
        </w:div>
      </w:divsChild>
    </w:div>
    <w:div w:id="939870906">
      <w:bodyDiv w:val="1"/>
      <w:marLeft w:val="0"/>
      <w:marRight w:val="0"/>
      <w:marTop w:val="0"/>
      <w:marBottom w:val="0"/>
      <w:divBdr>
        <w:top w:val="none" w:sz="0" w:space="0" w:color="auto"/>
        <w:left w:val="none" w:sz="0" w:space="0" w:color="auto"/>
        <w:bottom w:val="none" w:sz="0" w:space="0" w:color="auto"/>
        <w:right w:val="none" w:sz="0" w:space="0" w:color="auto"/>
      </w:divBdr>
    </w:div>
    <w:div w:id="941259804">
      <w:bodyDiv w:val="1"/>
      <w:marLeft w:val="0"/>
      <w:marRight w:val="0"/>
      <w:marTop w:val="0"/>
      <w:marBottom w:val="0"/>
      <w:divBdr>
        <w:top w:val="none" w:sz="0" w:space="0" w:color="auto"/>
        <w:left w:val="none" w:sz="0" w:space="0" w:color="auto"/>
        <w:bottom w:val="none" w:sz="0" w:space="0" w:color="auto"/>
        <w:right w:val="none" w:sz="0" w:space="0" w:color="auto"/>
      </w:divBdr>
    </w:div>
    <w:div w:id="942035912">
      <w:bodyDiv w:val="1"/>
      <w:marLeft w:val="0"/>
      <w:marRight w:val="0"/>
      <w:marTop w:val="0"/>
      <w:marBottom w:val="0"/>
      <w:divBdr>
        <w:top w:val="none" w:sz="0" w:space="0" w:color="auto"/>
        <w:left w:val="none" w:sz="0" w:space="0" w:color="auto"/>
        <w:bottom w:val="none" w:sz="0" w:space="0" w:color="auto"/>
        <w:right w:val="none" w:sz="0" w:space="0" w:color="auto"/>
      </w:divBdr>
    </w:div>
    <w:div w:id="973681429">
      <w:bodyDiv w:val="1"/>
      <w:marLeft w:val="0"/>
      <w:marRight w:val="0"/>
      <w:marTop w:val="0"/>
      <w:marBottom w:val="0"/>
      <w:divBdr>
        <w:top w:val="none" w:sz="0" w:space="0" w:color="auto"/>
        <w:left w:val="none" w:sz="0" w:space="0" w:color="auto"/>
        <w:bottom w:val="none" w:sz="0" w:space="0" w:color="auto"/>
        <w:right w:val="none" w:sz="0" w:space="0" w:color="auto"/>
      </w:divBdr>
      <w:divsChild>
        <w:div w:id="2113820323">
          <w:marLeft w:val="0"/>
          <w:marRight w:val="0"/>
          <w:marTop w:val="0"/>
          <w:marBottom w:val="0"/>
          <w:divBdr>
            <w:top w:val="none" w:sz="0" w:space="0" w:color="auto"/>
            <w:left w:val="none" w:sz="0" w:space="0" w:color="auto"/>
            <w:bottom w:val="none" w:sz="0" w:space="0" w:color="auto"/>
            <w:right w:val="none" w:sz="0" w:space="0" w:color="auto"/>
          </w:divBdr>
        </w:div>
      </w:divsChild>
    </w:div>
    <w:div w:id="997418472">
      <w:bodyDiv w:val="1"/>
      <w:marLeft w:val="0"/>
      <w:marRight w:val="0"/>
      <w:marTop w:val="0"/>
      <w:marBottom w:val="0"/>
      <w:divBdr>
        <w:top w:val="none" w:sz="0" w:space="0" w:color="auto"/>
        <w:left w:val="none" w:sz="0" w:space="0" w:color="auto"/>
        <w:bottom w:val="none" w:sz="0" w:space="0" w:color="auto"/>
        <w:right w:val="none" w:sz="0" w:space="0" w:color="auto"/>
      </w:divBdr>
    </w:div>
    <w:div w:id="1033312274">
      <w:bodyDiv w:val="1"/>
      <w:marLeft w:val="0"/>
      <w:marRight w:val="0"/>
      <w:marTop w:val="0"/>
      <w:marBottom w:val="0"/>
      <w:divBdr>
        <w:top w:val="none" w:sz="0" w:space="0" w:color="auto"/>
        <w:left w:val="none" w:sz="0" w:space="0" w:color="auto"/>
        <w:bottom w:val="none" w:sz="0" w:space="0" w:color="auto"/>
        <w:right w:val="none" w:sz="0" w:space="0" w:color="auto"/>
      </w:divBdr>
      <w:divsChild>
        <w:div w:id="1408963740">
          <w:marLeft w:val="0"/>
          <w:marRight w:val="0"/>
          <w:marTop w:val="0"/>
          <w:marBottom w:val="0"/>
          <w:divBdr>
            <w:top w:val="none" w:sz="0" w:space="0" w:color="auto"/>
            <w:left w:val="none" w:sz="0" w:space="0" w:color="auto"/>
            <w:bottom w:val="none" w:sz="0" w:space="0" w:color="auto"/>
            <w:right w:val="none" w:sz="0" w:space="0" w:color="auto"/>
          </w:divBdr>
        </w:div>
      </w:divsChild>
    </w:div>
    <w:div w:id="1102872545">
      <w:bodyDiv w:val="1"/>
      <w:marLeft w:val="0"/>
      <w:marRight w:val="0"/>
      <w:marTop w:val="0"/>
      <w:marBottom w:val="0"/>
      <w:divBdr>
        <w:top w:val="none" w:sz="0" w:space="0" w:color="auto"/>
        <w:left w:val="none" w:sz="0" w:space="0" w:color="auto"/>
        <w:bottom w:val="none" w:sz="0" w:space="0" w:color="auto"/>
        <w:right w:val="none" w:sz="0" w:space="0" w:color="auto"/>
      </w:divBdr>
    </w:div>
    <w:div w:id="1141994097">
      <w:bodyDiv w:val="1"/>
      <w:marLeft w:val="0"/>
      <w:marRight w:val="0"/>
      <w:marTop w:val="0"/>
      <w:marBottom w:val="0"/>
      <w:divBdr>
        <w:top w:val="none" w:sz="0" w:space="0" w:color="auto"/>
        <w:left w:val="none" w:sz="0" w:space="0" w:color="auto"/>
        <w:bottom w:val="none" w:sz="0" w:space="0" w:color="auto"/>
        <w:right w:val="none" w:sz="0" w:space="0" w:color="auto"/>
      </w:divBdr>
    </w:div>
    <w:div w:id="1173372402">
      <w:bodyDiv w:val="1"/>
      <w:marLeft w:val="0"/>
      <w:marRight w:val="0"/>
      <w:marTop w:val="0"/>
      <w:marBottom w:val="0"/>
      <w:divBdr>
        <w:top w:val="none" w:sz="0" w:space="0" w:color="auto"/>
        <w:left w:val="none" w:sz="0" w:space="0" w:color="auto"/>
        <w:bottom w:val="none" w:sz="0" w:space="0" w:color="auto"/>
        <w:right w:val="none" w:sz="0" w:space="0" w:color="auto"/>
      </w:divBdr>
      <w:divsChild>
        <w:div w:id="1818641845">
          <w:marLeft w:val="0"/>
          <w:marRight w:val="0"/>
          <w:marTop w:val="0"/>
          <w:marBottom w:val="0"/>
          <w:divBdr>
            <w:top w:val="none" w:sz="0" w:space="0" w:color="auto"/>
            <w:left w:val="none" w:sz="0" w:space="0" w:color="auto"/>
            <w:bottom w:val="none" w:sz="0" w:space="0" w:color="auto"/>
            <w:right w:val="none" w:sz="0" w:space="0" w:color="auto"/>
          </w:divBdr>
        </w:div>
      </w:divsChild>
    </w:div>
    <w:div w:id="1212889160">
      <w:bodyDiv w:val="1"/>
      <w:marLeft w:val="0"/>
      <w:marRight w:val="0"/>
      <w:marTop w:val="0"/>
      <w:marBottom w:val="0"/>
      <w:divBdr>
        <w:top w:val="none" w:sz="0" w:space="0" w:color="auto"/>
        <w:left w:val="none" w:sz="0" w:space="0" w:color="auto"/>
        <w:bottom w:val="none" w:sz="0" w:space="0" w:color="auto"/>
        <w:right w:val="none" w:sz="0" w:space="0" w:color="auto"/>
      </w:divBdr>
    </w:div>
    <w:div w:id="1353343801">
      <w:bodyDiv w:val="1"/>
      <w:marLeft w:val="0"/>
      <w:marRight w:val="0"/>
      <w:marTop w:val="0"/>
      <w:marBottom w:val="0"/>
      <w:divBdr>
        <w:top w:val="none" w:sz="0" w:space="0" w:color="auto"/>
        <w:left w:val="none" w:sz="0" w:space="0" w:color="auto"/>
        <w:bottom w:val="none" w:sz="0" w:space="0" w:color="auto"/>
        <w:right w:val="none" w:sz="0" w:space="0" w:color="auto"/>
      </w:divBdr>
      <w:divsChild>
        <w:div w:id="1483620775">
          <w:marLeft w:val="0"/>
          <w:marRight w:val="0"/>
          <w:marTop w:val="0"/>
          <w:marBottom w:val="0"/>
          <w:divBdr>
            <w:top w:val="none" w:sz="0" w:space="0" w:color="auto"/>
            <w:left w:val="none" w:sz="0" w:space="0" w:color="auto"/>
            <w:bottom w:val="none" w:sz="0" w:space="0" w:color="auto"/>
            <w:right w:val="none" w:sz="0" w:space="0" w:color="auto"/>
          </w:divBdr>
        </w:div>
      </w:divsChild>
    </w:div>
    <w:div w:id="1388332162">
      <w:bodyDiv w:val="1"/>
      <w:marLeft w:val="0"/>
      <w:marRight w:val="0"/>
      <w:marTop w:val="0"/>
      <w:marBottom w:val="0"/>
      <w:divBdr>
        <w:top w:val="none" w:sz="0" w:space="0" w:color="auto"/>
        <w:left w:val="none" w:sz="0" w:space="0" w:color="auto"/>
        <w:bottom w:val="none" w:sz="0" w:space="0" w:color="auto"/>
        <w:right w:val="none" w:sz="0" w:space="0" w:color="auto"/>
      </w:divBdr>
    </w:div>
    <w:div w:id="1410151995">
      <w:bodyDiv w:val="1"/>
      <w:marLeft w:val="0"/>
      <w:marRight w:val="0"/>
      <w:marTop w:val="0"/>
      <w:marBottom w:val="0"/>
      <w:divBdr>
        <w:top w:val="none" w:sz="0" w:space="0" w:color="auto"/>
        <w:left w:val="none" w:sz="0" w:space="0" w:color="auto"/>
        <w:bottom w:val="none" w:sz="0" w:space="0" w:color="auto"/>
        <w:right w:val="none" w:sz="0" w:space="0" w:color="auto"/>
      </w:divBdr>
    </w:div>
    <w:div w:id="1430346834">
      <w:bodyDiv w:val="1"/>
      <w:marLeft w:val="0"/>
      <w:marRight w:val="0"/>
      <w:marTop w:val="0"/>
      <w:marBottom w:val="0"/>
      <w:divBdr>
        <w:top w:val="none" w:sz="0" w:space="0" w:color="auto"/>
        <w:left w:val="none" w:sz="0" w:space="0" w:color="auto"/>
        <w:bottom w:val="none" w:sz="0" w:space="0" w:color="auto"/>
        <w:right w:val="none" w:sz="0" w:space="0" w:color="auto"/>
      </w:divBdr>
    </w:div>
    <w:div w:id="1507330507">
      <w:bodyDiv w:val="1"/>
      <w:marLeft w:val="0"/>
      <w:marRight w:val="0"/>
      <w:marTop w:val="0"/>
      <w:marBottom w:val="0"/>
      <w:divBdr>
        <w:top w:val="none" w:sz="0" w:space="0" w:color="auto"/>
        <w:left w:val="none" w:sz="0" w:space="0" w:color="auto"/>
        <w:bottom w:val="none" w:sz="0" w:space="0" w:color="auto"/>
        <w:right w:val="none" w:sz="0" w:space="0" w:color="auto"/>
      </w:divBdr>
    </w:div>
    <w:div w:id="1600139086">
      <w:bodyDiv w:val="1"/>
      <w:marLeft w:val="0"/>
      <w:marRight w:val="0"/>
      <w:marTop w:val="0"/>
      <w:marBottom w:val="0"/>
      <w:divBdr>
        <w:top w:val="none" w:sz="0" w:space="0" w:color="auto"/>
        <w:left w:val="none" w:sz="0" w:space="0" w:color="auto"/>
        <w:bottom w:val="none" w:sz="0" w:space="0" w:color="auto"/>
        <w:right w:val="none" w:sz="0" w:space="0" w:color="auto"/>
      </w:divBdr>
    </w:div>
    <w:div w:id="1635912646">
      <w:bodyDiv w:val="1"/>
      <w:marLeft w:val="0"/>
      <w:marRight w:val="0"/>
      <w:marTop w:val="0"/>
      <w:marBottom w:val="0"/>
      <w:divBdr>
        <w:top w:val="none" w:sz="0" w:space="0" w:color="auto"/>
        <w:left w:val="none" w:sz="0" w:space="0" w:color="auto"/>
        <w:bottom w:val="none" w:sz="0" w:space="0" w:color="auto"/>
        <w:right w:val="none" w:sz="0" w:space="0" w:color="auto"/>
      </w:divBdr>
    </w:div>
    <w:div w:id="1636178548">
      <w:bodyDiv w:val="1"/>
      <w:marLeft w:val="0"/>
      <w:marRight w:val="0"/>
      <w:marTop w:val="0"/>
      <w:marBottom w:val="0"/>
      <w:divBdr>
        <w:top w:val="none" w:sz="0" w:space="0" w:color="auto"/>
        <w:left w:val="none" w:sz="0" w:space="0" w:color="auto"/>
        <w:bottom w:val="none" w:sz="0" w:space="0" w:color="auto"/>
        <w:right w:val="none" w:sz="0" w:space="0" w:color="auto"/>
      </w:divBdr>
    </w:div>
    <w:div w:id="1643269370">
      <w:bodyDiv w:val="1"/>
      <w:marLeft w:val="0"/>
      <w:marRight w:val="0"/>
      <w:marTop w:val="0"/>
      <w:marBottom w:val="0"/>
      <w:divBdr>
        <w:top w:val="none" w:sz="0" w:space="0" w:color="auto"/>
        <w:left w:val="none" w:sz="0" w:space="0" w:color="auto"/>
        <w:bottom w:val="none" w:sz="0" w:space="0" w:color="auto"/>
        <w:right w:val="none" w:sz="0" w:space="0" w:color="auto"/>
      </w:divBdr>
      <w:divsChild>
        <w:div w:id="1956138756">
          <w:marLeft w:val="0"/>
          <w:marRight w:val="0"/>
          <w:marTop w:val="0"/>
          <w:marBottom w:val="0"/>
          <w:divBdr>
            <w:top w:val="none" w:sz="0" w:space="0" w:color="auto"/>
            <w:left w:val="none" w:sz="0" w:space="0" w:color="auto"/>
            <w:bottom w:val="none" w:sz="0" w:space="0" w:color="auto"/>
            <w:right w:val="none" w:sz="0" w:space="0" w:color="auto"/>
          </w:divBdr>
          <w:divsChild>
            <w:div w:id="441537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210249">
      <w:bodyDiv w:val="1"/>
      <w:marLeft w:val="0"/>
      <w:marRight w:val="0"/>
      <w:marTop w:val="0"/>
      <w:marBottom w:val="0"/>
      <w:divBdr>
        <w:top w:val="none" w:sz="0" w:space="0" w:color="auto"/>
        <w:left w:val="none" w:sz="0" w:space="0" w:color="auto"/>
        <w:bottom w:val="none" w:sz="0" w:space="0" w:color="auto"/>
        <w:right w:val="none" w:sz="0" w:space="0" w:color="auto"/>
      </w:divBdr>
      <w:divsChild>
        <w:div w:id="14768414">
          <w:marLeft w:val="0"/>
          <w:marRight w:val="0"/>
          <w:marTop w:val="0"/>
          <w:marBottom w:val="0"/>
          <w:divBdr>
            <w:top w:val="none" w:sz="0" w:space="0" w:color="auto"/>
            <w:left w:val="none" w:sz="0" w:space="0" w:color="auto"/>
            <w:bottom w:val="none" w:sz="0" w:space="0" w:color="auto"/>
            <w:right w:val="none" w:sz="0" w:space="0" w:color="auto"/>
          </w:divBdr>
          <w:divsChild>
            <w:div w:id="2094232904">
              <w:marLeft w:val="0"/>
              <w:marRight w:val="0"/>
              <w:marTop w:val="0"/>
              <w:marBottom w:val="0"/>
              <w:divBdr>
                <w:top w:val="none" w:sz="0" w:space="0" w:color="auto"/>
                <w:left w:val="none" w:sz="0" w:space="0" w:color="auto"/>
                <w:bottom w:val="none" w:sz="0" w:space="0" w:color="auto"/>
                <w:right w:val="none" w:sz="0" w:space="0" w:color="auto"/>
              </w:divBdr>
              <w:divsChild>
                <w:div w:id="1307011212">
                  <w:marLeft w:val="0"/>
                  <w:marRight w:val="0"/>
                  <w:marTop w:val="0"/>
                  <w:marBottom w:val="0"/>
                  <w:divBdr>
                    <w:top w:val="none" w:sz="0" w:space="0" w:color="auto"/>
                    <w:left w:val="none" w:sz="0" w:space="0" w:color="auto"/>
                    <w:bottom w:val="none" w:sz="0" w:space="0" w:color="auto"/>
                    <w:right w:val="none" w:sz="0" w:space="0" w:color="auto"/>
                  </w:divBdr>
                  <w:divsChild>
                    <w:div w:id="1798639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1055550">
      <w:bodyDiv w:val="1"/>
      <w:marLeft w:val="0"/>
      <w:marRight w:val="0"/>
      <w:marTop w:val="0"/>
      <w:marBottom w:val="0"/>
      <w:divBdr>
        <w:top w:val="none" w:sz="0" w:space="0" w:color="auto"/>
        <w:left w:val="none" w:sz="0" w:space="0" w:color="auto"/>
        <w:bottom w:val="none" w:sz="0" w:space="0" w:color="auto"/>
        <w:right w:val="none" w:sz="0" w:space="0" w:color="auto"/>
      </w:divBdr>
    </w:div>
    <w:div w:id="1905337573">
      <w:bodyDiv w:val="1"/>
      <w:marLeft w:val="0"/>
      <w:marRight w:val="0"/>
      <w:marTop w:val="0"/>
      <w:marBottom w:val="0"/>
      <w:divBdr>
        <w:top w:val="none" w:sz="0" w:space="0" w:color="auto"/>
        <w:left w:val="none" w:sz="0" w:space="0" w:color="auto"/>
        <w:bottom w:val="none" w:sz="0" w:space="0" w:color="auto"/>
        <w:right w:val="none" w:sz="0" w:space="0" w:color="auto"/>
      </w:divBdr>
    </w:div>
    <w:div w:id="1931426494">
      <w:bodyDiv w:val="1"/>
      <w:marLeft w:val="0"/>
      <w:marRight w:val="0"/>
      <w:marTop w:val="0"/>
      <w:marBottom w:val="0"/>
      <w:divBdr>
        <w:top w:val="none" w:sz="0" w:space="0" w:color="auto"/>
        <w:left w:val="none" w:sz="0" w:space="0" w:color="auto"/>
        <w:bottom w:val="none" w:sz="0" w:space="0" w:color="auto"/>
        <w:right w:val="none" w:sz="0" w:space="0" w:color="auto"/>
      </w:divBdr>
    </w:div>
    <w:div w:id="1992249491">
      <w:bodyDiv w:val="1"/>
      <w:marLeft w:val="0"/>
      <w:marRight w:val="0"/>
      <w:marTop w:val="0"/>
      <w:marBottom w:val="0"/>
      <w:divBdr>
        <w:top w:val="none" w:sz="0" w:space="0" w:color="auto"/>
        <w:left w:val="none" w:sz="0" w:space="0" w:color="auto"/>
        <w:bottom w:val="none" w:sz="0" w:space="0" w:color="auto"/>
        <w:right w:val="none" w:sz="0" w:space="0" w:color="auto"/>
      </w:divBdr>
    </w:div>
    <w:div w:id="2017344976">
      <w:bodyDiv w:val="1"/>
      <w:marLeft w:val="0"/>
      <w:marRight w:val="0"/>
      <w:marTop w:val="0"/>
      <w:marBottom w:val="0"/>
      <w:divBdr>
        <w:top w:val="none" w:sz="0" w:space="0" w:color="auto"/>
        <w:left w:val="none" w:sz="0" w:space="0" w:color="auto"/>
        <w:bottom w:val="none" w:sz="0" w:space="0" w:color="auto"/>
        <w:right w:val="none" w:sz="0" w:space="0" w:color="auto"/>
      </w:divBdr>
    </w:div>
    <w:div w:id="2041469954">
      <w:bodyDiv w:val="1"/>
      <w:marLeft w:val="0"/>
      <w:marRight w:val="0"/>
      <w:marTop w:val="0"/>
      <w:marBottom w:val="0"/>
      <w:divBdr>
        <w:top w:val="none" w:sz="0" w:space="0" w:color="auto"/>
        <w:left w:val="none" w:sz="0" w:space="0" w:color="auto"/>
        <w:bottom w:val="none" w:sz="0" w:space="0" w:color="auto"/>
        <w:right w:val="none" w:sz="0" w:space="0" w:color="auto"/>
      </w:divBdr>
      <w:divsChild>
        <w:div w:id="1905096932">
          <w:marLeft w:val="0"/>
          <w:marRight w:val="0"/>
          <w:marTop w:val="0"/>
          <w:marBottom w:val="0"/>
          <w:divBdr>
            <w:top w:val="none" w:sz="0" w:space="0" w:color="auto"/>
            <w:left w:val="none" w:sz="0" w:space="0" w:color="auto"/>
            <w:bottom w:val="none" w:sz="0" w:space="0" w:color="auto"/>
            <w:right w:val="none" w:sz="0" w:space="0" w:color="auto"/>
          </w:divBdr>
        </w:div>
      </w:divsChild>
    </w:div>
    <w:div w:id="2054959282">
      <w:bodyDiv w:val="1"/>
      <w:marLeft w:val="0"/>
      <w:marRight w:val="0"/>
      <w:marTop w:val="0"/>
      <w:marBottom w:val="0"/>
      <w:divBdr>
        <w:top w:val="none" w:sz="0" w:space="0" w:color="auto"/>
        <w:left w:val="none" w:sz="0" w:space="0" w:color="auto"/>
        <w:bottom w:val="none" w:sz="0" w:space="0" w:color="auto"/>
        <w:right w:val="none" w:sz="0" w:space="0" w:color="auto"/>
      </w:divBdr>
      <w:divsChild>
        <w:div w:id="1547524950">
          <w:marLeft w:val="0"/>
          <w:marRight w:val="0"/>
          <w:marTop w:val="100"/>
          <w:marBottom w:val="100"/>
          <w:divBdr>
            <w:top w:val="none" w:sz="0" w:space="0" w:color="auto"/>
            <w:left w:val="none" w:sz="0" w:space="0" w:color="auto"/>
            <w:bottom w:val="none" w:sz="0" w:space="0" w:color="auto"/>
            <w:right w:val="none" w:sz="0" w:space="0" w:color="auto"/>
          </w:divBdr>
          <w:divsChild>
            <w:div w:id="1043599780">
              <w:marLeft w:val="0"/>
              <w:marRight w:val="0"/>
              <w:marTop w:val="0"/>
              <w:marBottom w:val="0"/>
              <w:divBdr>
                <w:top w:val="none" w:sz="0" w:space="0" w:color="auto"/>
                <w:left w:val="none" w:sz="0" w:space="0" w:color="auto"/>
                <w:bottom w:val="none" w:sz="0" w:space="0" w:color="auto"/>
                <w:right w:val="none" w:sz="0" w:space="0" w:color="auto"/>
              </w:divBdr>
              <w:divsChild>
                <w:div w:id="1538423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6925186">
      <w:bodyDiv w:val="1"/>
      <w:marLeft w:val="0"/>
      <w:marRight w:val="0"/>
      <w:marTop w:val="0"/>
      <w:marBottom w:val="0"/>
      <w:divBdr>
        <w:top w:val="none" w:sz="0" w:space="0" w:color="auto"/>
        <w:left w:val="none" w:sz="0" w:space="0" w:color="auto"/>
        <w:bottom w:val="none" w:sz="0" w:space="0" w:color="auto"/>
        <w:right w:val="none" w:sz="0" w:space="0" w:color="auto"/>
      </w:divBdr>
    </w:div>
    <w:div w:id="2061319584">
      <w:bodyDiv w:val="1"/>
      <w:marLeft w:val="0"/>
      <w:marRight w:val="0"/>
      <w:marTop w:val="0"/>
      <w:marBottom w:val="0"/>
      <w:divBdr>
        <w:top w:val="none" w:sz="0" w:space="0" w:color="auto"/>
        <w:left w:val="none" w:sz="0" w:space="0" w:color="auto"/>
        <w:bottom w:val="none" w:sz="0" w:space="0" w:color="auto"/>
        <w:right w:val="none" w:sz="0" w:space="0" w:color="auto"/>
      </w:divBdr>
    </w:div>
    <w:div w:id="2082631193">
      <w:bodyDiv w:val="1"/>
      <w:marLeft w:val="0"/>
      <w:marRight w:val="0"/>
      <w:marTop w:val="0"/>
      <w:marBottom w:val="0"/>
      <w:divBdr>
        <w:top w:val="none" w:sz="0" w:space="0" w:color="auto"/>
        <w:left w:val="none" w:sz="0" w:space="0" w:color="auto"/>
        <w:bottom w:val="none" w:sz="0" w:space="0" w:color="auto"/>
        <w:right w:val="none" w:sz="0" w:space="0" w:color="auto"/>
      </w:divBdr>
    </w:div>
    <w:div w:id="2120103765">
      <w:bodyDiv w:val="1"/>
      <w:marLeft w:val="0"/>
      <w:marRight w:val="0"/>
      <w:marTop w:val="0"/>
      <w:marBottom w:val="0"/>
      <w:divBdr>
        <w:top w:val="none" w:sz="0" w:space="0" w:color="auto"/>
        <w:left w:val="none" w:sz="0" w:space="0" w:color="auto"/>
        <w:bottom w:val="none" w:sz="0" w:space="0" w:color="auto"/>
        <w:right w:val="none" w:sz="0" w:space="0" w:color="auto"/>
      </w:divBdr>
      <w:divsChild>
        <w:div w:id="8306070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hyperlink" Target="https://www.ncc.gov.sa/" TargetMode="External"/><Relationship Id="rId2" Type="http://schemas.openxmlformats.org/officeDocument/2006/relationships/numbering" Target="numbering.xml"/><Relationship Id="rId16" Type="http://schemas.openxmlformats.org/officeDocument/2006/relationships/hyperlink" Target="https://wto.or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www.wto.org" TargetMode="External"/><Relationship Id="rId10" Type="http://schemas.openxmlformats.org/officeDocument/2006/relationships/image" Target="media/image3.sv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nca.gov.s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6760EE-BDA7-4C11-A9E1-2D648B7C88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16586</TotalTime>
  <Pages>1</Pages>
  <Words>42085</Words>
  <Characters>239887</Characters>
  <Application>Microsoft Office Word</Application>
  <DocSecurity>0</DocSecurity>
  <Lines>1999</Lines>
  <Paragraphs>562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2035</cp:revision>
  <cp:lastPrinted>2025-07-14T21:51:00Z</cp:lastPrinted>
  <dcterms:created xsi:type="dcterms:W3CDTF">2023-11-24T11:59:00Z</dcterms:created>
  <dcterms:modified xsi:type="dcterms:W3CDTF">2026-03-06T06:54:00Z</dcterms:modified>
</cp:coreProperties>
</file>