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257"/>
        <w:ind w:firstLine="284"/>
        <w:jc w:val="both"/>
        <w:rPr>
          <w:rFonts w:ascii="Simplified Arabic" w:cs="Simplified Arabic" w:eastAsia="Calibri" w:hAnsi="Simplified Arabic"/>
          <w:b/>
          <w:bCs/>
          <w:noProof/>
          <w:sz w:val="32"/>
          <w:szCs w:val="32"/>
          <w:rtl/>
          <w:lang w:bidi="ar-SY"/>
        </w:rPr>
      </w:pPr>
      <w:bookmarkStart w:id="0" w:name="_Hlk191583774"/>
      <w:bookmarkStart w:id="1" w:name="_Hlk192369518"/>
      <w:r>
        <w:rPr>
          <w:rFonts w:ascii="Simplified Arabic" w:cs="Simplified Arabic" w:eastAsia="Calibri" w:hAnsi="Simplified Arabic"/>
          <w:b/>
          <w:bCs/>
          <w:noProof/>
          <w:color w:val="8496b0"/>
          <w:sz w:val="32"/>
          <w:szCs w:val="32"/>
          <w:rtl/>
        </w:rPr>
        <w:drawing>
          <wp:anchor distT="0" distB="0" distL="114300" distR="114300" simplePos="false" relativeHeight="2" behindDoc="true" locked="false" layoutInCell="true" allowOverlap="true">
            <wp:simplePos x="0" y="0"/>
            <wp:positionH relativeFrom="column">
              <wp:posOffset>112395</wp:posOffset>
            </wp:positionH>
            <wp:positionV relativeFrom="paragraph">
              <wp:posOffset>0</wp:posOffset>
            </wp:positionV>
            <wp:extent cx="1732915" cy="769620"/>
            <wp:effectExtent l="0" t="0" r="635" b="0"/>
            <wp:wrapTight wrapText="bothSides">
              <wp:wrapPolygon edited="false">
                <wp:start x="0" y="0"/>
                <wp:lineTo x="0" y="20851"/>
                <wp:lineTo x="21370" y="20851"/>
                <wp:lineTo x="21370" y="0"/>
                <wp:lineTo x="0" y="0"/>
              </wp:wrapPolygon>
            </wp:wrapTight>
            <wp:docPr id="1026" name="Picture 1" descr="C:\Users\HP\Downloads\logo midocean-0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10245" t="32323" r="9812" b="32179"/>
                    <a:stretch/>
                  </pic:blipFill>
                  <pic:spPr>
                    <a:xfrm rot="0">
                      <a:off x="0" y="0"/>
                      <a:ext cx="1732915" cy="769620"/>
                    </a:xfrm>
                    <a:prstGeom prst="rect"/>
                    <a:ln>
                      <a:noFill/>
                    </a:ln>
                  </pic:spPr>
                </pic:pic>
              </a:graphicData>
            </a:graphic>
            <wp14:sizeRelH relativeFrom="page">
              <wp14:pctWidth>0</wp14:pctWidth>
            </wp14:sizeRelH>
            <wp14:sizeRelV relativeFrom="page">
              <wp14:pctHeight>0</wp14:pctHeight>
            </wp14:sizeRelV>
          </wp:anchor>
        </w:drawing>
      </w:r>
      <w:r>
        <w:rPr>
          <w:rFonts w:ascii="Simplified Arabic" w:cs="Simplified Arabic" w:eastAsia="Calibri" w:hAnsi="Simplified Arabic" w:hint="cs"/>
          <w:b/>
          <w:bCs/>
          <w:noProof/>
          <w:sz w:val="32"/>
          <w:szCs w:val="32"/>
          <w:rtl/>
        </w:rPr>
        <w:t xml:space="preserve"> </w:t>
      </w:r>
      <w:r>
        <w:rPr>
          <w:rFonts w:ascii="Simplified Arabic" w:cs="Simplified Arabic" w:eastAsia="Calibri" w:hAnsi="Simplified Arabic" w:hint="cs"/>
          <w:b/>
          <w:bCs/>
          <w:noProof/>
          <w:sz w:val="32"/>
          <w:szCs w:val="32"/>
          <w:rtl/>
          <w:lang w:bidi="ar-SY"/>
        </w:rPr>
        <w:t xml:space="preserve">   </w:t>
      </w:r>
      <w:r>
        <w:rPr>
          <w:rFonts w:ascii="Simplified Arabic" w:cs="Simplified Arabic" w:eastAsia="Calibri" w:hAnsi="Simplified Arabic"/>
          <w:b/>
          <w:bCs/>
          <w:noProof/>
          <w:sz w:val="32"/>
          <w:szCs w:val="32"/>
          <w:rtl/>
          <w:lang w:bidi="ar-SY"/>
        </w:rPr>
        <w:t>جامعة</w:t>
      </w:r>
      <w:r>
        <w:rPr>
          <w:rFonts w:ascii="Simplified Arabic" w:cs="Simplified Arabic" w:eastAsia="Calibri" w:hAnsi="Simplified Arabic"/>
          <w:b/>
          <w:bCs/>
          <w:noProof/>
          <w:sz w:val="32"/>
          <w:szCs w:val="32"/>
          <w:rtl/>
          <w:lang w:bidi="ar-SY"/>
        </w:rPr>
        <w:t xml:space="preserve"> </w:t>
      </w:r>
      <w:r>
        <w:rPr>
          <w:rFonts w:ascii="Simplified Arabic" w:cs="Simplified Arabic" w:eastAsia="Calibri" w:hAnsi="Simplified Arabic"/>
          <w:b/>
          <w:bCs/>
          <w:noProof/>
          <w:sz w:val="32"/>
          <w:szCs w:val="32"/>
          <w:rtl/>
          <w:lang w:bidi="ar-SY"/>
        </w:rPr>
        <w:t>ميدأوشن</w:t>
      </w:r>
      <w:r>
        <w:rPr>
          <w:rFonts w:ascii="Simplified Arabic" w:cs="Simplified Arabic" w:eastAsia="Calibri" w:hAnsi="Simplified Arabic"/>
          <w:b/>
          <w:bCs/>
          <w:noProof/>
          <w:sz w:val="32"/>
          <w:szCs w:val="32"/>
          <w:rtl/>
          <w:lang w:bidi="ar-SY"/>
        </w:rPr>
        <w:t xml:space="preserve">                                 </w:t>
      </w:r>
    </w:p>
    <w:p>
      <w:pPr>
        <w:pStyle w:val="style0"/>
        <w:spacing w:after="0" w:lineRule="auto" w:line="257"/>
        <w:ind w:firstLine="284"/>
        <w:jc w:val="both"/>
        <w:rPr>
          <w:rFonts w:ascii="Simplified Arabic" w:cs="Simplified Arabic" w:eastAsia="Calibri" w:hAnsi="Simplified Arabic"/>
          <w:b/>
          <w:bCs/>
          <w:noProof/>
          <w:sz w:val="32"/>
          <w:szCs w:val="32"/>
          <w:rtl/>
          <w:lang w:bidi="ar-SY"/>
        </w:rPr>
      </w:pPr>
      <w:r>
        <w:rPr>
          <w:rFonts w:ascii="Simplified Arabic" w:cs="Simplified Arabic" w:eastAsia="Calibri" w:hAnsi="Simplified Arabic" w:hint="cs"/>
          <w:b/>
          <w:bCs/>
          <w:color w:val="000000"/>
          <w:sz w:val="32"/>
          <w:szCs w:val="32"/>
          <w:rtl/>
        </w:rPr>
        <w:t xml:space="preserve">       </w:t>
      </w:r>
      <w:r>
        <w:rPr>
          <w:rFonts w:ascii="Simplified Arabic" w:cs="Simplified Arabic" w:eastAsia="Calibri" w:hAnsi="Simplified Arabic"/>
          <w:b/>
          <w:bCs/>
          <w:color w:val="000000"/>
          <w:sz w:val="32"/>
          <w:szCs w:val="32"/>
          <w:rtl/>
        </w:rPr>
        <w:t>كلية</w:t>
      </w:r>
      <w:r>
        <w:rPr>
          <w:rFonts w:ascii="Simplified Arabic" w:cs="Simplified Arabic" w:eastAsia="Calibri" w:hAnsi="Simplified Arabic"/>
          <w:b/>
          <w:bCs/>
          <w:noProof/>
          <w:sz w:val="32"/>
          <w:szCs w:val="32"/>
          <w:rtl/>
          <w:lang w:bidi="ar-SY"/>
        </w:rPr>
        <w:t xml:space="preserve"> </w:t>
      </w:r>
      <w:r>
        <w:rPr>
          <w:rFonts w:ascii="Simplified Arabic" w:cs="Simplified Arabic" w:eastAsia="Calibri" w:hAnsi="Simplified Arabic" w:hint="cs"/>
          <w:b/>
          <w:bCs/>
          <w:noProof/>
          <w:sz w:val="32"/>
          <w:szCs w:val="32"/>
          <w:rtl/>
          <w:lang w:bidi="ar-SY"/>
        </w:rPr>
        <w:t>الإدارة</w:t>
      </w:r>
    </w:p>
    <w:p>
      <w:pPr>
        <w:pStyle w:val="style0"/>
        <w:spacing w:after="0" w:lineRule="auto" w:line="257"/>
        <w:ind w:firstLine="284"/>
        <w:jc w:val="both"/>
        <w:rPr>
          <w:rFonts w:ascii="Simplified Arabic" w:cs="Simplified Arabic" w:eastAsia="Calibri" w:hAnsi="Simplified Arabic"/>
          <w:b/>
          <w:bCs/>
          <w:noProof/>
          <w:sz w:val="32"/>
          <w:szCs w:val="32"/>
          <w:rtl/>
        </w:rPr>
      </w:pPr>
      <w:r>
        <w:rPr>
          <w:rFonts w:ascii="Simplified Arabic" w:cs="Simplified Arabic" w:eastAsia="Calibri" w:hAnsi="Simplified Arabic" w:hint="cs"/>
          <w:b/>
          <w:bCs/>
          <w:noProof/>
          <w:sz w:val="32"/>
          <w:szCs w:val="32"/>
          <w:rtl/>
          <w:lang w:bidi="ar-SY"/>
        </w:rPr>
        <w:t>ماجستير</w:t>
      </w:r>
      <w:r>
        <w:rPr>
          <w:rFonts w:ascii="Simplified Arabic" w:cs="Simplified Arabic" w:eastAsia="Calibri" w:hAnsi="Simplified Arabic" w:hint="cs"/>
          <w:b/>
          <w:bCs/>
          <w:noProof/>
          <w:sz w:val="32"/>
          <w:szCs w:val="32"/>
          <w:rtl/>
          <w:lang w:bidi="ar-SY"/>
        </w:rPr>
        <w:t xml:space="preserve"> </w:t>
      </w:r>
      <w:r>
        <w:rPr>
          <w:rFonts w:ascii="Simplified Arabic" w:cs="Simplified Arabic" w:eastAsia="Calibri" w:hAnsi="Simplified Arabic" w:hint="cs"/>
          <w:b/>
          <w:bCs/>
          <w:noProof/>
          <w:sz w:val="32"/>
          <w:szCs w:val="32"/>
          <w:rtl/>
          <w:lang w:bidi="ar-SY"/>
        </w:rPr>
        <w:t>تخصص</w:t>
      </w:r>
      <w:r>
        <w:rPr>
          <w:rFonts w:ascii="Simplified Arabic" w:cs="Simplified Arabic" w:eastAsia="Calibri" w:hAnsi="Simplified Arabic" w:hint="cs"/>
          <w:b/>
          <w:bCs/>
          <w:noProof/>
          <w:sz w:val="32"/>
          <w:szCs w:val="32"/>
          <w:rtl/>
          <w:lang w:bidi="ar-SY"/>
        </w:rPr>
        <w:t xml:space="preserve"> </w:t>
      </w:r>
      <w:r>
        <w:rPr>
          <w:rFonts w:ascii="Simplified Arabic" w:cs="Simplified Arabic" w:eastAsia="Calibri" w:hAnsi="Simplified Arabic" w:hint="cs"/>
          <w:b/>
          <w:bCs/>
          <w:noProof/>
          <w:sz w:val="32"/>
          <w:szCs w:val="32"/>
          <w:rtl/>
          <w:lang w:bidi="ar-SY"/>
        </w:rPr>
        <w:t>إدارة</w:t>
      </w:r>
      <w:r>
        <w:rPr>
          <w:rFonts w:ascii="Simplified Arabic" w:cs="Simplified Arabic" w:eastAsia="Calibri" w:hAnsi="Simplified Arabic" w:hint="cs"/>
          <w:b/>
          <w:bCs/>
          <w:noProof/>
          <w:sz w:val="32"/>
          <w:szCs w:val="32"/>
          <w:rtl/>
          <w:lang w:bidi="ar-SY"/>
        </w:rPr>
        <w:t xml:space="preserve"> </w:t>
      </w:r>
      <w:r>
        <w:rPr>
          <w:rFonts w:ascii="Simplified Arabic" w:cs="Simplified Arabic" w:eastAsia="Calibri" w:hAnsi="Simplified Arabic" w:hint="cs"/>
          <w:b/>
          <w:bCs/>
          <w:noProof/>
          <w:sz w:val="32"/>
          <w:szCs w:val="32"/>
          <w:rtl/>
          <w:lang w:bidi="ar-SY"/>
        </w:rPr>
        <w:t>المخاطر</w:t>
      </w:r>
    </w:p>
    <w:p>
      <w:pPr>
        <w:pStyle w:val="style0"/>
        <w:spacing w:after="0" w:lineRule="auto" w:line="257"/>
        <w:ind w:firstLine="284"/>
        <w:jc w:val="both"/>
        <w:rPr>
          <w:rFonts w:ascii="Simplified Arabic" w:cs="Simplified Arabic" w:eastAsia="Calibri" w:hAnsi="Simplified Arabic"/>
          <w:b/>
          <w:bCs/>
          <w:noProof/>
          <w:sz w:val="32"/>
          <w:szCs w:val="32"/>
          <w:rtl/>
          <w:lang w:bidi="ar-SY"/>
        </w:rPr>
      </w:pPr>
    </w:p>
    <w:p>
      <w:pPr>
        <w:pStyle w:val="style0"/>
        <w:spacing w:lineRule="auto" w:line="257"/>
        <w:ind w:firstLine="284"/>
        <w:jc w:val="both"/>
        <w:rPr>
          <w:rFonts w:ascii="Simplified Arabic" w:cs="Simplified Arabic" w:eastAsia="Calibri" w:hAnsi="Simplified Arabic"/>
          <w:b/>
          <w:bCs/>
          <w:noProof/>
          <w:sz w:val="40"/>
          <w:szCs w:val="40"/>
          <w:rtl/>
          <w:lang w:bidi="ar-SY"/>
        </w:rPr>
      </w:pPr>
    </w:p>
    <w:p>
      <w:pPr>
        <w:pStyle w:val="style0"/>
        <w:spacing w:lineRule="auto" w:line="257"/>
        <w:jc w:val="both"/>
        <w:rPr>
          <w:rFonts w:ascii="Simplified Arabic" w:cs="Simplified Arabic" w:eastAsia="Calibri" w:hAnsi="Simplified Arabic"/>
          <w:sz w:val="14"/>
          <w:szCs w:val="14"/>
          <w:rtl/>
          <w:lang w:bidi="ar-SY"/>
        </w:rPr>
      </w:pPr>
    </w:p>
    <w:p>
      <w:pPr>
        <w:pStyle w:val="style0"/>
        <w:spacing w:lineRule="auto" w:line="257"/>
        <w:jc w:val="both"/>
        <w:rPr>
          <w:rFonts w:ascii="Simplified Arabic" w:cs="Simplified Arabic" w:eastAsia="Calibri" w:hAnsi="Simplified Arabic"/>
          <w:sz w:val="14"/>
          <w:szCs w:val="14"/>
          <w:rtl/>
          <w:lang w:bidi="ar-SY"/>
        </w:rPr>
      </w:pPr>
    </w:p>
    <w:bookmarkEnd w:id="0"/>
    <w:p>
      <w:pPr>
        <w:pStyle w:val="style0"/>
        <w:spacing w:lineRule="auto" w:line="257"/>
        <w:ind w:firstLine="284"/>
        <w:jc w:val="center"/>
        <w:rPr>
          <w:rFonts w:ascii="Simplified Arabic" w:cs="Simplified Arabic" w:eastAsia="Calibri" w:hAnsi="Simplified Arabic"/>
          <w:b/>
          <w:bCs/>
          <w:sz w:val="14"/>
          <w:szCs w:val="14"/>
          <w:rtl/>
        </w:rPr>
      </w:pPr>
      <w:r>
        <w:rPr>
          <w:rFonts w:ascii="Times New Roman" w:cs="Simplified Arabic" w:eastAsia="Calibri" w:hAnsi="Times New Roman"/>
          <w:b/>
          <w:bCs/>
          <w:sz w:val="36"/>
          <w:szCs w:val="40"/>
          <w:rtl/>
        </w:rPr>
        <w:t>دور استراتيجيات إدارة الأزمات في تعزيز المرونة التنظيمية: دراسة ميدانية على الشركات الصناعية في مدينة الرياض</w:t>
      </w:r>
    </w:p>
    <w:p>
      <w:pPr>
        <w:pStyle w:val="style0"/>
        <w:spacing w:lineRule="auto" w:line="257"/>
        <w:ind w:firstLine="284"/>
        <w:jc w:val="center"/>
        <w:rPr>
          <w:rFonts w:ascii="Simplified Arabic" w:cs="Simplified Arabic" w:eastAsia="Calibri" w:hAnsi="Simplified Arabic"/>
          <w:b/>
          <w:bCs/>
          <w:sz w:val="14"/>
          <w:szCs w:val="14"/>
          <w:rtl/>
        </w:rPr>
      </w:pPr>
    </w:p>
    <w:p>
      <w:pPr>
        <w:pStyle w:val="style0"/>
        <w:spacing w:lineRule="auto" w:line="257"/>
        <w:ind w:firstLine="284"/>
        <w:jc w:val="center"/>
        <w:rPr>
          <w:rFonts w:ascii="Simplified Arabic" w:cs="Simplified Arabic" w:eastAsia="Calibri" w:hAnsi="Simplified Arabic"/>
          <w:b/>
          <w:bCs/>
          <w:sz w:val="32"/>
          <w:szCs w:val="32"/>
          <w:rtl/>
          <w:lang w:bidi="ar-SY"/>
        </w:rPr>
      </w:pPr>
      <w:r>
        <w:rPr>
          <w:rFonts w:ascii="Simplified Arabic" w:cs="Simplified Arabic" w:eastAsia="Calibri" w:hAnsi="Simplified Arabic" w:hint="cs"/>
          <w:b/>
          <w:bCs/>
          <w:sz w:val="32"/>
          <w:szCs w:val="32"/>
          <w:rtl/>
          <w:lang w:bidi="ar-SY"/>
        </w:rPr>
        <w:t>إعداد</w:t>
      </w:r>
      <w:r>
        <w:rPr>
          <w:rFonts w:ascii="Simplified Arabic" w:cs="Simplified Arabic" w:eastAsia="Calibri" w:hAnsi="Simplified Arabic" w:hint="cs"/>
          <w:b/>
          <w:bCs/>
          <w:sz w:val="32"/>
          <w:szCs w:val="32"/>
          <w:rtl/>
          <w:lang w:bidi="ar-SY"/>
        </w:rPr>
        <w:t>:</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b/>
          <w:bCs/>
          <w:sz w:val="32"/>
          <w:szCs w:val="32"/>
          <w:rtl/>
          <w:lang w:bidi="ar-EG"/>
        </w:rPr>
        <w:t>محمد خالد المالكي</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hint="cs"/>
          <w:b/>
          <w:bCs/>
          <w:sz w:val="32"/>
          <w:szCs w:val="32"/>
          <w:rtl/>
          <w:lang w:bidi="ar-EG"/>
        </w:rPr>
        <w:t>الرقم</w:t>
      </w:r>
      <w:r>
        <w:rPr>
          <w:rFonts w:ascii="Simplified Arabic" w:cs="Simplified Arabic" w:eastAsia="Calibri" w:hAnsi="Simplified Arabic" w:hint="cs"/>
          <w:b/>
          <w:bCs/>
          <w:sz w:val="32"/>
          <w:szCs w:val="32"/>
          <w:rtl/>
          <w:lang w:bidi="ar-EG"/>
        </w:rPr>
        <w:t xml:space="preserve"> </w:t>
      </w:r>
      <w:r>
        <w:rPr>
          <w:rFonts w:ascii="Simplified Arabic" w:cs="Simplified Arabic" w:eastAsia="Calibri" w:hAnsi="Simplified Arabic" w:hint="cs"/>
          <w:b/>
          <w:bCs/>
          <w:sz w:val="32"/>
          <w:szCs w:val="32"/>
          <w:rtl/>
          <w:lang w:bidi="ar-EG"/>
        </w:rPr>
        <w:t>الأكاديمي</w:t>
      </w:r>
      <w:r>
        <w:rPr>
          <w:rFonts w:ascii="Simplified Arabic" w:cs="Simplified Arabic" w:eastAsia="Calibri" w:hAnsi="Simplified Arabic" w:hint="cs"/>
          <w:b/>
          <w:bCs/>
          <w:sz w:val="32"/>
          <w:szCs w:val="32"/>
          <w:rtl/>
          <w:lang w:bidi="ar-EG"/>
        </w:rPr>
        <w:t xml:space="preserve">: </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b/>
          <w:bCs/>
          <w:sz w:val="32"/>
          <w:szCs w:val="32"/>
          <w:rtl/>
          <w:lang w:bidi="ar-EG"/>
        </w:rPr>
        <w:t>252001824</w:t>
      </w:r>
    </w:p>
    <w:p>
      <w:pPr>
        <w:pStyle w:val="style0"/>
        <w:spacing w:lineRule="auto" w:line="257"/>
        <w:ind w:firstLine="284"/>
        <w:jc w:val="center"/>
        <w:rPr>
          <w:rFonts w:ascii="Simplified Arabic" w:cs="Simplified Arabic" w:eastAsia="Calibri" w:hAnsi="Simplified Arabic"/>
          <w:b/>
          <w:bCs/>
          <w:sz w:val="32"/>
          <w:szCs w:val="32"/>
          <w:rtl/>
          <w:lang w:bidi="ar-SY"/>
        </w:rPr>
      </w:pPr>
      <w:r>
        <w:rPr>
          <w:rFonts w:ascii="Simplified Arabic" w:cs="Simplified Arabic" w:eastAsia="Calibri" w:hAnsi="Simplified Arabic" w:hint="cs"/>
          <w:b/>
          <w:bCs/>
          <w:sz w:val="32"/>
          <w:szCs w:val="32"/>
          <w:rtl/>
          <w:lang w:bidi="ar-SY"/>
        </w:rPr>
        <w:t>ال</w:t>
      </w:r>
      <w:r>
        <w:rPr>
          <w:rFonts w:ascii="Simplified Arabic" w:cs="Simplified Arabic" w:eastAsia="Calibri" w:hAnsi="Simplified Arabic" w:hint="cs"/>
          <w:b/>
          <w:bCs/>
          <w:sz w:val="32"/>
          <w:szCs w:val="32"/>
          <w:rtl/>
          <w:lang w:bidi="ar-SY"/>
        </w:rPr>
        <w:t>إشراف</w:t>
      </w:r>
      <w:r>
        <w:rPr>
          <w:rFonts w:ascii="Simplified Arabic" w:cs="Simplified Arabic" w:eastAsia="Calibri" w:hAnsi="Simplified Arabic" w:hint="cs"/>
          <w:b/>
          <w:bCs/>
          <w:sz w:val="32"/>
          <w:szCs w:val="32"/>
          <w:rtl/>
          <w:lang w:bidi="ar-SY"/>
        </w:rPr>
        <w:t>/</w:t>
      </w:r>
      <w:r>
        <w:rPr>
          <w:rFonts w:ascii="Simplified Arabic" w:cs="Simplified Arabic" w:eastAsia="Calibri" w:hAnsi="Simplified Arabic" w:hint="cs"/>
          <w:b/>
          <w:bCs/>
          <w:sz w:val="32"/>
          <w:szCs w:val="32"/>
          <w:rtl/>
          <w:lang w:bidi="ar-SY"/>
        </w:rPr>
        <w:t xml:space="preserve"> </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hint="cs"/>
          <w:b/>
          <w:bCs/>
          <w:sz w:val="32"/>
          <w:szCs w:val="32"/>
          <w:rtl/>
          <w:lang w:bidi="ar-EG"/>
        </w:rPr>
        <w:t>أ</w:t>
      </w:r>
      <w:r>
        <w:rPr>
          <w:rFonts w:ascii="Simplified Arabic" w:cs="Simplified Arabic" w:eastAsia="Calibri" w:hAnsi="Simplified Arabic" w:hint="cs"/>
          <w:b/>
          <w:bCs/>
          <w:sz w:val="32"/>
          <w:szCs w:val="32"/>
          <w:rtl/>
          <w:lang w:bidi="ar-EG"/>
        </w:rPr>
        <w:t>.</w:t>
      </w:r>
      <w:r>
        <w:rPr>
          <w:rFonts w:ascii="Simplified Arabic" w:cs="Simplified Arabic" w:eastAsia="Calibri" w:hAnsi="Simplified Arabic" w:hint="cs"/>
          <w:b/>
          <w:bCs/>
          <w:sz w:val="32"/>
          <w:szCs w:val="32"/>
          <w:rtl/>
          <w:lang w:bidi="ar-EG"/>
        </w:rPr>
        <w:t>د</w:t>
      </w:r>
      <w:r>
        <w:rPr>
          <w:rFonts w:ascii="Simplified Arabic" w:cs="Simplified Arabic" w:eastAsia="Calibri" w:hAnsi="Simplified Arabic" w:hint="cs"/>
          <w:b/>
          <w:bCs/>
          <w:sz w:val="32"/>
          <w:szCs w:val="32"/>
          <w:rtl/>
          <w:lang w:bidi="ar-EG"/>
        </w:rPr>
        <w:t xml:space="preserve">. </w:t>
      </w:r>
      <w:r>
        <w:rPr>
          <w:rFonts w:ascii="Simplified Arabic" w:cs="Simplified Arabic" w:eastAsia="Calibri" w:hAnsi="Simplified Arabic" w:hint="cs"/>
          <w:b/>
          <w:bCs/>
          <w:sz w:val="32"/>
          <w:szCs w:val="32"/>
          <w:rtl/>
          <w:lang w:bidi="ar-EG"/>
        </w:rPr>
        <w:t xml:space="preserve">الفيصل </w:t>
      </w:r>
      <w:r>
        <w:rPr>
          <w:rFonts w:ascii="Simplified Arabic" w:cs="Simplified Arabic" w:eastAsia="Calibri" w:hAnsi="Simplified Arabic" w:hint="cs"/>
          <w:b/>
          <w:bCs/>
          <w:sz w:val="32"/>
          <w:szCs w:val="32"/>
          <w:rtl/>
          <w:lang w:bidi="ar-EG"/>
        </w:rPr>
        <w:t>عبدالحميد</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hint="cs"/>
          <w:b/>
          <w:bCs/>
          <w:sz w:val="32"/>
          <w:szCs w:val="32"/>
          <w:rtl/>
          <w:lang w:bidi="ar-EG"/>
        </w:rPr>
        <w:t xml:space="preserve">أ.د. </w:t>
      </w:r>
      <w:r>
        <w:rPr>
          <w:rFonts w:ascii="Simplified Arabic" w:cs="Simplified Arabic" w:eastAsia="Calibri" w:hAnsi="Simplified Arabic" w:hint="cs"/>
          <w:b/>
          <w:bCs/>
          <w:sz w:val="29"/>
          <w:szCs w:val="29"/>
          <w:rtl/>
        </w:rPr>
        <w:t>فايز</w:t>
      </w:r>
      <w:r>
        <w:rPr>
          <w:rFonts w:ascii="Simplified Arabic" w:cs="Simplified Arabic" w:eastAsia="Calibri" w:hAnsi="Simplified Arabic" w:hint="cs"/>
          <w:b/>
          <w:bCs/>
          <w:sz w:val="29"/>
          <w:szCs w:val="29"/>
          <w:rtl/>
        </w:rPr>
        <w:t xml:space="preserve"> </w:t>
      </w:r>
      <w:r>
        <w:rPr>
          <w:rFonts w:ascii="Simplified Arabic" w:cs="Simplified Arabic" w:eastAsia="Calibri" w:hAnsi="Simplified Arabic" w:hint="cs"/>
          <w:b/>
          <w:bCs/>
          <w:sz w:val="29"/>
          <w:szCs w:val="29"/>
          <w:rtl/>
        </w:rPr>
        <w:t>علي</w:t>
      </w:r>
      <w:r>
        <w:rPr>
          <w:rFonts w:ascii="Simplified Arabic" w:cs="Simplified Arabic" w:eastAsia="Calibri" w:hAnsi="Simplified Arabic" w:hint="cs"/>
          <w:b/>
          <w:bCs/>
          <w:sz w:val="29"/>
          <w:szCs w:val="29"/>
          <w:rtl/>
        </w:rPr>
        <w:t xml:space="preserve"> </w:t>
      </w:r>
      <w:r>
        <w:rPr>
          <w:rFonts w:ascii="Simplified Arabic" w:cs="Simplified Arabic" w:eastAsia="Calibri" w:hAnsi="Simplified Arabic" w:hint="cs"/>
          <w:b/>
          <w:bCs/>
          <w:sz w:val="29"/>
          <w:szCs w:val="29"/>
          <w:rtl/>
        </w:rPr>
        <w:t>جراد</w:t>
      </w:r>
    </w:p>
    <w:p>
      <w:pPr>
        <w:pStyle w:val="style0"/>
        <w:spacing w:lineRule="auto" w:line="257"/>
        <w:ind w:firstLine="284"/>
        <w:jc w:val="center"/>
        <w:rPr>
          <w:rFonts w:ascii="Simplified Arabic" w:cs="Simplified Arabic" w:eastAsia="Calibri" w:hAnsi="Simplified Arabic"/>
          <w:sz w:val="32"/>
          <w:szCs w:val="32"/>
          <w:rtl/>
          <w:lang w:bidi="ar-SY"/>
        </w:rPr>
      </w:pPr>
    </w:p>
    <w:p>
      <w:pPr>
        <w:pStyle w:val="style0"/>
        <w:spacing w:lineRule="auto" w:line="257"/>
        <w:ind w:firstLine="284"/>
        <w:jc w:val="center"/>
        <w:rPr>
          <w:rFonts w:ascii="Simplified Arabic" w:cs="Simplified Arabic" w:eastAsia="Calibri" w:hAnsi="Simplified Arabic"/>
          <w:b/>
          <w:bCs/>
          <w:sz w:val="32"/>
          <w:szCs w:val="32"/>
          <w:rtl/>
          <w:lang w:bidi="ar-SY"/>
        </w:rPr>
      </w:pPr>
      <w:r>
        <w:rPr>
          <w:rFonts w:ascii="Simplified Arabic" w:cs="Simplified Arabic" w:eastAsia="Calibri" w:hAnsi="Simplified Arabic" w:hint="cs"/>
          <w:b/>
          <w:bCs/>
          <w:sz w:val="32"/>
          <w:szCs w:val="32"/>
          <w:rtl/>
          <w:lang w:bidi="ar-SY"/>
        </w:rPr>
        <w:t>العام</w:t>
      </w:r>
      <w:r>
        <w:rPr>
          <w:rFonts w:ascii="Simplified Arabic" w:cs="Simplified Arabic" w:eastAsia="Calibri" w:hAnsi="Simplified Arabic" w:hint="cs"/>
          <w:b/>
          <w:bCs/>
          <w:sz w:val="32"/>
          <w:szCs w:val="32"/>
          <w:rtl/>
          <w:lang w:bidi="ar-SY"/>
        </w:rPr>
        <w:t xml:space="preserve"> </w:t>
      </w:r>
      <w:r>
        <w:rPr>
          <w:rFonts w:ascii="Simplified Arabic" w:cs="Simplified Arabic" w:eastAsia="Calibri" w:hAnsi="Simplified Arabic" w:hint="cs"/>
          <w:b/>
          <w:bCs/>
          <w:sz w:val="32"/>
          <w:szCs w:val="32"/>
          <w:rtl/>
          <w:lang w:bidi="ar-SY"/>
        </w:rPr>
        <w:t>الجامعي</w:t>
      </w:r>
    </w:p>
    <w:p>
      <w:pPr>
        <w:pStyle w:val="style0"/>
        <w:spacing w:lineRule="auto" w:line="257"/>
        <w:ind w:firstLine="284"/>
        <w:jc w:val="center"/>
        <w:rPr>
          <w:rFonts w:ascii="Simplified Arabic" w:cs="Simplified Arabic" w:eastAsia="Calibri" w:hAnsi="Simplified Arabic"/>
          <w:b/>
          <w:bCs/>
          <w:sz w:val="28"/>
          <w:szCs w:val="28"/>
          <w:rtl/>
          <w:lang w:bidi="ar-SY"/>
        </w:rPr>
      </w:pPr>
      <w:r>
        <w:rPr>
          <w:rFonts w:ascii="Simplified Arabic" w:cs="Simplified Arabic" w:eastAsia="Calibri" w:hAnsi="Simplified Arabic" w:hint="cs"/>
          <w:b/>
          <w:bCs/>
          <w:sz w:val="28"/>
          <w:szCs w:val="28"/>
          <w:rtl/>
          <w:lang w:bidi="ar-SY"/>
        </w:rPr>
        <w:t>202</w:t>
      </w:r>
      <w:r>
        <w:rPr>
          <w:rFonts w:ascii="Simplified Arabic" w:cs="Simplified Arabic" w:eastAsia="Calibri" w:hAnsi="Simplified Arabic" w:hint="cs"/>
          <w:b/>
          <w:bCs/>
          <w:sz w:val="28"/>
          <w:szCs w:val="28"/>
          <w:rtl/>
          <w:lang w:bidi="ar-SY"/>
        </w:rPr>
        <w:t>6</w:t>
      </w:r>
      <w:r>
        <w:rPr>
          <w:rFonts w:ascii="Simplified Arabic" w:cs="Simplified Arabic" w:eastAsia="Calibri" w:hAnsi="Simplified Arabic" w:hint="cs"/>
          <w:b/>
          <w:bCs/>
          <w:sz w:val="28"/>
          <w:szCs w:val="28"/>
          <w:rtl/>
          <w:lang w:bidi="ar-SY"/>
        </w:rPr>
        <w:t>م</w:t>
      </w:r>
    </w:p>
    <w:bookmarkEnd w:id="1"/>
    <w:p>
      <w:pPr>
        <w:pStyle w:val="style0"/>
        <w:spacing w:lineRule="auto" w:line="257"/>
        <w:ind w:firstLine="284"/>
        <w:jc w:val="both"/>
        <w:rPr>
          <w:rFonts w:ascii="Simplified Arabic" w:cs="Simplified Arabic" w:eastAsia="Calibri" w:hAnsi="Simplified Arabic"/>
          <w:sz w:val="28"/>
          <w:szCs w:val="28"/>
        </w:rPr>
      </w:pPr>
      <w:r>
        <w:rPr>
          <w:rFonts w:ascii="Times New Roman" w:cs="Simplified Arabic" w:eastAsia="Calibri" w:hAnsi="Times New Roman"/>
          <w:b/>
          <w:bCs/>
          <w:noProof/>
          <w:sz w:val="24"/>
          <w:szCs w:val="28"/>
          <w:rtl/>
          <w:lang w:val="ar-SA"/>
        </w:rPr>
        <mc:AlternateContent>
          <mc:Choice Requires="wps">
            <w:drawing>
              <wp:anchor distT="0" distB="0" distL="0" distR="0" simplePos="false" relativeHeight="3" behindDoc="false" locked="false" layoutInCell="true" allowOverlap="true">
                <wp:simplePos x="0" y="0"/>
                <wp:positionH relativeFrom="column">
                  <wp:posOffset>2169111</wp:posOffset>
                </wp:positionH>
                <wp:positionV relativeFrom="paragraph">
                  <wp:posOffset>378460</wp:posOffset>
                </wp:positionV>
                <wp:extent cx="818515" cy="540081"/>
                <wp:effectExtent l="0" t="0" r="635" b="0"/>
                <wp:wrapNone/>
                <wp:docPr id="1027" name="مستطيل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818515" cy="540081"/>
                        </a:xfrm>
                        <a:prstGeom prst="rect"/>
                        <a:solidFill>
                          <a:srgbClr val="ffffff"/>
                        </a:solidFill>
                        <a:ln>
                          <a:noFill/>
                        </a:ln>
                      </wps:spPr>
                      <wps:bodyPr>
                        <a:prstTxWarp prst="textNoShape"/>
                      </wps:bodyPr>
                    </wps:wsp>
                  </a:graphicData>
                </a:graphic>
                <wp14:sizeRelH relativeFrom="margin">
                  <wp14:pctWidth>0</wp14:pctWidth>
                </wp14:sizeRelH>
                <wp14:sizeRelV relativeFrom="margin">
                  <wp14:pctHeight>0</wp14:pctHeight>
                </wp14:sizeRelV>
              </wp:anchor>
            </w:drawing>
          </mc:Choice>
          <mc:Fallback>
            <w:pict>
              <v:rect id="1027" fillcolor="white" stroked="f" style="position:absolute;margin-left:170.8pt;margin-top:29.8pt;width:64.45pt;height:42.53pt;z-index:3;mso-position-horizontal-relative:text;mso-position-vertical-relative:text;mso-width-percent:0;mso-height-percent:0;mso-width-relative:margin;mso-height-relative:margin;mso-wrap-distance-left:0.0pt;mso-wrap-distance-right:0.0pt;visibility:visible;">
                <v:stroke on="f" weight="2.0pt"/>
                <v:fill/>
              </v:rect>
            </w:pict>
          </mc:Fallback>
        </mc:AlternateContent>
      </w:r>
    </w:p>
    <w:p>
      <w:pPr>
        <w:pStyle w:val="style0"/>
        <w:spacing w:after="0" w:lineRule="auto" w:line="360"/>
        <w:jc w:val="both"/>
        <w:rPr>
          <w:rFonts w:ascii="Simplified Arabic" w:cs="Simplified Arabic" w:hAnsi="Simplified Arabic"/>
          <w:sz w:val="28"/>
          <w:szCs w:val="28"/>
          <w:rtl/>
        </w:rPr>
      </w:pPr>
    </w:p>
    <w:p>
      <w:pPr>
        <w:pStyle w:val="style0"/>
        <w:spacing w:after="0" w:lineRule="auto" w:line="360"/>
        <w:rPr/>
      </w:pPr>
    </w:p>
    <w:p>
      <w:pPr>
        <w:pStyle w:val="style0"/>
        <w:spacing w:after="0" w:lineRule="auto" w:line="360"/>
        <w:jc w:val="center"/>
        <w:rPr>
          <w:rFonts w:ascii="Simplified Arabic" w:cs="Simplified Arabic" w:hAnsi="Simplified Arabic"/>
          <w:sz w:val="28"/>
          <w:szCs w:val="28"/>
          <w:rtl/>
        </w:rPr>
      </w:pPr>
    </w:p>
    <w:p>
      <w:pPr>
        <w:pStyle w:val="style0"/>
        <w:spacing w:after="0" w:lineRule="auto" w:line="360"/>
        <w:jc w:val="center"/>
        <w:rPr>
          <w:rFonts w:ascii="Simplified Arabic" w:cs="PT Bold Heading" w:hAnsi="Simplified Arabic"/>
          <w:rtl/>
        </w:rPr>
      </w:pPr>
    </w:p>
    <w:p>
      <w:pPr>
        <w:pStyle w:val="style0"/>
        <w:spacing w:after="0" w:lineRule="auto" w:line="360"/>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الفصل الأول</w:t>
      </w:r>
    </w:p>
    <w:p>
      <w:pPr>
        <w:pStyle w:val="style0"/>
        <w:spacing w:after="0" w:lineRule="auto" w:line="360"/>
        <w:ind w:firstLine="284"/>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الإطار العام للدراسة</w:t>
      </w:r>
    </w:p>
    <w:p>
      <w:pPr>
        <w:pStyle w:val="style0"/>
        <w:spacing w:after="0" w:lineRule="auto" w:line="276"/>
        <w:ind w:left="720" w:firstLine="284"/>
        <w:jc w:val="both"/>
        <w:contextualSpacing/>
        <w:rPr>
          <w:rFonts w:ascii="Simplified Arabic" w:cs="Simplified Arabic" w:eastAsia="Calibri" w:hAnsi="Simplified Arabic"/>
          <w:b/>
          <w:bCs/>
          <w:sz w:val="24"/>
          <w:szCs w:val="24"/>
          <w:rtl/>
        </w:rPr>
      </w:pPr>
    </w:p>
    <w:p>
      <w:pPr>
        <w:pStyle w:val="style0"/>
        <w:numPr>
          <w:ilvl w:val="0"/>
          <w:numId w:val="1"/>
        </w:numPr>
        <w:spacing w:after="0" w:lineRule="auto" w:line="276"/>
        <w:jc w:val="both"/>
        <w:contextualSpacing/>
        <w:rPr>
          <w:rFonts w:ascii="Simplified Arabic" w:cs="Monotype Koufi" w:eastAsia="Calibri" w:hAnsi="Simplified Arabic"/>
          <w:sz w:val="42"/>
          <w:szCs w:val="42"/>
          <w:rtl/>
        </w:rPr>
      </w:pPr>
      <w:r>
        <w:rPr>
          <w:rFonts w:ascii="Simplified Arabic" w:cs="Monotype Koufi" w:eastAsia="Calibri" w:hAnsi="Simplified Arabic"/>
          <w:sz w:val="42"/>
          <w:szCs w:val="42"/>
          <w:rtl/>
        </w:rPr>
        <w:t>المقدمة.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مشكلة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تساؤلات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أهمية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أهداف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متغيرات وأبعاد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فرضيات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حدود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hint="cs"/>
          <w:sz w:val="42"/>
          <w:szCs w:val="42"/>
          <w:rtl/>
        </w:rPr>
        <w:t>مصطلحات الدراسة.</w:t>
      </w:r>
    </w:p>
    <w:p>
      <w:pPr>
        <w:pStyle w:val="style0"/>
        <w:spacing w:after="0" w:lineRule="auto" w:line="360"/>
        <w:ind w:firstLine="284"/>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br w:type="page"/>
      </w:r>
    </w:p>
    <w:bookmarkStart w:id="2" w:name="_Hlk192448459"/>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الفصل الأول</w:t>
      </w:r>
    </w:p>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الإطار العام للدراسة</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تمهيد</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يتناول هذا الفصل الملامح العامة للدراسة الراهنة، حيث يستعرض الخلفية العلمية لموضوع إستراتيجيات إدارة الأزمات ودورها الحيوي في تعزيز المرونة التنظيمية، كما يحدد المشكلة البحثية وأبعادها، وصولاً إلى صياغة التساؤلات التي تسعى الدراسة للإجابة عنها في البيئة الصناعية بمدينة الرياض.</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1. المقدمة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تُمثل الأزمات في العصر الراهن اختباراً حقيقياً لقدرة المنظمات على الاستمرار والنمو، إذ لم تعد تقتصر على كونها أحداثاً عارضة، بل أصبحت تحديات إستراتيجية تتطلب استجابات ابتكارية تتجاوز الحلول التقليدية، لضمان استقرار الكيانات الاقتصادية وحماية أصولها المعنوية والمادية في بيئة تتسم بالتعقيد وعدم اليقين.</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وتُعد المرونة التنظيمية بمثابة الدرع الواقي للمنظمات الحديثة، فهي لا تعني مجرد القدرة على الصمود أمام الصدمات الخارجية، بل تمتد لتشمل قدرة المنظمة على امتصاص الاضطرابات، والتكيف السريع مع المتغيرات البيئية، بل والاستفادة من تلك الأزمات كفرص للتطوير وإعادة الهيكلة (الجهني </w:t>
      </w:r>
      <w:r>
        <w:rPr>
          <w:rFonts w:ascii="Times New Roman" w:cs="Simplified Arabic" w:eastAsia="Calibri" w:hAnsi="Times New Roman"/>
          <w:sz w:val="24"/>
          <w:szCs w:val="28"/>
          <w:rtl/>
        </w:rPr>
        <w:t>وعبدالوهاب</w:t>
      </w:r>
      <w:r>
        <w:rPr>
          <w:rFonts w:ascii="Times New Roman" w:cs="Simplified Arabic" w:eastAsia="Calibri" w:hAnsi="Times New Roman"/>
          <w:sz w:val="24"/>
          <w:szCs w:val="28"/>
          <w:rtl/>
        </w:rPr>
        <w:t xml:space="preserve">، 2022، ص. 12). وتتجسد أهمية المرونة في الشركات الصناعية بشكل أعمق؛ نظراً لارتباط عملياتها بسلاسل توريد معقدة وتقنيات متسارعة، مما يجعل من قدرتها على استعادة التوازن التشغيلي والمالي بعد الأزمات معياراً جوهرياً للتميز المؤسسي (الشمري والدوسري، </w:t>
      </w:r>
      <w:r>
        <w:rPr>
          <w:rFonts w:ascii="Times New Roman" w:cs="Simplified Arabic" w:eastAsia="Calibri" w:hAnsi="Times New Roman"/>
          <w:sz w:val="24"/>
          <w:szCs w:val="28"/>
          <w:rtl/>
        </w:rPr>
        <w:t>2021، ص. 458). وبناءً عليه، فإن بناء القدرات المرنة يتطلب نظاماً إدارياً متكاملاً يعزز من كفاءة الموارد والعمليات التشغيلية (</w:t>
      </w:r>
      <w:r>
        <w:rPr>
          <w:rFonts w:ascii="Times New Roman" w:cs="Simplified Arabic" w:eastAsia="Calibri" w:hAnsi="Times New Roman"/>
          <w:sz w:val="24"/>
          <w:szCs w:val="28"/>
        </w:rPr>
        <w:t>Duchek, 2020, p. 220</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وفي هذا الصدد، تؤدي إستراتيجيات إدارة الأزمات دوراً محورياً في صياغة هذا المسار المرن؛ حيث إن تبني إستراتيجيات استباقية وتفاعلية مدروسة يسهم في تقليل حدة المخاطر وتعظيم سرعة الاستجابة التنظيمية. فإدارة الأزمات ليست مجرد رد فعل لحظي، بل هي خيار إستراتيجي يهدف إلى تعزيز التنافسية من خلال الاستثمار في أنظمة الإنذار المبكر والتخطيط للطوارئ (عباس، 2025، ص. 130). وتؤكد الأدبيات أن التوظيف الفعال لهذه الإستراتيجيات يُمكن المنظمات من الانتقال من مرحلة الدفاع إلى مرحلة التمكين، مما ينعكس إيجاباً على قدرتها في مواجهة التقلبات السوقية والاضطرابات غير المتوقعة (</w:t>
      </w:r>
      <w:r>
        <w:rPr>
          <w:rFonts w:ascii="Times New Roman" w:cs="Simplified Arabic" w:eastAsia="Calibri" w:hAnsi="Times New Roman"/>
          <w:sz w:val="24"/>
          <w:szCs w:val="28"/>
        </w:rPr>
        <w:t xml:space="preserve">Koronis &amp; </w:t>
      </w:r>
      <w:r>
        <w:rPr>
          <w:rFonts w:ascii="Times New Roman" w:cs="Simplified Arabic" w:eastAsia="Calibri" w:hAnsi="Times New Roman"/>
          <w:sz w:val="24"/>
          <w:szCs w:val="28"/>
        </w:rPr>
        <w:t>Ponis</w:t>
      </w:r>
      <w:r>
        <w:rPr>
          <w:rFonts w:ascii="Times New Roman" w:cs="Simplified Arabic" w:eastAsia="Calibri" w:hAnsi="Times New Roman"/>
          <w:sz w:val="24"/>
          <w:szCs w:val="28"/>
        </w:rPr>
        <w:t>, 2018, p. 35</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إن التداخل الوثيق بين كفاءة إستراتيجيات إدارة الأزمات ومستوى المرونة التنظيمية يمثل حجر الزاوية في استدامة المنظمات؛ إذ تشير الدراسات إلى وجود علاقة طردية وثيقة بين امتلاك المنظمة لإستراتيجيات أزمات مرنة وقدرتها على تحقيق التكيف الإستراتيجي (العتيبي والمالكي، 2021، ص. 160). فمن خلال دمج إستراتيجيات الأزمات ضمن الثقافة التنظيمية، تصبح المنظمة أكثر استعداداً لاحتواء التهديدات وتحويلها إلى مكتسبات معرفية وإدارية (</w:t>
      </w:r>
      <w:r>
        <w:rPr>
          <w:rFonts w:ascii="Times New Roman" w:cs="Simplified Arabic" w:eastAsia="Calibri" w:hAnsi="Times New Roman"/>
          <w:sz w:val="24"/>
          <w:szCs w:val="28"/>
        </w:rPr>
        <w:t>Gao et al., 2024, p. 5</w:t>
      </w:r>
      <w:r>
        <w:rPr>
          <w:rFonts w:ascii="Times New Roman" w:cs="Simplified Arabic" w:eastAsia="Calibri" w:hAnsi="Times New Roman"/>
          <w:sz w:val="24"/>
          <w:szCs w:val="28"/>
          <w:rtl/>
        </w:rPr>
        <w:t>). وعليه، فإن المرونة لا تُبنى بمعزل عن العمليات الإستراتيجية لإدارة الأزمات، بل هي نتاج طبيعي لتفاعل التخطيط المسبق مع الاستجابة المرنة أثناء وبعد وقوع الأزمة (</w:t>
      </w:r>
      <w:r>
        <w:rPr>
          <w:rFonts w:ascii="Times New Roman" w:cs="Simplified Arabic" w:eastAsia="Calibri" w:hAnsi="Times New Roman"/>
          <w:sz w:val="24"/>
          <w:szCs w:val="28"/>
        </w:rPr>
        <w:t>Chen et al., 2024, p. 2850</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وتطبيقاً على بيئة الدراسة الحالية، تبرز الشركات الصناعية في مدينة الرياض كركيزة أساسية في الاقتصاد السعودي ضمن رؤية المملكة (2030م)، مما يضعها أمام مسؤولية كبرى في تطوير نماذج إدارية متطورة لإدارة الأزمات. إن التحديات الجيوسياسية والاقتصادية العالمية تفرض على هذه الشركات ضرورة تبني معايير مرتفعة للمرونة التنظيمية لضمان استمرارية سلاسل الإنتاج </w:t>
      </w:r>
      <w:r>
        <w:rPr>
          <w:rFonts w:ascii="Times New Roman" w:cs="Simplified Arabic" w:eastAsia="Calibri" w:hAnsi="Times New Roman"/>
          <w:sz w:val="24"/>
          <w:szCs w:val="28"/>
          <w:rtl/>
        </w:rPr>
        <w:t>وحماية حصصها السوقية (التويجري، 2023، ص. 105). وتتطلع الدراسة الحالية من خلال هذا الطرح إلى تقديم رؤية تحليلية وميدانية تسهم في تمكين القيادات الصناعية من تعظيم قدراتهم المرنة عبر تفعيل إستراتيجيات إدارة الأزمات، بما يحقق الاستقرار والنمو المستدام في بيئة الأعمال السعودية.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2. مشكلة الدراسة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تواجه الشركات الصناعية في مدينة الرياض تحولات اقتصادية وتقنية متسارعة، تجعلها عرضة لمجموعة من الأزمات المتنوعة التي قد تعصف باستقرارها التنظيمي. وتكمن المشكلة البحثية في وجود فجوة بين الحاجة المتزايدة للمرونة التنظيمية وبين واقع الممارسات الفعلية لإستراتيجيات إدارة الأزمات، حيث تعتمد بعض المنظمات على أساليب تقليدية تفتقر إلى المرونة الكافية للاستجابة السريعة (القحطاني والزهراني، 2022، ص. 88). وقد أكدت المؤشرات العالمية، مثل تقارير المخاطر الصادرة عن المنتدى الاقتصادي العالمي، أن اضطرابات سلاسل التوريد والتقلبات السوقية تمثل تهديداً مباشراً لاستدامة القطاعات الصناعية ما لم تتبنَّ أطر عمل مرنة.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وعلى المستوى المحلي، أشارت دراسات سابقة مثل دراسة الشمري والدوسري (2021) إلى أن جائحة كورونا كشفت عن تفاوت ملحوظ في مستويات المرونة لدى الشركات الصناعية السعودية، حيث عانت المنظمات التي تفتقر لإستراتيجيات أزمات واضحة من تعثر في عملياتها التشغيلية. كما أكدت مخرجات "منتدى الرياض الاقتصادي" في دوراته الأخيرة على ضرورة تعزيز الجاهزية التنظيمية لمواجهة الصدمات الاقتصادية كمتطلب أساسي للأمن الصناعي. وانطلاقاً من التشخيص الميداني الأولي، يتبين وجود حاجة ملحة لاستكشاف الكيفية التي يمكن من خلالها لإستراتيجيات إدارة الأزمات (مثل الإستراتيجية الاستباقية، وإستراتيجية احتواء الأزمة) أن تعزز أبعاد المرونة (كالاستباق، والتكيف، والتعافي) في هذه الشركات، مما يبرر الحاجة الماسة لهذه الدراسة لتقديم </w:t>
      </w:r>
      <w:r>
        <w:rPr>
          <w:rFonts w:ascii="Times New Roman" w:cs="Simplified Arabic" w:eastAsia="Calibri" w:hAnsi="Times New Roman"/>
          <w:sz w:val="24"/>
          <w:szCs w:val="28"/>
          <w:rtl/>
        </w:rPr>
        <w:t>حلول علمية وعملية تعزز من قدرة القطاع الصناعي بالرياض على مواجهة الأزمات بكفاءة ومرونة عالية.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3. أسئلة الدراسة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hint="cs"/>
          <w:b/>
          <w:bCs/>
          <w:sz w:val="24"/>
          <w:szCs w:val="28"/>
          <w:rtl/>
        </w:rPr>
        <w:t>السؤال الرئيسي:</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تتحدد مشكلة الدراسة في التساؤل الرئيس الآتي: </w:t>
      </w:r>
      <w:r>
        <w:rPr>
          <w:rFonts w:ascii="Times New Roman" w:cs="Simplified Arabic" w:eastAsia="Calibri" w:hAnsi="Times New Roman"/>
          <w:b/>
          <w:bCs/>
          <w:sz w:val="24"/>
          <w:szCs w:val="28"/>
          <w:rtl/>
        </w:rPr>
        <w:t>(ما دور إستراتيجيات إدارة الأزمات في تعزيز المرونة التنظيمية بالشركات الصناعية في مدينة الرياض؟)</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hint="cs"/>
          <w:b/>
          <w:bCs/>
          <w:sz w:val="24"/>
          <w:szCs w:val="28"/>
          <w:rtl/>
        </w:rPr>
        <w:t>الأسئلة الفرعية: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وينبثق عن هذا التساؤل الأسئلة الفرعية الآتية:</w:t>
      </w:r>
    </w:p>
    <w:p>
      <w:pPr>
        <w:pStyle w:val="style0"/>
        <w:numPr>
          <w:ilvl w:val="0"/>
          <w:numId w:val="15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السؤال الأول: </w:t>
      </w:r>
      <w:r>
        <w:rPr>
          <w:rFonts w:ascii="Times New Roman" w:cs="Simplified Arabic" w:eastAsia="Calibri" w:hAnsi="Times New Roman"/>
          <w:sz w:val="24"/>
          <w:szCs w:val="28"/>
          <w:rtl/>
        </w:rPr>
        <w:t>ما مستوى توافر إستراتيجيات إدارة الأزمات في الشركات الصناعية بمدينة الرياض؟</w:t>
      </w:r>
    </w:p>
    <w:p>
      <w:pPr>
        <w:pStyle w:val="style0"/>
        <w:numPr>
          <w:ilvl w:val="0"/>
          <w:numId w:val="15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السؤال الثاني: </w:t>
      </w:r>
      <w:r>
        <w:rPr>
          <w:rFonts w:ascii="Times New Roman" w:cs="Simplified Arabic" w:eastAsia="Calibri" w:hAnsi="Times New Roman"/>
          <w:sz w:val="24"/>
          <w:szCs w:val="28"/>
          <w:rtl/>
        </w:rPr>
        <w:t>ما مستوى توافر المرونة التنظيمية في الشركات الصناعية بمدينة الرياض؟</w:t>
      </w:r>
    </w:p>
    <w:p>
      <w:pPr>
        <w:pStyle w:val="style0"/>
        <w:numPr>
          <w:ilvl w:val="0"/>
          <w:numId w:val="15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السؤال الثالث: </w:t>
      </w:r>
      <w:r>
        <w:rPr>
          <w:rFonts w:ascii="Times New Roman" w:cs="Simplified Arabic" w:eastAsia="Calibri" w:hAnsi="Times New Roman"/>
          <w:sz w:val="24"/>
          <w:szCs w:val="28"/>
          <w:rtl/>
        </w:rPr>
        <w:t>ما طبيعة العلاقة الارتباطية بين إستراتيجيات إدارة الأزمات والمرونة التنظيمية في الشركات الصناعية بمدينة الرياض؟</w:t>
      </w:r>
    </w:p>
    <w:p>
      <w:pPr>
        <w:pStyle w:val="style0"/>
        <w:numPr>
          <w:ilvl w:val="0"/>
          <w:numId w:val="15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السؤال الرابع: </w:t>
      </w:r>
      <w:r>
        <w:rPr>
          <w:rFonts w:ascii="Times New Roman" w:cs="Simplified Arabic" w:eastAsia="Calibri" w:hAnsi="Times New Roman"/>
          <w:sz w:val="24"/>
          <w:szCs w:val="28"/>
          <w:rtl/>
        </w:rPr>
        <w:t>ما دور إستراتيجيات إدارة الأزمات بأبعادها (إستراتيجية المبادرة، إستراتيجية الوقاية، إستراتيجية الاستجابة، إستراتيجية التعافي) في تعزيز المرونة التنظيمية بشكل عام؟ وينبثق منه الأسئلة الآتية:</w:t>
      </w:r>
    </w:p>
    <w:p>
      <w:pPr>
        <w:pStyle w:val="style0"/>
        <w:numPr>
          <w:ilvl w:val="1"/>
          <w:numId w:val="15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ما دور إستراتيجية المبادرة في تعزيز المرونة التنظيمية؟</w:t>
      </w:r>
    </w:p>
    <w:p>
      <w:pPr>
        <w:pStyle w:val="style0"/>
        <w:numPr>
          <w:ilvl w:val="1"/>
          <w:numId w:val="15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ما دور إستراتيجية الوقاية في تعزيز المرونة التنظيمية؟</w:t>
      </w:r>
    </w:p>
    <w:p>
      <w:pPr>
        <w:pStyle w:val="style0"/>
        <w:numPr>
          <w:ilvl w:val="1"/>
          <w:numId w:val="15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ما دور إستراتيجية الاستجابة في تعزيز المرونة التنظيمية؟</w:t>
      </w:r>
    </w:p>
    <w:p>
      <w:pPr>
        <w:pStyle w:val="style0"/>
        <w:numPr>
          <w:ilvl w:val="1"/>
          <w:numId w:val="15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ما دور إستراتيجية التعافي في تعزيز المرونة التنظيمية؟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4. أهداف الدراسة: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تسعى هذه الدراسة بشكل رئيس إلى استقصاء الدور الذي تؤديه إستراتيجيات إدارة الأزمات في تعزيز المرونة التنظيمية لدى الشركات الصناعية بمدينة الرياض، وينبثق من هذا الهدف العام الأهداف الفرعية الآتية:</w:t>
      </w:r>
    </w:p>
    <w:p>
      <w:pPr>
        <w:pStyle w:val="style0"/>
        <w:numPr>
          <w:ilvl w:val="0"/>
          <w:numId w:val="15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التعرف على مستوى توافر إستراتيجيات إدارة الأزمات في الشركات الصناعية محل الدراسة.</w:t>
      </w:r>
    </w:p>
    <w:p>
      <w:pPr>
        <w:pStyle w:val="style0"/>
        <w:numPr>
          <w:ilvl w:val="0"/>
          <w:numId w:val="15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الكشف عن مستوى تحقق المرونة التنظيمية بأبعادها المختلفة في البيئة الصناعية بمدينة الرياض.</w:t>
      </w:r>
    </w:p>
    <w:p>
      <w:pPr>
        <w:pStyle w:val="style0"/>
        <w:numPr>
          <w:ilvl w:val="0"/>
          <w:numId w:val="15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تحديد طبيعة وقوة العلاقة الارتباطية بين ممارسات إدارة الأزمات ومستوى المرونة التنظيمية.</w:t>
      </w:r>
    </w:p>
    <w:p>
      <w:pPr>
        <w:pStyle w:val="style0"/>
        <w:numPr>
          <w:ilvl w:val="0"/>
          <w:numId w:val="15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قياس أثر/ دور أبعاد إستراتيجيات إدارة الأزمات (المبادرة، الوقاية، الاستجابة، التعافي) في تعزيز المرونة التنظيمية للشركات الصناعية.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5. أهمية الدراسة: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تستمد الدراسة الحالية قيمتها من خلال مساهمتها في الجوانب الآتية: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أولاً: الأهمية العلمية:</w:t>
      </w:r>
    </w:p>
    <w:p>
      <w:pPr>
        <w:pStyle w:val="style0"/>
        <w:numPr>
          <w:ilvl w:val="0"/>
          <w:numId w:val="15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إثراء المكتبة الأكاديمية العربية بإطار نظري حديث يجمع بين متغيرين حيويين (إدارة الأزمات، والمرونة التنظيمية) في سياق قطاع حيوي كالقطاع الصناعي.</w:t>
      </w:r>
    </w:p>
    <w:p>
      <w:pPr>
        <w:pStyle w:val="style0"/>
        <w:numPr>
          <w:ilvl w:val="0"/>
          <w:numId w:val="15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تقديم نموذج معرفي يوضح العلاقات البينية بين إستراتيجيات الأزمات والقدرات التكيفية للمنظمات، مما يفتح آفاقاً لباحثين آخرين لتطوير دراسات امتدادية.</w:t>
      </w:r>
    </w:p>
    <w:p>
      <w:pPr>
        <w:pStyle w:val="style0"/>
        <w:numPr>
          <w:ilvl w:val="0"/>
          <w:numId w:val="158"/>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تعزيز الأدبيات الإدارية المتعلقة بالمرونة في البيئة السعودية، خاصة مع ندرة الدراسات التي ربطت هذه المتغيرات ميدانياً في مدينة الرياض.</w:t>
      </w:r>
    </w:p>
    <w:p>
      <w:pPr>
        <w:pStyle w:val="style0"/>
        <w:spacing w:after="0" w:lineRule="auto" w:line="360"/>
        <w:jc w:val="both"/>
        <w:rPr>
          <w:rFonts w:ascii="Times New Roman" w:cs="Simplified Arabic" w:eastAsia="Calibri" w:hAnsi="Times New Roman"/>
          <w:sz w:val="24"/>
          <w:szCs w:val="28"/>
          <w:rtl/>
        </w:rPr>
      </w:pP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ثانياً: الأهمية العملية:</w:t>
      </w:r>
    </w:p>
    <w:p>
      <w:pPr>
        <w:pStyle w:val="style0"/>
        <w:numPr>
          <w:ilvl w:val="0"/>
          <w:numId w:val="15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تزويد صناع القرار في الشركات الصناعية بمدينة الرياض بتوصيات إجرائية مبنية على نتائج ميدانية لتعزيز جاهزية منظماتهم لمواجهة التقلبات.</w:t>
      </w:r>
    </w:p>
    <w:p>
      <w:pPr>
        <w:pStyle w:val="style0"/>
        <w:numPr>
          <w:ilvl w:val="0"/>
          <w:numId w:val="15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المساهمة في تحقيق مستهدفات رؤية المملكة (2030م) من خلال دعم استدامة القطاع الصناعي ورفع قدرته على الصمود أمام الأزمات الاقتصادية والتقنية.</w:t>
      </w:r>
    </w:p>
    <w:p>
      <w:pPr>
        <w:pStyle w:val="style0"/>
        <w:numPr>
          <w:ilvl w:val="0"/>
          <w:numId w:val="15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توفير أداة قياس (استبيان) محكمة علمياً يمكن للمديرين استخدامها كأداة تشخيصية لتقييم مستوى المرونة والجاهزية داخل شركاتهم.</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6. متغيرات وأبعاد الدراسة: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تتحدد متغيرات الدراسة الحالية وفق الآتي:</w:t>
      </w:r>
    </w:p>
    <w:p>
      <w:pPr>
        <w:pStyle w:val="style0"/>
        <w:numPr>
          <w:ilvl w:val="0"/>
          <w:numId w:val="16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المتغير المستقل: </w:t>
      </w:r>
      <w:r>
        <w:rPr>
          <w:rFonts w:ascii="Times New Roman" w:cs="Simplified Arabic" w:eastAsia="Calibri" w:hAnsi="Times New Roman"/>
          <w:sz w:val="24"/>
          <w:szCs w:val="28"/>
          <w:rtl/>
        </w:rPr>
        <w:t>إستراتيجيات إدارة الأزمات، وتتمثل أبعادها في: (إستراتيجية المبادرة، إستراتيجية الوقاية، إستراتيجية الاستجابة، إستراتيجية التعافي).</w:t>
      </w:r>
    </w:p>
    <w:p>
      <w:pPr>
        <w:pStyle w:val="style0"/>
        <w:numPr>
          <w:ilvl w:val="0"/>
          <w:numId w:val="16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المتغير التابع: </w:t>
      </w:r>
      <w:r>
        <w:rPr>
          <w:rFonts w:ascii="Times New Roman" w:cs="Simplified Arabic" w:eastAsia="Calibri" w:hAnsi="Times New Roman"/>
          <w:sz w:val="24"/>
          <w:szCs w:val="28"/>
          <w:rtl/>
        </w:rPr>
        <w:t>المرونة التنظيمية، وتتمثل أبعادها في: (القدرة الاستباقية، القدرة التكيفية، القدرة على التعافي).</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7. فرضيات الدراسة: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بناءً على تساؤلات الدراسة وأهدافها، تم صياغة الفرضيات الآتية:</w:t>
      </w:r>
    </w:p>
    <w:p>
      <w:pPr>
        <w:pStyle w:val="style0"/>
        <w:numPr>
          <w:ilvl w:val="0"/>
          <w:numId w:val="16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الفرضية الرئيسة: </w:t>
      </w:r>
      <w:r>
        <w:rPr>
          <w:rFonts w:ascii="Times New Roman" w:cs="Simplified Arabic" w:eastAsia="Calibri" w:hAnsi="Times New Roman"/>
          <w:sz w:val="24"/>
          <w:szCs w:val="28"/>
          <w:rtl/>
        </w:rPr>
        <w:t xml:space="preserve">توجد علاقة ذات دلالة إحصائية عند مستوى دلالة </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Pr>
        <w:t>α</w:t>
      </w:r>
      <w:r>
        <w:rPr>
          <w:rFonts w:ascii="Times New Roman" w:cs="Simplified Arabic" w:eastAsia="Calibri" w:hAnsi="Times New Roman"/>
          <w:sz w:val="24"/>
          <w:szCs w:val="28"/>
        </w:rPr>
        <w:t xml:space="preserve"> \le </w:t>
      </w:r>
      <w:r>
        <w:rPr>
          <w:rFonts w:ascii="Times New Roman" w:cs="Simplified Arabic" w:eastAsia="Calibri" w:hAnsi="Times New Roman"/>
          <w:sz w:val="24"/>
          <w:szCs w:val="28"/>
        </w:rPr>
        <w:t>0.05</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tl/>
        </w:rPr>
        <w:t xml:space="preserve"> لدور إستراتيجيات إدارة الأزمات في تعزيز المرونة التنظيمية في الشركات الصناعية بمدينة الرياض.</w:t>
      </w:r>
    </w:p>
    <w:p>
      <w:pPr>
        <w:pStyle w:val="style0"/>
        <w:numPr>
          <w:ilvl w:val="0"/>
          <w:numId w:val="16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وينبثق منها الفروض الفرعية الآتية:</w:t>
      </w:r>
    </w:p>
    <w:p>
      <w:pPr>
        <w:pStyle w:val="style0"/>
        <w:numPr>
          <w:ilvl w:val="1"/>
          <w:numId w:val="16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يوجد دور ذو دلالة إحصائية لإستراتيجية المبادرة في تعزيز المرونة التنظيمية.</w:t>
      </w:r>
    </w:p>
    <w:p>
      <w:pPr>
        <w:pStyle w:val="style0"/>
        <w:numPr>
          <w:ilvl w:val="1"/>
          <w:numId w:val="16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يوجد دور ذو دلالة إحصائية لإستراتيجية الوقاية في تعزيز المرونة التنظيمية.</w:t>
      </w:r>
    </w:p>
    <w:p>
      <w:pPr>
        <w:pStyle w:val="style0"/>
        <w:numPr>
          <w:ilvl w:val="1"/>
          <w:numId w:val="16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يوجد دور ذو دلالة إحصائية لإستراتيجية الاستجابة في تعزيز المرونة التنظيمية.</w:t>
      </w:r>
    </w:p>
    <w:p>
      <w:pPr>
        <w:pStyle w:val="style0"/>
        <w:numPr>
          <w:ilvl w:val="1"/>
          <w:numId w:val="161"/>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يوجد دور ذو دلالة إحصائية لإستراتيجية التعافي في تعزيز المرونة التنظيمية.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hint="cs"/>
          <w:b/>
          <w:bCs/>
          <w:sz w:val="24"/>
          <w:szCs w:val="28"/>
          <w:rtl/>
        </w:rPr>
        <w:t xml:space="preserve">8. </w:t>
      </w:r>
      <w:r>
        <w:rPr>
          <w:rFonts w:ascii="Times New Roman" w:cs="Simplified Arabic" w:eastAsia="Calibri" w:hAnsi="Times New Roman"/>
          <w:b/>
          <w:bCs/>
          <w:sz w:val="24"/>
          <w:szCs w:val="28"/>
          <w:rtl/>
        </w:rPr>
        <w:t>حدود الدراسة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تتحدد نتائج هذه الدراسة ومجالات تعميمها في ضوء الحدود الآتية: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1. الحدود الموضوعية (العلمية):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تقتصر الدراسة موضوعياً على استقصاء الدور الذي تؤديه إستراتيجيات إدارة الأزمات بأبعادها الأربعة (المبادرة، الوقاية، الاستجابة، التعافي) في تعزيز المرونة التنظيمية بأبعادها الثلاثة (القدرة الاستباقية، القدرة التكيفية، القدرة على التعافي)، ولا تتعدى ذلك إلى متغيرات أخرى خارج نطاق هذا النموذج الإداري.</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2. الحدود المكانية: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تقتصر الدراسة في جانبها الميداني على المنشآت والشركات الصناعية القائمة والمنتجة داخل النطاق الجغرافي لمدينة الرياض بالمملكة العربية السعودية، وتحديداً تلك المنضوية تحت مظلة المدن الصناعية</w:t>
      </w:r>
      <w:r>
        <w:rPr>
          <w:rFonts w:ascii="Times New Roman" w:cs="Simplified Arabic" w:eastAsia="Calibri" w:hAnsi="Times New Roman" w:hint="cs"/>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3. الحدود البشرية: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تستهدف الدراسة فئة </w:t>
      </w:r>
      <w:r>
        <w:rPr>
          <w:rFonts w:ascii="Times New Roman" w:cs="Simplified Arabic" w:eastAsia="Calibri" w:hAnsi="Times New Roman"/>
          <w:b/>
          <w:bCs/>
          <w:sz w:val="24"/>
          <w:szCs w:val="28"/>
          <w:rtl/>
        </w:rPr>
        <w:t>القيادات والإداريين</w:t>
      </w:r>
      <w:r>
        <w:rPr>
          <w:rFonts w:ascii="Times New Roman" w:cs="Simplified Arabic" w:eastAsia="Calibri" w:hAnsi="Times New Roman"/>
          <w:sz w:val="24"/>
          <w:szCs w:val="28"/>
          <w:rtl/>
        </w:rPr>
        <w:t xml:space="preserve"> (المديرين التنفيذيين، مديري الإدارات والأقسام، والمشرفين والمهندسين ذوي المهام الإدارية) في الشركات الصناعية المذكورة، كونهم الفئة الأقدر على تقييم الإستراتيجيات المتبعة ومستوى المرونة المؤسسية.</w:t>
      </w:r>
    </w:p>
    <w:p>
      <w:pPr>
        <w:pStyle w:val="style0"/>
        <w:spacing w:after="0" w:lineRule="auto" w:line="360"/>
        <w:ind w:firstLine="510"/>
        <w:jc w:val="both"/>
        <w:rPr>
          <w:rFonts w:ascii="Times New Roman" w:cs="Simplified Arabic" w:eastAsia="Calibri" w:hAnsi="Times New Roman"/>
          <w:sz w:val="24"/>
          <w:szCs w:val="28"/>
          <w:rtl/>
        </w:rPr>
      </w:pPr>
    </w:p>
    <w:p>
      <w:pPr>
        <w:pStyle w:val="style0"/>
        <w:spacing w:after="0" w:lineRule="auto" w:line="360"/>
        <w:ind w:firstLine="510"/>
        <w:jc w:val="both"/>
        <w:rPr>
          <w:rFonts w:ascii="Times New Roman" w:cs="Simplified Arabic" w:eastAsia="Calibri" w:hAnsi="Times New Roman"/>
          <w:sz w:val="24"/>
          <w:szCs w:val="28"/>
          <w:rtl/>
        </w:rPr>
      </w:pP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4. الحدود الزمنية: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تمثل هذه الحدود الفترة التي أُجريت فيها الدراسة وُجمعت خلالها البيانات الميدانية، حيث تم تطبيق الدراسة وتوزيع أداة الاستبيان على عينة البحث خلال شهر فبراير من عام 2026م.</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9. مصطلحات الدراسة: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أولاً: إستراتيجيات إدارة الأزمات (</w:t>
      </w:r>
      <w:r>
        <w:rPr>
          <w:rFonts w:ascii="Times New Roman" w:cs="Simplified Arabic" w:eastAsia="Calibri" w:hAnsi="Times New Roman"/>
          <w:b/>
          <w:bCs/>
          <w:sz w:val="24"/>
          <w:szCs w:val="28"/>
        </w:rPr>
        <w:t>Crisis Management Strategies</w:t>
      </w:r>
      <w:r>
        <w:rPr>
          <w:rFonts w:ascii="Times New Roman" w:cs="Simplified Arabic" w:eastAsia="Calibri" w:hAnsi="Times New Roman"/>
          <w:b/>
          <w:bCs/>
          <w:sz w:val="24"/>
          <w:szCs w:val="28"/>
          <w:rtl/>
        </w:rPr>
        <w:t>):</w:t>
      </w:r>
    </w:p>
    <w:p>
      <w:pPr>
        <w:pStyle w:val="style0"/>
        <w:numPr>
          <w:ilvl w:val="0"/>
          <w:numId w:val="16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تُعرف بأنها: "مجموعة من الخطط والوسائل والأساليب التي تتبناها المنظمة للتنبؤ بالأزمات قبل وقوعها، والتعامل الفعال مع أحداثها، والحد من آثارها السلبية بما يضمن استقرار المنظمة" (السلمي، 2025، ص. 310).</w:t>
      </w:r>
    </w:p>
    <w:p>
      <w:pPr>
        <w:pStyle w:val="style0"/>
        <w:numPr>
          <w:ilvl w:val="0"/>
          <w:numId w:val="16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كما عُرِّفت بأنها: "النمط الإستراتيجي المتبع لمواجهة المواقف الطارئة، والذي يتضمن عمليات التحليل والتقييم واختيار البدائل الأنسب لاحتواء التهديدات وتحويلها إلى فرص" (العتيبي والمالكي، 2021، ص. 158).</w:t>
      </w:r>
    </w:p>
    <w:p>
      <w:pPr>
        <w:pStyle w:val="style0"/>
        <w:numPr>
          <w:ilvl w:val="0"/>
          <w:numId w:val="16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وعُرِّفت أيضاً بأنها: "التدابير الممنهجة التي تهدف إلى حماية الأصول المادية والمعنوية للمنظمة من خلال التنسيق بين الموارد البشرية والتقنية أثناء فترات الاضطراب" (الجهني </w:t>
      </w:r>
      <w:r>
        <w:rPr>
          <w:rFonts w:ascii="Times New Roman" w:cs="Simplified Arabic" w:eastAsia="Calibri" w:hAnsi="Times New Roman"/>
          <w:sz w:val="24"/>
          <w:szCs w:val="28"/>
          <w:rtl/>
        </w:rPr>
        <w:t>وعبدالوهاب</w:t>
      </w:r>
      <w:r>
        <w:rPr>
          <w:rFonts w:ascii="Times New Roman" w:cs="Simplified Arabic" w:eastAsia="Calibri" w:hAnsi="Times New Roman"/>
          <w:sz w:val="24"/>
          <w:szCs w:val="28"/>
          <w:rtl/>
        </w:rPr>
        <w:t>، 2022، ص. 15).</w:t>
      </w:r>
    </w:p>
    <w:p>
      <w:pPr>
        <w:pStyle w:val="style0"/>
        <w:numPr>
          <w:ilvl w:val="0"/>
          <w:numId w:val="162"/>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وفي سياق هذه الدراسة، يعرف مصطلح إستراتيجيات إدارة الأزمات إجرائياً، بأنه: </w:t>
      </w:r>
      <w:r>
        <w:rPr>
          <w:rFonts w:ascii="Times New Roman" w:cs="Simplified Arabic" w:eastAsia="Calibri" w:hAnsi="Times New Roman"/>
          <w:sz w:val="24"/>
          <w:szCs w:val="28"/>
          <w:rtl/>
        </w:rPr>
        <w:t>مستوى الممارسات الميدانية التي تقوم بها الشركات الصناعية بالرياض للتنبؤ والتعامل مع الأزمات، وتقاس من خلال الدرجة التي يحصل عليها المستجيب في محاور (المبادرة، الوقاية، الاستجابة، التعافي) في الاستبيان.</w:t>
      </w:r>
    </w:p>
    <w:p>
      <w:pPr>
        <w:pStyle w:val="style0"/>
        <w:spacing w:after="0" w:lineRule="auto" w:line="360"/>
        <w:jc w:val="both"/>
        <w:rPr>
          <w:rFonts w:ascii="Times New Roman" w:cs="Simplified Arabic" w:eastAsia="Calibri" w:hAnsi="Times New Roman"/>
          <w:sz w:val="24"/>
          <w:szCs w:val="28"/>
          <w:rtl/>
        </w:rPr>
      </w:pPr>
    </w:p>
    <w:p>
      <w:pPr>
        <w:pStyle w:val="style0"/>
        <w:spacing w:after="0" w:lineRule="auto" w:line="360"/>
        <w:jc w:val="both"/>
        <w:rPr>
          <w:rFonts w:ascii="Times New Roman" w:cs="Simplified Arabic" w:eastAsia="Calibri" w:hAnsi="Times New Roman"/>
          <w:sz w:val="24"/>
          <w:szCs w:val="28"/>
          <w:rtl/>
        </w:rPr>
      </w:pP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ثانياً: المرونة التنظيمية (</w:t>
      </w:r>
      <w:r>
        <w:rPr>
          <w:rFonts w:ascii="Times New Roman" w:cs="Simplified Arabic" w:eastAsia="Calibri" w:hAnsi="Times New Roman"/>
          <w:b/>
          <w:bCs/>
          <w:sz w:val="24"/>
          <w:szCs w:val="28"/>
        </w:rPr>
        <w:t>Organizational Resilience</w:t>
      </w:r>
      <w:r>
        <w:rPr>
          <w:rFonts w:ascii="Times New Roman" w:cs="Simplified Arabic" w:eastAsia="Calibri" w:hAnsi="Times New Roman"/>
          <w:b/>
          <w:bCs/>
          <w:sz w:val="24"/>
          <w:szCs w:val="28"/>
          <w:rtl/>
        </w:rPr>
        <w:t>):</w:t>
      </w:r>
    </w:p>
    <w:p>
      <w:pPr>
        <w:pStyle w:val="style0"/>
        <w:numPr>
          <w:ilvl w:val="0"/>
          <w:numId w:val="16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تُعرف بأنها: "قدرة المنظمة على امتصاص الصدمات، والاستجابة بفعالية للتغيرات المفاجئة، والتعافي السريع من الآثار السلبية للأزمات مع الحفاظ على أداء وظائفها الحيوية" (التراث، 2024، ص. 5).</w:t>
      </w:r>
    </w:p>
    <w:p>
      <w:pPr>
        <w:pStyle w:val="style0"/>
        <w:numPr>
          <w:ilvl w:val="0"/>
          <w:numId w:val="16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كما عُرِّفت بأنها: "خاصية ديناميكية تمكن المنظمة من التكيف الإستراتيجي مع البيئة المضطربة، وإعادة هيكلة مواردها بما يتوافق مع مقتضيات الواقع الجديد بعد الأزمة" (عبد المعطي، 2022، ص. 8).</w:t>
      </w:r>
    </w:p>
    <w:p>
      <w:pPr>
        <w:pStyle w:val="style0"/>
        <w:numPr>
          <w:ilvl w:val="0"/>
          <w:numId w:val="16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وعُرِّفت أيضاً بأنها: "القدرة الاستيعابية والاستباقية للمنظمة التي تسمح لها بالنمو والازدهار رغم وجود معوقات أو تهديدات بيئية شديدة" (</w:t>
      </w:r>
      <w:r>
        <w:rPr>
          <w:rFonts w:ascii="Times New Roman" w:cs="Simplified Arabic" w:eastAsia="Calibri" w:hAnsi="Times New Roman"/>
          <w:sz w:val="24"/>
          <w:szCs w:val="28"/>
        </w:rPr>
        <w:t>Duchek, 2020, p. 218</w:t>
      </w:r>
      <w:r>
        <w:rPr>
          <w:rFonts w:ascii="Times New Roman" w:cs="Simplified Arabic" w:eastAsia="Calibri" w:hAnsi="Times New Roman"/>
          <w:sz w:val="24"/>
          <w:szCs w:val="28"/>
          <w:rtl/>
        </w:rPr>
        <w:t>).</w:t>
      </w:r>
    </w:p>
    <w:p>
      <w:pPr>
        <w:pStyle w:val="style0"/>
        <w:numPr>
          <w:ilvl w:val="0"/>
          <w:numId w:val="16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وفي سياق هذه الدراسة، يعرف مصطلح المرونة التنظيمية إجرائياً، بأنه: </w:t>
      </w:r>
      <w:r>
        <w:rPr>
          <w:rFonts w:ascii="Times New Roman" w:cs="Simplified Arabic" w:eastAsia="Calibri" w:hAnsi="Times New Roman"/>
          <w:sz w:val="24"/>
          <w:szCs w:val="28"/>
          <w:rtl/>
        </w:rPr>
        <w:t>قدرة الشركات الصناعية في الرياض على استباق الاضطرابات، والتكيف معها، واستعادة توازنها التشغيلي، وتقاس بالدرجة الكلية التي يحصل عليها المستجيب في محور المرونة التنظيمية بالاستبيان.</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br w:type="page"/>
      </w:r>
    </w:p>
    <w:p>
      <w:pPr>
        <w:pStyle w:val="style0"/>
        <w:spacing w:after="0" w:lineRule="auto" w:line="360"/>
        <w:ind w:firstLine="284"/>
        <w:jc w:val="both"/>
        <w:rPr>
          <w:rFonts w:ascii="Times New Roman" w:cs="Simplified Arabic" w:eastAsia="Calibri" w:hAnsi="Times New Roman"/>
          <w:sz w:val="24"/>
          <w:szCs w:val="28"/>
          <w:rtl/>
        </w:rPr>
      </w:pPr>
    </w:p>
    <w:p>
      <w:pPr>
        <w:pStyle w:val="style0"/>
        <w:spacing w:after="0" w:lineRule="auto" w:line="360"/>
        <w:ind w:firstLine="284"/>
        <w:jc w:val="both"/>
        <w:rPr>
          <w:rFonts w:ascii="Times New Roman" w:cs="Simplified Arabic" w:eastAsia="Calibri" w:hAnsi="Times New Roman"/>
          <w:sz w:val="24"/>
          <w:szCs w:val="28"/>
          <w:rtl/>
        </w:rPr>
      </w:pPr>
    </w:p>
    <w:bookmarkStart w:id="3" w:name="_Hlk200813560"/>
    <w:bookmarkEnd w:id="2"/>
    <w:p>
      <w:pPr>
        <w:pStyle w:val="style0"/>
        <w:spacing w:after="0" w:lineRule="auto" w:line="360"/>
        <w:rPr>
          <w:rFonts w:ascii="Simplified Arabic" w:cs="PT Bold Heading" w:eastAsia="Calibri" w:hAnsi="Simplified Arabic"/>
          <w:sz w:val="48"/>
          <w:szCs w:val="48"/>
          <w:rtl/>
        </w:rPr>
      </w:pPr>
    </w:p>
    <w:p>
      <w:pPr>
        <w:pStyle w:val="style0"/>
        <w:spacing w:after="0" w:lineRule="auto" w:line="360"/>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الفصل الثاني</w:t>
      </w:r>
    </w:p>
    <w:p>
      <w:pPr>
        <w:pStyle w:val="style0"/>
        <w:spacing w:after="0" w:lineRule="auto" w:line="360"/>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الإطار النظري والدراسات السابقة</w:t>
      </w:r>
    </w:p>
    <w:p>
      <w:pPr>
        <w:pStyle w:val="style0"/>
        <w:spacing w:after="0" w:lineRule="auto" w:line="360"/>
        <w:jc w:val="center"/>
        <w:rPr>
          <w:rFonts w:ascii="Simplified Arabic" w:cs="PT Bold Heading" w:eastAsia="Calibri" w:hAnsi="Simplified Arabic"/>
          <w:sz w:val="48"/>
          <w:szCs w:val="48"/>
          <w:rtl/>
        </w:rPr>
      </w:pPr>
    </w:p>
    <w:p>
      <w:pPr>
        <w:pStyle w:val="style0"/>
        <w:numPr>
          <w:ilvl w:val="0"/>
          <w:numId w:val="2"/>
        </w:numPr>
        <w:spacing w:after="0" w:lineRule="auto" w:line="360"/>
        <w:contextualSpacing/>
        <w:rPr>
          <w:rFonts w:ascii="Simplified Arabic" w:cs="PT Bold Heading" w:eastAsia="Calibri" w:hAnsi="Simplified Arabic"/>
          <w:sz w:val="36"/>
          <w:szCs w:val="36"/>
          <w:rtl/>
        </w:rPr>
      </w:pPr>
      <w:r>
        <w:rPr>
          <w:rFonts w:ascii="Simplified Arabic" w:cs="PT Bold Heading" w:eastAsia="Calibri" w:hAnsi="Simplified Arabic"/>
          <w:sz w:val="36"/>
          <w:szCs w:val="36"/>
          <w:rtl/>
        </w:rPr>
        <w:t>مقدمة</w:t>
      </w:r>
    </w:p>
    <w:p>
      <w:pPr>
        <w:pStyle w:val="style0"/>
        <w:spacing w:after="0" w:lineRule="auto" w:line="360"/>
        <w:ind w:left="1077"/>
        <w:rPr>
          <w:rFonts w:ascii="Simplified Arabic" w:cs="PT Bold Heading" w:eastAsia="Calibri" w:hAnsi="Simplified Arabic"/>
          <w:sz w:val="2"/>
          <w:szCs w:val="2"/>
          <w:rtl/>
        </w:rPr>
      </w:pPr>
    </w:p>
    <w:p>
      <w:pPr>
        <w:pStyle w:val="style0"/>
        <w:numPr>
          <w:ilvl w:val="0"/>
          <w:numId w:val="2"/>
        </w:numPr>
        <w:spacing w:after="0" w:lineRule="auto" w:line="360"/>
        <w:contextualSpacing/>
        <w:rPr>
          <w:rFonts w:ascii="Simplified Arabic" w:cs="PT Bold Heading" w:eastAsia="Calibri" w:hAnsi="Simplified Arabic"/>
          <w:sz w:val="36"/>
          <w:szCs w:val="36"/>
          <w:rtl/>
        </w:rPr>
      </w:pPr>
      <w:r>
        <w:rPr>
          <w:rFonts w:ascii="Simplified Arabic" w:cs="PT Bold Heading" w:eastAsia="Calibri" w:hAnsi="Simplified Arabic"/>
          <w:sz w:val="36"/>
          <w:szCs w:val="36"/>
          <w:rtl/>
        </w:rPr>
        <w:t xml:space="preserve">المحور الأول: الدراسات السابقة </w:t>
      </w:r>
    </w:p>
    <w:p>
      <w:pPr>
        <w:pStyle w:val="style0"/>
        <w:spacing w:after="0" w:lineRule="auto" w:line="360"/>
        <w:ind w:left="1077"/>
        <w:rPr>
          <w:rFonts w:ascii="Simplified Arabic" w:cs="PT Bold Heading" w:eastAsia="Calibri" w:hAnsi="Simplified Arabic"/>
          <w:sz w:val="2"/>
          <w:szCs w:val="2"/>
          <w:rtl/>
        </w:rPr>
      </w:pPr>
    </w:p>
    <w:p>
      <w:pPr>
        <w:pStyle w:val="style0"/>
        <w:numPr>
          <w:ilvl w:val="0"/>
          <w:numId w:val="2"/>
        </w:numPr>
        <w:spacing w:after="0" w:lineRule="auto" w:line="360"/>
        <w:contextualSpacing/>
        <w:rPr>
          <w:rFonts w:ascii="Simplified Arabic" w:cs="PT Bold Heading" w:eastAsia="Calibri" w:hAnsi="Simplified Arabic"/>
          <w:sz w:val="36"/>
          <w:szCs w:val="36"/>
          <w:rtl/>
        </w:rPr>
      </w:pPr>
      <w:r>
        <w:rPr>
          <w:rFonts w:ascii="Simplified Arabic" w:cs="PT Bold Heading" w:eastAsia="Calibri" w:hAnsi="Simplified Arabic"/>
          <w:sz w:val="36"/>
          <w:szCs w:val="36"/>
          <w:rtl/>
        </w:rPr>
        <w:t>المحور الثاني: الإطار النظري للدراسة</w:t>
      </w:r>
    </w:p>
    <w:bookmarkEnd w:id="3"/>
    <w:p>
      <w:pPr>
        <w:pStyle w:val="style0"/>
        <w:spacing w:after="0" w:lineRule="auto" w:line="360"/>
        <w:jc w:val="center"/>
        <w:rPr>
          <w:rFonts w:ascii="Simplified Arabic" w:cs="PT Bold Heading" w:eastAsia="Calibri" w:hAnsi="Simplified Arabic"/>
          <w:sz w:val="42"/>
          <w:szCs w:val="42"/>
          <w:rtl/>
        </w:rPr>
      </w:pPr>
    </w:p>
    <w:p>
      <w:pPr>
        <w:pStyle w:val="style0"/>
        <w:spacing w:after="0" w:lineRule="auto" w:line="360"/>
        <w:ind w:firstLine="284"/>
        <w:jc w:val="center"/>
        <w:rPr>
          <w:rFonts w:ascii="Simplified Arabic" w:cs="Simplified Arabic" w:eastAsia="Calibri" w:hAnsi="Simplified Arabic"/>
          <w:sz w:val="28"/>
          <w:szCs w:val="28"/>
          <w:lang w:bidi="ar-EG"/>
        </w:rPr>
      </w:pPr>
      <w:r>
        <w:rPr>
          <w:rFonts w:ascii="Simplified Arabic" w:cs="PT Bold Heading" w:eastAsia="Calibri" w:hAnsi="Simplified Arabic"/>
          <w:sz w:val="48"/>
          <w:szCs w:val="48"/>
          <w:rtl/>
        </w:rPr>
        <w:br w:type="page"/>
      </w:r>
    </w:p>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الفصل الثاني</w:t>
      </w:r>
    </w:p>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الإطار النظري والدراسات السابقة</w:t>
      </w:r>
    </w:p>
    <w:p>
      <w:pPr>
        <w:pStyle w:val="style0"/>
        <w:spacing w:after="0" w:lineRule="auto" w:line="360"/>
        <w:ind w:firstLine="284"/>
        <w:jc w:val="both"/>
        <w:rPr>
          <w:rFonts w:ascii="Times New Roman" w:cs="Simplified Arabic" w:eastAsia="Calibri" w:hAnsi="Times New Roman"/>
          <w:b/>
          <w:bCs/>
          <w:sz w:val="24"/>
          <w:szCs w:val="28"/>
          <w:rtl/>
        </w:rPr>
      </w:pPr>
    </w:p>
    <w:p>
      <w:pPr>
        <w:pStyle w:val="style0"/>
        <w:spacing w:after="0" w:lineRule="auto" w:line="360"/>
        <w:ind w:firstLine="284"/>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tl/>
        </w:rPr>
        <w:t>مقدمة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يتناول هذا الفصل المرجعية العلمية والأدبيات التي استندت إليها الدراسة الحالية، حيث يستعرض في محوره الأول مجموعة من الدراسات السابقة التي تناولت متغيرات إدارة الأزمات والمرونة التنظيمية في بيئات محلية وعربية وأجنبية، بينما يخصص المحور الثاني للإطار النظري المفصل للمتغيرات.</w:t>
      </w:r>
    </w:p>
    <w:p>
      <w:pPr>
        <w:pStyle w:val="style0"/>
        <w:spacing w:after="0" w:lineRule="auto" w:line="360"/>
        <w:ind w:firstLine="510"/>
        <w:jc w:val="center"/>
        <w:rPr>
          <w:rFonts w:ascii="Times New Roman" w:cs="Simplified Arabic" w:eastAsia="Calibri" w:hAnsi="Times New Roman"/>
          <w:b/>
          <w:bCs/>
          <w:sz w:val="28"/>
          <w:szCs w:val="32"/>
          <w:rtl/>
        </w:rPr>
      </w:pPr>
    </w:p>
    <w:p>
      <w:pPr>
        <w:pStyle w:val="style0"/>
        <w:spacing w:after="0" w:lineRule="auto" w:line="360"/>
        <w:ind w:firstLine="510"/>
        <w:jc w:val="center"/>
        <w:rPr>
          <w:rFonts w:ascii="Times New Roman" w:cs="Simplified Arabic" w:eastAsia="Calibri" w:hAnsi="Times New Roman"/>
          <w:b/>
          <w:bCs/>
          <w:sz w:val="28"/>
          <w:szCs w:val="32"/>
          <w:rtl/>
        </w:rPr>
      </w:pPr>
      <w:r>
        <w:rPr>
          <w:rFonts w:ascii="Times New Roman" w:cs="Simplified Arabic" w:eastAsia="Calibri" w:hAnsi="Times New Roman"/>
          <w:b/>
          <w:bCs/>
          <w:sz w:val="28"/>
          <w:szCs w:val="32"/>
          <w:rtl/>
        </w:rPr>
        <w:t>المحور الأول: الدراسات السابقة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أولاً: دراسات محلية (المملكة العربية السعودية)</w:t>
      </w:r>
    </w:p>
    <w:p>
      <w:pPr>
        <w:pStyle w:val="style0"/>
        <w:numPr>
          <w:ilvl w:val="0"/>
          <w:numId w:val="16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الغامدي والشهري</w:t>
      </w:r>
      <w:r>
        <w:rPr>
          <w:rFonts w:ascii="Times New Roman" w:cs="Simplified Arabic" w:eastAsia="Calibri" w:hAnsi="Times New Roman"/>
          <w:sz w:val="24"/>
          <w:szCs w:val="28"/>
          <w:rtl/>
        </w:rPr>
        <w:t xml:space="preserve"> (2024)، المملكة العربية السعودية، بعنوان: "دور استشراف المستقبل في تعزيز المرونة التنظيمية من خلال إدارة الأزمات: دراسة ميدانية على الشركات البتروكيماوية السعودية". هدفت الدراسة إلى الكشف عن أثر استشراف المستقبل في تحقيق المرونة التنظيمية عبر الوسيط (إدارة الأزمات). اعتمدت الدراسة المنهج الوصفي التحليلي، واستخدمت الاستبانة كأداة لجمع البيانات من عينة بلغت (342) من القيادات والإداريين في الشركات البتروكيماوية. توصلت النتائج إلى وجود دور جوهري ومباشر لاستشراف المستقبل في تعزيز الجاهزية لإدارة الأزمات، والتي بدورها تؤدي إلى رفع مستوى المرونة التنظيمية بأبعادها الاستباقية والتكيفية، كما أظهرت النتائج أن الشركات التي تمتلك خططاً إستراتيجية مرنة كانت أكثر قدرة على التعافي من الاضطرابات التشغيلية. وأوصت الدراسة </w:t>
      </w:r>
      <w:r>
        <w:rPr>
          <w:rFonts w:ascii="Times New Roman" w:cs="Simplified Arabic" w:eastAsia="Calibri" w:hAnsi="Times New Roman"/>
          <w:sz w:val="24"/>
          <w:szCs w:val="28"/>
          <w:rtl/>
        </w:rPr>
        <w:t>بضرورة دمج وحدات استشراف المستقبل ضمن الهياكل التنظيمية للشركات الصناعية لضمان استدامة المرونة.</w:t>
      </w:r>
    </w:p>
    <w:p>
      <w:pPr>
        <w:pStyle w:val="style0"/>
        <w:numPr>
          <w:ilvl w:val="0"/>
          <w:numId w:val="16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التويجري</w:t>
      </w:r>
      <w:r>
        <w:rPr>
          <w:rFonts w:ascii="Times New Roman" w:cs="Simplified Arabic" w:eastAsia="Calibri" w:hAnsi="Times New Roman"/>
          <w:sz w:val="24"/>
          <w:szCs w:val="28"/>
          <w:rtl/>
        </w:rPr>
        <w:t xml:space="preserve"> (2023)، المملكة العربية السعودية، بعنوان: "أثر إدارة الأزمات في تعزيز المرونة التنظيمية بالتطبيق على الشركات الصناعية بالمملكة العربية السعودية". استهدفت الدراسة تحديد أثر ممارسات إدارة الأزمات في تعزيز مستويات المرونة التنظيمية. اتبع البحث المنهج الوصفي الارتباطي، وتم جمع البيانات عبر استبانة وزعت على عينة من مديري الإدارات ورؤساء الأقسام في الشركات الصناعية. أظهرت النتائج وجود أثر طردي ذو دلالة إحصائية لإدارة الأزمات في المرونة التنظيمية، حيث ساهمت إستراتيجيات التنبؤ والوقاية في رفع قدرة الشركات على امتصاص الصدمات الخارجية، كما بينت النتائج أن التزام الإدارة العليا ببرامج إدارة الأزمات يعد محركاً رئيساً للمرونة. قدمت الدراسة توصية بضرورة تخصيص موارد مالية وبشرية كافية لتطوير أنظمة الإنذار المبكر في القطاع الصناعي.</w:t>
      </w:r>
    </w:p>
    <w:p>
      <w:pPr>
        <w:pStyle w:val="style0"/>
        <w:numPr>
          <w:ilvl w:val="0"/>
          <w:numId w:val="16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 xml:space="preserve">الجهني </w:t>
      </w:r>
      <w:r>
        <w:rPr>
          <w:rFonts w:ascii="Times New Roman" w:cs="Simplified Arabic" w:eastAsia="Calibri" w:hAnsi="Times New Roman"/>
          <w:b/>
          <w:bCs/>
          <w:sz w:val="24"/>
          <w:szCs w:val="28"/>
          <w:rtl/>
        </w:rPr>
        <w:t>وعبدالوهاب</w:t>
      </w:r>
      <w:r>
        <w:rPr>
          <w:rFonts w:ascii="Times New Roman" w:cs="Simplified Arabic" w:eastAsia="Calibri" w:hAnsi="Times New Roman"/>
          <w:sz w:val="24"/>
          <w:szCs w:val="28"/>
          <w:rtl/>
        </w:rPr>
        <w:t xml:space="preserve"> (2022)، المملكة العربية السعودية، بعنوان: "استراتيجيات إدارة الأزمات كمتغير معدل في العلاقة بين القيادة الاستراتيجية والمرونة التنظيمية: دراسة تطبيقية على الشركات الصناعية بمدينة ينبع الصناعية". سعت الدراسة إلى فحص الدور المعدل لإستراتيجيات إدارة الأزمات في العلاقة بين القيادة والمرونة. استخدمت الدراسة المنهج الوصفي التحليلي، وطبقت الاستبانة على عينة من الموظفين والقيادات في شركات ينبع الصناعية. خلصت النتائج إلى أن إستراتيجيات إدارة الأزمات تساهم بشكل كبير في تدعيم أثر القيادة الإستراتيجية على المرونة التنظيمية، وأن الشركات التي تتبنى إستراتيجيات استباقية تظهر مستويات أعلى من التكيف التنظيمي مقارنة بالشركات التي تكتفي </w:t>
      </w:r>
      <w:r>
        <w:rPr>
          <w:rFonts w:ascii="Times New Roman" w:cs="Simplified Arabic" w:eastAsia="Calibri" w:hAnsi="Times New Roman"/>
          <w:sz w:val="24"/>
          <w:szCs w:val="28"/>
          <w:rtl/>
        </w:rPr>
        <w:t>بالإستراتيجيات التفاعلية. وأوصت الدراسة بتمكين القيادات الشابة من أدوات إدارة الأزمات الحديثة لتعزيز سرعة الاستجابة التنظيمية.</w:t>
      </w:r>
    </w:p>
    <w:p>
      <w:pPr>
        <w:pStyle w:val="style0"/>
        <w:numPr>
          <w:ilvl w:val="0"/>
          <w:numId w:val="16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الشمري والدوسري</w:t>
      </w:r>
      <w:r>
        <w:rPr>
          <w:rFonts w:ascii="Times New Roman" w:cs="Simplified Arabic" w:eastAsia="Calibri" w:hAnsi="Times New Roman"/>
          <w:sz w:val="24"/>
          <w:szCs w:val="28"/>
          <w:rtl/>
        </w:rPr>
        <w:t xml:space="preserve"> (2021)، المملكة العربية السعودية، بعنوان: "تأثير استراتيجيات إدارة الأزمات على المرونة التنظيمية في ظل جائحة كورونا: دراسة تطبيقية على الشركات الصناعية بالمنطقة الشرقية". هدفت الدراسة إلى استقصاء تأثير إستراتيجيات الأزمات على المرونة خلال ظروف غير مستقرة (كوفيد-19). اعتمدت المنهج الوصفي، واستهدفت عينة من المديرين في الشركات الصناعية بالمنطقة الشرقية. توصلت الدراسة إلى أن إستراتيجيات احتواء الأزمة وتجزئتها كان لها الأثر الأكبر في الحفاظ على استمرارية الأعمال وتحقيق المرونة التشغيلية، كما كشفت عن وجود علاقة ارتباطية قوية بين الجاهزية الرقمية للمنظمة وقدرتها على إبداء المرونة أثناء الأزمة. وأوصت الدراسة بضرورة صياغة أدلة إجرائية متكاملة لإدارة الأزمات تتناسب مع طبيعة المخاطر الصناعية.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ثانياً: دراسات عربية</w:t>
      </w:r>
    </w:p>
    <w:p>
      <w:pPr>
        <w:pStyle w:val="style0"/>
        <w:numPr>
          <w:ilvl w:val="0"/>
          <w:numId w:val="16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زكريا</w:t>
      </w:r>
      <w:r>
        <w:rPr>
          <w:rFonts w:ascii="Times New Roman" w:cs="Simplified Arabic" w:eastAsia="Calibri" w:hAnsi="Times New Roman"/>
          <w:sz w:val="24"/>
          <w:szCs w:val="28"/>
          <w:rtl/>
        </w:rPr>
        <w:t xml:space="preserve"> (2025)، الجزائر، بعنوان: "تأثير الارتجال التنظيمي على المرونة التنظيمية: الدور الوسيط للقيادة التكيفية والذكاء العاطفي". هدفت الدراسة إلى فهم كيفية بناء المرونة عبر الارتجال والقيادة في أوقات الأزمات. استخدمت المنهج الوصفي التحليلي وأداة الاستبيان على عينة من الكوادر الإدارية. توصلت النتائج إلى أن القدرة على الارتجال المدروس في المواقف الحرجة يعزز من المرونة التنظيمية، وأن القيادة التكيفية تلعب دوراً وسيطاً حيوياً في توجيه الجهود نحو التعافي السريع. وأوصت الدراسة بتعزيز مهارات الذكاء العاطفي لدى مديري الأزمات لتحسين جودة القرارات المتخذة تحت الضغط.</w:t>
      </w:r>
    </w:p>
    <w:p>
      <w:pPr>
        <w:pStyle w:val="style0"/>
        <w:numPr>
          <w:ilvl w:val="0"/>
          <w:numId w:val="16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المعايطة والطراونة</w:t>
      </w:r>
      <w:r>
        <w:rPr>
          <w:rFonts w:ascii="Times New Roman" w:cs="Simplified Arabic" w:eastAsia="Calibri" w:hAnsi="Times New Roman"/>
          <w:sz w:val="24"/>
          <w:szCs w:val="28"/>
          <w:rtl/>
        </w:rPr>
        <w:t xml:space="preserve"> (2025)، الأردن، بعنوان: "أثر استراتيجيات إدارة الأزمات على أداء العاملين في الشركات الصناعية المدرجة في بورصة عمان: دراسة ميدانية". استهدفت الدراسة بيان أثر إستراتيجيات الأزمات على الأداء البشري كجزء من مرونة المنظمة. اتبعت المنهج الوصفي التحليلي، ووزعت الاستبانة على عينة ممثلة للشركات الصناعية الأردنية. أظهرت النتائج أن إستراتيجية العمل الجماعي والاتصال الفعال أثناء الأزمة ترفع من كفاءة الأداء وتزيد من صلابة المنظمة في مواجهة التهديدات. وأوصت الدراسة بضرورة تدريب العاملين على سيناريوهات الأزمات المحتملة لضمان سرعة الاستجابة.</w:t>
      </w:r>
    </w:p>
    <w:p>
      <w:pPr>
        <w:pStyle w:val="style0"/>
        <w:numPr>
          <w:ilvl w:val="0"/>
          <w:numId w:val="16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عباس</w:t>
      </w:r>
      <w:r>
        <w:rPr>
          <w:rFonts w:ascii="Times New Roman" w:cs="Simplified Arabic" w:eastAsia="Calibri" w:hAnsi="Times New Roman"/>
          <w:sz w:val="24"/>
          <w:szCs w:val="28"/>
          <w:rtl/>
        </w:rPr>
        <w:t xml:space="preserve"> (2025)، العراق، بعنوان: "إدارة الأزمات كخيار استراتيجي لتعزيز التنافسية: الدور الوسيط للمرونة التنظيمية". هدفت الدراسة إلى فحص العلاقة بين إدارة الأزمات والتنافسية من خلال المرونة. اعتمدت المنهج الوصفي، واستهدفت عينة من القيادات الإدارية. أكدت النتائج أن المرونة التنظيمية تعمل كوسيط قوي يسهم في تحويل ممارسات إدارة الأزمات إلى ميزات تنافسية مستدامة، وأن استعادة التوازن بعد الأزمة يعزز من سمعة المنظمة ومكانتها السوقية. وأوصت الدراسة بتبني المرونة كفلسفة إدارية دائمة وليس كاستجابة مؤقتة.</w:t>
      </w:r>
    </w:p>
    <w:p>
      <w:pPr>
        <w:pStyle w:val="style0"/>
        <w:numPr>
          <w:ilvl w:val="0"/>
          <w:numId w:val="16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عبدو والسفياني</w:t>
      </w:r>
      <w:r>
        <w:rPr>
          <w:rFonts w:ascii="Times New Roman" w:cs="Simplified Arabic" w:eastAsia="Calibri" w:hAnsi="Times New Roman"/>
          <w:sz w:val="24"/>
          <w:szCs w:val="28"/>
          <w:rtl/>
        </w:rPr>
        <w:t xml:space="preserve"> (2026)، اليمن، بعنوان: "أثر المرونة التنظيمية في إدارة الأزمات: دراسة ميدانية في مكاتب الصحة بمدينة تعز". هدفت الدراسة إلى عكس المتغيرات لبحث أثر المرونة في نجاح إدارة الأزمات. اعتمدت المنهج الوصفي التحليلي، وطبقت الاستبانة على عينة من العاملين في القطاع الصحي. توصلت النتائج إلى أن الأبعاد الاستباقية للمرونة تساهم بنسبة كبيرة في نجاح خطط إدارة الأزمات وتقليل الخسائر البشرية والمادية. وأوصت الدراسة بضرورة تعزيز البنية التحتية المعلوماتية لدعم القدرات المرنة للمنظمات.</w:t>
      </w:r>
    </w:p>
    <w:p>
      <w:pPr>
        <w:pStyle w:val="style0"/>
        <w:numPr>
          <w:ilvl w:val="0"/>
          <w:numId w:val="16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جمعة ومفرج</w:t>
      </w:r>
      <w:r>
        <w:rPr>
          <w:rFonts w:ascii="Times New Roman" w:cs="Simplified Arabic" w:eastAsia="Calibri" w:hAnsi="Times New Roman"/>
          <w:sz w:val="24"/>
          <w:szCs w:val="28"/>
          <w:rtl/>
        </w:rPr>
        <w:t xml:space="preserve"> (2025)، مصر، بعنوان: "المرونة التنظيمية كآلية في التخطيط لإدارة الأزمات والكوارث بجامعة أسيوط". استهدفت الدراسة تحديد دور المرونة في تحسين جودة التخطيط للأزمات. استخدمت المنهج الوصفي، وطبقت أداة الاستبيان على عينة من الكادر الأكاديمي والإداري. توصلت النتائج إلى أن المرونة التنظيمية توفر بدائل تخطيطية متعددة تمكن المنظمة من التعامل مع السيناريوهات الأسوأ بكفاءة عالية. وأوصت الدراسة بضرورة إدراج معايير المرونة ضمن الخطط الإستراتيجية للمؤسسات.</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ثالثاً: دراسات أجنبية</w:t>
      </w:r>
    </w:p>
    <w:p>
      <w:pPr>
        <w:pStyle w:val="style0"/>
        <w:numPr>
          <w:ilvl w:val="0"/>
          <w:numId w:val="16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تشين وآخرون</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Pr>
        <w:t>Chen et al., 2024</w:t>
      </w:r>
      <w:r>
        <w:rPr>
          <w:rFonts w:ascii="Times New Roman" w:cs="Simplified Arabic" w:eastAsia="Calibri" w:hAnsi="Times New Roman"/>
          <w:sz w:val="24"/>
          <w:szCs w:val="28"/>
          <w:rtl/>
        </w:rPr>
        <w:t>)، الصين، بعنوان: "</w:t>
      </w:r>
      <w:r>
        <w:rPr>
          <w:rFonts w:ascii="Times New Roman" w:cs="Simplified Arabic" w:eastAsia="Calibri" w:hAnsi="Times New Roman"/>
          <w:sz w:val="24"/>
          <w:szCs w:val="28"/>
        </w:rPr>
        <w:t>Crisis management strategies and organizational resilience: An empirical study of Chinese manufacturing firms post-COVID-19</w:t>
      </w:r>
      <w:r>
        <w:rPr>
          <w:rFonts w:ascii="Times New Roman" w:cs="Simplified Arabic" w:eastAsia="Calibri" w:hAnsi="Times New Roman"/>
          <w:sz w:val="24"/>
          <w:szCs w:val="28"/>
          <w:rtl/>
        </w:rPr>
        <w:t>" (إستراتيجيات إدارة الأزمات والمرونة التنظيمية: دراسة تجريبية للشركات الصناعية الصينية بعد كوفيد-19). هدفت الدراسة إلى تحليل تأثير إستراتيجيات إدارة الأزمات في تعزيز المرونة لدى الشركات الصناعية. استخدمت الدراسة المنهج الوصفي التحليلي، وطبقت أداة الاستبيان على عينة من (420) شركة صناعية صينية. توصلت النتائج إلى أن إستراتيجيات التكيف والتعلم التنظيمي أثناء الأزمة ساهمت بشكل مباشر في رفع قدرة الشركات على استعادة توازنها الإنتاجي، كما أكدت أن التحول الرقمي أدى دوراً وسيطاً في تفعيل أثر إدارة الأزمات على المرونة. وأوصت الدراسة بضرورة دمج إدارة المخاطر في الخطط الإستراتيجية طويلة الأجل للشركات الصناعية.</w:t>
      </w:r>
    </w:p>
    <w:p>
      <w:pPr>
        <w:pStyle w:val="style0"/>
        <w:numPr>
          <w:ilvl w:val="0"/>
          <w:numId w:val="16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إكبوكو</w:t>
      </w:r>
      <w:r>
        <w:rPr>
          <w:rFonts w:ascii="Times New Roman" w:cs="Simplified Arabic" w:eastAsia="Calibri" w:hAnsi="Times New Roman"/>
          <w:b/>
          <w:bCs/>
          <w:sz w:val="24"/>
          <w:szCs w:val="28"/>
          <w:rtl/>
        </w:rPr>
        <w:t xml:space="preserve"> وآخرون</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Pr>
        <w:t>Ekpouko</w:t>
      </w:r>
      <w:r>
        <w:rPr>
          <w:rFonts w:ascii="Times New Roman" w:cs="Simplified Arabic" w:eastAsia="Calibri" w:hAnsi="Times New Roman"/>
          <w:sz w:val="24"/>
          <w:szCs w:val="28"/>
        </w:rPr>
        <w:t xml:space="preserve"> et al., 2025</w:t>
      </w:r>
      <w:r>
        <w:rPr>
          <w:rFonts w:ascii="Times New Roman" w:cs="Simplified Arabic" w:eastAsia="Calibri" w:hAnsi="Times New Roman"/>
          <w:sz w:val="24"/>
          <w:szCs w:val="28"/>
          <w:rtl/>
        </w:rPr>
        <w:t>)، نيجيريا، بعنوان: "</w:t>
      </w:r>
      <w:r>
        <w:rPr>
          <w:rFonts w:ascii="Times New Roman" w:cs="Simplified Arabic" w:eastAsia="Calibri" w:hAnsi="Times New Roman"/>
          <w:sz w:val="24"/>
          <w:szCs w:val="28"/>
        </w:rPr>
        <w:t xml:space="preserve">Crisis management on </w:t>
      </w:r>
      <w:r>
        <w:rPr>
          <w:rFonts w:ascii="Times New Roman" w:cs="Simplified Arabic" w:eastAsia="Calibri" w:hAnsi="Times New Roman"/>
          <w:sz w:val="24"/>
          <w:szCs w:val="28"/>
        </w:rPr>
        <w:t>organisational</w:t>
      </w:r>
      <w:r>
        <w:rPr>
          <w:rFonts w:ascii="Times New Roman" w:cs="Simplified Arabic" w:eastAsia="Calibri" w:hAnsi="Times New Roman"/>
          <w:sz w:val="24"/>
          <w:szCs w:val="28"/>
        </w:rPr>
        <w:t xml:space="preserve"> resilience in </w:t>
      </w:r>
      <w:r>
        <w:rPr>
          <w:rFonts w:ascii="Times New Roman" w:cs="Simplified Arabic" w:eastAsia="Calibri" w:hAnsi="Times New Roman"/>
          <w:sz w:val="24"/>
          <w:szCs w:val="28"/>
        </w:rPr>
        <w:t>manufacturings</w:t>
      </w:r>
      <w:r>
        <w:rPr>
          <w:rFonts w:ascii="Times New Roman" w:cs="Simplified Arabic" w:eastAsia="Calibri" w:hAnsi="Times New Roman"/>
          <w:sz w:val="24"/>
          <w:szCs w:val="28"/>
        </w:rPr>
        <w:t xml:space="preserve"> firms in Akwa Ibom State</w:t>
      </w:r>
      <w:r>
        <w:rPr>
          <w:rFonts w:ascii="Times New Roman" w:cs="Simplified Arabic" w:eastAsia="Calibri" w:hAnsi="Times New Roman"/>
          <w:sz w:val="24"/>
          <w:szCs w:val="28"/>
          <w:rtl/>
        </w:rPr>
        <w:t xml:space="preserve">" (إدارة الأزمات والمرونة التنظيمية في الشركات الصناعية في ولاية </w:t>
      </w:r>
      <w:r>
        <w:rPr>
          <w:rFonts w:ascii="Times New Roman" w:cs="Simplified Arabic" w:eastAsia="Calibri" w:hAnsi="Times New Roman"/>
          <w:sz w:val="24"/>
          <w:szCs w:val="28"/>
          <w:rtl/>
        </w:rPr>
        <w:t>أكوا</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tl/>
        </w:rPr>
        <w:t>إيبوم</w:t>
      </w:r>
      <w:r>
        <w:rPr>
          <w:rFonts w:ascii="Times New Roman" w:cs="Simplified Arabic" w:eastAsia="Calibri" w:hAnsi="Times New Roman"/>
          <w:sz w:val="24"/>
          <w:szCs w:val="28"/>
          <w:rtl/>
        </w:rPr>
        <w:t xml:space="preserve">). هدفت الدراسة إلى تقييم دور إدارة الأزمات في بناء المرونة التنظيمية. اتبعت المنهج الوصفي، واستخدمت </w:t>
      </w:r>
      <w:r>
        <w:rPr>
          <w:rFonts w:ascii="Times New Roman" w:cs="Simplified Arabic" w:eastAsia="Calibri" w:hAnsi="Times New Roman"/>
          <w:sz w:val="24"/>
          <w:szCs w:val="28"/>
          <w:rtl/>
        </w:rPr>
        <w:t>الاستبيان لجمع البيانات من عينة بلغت (285) مديراً ومشرفاً. أظهرت النتائج وجود علاقة ارتباطية موجبة قوية بين إستراتيجيات الاستباق والجاهزية وبين المرونة التنظيمية، حيث ساهمت هذه الإستراتيجيات في تقليل الفاقد الزمني والمالي أثناء الاضطرابات. وأوصت الدراسة الشركات بضرورة الاستثمار في تدريب الكوادر البشرية على سيناريوهات الأزمات الصناعية المعقدة.</w:t>
      </w:r>
    </w:p>
    <w:p>
      <w:pPr>
        <w:pStyle w:val="style0"/>
        <w:numPr>
          <w:ilvl w:val="0"/>
          <w:numId w:val="16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سانتوس وآخرون</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Pr>
        <w:t>Santos et al., 2025</w:t>
      </w:r>
      <w:r>
        <w:rPr>
          <w:rFonts w:ascii="Times New Roman" w:cs="Simplified Arabic" w:eastAsia="Calibri" w:hAnsi="Times New Roman"/>
          <w:sz w:val="24"/>
          <w:szCs w:val="28"/>
          <w:rtl/>
        </w:rPr>
        <w:t>)، أوروبا، بعنوان: "</w:t>
      </w:r>
      <w:r>
        <w:rPr>
          <w:rFonts w:ascii="Times New Roman" w:cs="Simplified Arabic" w:eastAsia="Calibri" w:hAnsi="Times New Roman"/>
          <w:sz w:val="24"/>
          <w:szCs w:val="28"/>
        </w:rPr>
        <w:t>Dynamic capabilities and organizational resilience: The mediating role of crisis management strategies in European manufacturing SMEs</w:t>
      </w:r>
      <w:r>
        <w:rPr>
          <w:rFonts w:ascii="Times New Roman" w:cs="Simplified Arabic" w:eastAsia="Calibri" w:hAnsi="Times New Roman"/>
          <w:sz w:val="24"/>
          <w:szCs w:val="28"/>
          <w:rtl/>
        </w:rPr>
        <w:t>" (القدرات الديناميكية والمرونة التنظيمية: الدور الوسيط لإستراتيجيات إدارة الأزمات في الشركات الصناعية الصغيرة والمتوسطة الأوروبية). استهدفت الدراسة فحص الدور الوسيط لإستراتيجيات إدارة الأزمات في تعزيز المرونة. اعتمدت المنهج الوصفي التحليلي من خلال مسح ميداني للشركات الأوروبية. خلصت النتائج إلى أن القدرات الديناميكية للمنظمة لا تحقق المرونة المطلوبة إلاّ من خلال تبني إستراتيجيات إدارة أزمات مرنة، وأن إستراتيجية التعافي هي الأكثر تأثيراً في استدامة الأداء التشغيلي. وقدمت الدراسة توصية بضرورة تعزيز الشراكات الإستراتيجية كآلية لإدارة الأزمات العابرة للحدود.</w:t>
      </w:r>
    </w:p>
    <w:p>
      <w:pPr>
        <w:pStyle w:val="style0"/>
        <w:numPr>
          <w:ilvl w:val="0"/>
          <w:numId w:val="16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كونز</w:t>
      </w:r>
      <w:r>
        <w:rPr>
          <w:rFonts w:ascii="Times New Roman" w:cs="Simplified Arabic" w:eastAsia="Calibri" w:hAnsi="Times New Roman"/>
          <w:b/>
          <w:bCs/>
          <w:sz w:val="24"/>
          <w:szCs w:val="28"/>
          <w:rtl/>
        </w:rPr>
        <w:t xml:space="preserve"> </w:t>
      </w:r>
      <w:r>
        <w:rPr>
          <w:rFonts w:ascii="Times New Roman" w:cs="Simplified Arabic" w:eastAsia="Calibri" w:hAnsi="Times New Roman"/>
          <w:b/>
          <w:bCs/>
          <w:sz w:val="24"/>
          <w:szCs w:val="28"/>
          <w:rtl/>
        </w:rPr>
        <w:t>وماجاني</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Pr>
        <w:t>Conz &amp; Magnani, 2025</w:t>
      </w:r>
      <w:r>
        <w:rPr>
          <w:rFonts w:ascii="Times New Roman" w:cs="Simplified Arabic" w:eastAsia="Calibri" w:hAnsi="Times New Roman"/>
          <w:sz w:val="24"/>
          <w:szCs w:val="28"/>
          <w:rtl/>
        </w:rPr>
        <w:t>)، إيطاليا، بعنوان: "</w:t>
      </w:r>
      <w:r>
        <w:rPr>
          <w:rFonts w:ascii="Times New Roman" w:cs="Simplified Arabic" w:eastAsia="Calibri" w:hAnsi="Times New Roman"/>
          <w:sz w:val="24"/>
          <w:szCs w:val="28"/>
        </w:rPr>
        <w:t>Antecedent configurations of organizational resilience in a major crisis: A strategic fit perspective</w:t>
      </w:r>
      <w:r>
        <w:rPr>
          <w:rFonts w:ascii="Times New Roman" w:cs="Simplified Arabic" w:eastAsia="Calibri" w:hAnsi="Times New Roman"/>
          <w:sz w:val="24"/>
          <w:szCs w:val="28"/>
          <w:rtl/>
        </w:rPr>
        <w:t xml:space="preserve">" (تكوينات سوابق المرونة التنظيمية في الأزمات الكبرى: منظور الملاءمة الإستراتيجية). هدفت الدراسة إلى استكشاف العوامل التي تسبق بناء المرونة أثناء الأزمات. استخدمت المنهج النوعي (دراسة الحالة) والكمي المقارن. توصلت النتائج إلى أن الملاءمة بين إستراتيجيات إدارة الأزمات والثقافة التنظيمية السائدة تُعد شرطاً أساسياً لتحقيق المرونة، </w:t>
      </w:r>
      <w:r>
        <w:rPr>
          <w:rFonts w:ascii="Times New Roman" w:cs="Simplified Arabic" w:eastAsia="Calibri" w:hAnsi="Times New Roman"/>
          <w:sz w:val="24"/>
          <w:szCs w:val="28"/>
          <w:rtl/>
        </w:rPr>
        <w:t>وأن الشركات التي نجحت في الصمود هي التي امتلكت إستراتيجيات اتصال أزمة فعالة. وأوصت الدراسة بالتركيز على القيادة التشاركية لتعزيز المرونة النفسية والتنظيمية.</w:t>
      </w:r>
    </w:p>
    <w:p>
      <w:pPr>
        <w:pStyle w:val="style0"/>
        <w:numPr>
          <w:ilvl w:val="0"/>
          <w:numId w:val="16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أولابودي</w:t>
      </w:r>
      <w:r>
        <w:rPr>
          <w:rFonts w:ascii="Times New Roman" w:cs="Simplified Arabic" w:eastAsia="Calibri" w:hAnsi="Times New Roman"/>
          <w:b/>
          <w:bCs/>
          <w:sz w:val="24"/>
          <w:szCs w:val="28"/>
          <w:rtl/>
        </w:rPr>
        <w:t xml:space="preserve"> وآخرون</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Pr>
        <w:t>Olabode et al., 2025</w:t>
      </w:r>
      <w:r>
        <w:rPr>
          <w:rFonts w:ascii="Times New Roman" w:cs="Simplified Arabic" w:eastAsia="Calibri" w:hAnsi="Times New Roman"/>
          <w:sz w:val="24"/>
          <w:szCs w:val="28"/>
          <w:rtl/>
        </w:rPr>
        <w:t>)، المملكة المتحدة، بعنوان: "</w:t>
      </w:r>
      <w:r>
        <w:rPr>
          <w:rFonts w:ascii="Times New Roman" w:cs="Simplified Arabic" w:eastAsia="Calibri" w:hAnsi="Times New Roman"/>
          <w:sz w:val="24"/>
          <w:szCs w:val="28"/>
        </w:rPr>
        <w:t>Bridging and buffering strategies for enhancing manufacturing resilience during global crises: Evidence from UK firms</w:t>
      </w:r>
      <w:r>
        <w:rPr>
          <w:rFonts w:ascii="Times New Roman" w:cs="Simplified Arabic" w:eastAsia="Calibri" w:hAnsi="Times New Roman"/>
          <w:sz w:val="24"/>
          <w:szCs w:val="28"/>
          <w:rtl/>
        </w:rPr>
        <w:t>" (إستراتيجيات التجسير والوقاية لتعزيز مرونة التصنيع أثناء الأزمات العالمية: أدلة من شركات المملكة المتحدة). استهدفت الدراسة مقارنة أثر إستراتيجيات الوقاية والتجسير في مرونة الشركات الصناعية. اتبعت المنهج الكمي، وجمعت البيانات من (310) شركة صناعية. كشفت النتائج أن إستراتيجيات التجسير (التعاون الخارجي) كانت أكثر فعالية في مواجهة أزمات سلاسل التوريد، بينما كانت إستراتيجيات الوقاية أكثر تأثيراً في الأزمات الداخلية. وأوصت الدراسة بتبني مزيج إستراتيجي يجمع بين المرونة الداخلية والانفتاح الخارجي.</w:t>
      </w:r>
    </w:p>
    <w:p>
      <w:pPr>
        <w:pStyle w:val="style0"/>
        <w:numPr>
          <w:ilvl w:val="0"/>
          <w:numId w:val="16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جياو</w:t>
      </w:r>
      <w:r>
        <w:rPr>
          <w:rFonts w:ascii="Times New Roman" w:cs="Simplified Arabic" w:eastAsia="Calibri" w:hAnsi="Times New Roman"/>
          <w:b/>
          <w:bCs/>
          <w:sz w:val="24"/>
          <w:szCs w:val="28"/>
          <w:rtl/>
        </w:rPr>
        <w:t xml:space="preserve"> وآخرون</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Pr>
        <w:t>Gao et al., 2024</w:t>
      </w:r>
      <w:r>
        <w:rPr>
          <w:rFonts w:ascii="Times New Roman" w:cs="Simplified Arabic" w:eastAsia="Calibri" w:hAnsi="Times New Roman"/>
          <w:sz w:val="24"/>
          <w:szCs w:val="28"/>
          <w:rtl/>
        </w:rPr>
        <w:t>)، دولية، بعنوان: "</w:t>
      </w:r>
      <w:r>
        <w:rPr>
          <w:rFonts w:ascii="Times New Roman" w:cs="Simplified Arabic" w:eastAsia="Calibri" w:hAnsi="Times New Roman"/>
          <w:sz w:val="24"/>
          <w:szCs w:val="28"/>
        </w:rPr>
        <w:t>Outcomes of firm resilience in wild card crises—Country, industry, and firm effects in the COVID-19 crisis</w:t>
      </w:r>
      <w:r>
        <w:rPr>
          <w:rFonts w:ascii="Times New Roman" w:cs="Simplified Arabic" w:eastAsia="Calibri" w:hAnsi="Times New Roman"/>
          <w:sz w:val="24"/>
          <w:szCs w:val="28"/>
          <w:rtl/>
        </w:rPr>
        <w:t>" (مخرجات مرونة الشركات في الأزمات غير المتوقعة: تأثيرات الدولة والصناعة والشركة في أزمة كوفيد-19). هدفت الدراسة إلى تحليل مخرجات المرونة التنظيمية في ظل الأزمات العنيفة. اعتمدت المنهج المقارن عبر عدة دول. توصلت النتائج إلى أن المرونة التنظيمية المستندة إلى إستراتيجيات أزمات استباقية مكنت الشركات من الحفاظ على حصتها السوقية رغم تدهور الظروف الاقتصادية العامة. وأوصت الدراسة بضرورة مراجعة نماذج الأعمال التقليدية لتصبح أكثر استجابة للمتغيرات العالمية.</w:t>
      </w:r>
    </w:p>
    <w:p>
      <w:pPr>
        <w:pStyle w:val="style0"/>
        <w:numPr>
          <w:ilvl w:val="0"/>
          <w:numId w:val="16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دراسة </w:t>
      </w:r>
      <w:r>
        <w:rPr>
          <w:rFonts w:ascii="Times New Roman" w:cs="Simplified Arabic" w:eastAsia="Calibri" w:hAnsi="Times New Roman"/>
          <w:b/>
          <w:bCs/>
          <w:sz w:val="24"/>
          <w:szCs w:val="28"/>
          <w:rtl/>
        </w:rPr>
        <w:t>كوسماوان</w:t>
      </w:r>
      <w:r>
        <w:rPr>
          <w:rFonts w:ascii="Times New Roman" w:cs="Simplified Arabic" w:eastAsia="Calibri" w:hAnsi="Times New Roman"/>
          <w:b/>
          <w:bCs/>
          <w:sz w:val="24"/>
          <w:szCs w:val="28"/>
          <w:rtl/>
        </w:rPr>
        <w:t xml:space="preserve"> وآخرون</w:t>
      </w:r>
      <w:r>
        <w:rPr>
          <w:rFonts w:ascii="Times New Roman" w:cs="Simplified Arabic" w:eastAsia="Calibri" w:hAnsi="Times New Roman"/>
          <w:sz w:val="24"/>
          <w:szCs w:val="28"/>
          <w:rtl/>
        </w:rPr>
        <w:t xml:space="preserve"> (</w:t>
      </w:r>
      <w:r>
        <w:rPr>
          <w:rFonts w:ascii="Times New Roman" w:cs="Simplified Arabic" w:eastAsia="Calibri" w:hAnsi="Times New Roman"/>
          <w:sz w:val="24"/>
          <w:szCs w:val="28"/>
        </w:rPr>
        <w:t>Kusmawan</w:t>
      </w:r>
      <w:r>
        <w:rPr>
          <w:rFonts w:ascii="Times New Roman" w:cs="Simplified Arabic" w:eastAsia="Calibri" w:hAnsi="Times New Roman"/>
          <w:sz w:val="24"/>
          <w:szCs w:val="28"/>
        </w:rPr>
        <w:t xml:space="preserve"> et al., 2026</w:t>
      </w:r>
      <w:r>
        <w:rPr>
          <w:rFonts w:ascii="Times New Roman" w:cs="Simplified Arabic" w:eastAsia="Calibri" w:hAnsi="Times New Roman"/>
          <w:sz w:val="24"/>
          <w:szCs w:val="28"/>
          <w:rtl/>
        </w:rPr>
        <w:t>)، إندونيسيا، بعنوان: "</w:t>
      </w:r>
      <w:r>
        <w:rPr>
          <w:rFonts w:ascii="Times New Roman" w:cs="Simplified Arabic" w:eastAsia="Calibri" w:hAnsi="Times New Roman"/>
          <w:sz w:val="24"/>
          <w:szCs w:val="28"/>
        </w:rPr>
        <w:t xml:space="preserve">Organizational resilience in the face of global crises: Risk management and </w:t>
      </w:r>
      <w:r>
        <w:rPr>
          <w:rFonts w:ascii="Times New Roman" w:cs="Simplified Arabic" w:eastAsia="Calibri" w:hAnsi="Times New Roman"/>
          <w:sz w:val="24"/>
          <w:szCs w:val="28"/>
        </w:rPr>
        <w:t>strategy adaptation perspectives</w:t>
      </w:r>
      <w:r>
        <w:rPr>
          <w:rFonts w:ascii="Times New Roman" w:cs="Simplified Arabic" w:eastAsia="Calibri" w:hAnsi="Times New Roman"/>
          <w:sz w:val="24"/>
          <w:szCs w:val="28"/>
          <w:rtl/>
        </w:rPr>
        <w:t>" (المرونة التنظيمية في مواجهة الأزمات العالمية: منظورات إدارة المخاطر وتكيف الإستراتيجية). استهدفت الدراسة بيان أثر تكيف الإستراتيجية في تعزيز المرونة. استخدمت المنهج الوصفي التحليلي. توصلت النتائج إلى أن القدرة على تعديل الإستراتيجية أثناء الأزمة هي المحرك الرئيس للمرونة التنظيمية، وأن إدارة المخاطر تمثل حائط الصد الأول قبل اللجوء لإستراتيجيات التعافي. وأوصت الدراسة بإنشاء مراكز متخصصة لإدارة الأزمات داخل المنظمات الصناعية الكبرى.</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رابعاً: تعقيب تحليلي عام على الدراسات السابقة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استناداً إلى ما تم عرضه من أدبيات ودراسات سابقة محلية وعربية وأجنبية، يمكن تقديم التعقيب التحليلي الآتي:</w:t>
      </w:r>
    </w:p>
    <w:p>
      <w:pPr>
        <w:pStyle w:val="style0"/>
        <w:numPr>
          <w:ilvl w:val="0"/>
          <w:numId w:val="16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اتساق الدراسة الحالية مع الدراسات السابقة: </w:t>
      </w:r>
      <w:r>
        <w:rPr>
          <w:rFonts w:ascii="Times New Roman" w:cs="Simplified Arabic" w:eastAsia="Calibri" w:hAnsi="Times New Roman"/>
          <w:sz w:val="24"/>
          <w:szCs w:val="28"/>
          <w:rtl/>
        </w:rPr>
        <w:t xml:space="preserve">تتسق الدراسة الحالية مع التوجهات الأكاديمية العالمية (مثل دراسة </w:t>
      </w:r>
      <w:r>
        <w:rPr>
          <w:rFonts w:ascii="Times New Roman" w:cs="Simplified Arabic" w:eastAsia="Calibri" w:hAnsi="Times New Roman"/>
          <w:sz w:val="24"/>
          <w:szCs w:val="28"/>
        </w:rPr>
        <w:t>Chen et al., 2024</w:t>
      </w:r>
      <w:r>
        <w:rPr>
          <w:rFonts w:ascii="Times New Roman" w:cs="Simplified Arabic" w:eastAsia="Calibri" w:hAnsi="Times New Roman"/>
          <w:sz w:val="24"/>
          <w:szCs w:val="28"/>
          <w:rtl/>
        </w:rPr>
        <w:t>) والمحلية (مثل دراسة التويجري، 2023) في التأكيد على حيوية العلاقة بين إدارة الأزمات والمرونة التنظيمية، خاصة في القطاعات الإنتاجية والصناعية التي تتأثر بشكل مباشر بالاضطرابات البيئية.</w:t>
      </w:r>
    </w:p>
    <w:p>
      <w:pPr>
        <w:pStyle w:val="style0"/>
        <w:numPr>
          <w:ilvl w:val="0"/>
          <w:numId w:val="16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جوانب اتفاق الدراسة الحالية مع الدراسات السابقة: </w:t>
      </w:r>
      <w:r>
        <w:rPr>
          <w:rFonts w:ascii="Times New Roman" w:cs="Simplified Arabic" w:eastAsia="Calibri" w:hAnsi="Times New Roman"/>
          <w:sz w:val="24"/>
          <w:szCs w:val="28"/>
          <w:rtl/>
        </w:rPr>
        <w:t>اتفقت معظم الدراسات السابقة على أن إستراتيجيات إدارة الأزمات لا تقتصر على رد الفعل، بل هي عمليات استباقية وتفاعلية تهدف إلى حماية استدامة المنظمة. كما اتفقت على المنهج الوصفي التحليلي كأداة رئيسة لدراسة هذه الظاهرة في البيئات الصناعية.</w:t>
      </w:r>
    </w:p>
    <w:p>
      <w:pPr>
        <w:pStyle w:val="style0"/>
        <w:numPr>
          <w:ilvl w:val="0"/>
          <w:numId w:val="16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جوانب اختلاف الدراسة الحالية مع الدراسات السابقة: </w:t>
      </w:r>
      <w:r>
        <w:rPr>
          <w:rFonts w:ascii="Times New Roman" w:cs="Simplified Arabic" w:eastAsia="Calibri" w:hAnsi="Times New Roman"/>
          <w:sz w:val="24"/>
          <w:szCs w:val="28"/>
          <w:rtl/>
        </w:rPr>
        <w:t xml:space="preserve">تختلف الدراسة الحالية في سياقها الزماني والمكاني؛ فهي تُجرى في عام (2026م) مستهدفة الشركات الصناعية في مدينة الرياض تحديداً، في وقت تشهد فيه المملكة تحولات كبرى ضمن رؤية (2030م)، وهو </w:t>
      </w:r>
      <w:r>
        <w:rPr>
          <w:rFonts w:ascii="Times New Roman" w:cs="Simplified Arabic" w:eastAsia="Calibri" w:hAnsi="Times New Roman"/>
          <w:sz w:val="24"/>
          <w:szCs w:val="28"/>
          <w:rtl/>
        </w:rPr>
        <w:t>سياق يختلف عن البيئات الأوروبية أو الآسيوية التي تناولتها الدراسات الأجنبية، وعن الظروف الصحية الاستثنائية التي ركزت عليها دراسات فترة (2020-2022م).</w:t>
      </w:r>
    </w:p>
    <w:p>
      <w:pPr>
        <w:pStyle w:val="style0"/>
        <w:numPr>
          <w:ilvl w:val="0"/>
          <w:numId w:val="16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الفجوة البحثية: </w:t>
      </w:r>
      <w:r>
        <w:rPr>
          <w:rFonts w:ascii="Times New Roman" w:cs="Simplified Arabic" w:eastAsia="Calibri" w:hAnsi="Times New Roman"/>
          <w:sz w:val="24"/>
          <w:szCs w:val="28"/>
          <w:rtl/>
        </w:rPr>
        <w:t>تتبلور الفجوة البحثية في ندرة الدراسات الميدانية التي جمعت بين إستراتيجيات إدارة الأزمات والمرونة التنظيمية في القطاع الصناعي بمدينة الرياض بعد مرحلة التعافي الكلي من الجوائح العالمية والدخول في مرحلة التحول الصناعي الرقمي. إن معظم الدراسات المحلية ركزت على "إدارة الأزمات" كمتغير مستقل للأداء أو التنافسية، بينما تركز هذه الدراسة على "المرونة التنظيمية" كهدف إستراتيجي شامل لمواجهة أزمات المستقبل المعقدة.</w:t>
      </w:r>
    </w:p>
    <w:p>
      <w:pPr>
        <w:pStyle w:val="style0"/>
        <w:numPr>
          <w:ilvl w:val="0"/>
          <w:numId w:val="16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جوانب استفادة الدراسة الحالية من الدراسات السابقة: </w:t>
      </w:r>
      <w:r>
        <w:rPr>
          <w:rFonts w:ascii="Times New Roman" w:cs="Simplified Arabic" w:eastAsia="Calibri" w:hAnsi="Times New Roman"/>
          <w:sz w:val="24"/>
          <w:szCs w:val="28"/>
          <w:rtl/>
        </w:rPr>
        <w:t>استفادت الدراسة الحالية من الأدبيات السابقة في بناء الإطار النظري، وتحديد أبعاد المتغيرات بدقة، وتصميم أداة الدراسة (الاستبيان)، بالإضافة إلى الاسترشاد بالأساليب الإحصائية المتقدمة مثل تحليل الانحدار والتحليل العاملي.</w:t>
      </w:r>
    </w:p>
    <w:p>
      <w:pPr>
        <w:pStyle w:val="style0"/>
        <w:numPr>
          <w:ilvl w:val="0"/>
          <w:numId w:val="16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الجوانب المميزة للدراسة الحالية عن الدراسات السابقة: </w:t>
      </w:r>
      <w:r>
        <w:rPr>
          <w:rFonts w:ascii="Times New Roman" w:cs="Simplified Arabic" w:eastAsia="Calibri" w:hAnsi="Times New Roman"/>
          <w:sz w:val="24"/>
          <w:szCs w:val="28"/>
          <w:rtl/>
        </w:rPr>
        <w:t>تمتاز الدراسة الحالية بتقديم نموذج تكاملي يربط بين إستراتيجيات إدارة الأزمات (المبادرة، الوقاية، الاستجابة، التعافي) وبين أبعاد المرونة (الاستباق، التكيف، التعافي) في بيئة صناعية سعودية رائدة (الرياض)، مع مراعاة المستجدات التقنية والإدارية لعام (2026م)، مما يوفر رؤية معاصرة لصناع القرار.</w:t>
      </w:r>
    </w:p>
    <w:p>
      <w:pPr>
        <w:pStyle w:val="style0"/>
        <w:spacing w:after="0" w:lineRule="auto" w:line="360"/>
        <w:ind w:firstLine="510"/>
        <w:jc w:val="both"/>
        <w:rPr>
          <w:rFonts w:ascii="Times New Roman" w:cs="Simplified Arabic" w:eastAsia="Calibri" w:hAnsi="Times New Roman"/>
          <w:sz w:val="24"/>
          <w:szCs w:val="28"/>
        </w:rPr>
      </w:pPr>
      <w:r>
        <w:rPr>
          <w:rFonts w:ascii="Times New Roman" w:cs="Simplified Arabic" w:eastAsia="Calibri" w:hAnsi="Times New Roman"/>
          <w:sz w:val="24"/>
          <w:szCs w:val="28"/>
        </w:rPr>
        <w:br w:type="page"/>
      </w:r>
    </w:p>
    <w:p>
      <w:pPr>
        <w:pStyle w:val="style0"/>
        <w:spacing w:after="0" w:lineRule="auto" w:line="360"/>
        <w:ind w:firstLine="510"/>
        <w:jc w:val="center"/>
        <w:rPr>
          <w:rFonts w:ascii="Times New Roman" w:cs="Simplified Arabic" w:eastAsia="Calibri" w:hAnsi="Times New Roman"/>
          <w:b/>
          <w:bCs/>
          <w:sz w:val="28"/>
          <w:szCs w:val="32"/>
          <w:rtl/>
        </w:rPr>
      </w:pPr>
      <w:r>
        <w:rPr>
          <w:rFonts w:ascii="Times New Roman" w:cs="Simplified Arabic" w:eastAsia="Calibri" w:hAnsi="Times New Roman"/>
          <w:b/>
          <w:bCs/>
          <w:sz w:val="28"/>
          <w:szCs w:val="32"/>
          <w:rtl/>
        </w:rPr>
        <w:t>المحور الثاني: الإطار النظري للدراسة</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تمهيد:</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يمثل الإطار النظري الركيزة المعرفية التي تستند إليها هذه الدراسة في تفسير الظواهر الإدارية محل البحث، حيث يسعى إلى تأصيل الروابط المفاهيمية والعلاقات المنطقية بين إستراتيجيات إدارة الأزمات كمتغير مستقل، والمرونة التنظيمية كمتغير تابع. وفي ظل التحديات المتسارعة التي تفرضها بيئة الأعمال الصناعية في مدينة الرياض، يبرز هذا الإطار ليوضح كيف يمكن للمنظمات التحول من نمط الاستجابة التقليدية للأزمات إلى بناء قدرات مؤسسية ديناميكية تمكنها من الاستباق والتكيف والتعافي.</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ويتم عرض هذا الإطار عبر ثلاثة مباحث رئيسة؛ يتناول </w:t>
      </w:r>
      <w:r>
        <w:rPr>
          <w:rFonts w:ascii="Times New Roman" w:cs="Simplified Arabic" w:eastAsia="Calibri" w:hAnsi="Times New Roman"/>
          <w:b/>
          <w:bCs/>
          <w:sz w:val="24"/>
          <w:szCs w:val="28"/>
          <w:rtl/>
        </w:rPr>
        <w:t>المبحث الأول</w:t>
      </w:r>
      <w:r>
        <w:rPr>
          <w:rFonts w:ascii="Times New Roman" w:cs="Simplified Arabic" w:eastAsia="Calibri" w:hAnsi="Times New Roman"/>
          <w:sz w:val="24"/>
          <w:szCs w:val="28"/>
          <w:rtl/>
        </w:rPr>
        <w:t xml:space="preserve"> إستراتيجيات إدارة الأزمات من حيث ماهيتها وأبعادها الإستراتيجية، بينما يركز </w:t>
      </w:r>
      <w:r>
        <w:rPr>
          <w:rFonts w:ascii="Times New Roman" w:cs="Simplified Arabic" w:eastAsia="Calibri" w:hAnsi="Times New Roman"/>
          <w:b/>
          <w:bCs/>
          <w:sz w:val="24"/>
          <w:szCs w:val="28"/>
          <w:rtl/>
        </w:rPr>
        <w:t>المبحث الثاني</w:t>
      </w:r>
      <w:r>
        <w:rPr>
          <w:rFonts w:ascii="Times New Roman" w:cs="Simplified Arabic" w:eastAsia="Calibri" w:hAnsi="Times New Roman"/>
          <w:sz w:val="24"/>
          <w:szCs w:val="28"/>
          <w:rtl/>
        </w:rPr>
        <w:t xml:space="preserve"> على فلسفة المرونة التنظيمية ومقوماتها، وصولاً إلى </w:t>
      </w:r>
      <w:r>
        <w:rPr>
          <w:rFonts w:ascii="Times New Roman" w:cs="Simplified Arabic" w:eastAsia="Calibri" w:hAnsi="Times New Roman"/>
          <w:b/>
          <w:bCs/>
          <w:sz w:val="24"/>
          <w:szCs w:val="28"/>
          <w:rtl/>
        </w:rPr>
        <w:t>المبحث الثالث</w:t>
      </w:r>
      <w:r>
        <w:rPr>
          <w:rFonts w:ascii="Times New Roman" w:cs="Simplified Arabic" w:eastAsia="Calibri" w:hAnsi="Times New Roman"/>
          <w:sz w:val="24"/>
          <w:szCs w:val="28"/>
          <w:rtl/>
        </w:rPr>
        <w:t xml:space="preserve"> الذي يستعرض التكامل الوظيفي والدور الحيوي الذي تؤديه إستراتيجيات الأزمات في تعزيز مستويات المرونة لدى الشركات الصناعية، بما يخدم استدامتها وتحقيق مستهدفات رؤية المملكة 2030.</w:t>
      </w:r>
    </w:p>
    <w:p>
      <w:pPr>
        <w:pStyle w:val="style0"/>
        <w:spacing w:after="0" w:lineRule="auto" w:line="360"/>
        <w:ind w:firstLine="510"/>
        <w:jc w:val="center"/>
        <w:rPr>
          <w:rFonts w:ascii="Times New Roman" w:cs="Simplified Arabic" w:eastAsia="Calibri" w:hAnsi="Times New Roman"/>
          <w:b/>
          <w:bCs/>
          <w:sz w:val="26"/>
          <w:szCs w:val="30"/>
          <w:rtl/>
        </w:rPr>
      </w:pPr>
    </w:p>
    <w:p>
      <w:pPr>
        <w:pStyle w:val="style0"/>
        <w:spacing w:after="0" w:lineRule="auto" w:line="360"/>
        <w:ind w:firstLine="510"/>
        <w:jc w:val="center"/>
        <w:rPr>
          <w:rFonts w:ascii="Times New Roman" w:cs="Simplified Arabic" w:eastAsia="Calibri" w:hAnsi="Times New Roman"/>
          <w:b/>
          <w:bCs/>
          <w:sz w:val="26"/>
          <w:szCs w:val="30"/>
          <w:rtl/>
        </w:rPr>
      </w:pPr>
      <w:r>
        <w:rPr>
          <w:rFonts w:ascii="Times New Roman" w:cs="Simplified Arabic" w:eastAsia="Calibri" w:hAnsi="Times New Roman"/>
          <w:b/>
          <w:bCs/>
          <w:sz w:val="26"/>
          <w:szCs w:val="30"/>
          <w:rtl/>
        </w:rPr>
        <w:t>المبحث الأول: إستراتيجيات إدارة الأزمات</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تعد إدارة الأزمات علماً وفناً يهدف إلى السيطرة على الأحداث غير المتوقعة التي تهدد كيان المنظمة وسمعتها واستدامتها. وفي ظل التحديات التي تواجه الشركات الصناعية في مدينة الرياض، لم يعد كافياً امتلاك خطط طوارئ جامدة، بل بات من الضروري تبني "إستراتيجيات" ديناميكية تتسم </w:t>
      </w:r>
      <w:r>
        <w:rPr>
          <w:rFonts w:ascii="Times New Roman" w:cs="Simplified Arabic" w:eastAsia="Calibri" w:hAnsi="Times New Roman"/>
          <w:sz w:val="24"/>
          <w:szCs w:val="28"/>
          <w:rtl/>
        </w:rPr>
        <w:t>بالمرونة والقدرة على استشراف المستقبل. يتناول هذا المبحث مفهوم الأزمة، مراحل تطورها، وماهية إستراتيجيات إدارتها، مع التركيز على الأبعاد الأربعة الرئيسة التي تتبناها الدراسة الحالية.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أولاً: ماهية الأزمة وأبعادها في البيئة الصناعية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قبل الخوض في الإستراتيجيات، يجب فهم طبيعة "الأزمة" (</w:t>
      </w:r>
      <w:r>
        <w:rPr>
          <w:rFonts w:ascii="Times New Roman" w:cs="Simplified Arabic" w:eastAsia="Calibri" w:hAnsi="Times New Roman"/>
          <w:sz w:val="24"/>
          <w:szCs w:val="28"/>
        </w:rPr>
        <w:t>Crisis</w:t>
      </w:r>
      <w:r>
        <w:rPr>
          <w:rFonts w:ascii="Times New Roman" w:cs="Simplified Arabic" w:eastAsia="Calibri" w:hAnsi="Times New Roman"/>
          <w:sz w:val="24"/>
          <w:szCs w:val="28"/>
          <w:rtl/>
        </w:rPr>
        <w:t>). تُعرف الأزمة بأنها موقف مفاجئ يسبب ضغطاً كبيراً على متخذي القرار، ويهدد الأهداف الأساسية للمنظمة، ويتطلب استجابة فورية وحاسمة في وقت قصير (السلمي، 2025). وفي القطاع الصناعي، تتخذ الأزمات أشكالاً متعددة؛ فقد تكون تقنية (فشل خطوط الإنتاج)، أو بيئية (كوارث طبيعية)، أو اقتصادية (انهيار سلاسل التوريد)، أو حتى صحية كما حدث في جائحة كوفيد-19 التي أحدثت شللاً عالمياً في حركة التصنيع (الشمري والدوسري، 2021).</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تتميز الأزمة بخصائص جوهرية تجعل من إدارتها أمراً معقداً، منها:</w:t>
      </w:r>
    </w:p>
    <w:p>
      <w:pPr>
        <w:pStyle w:val="style0"/>
        <w:numPr>
          <w:ilvl w:val="0"/>
          <w:numId w:val="16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عنصر المفاجأة: </w:t>
      </w:r>
      <w:r>
        <w:rPr>
          <w:rFonts w:ascii="Times New Roman" w:cs="Simplified Arabic" w:eastAsia="Calibri" w:hAnsi="Times New Roman"/>
          <w:sz w:val="24"/>
          <w:szCs w:val="28"/>
          <w:rtl/>
        </w:rPr>
        <w:t>رغم وجود مؤشرات إنذار أولي أحياناً، إلا أن الانفجار الفعلي للأزمة غالباً ما يكون صادماً وغير متوقع في توقيته أو حجمه.</w:t>
      </w:r>
    </w:p>
    <w:p>
      <w:pPr>
        <w:pStyle w:val="style0"/>
        <w:numPr>
          <w:ilvl w:val="0"/>
          <w:numId w:val="16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التهديد: </w:t>
      </w:r>
      <w:r>
        <w:rPr>
          <w:rFonts w:ascii="Times New Roman" w:cs="Simplified Arabic" w:eastAsia="Calibri" w:hAnsi="Times New Roman"/>
          <w:sz w:val="24"/>
          <w:szCs w:val="28"/>
          <w:rtl/>
        </w:rPr>
        <w:t>تمثل الأزمة خطراً حقيقياً على بقاء المنظمة أو صورتها الذهنية أمام العملاء والمستثمرين.</w:t>
      </w:r>
    </w:p>
    <w:p>
      <w:pPr>
        <w:pStyle w:val="style0"/>
        <w:numPr>
          <w:ilvl w:val="0"/>
          <w:numId w:val="16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ضيق الوقت: </w:t>
      </w:r>
      <w:r>
        <w:rPr>
          <w:rFonts w:ascii="Times New Roman" w:cs="Simplified Arabic" w:eastAsia="Calibri" w:hAnsi="Times New Roman"/>
          <w:sz w:val="24"/>
          <w:szCs w:val="28"/>
          <w:rtl/>
        </w:rPr>
        <w:t>تتسارع الأحداث في الأزمة بشكل يفوق قدرة الأنظمة الإدارية التقليدية على التحليل المتأني، مما يفرض ضغطاً زمنياً هائلاً.</w:t>
      </w:r>
    </w:p>
    <w:p>
      <w:pPr>
        <w:pStyle w:val="style0"/>
        <w:numPr>
          <w:ilvl w:val="0"/>
          <w:numId w:val="16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نقص المعلومات: </w:t>
      </w:r>
      <w:r>
        <w:rPr>
          <w:rFonts w:ascii="Times New Roman" w:cs="Simplified Arabic" w:eastAsia="Calibri" w:hAnsi="Times New Roman"/>
          <w:sz w:val="24"/>
          <w:szCs w:val="28"/>
          <w:rtl/>
        </w:rPr>
        <w:t>عادة ما يصاحب الأزمة حالة من الغموض وتضارب البيانات، مما يزيد من صعوبة اتخاذ القرارات الصحيحة.</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ثانياً: مفهوم إستراتيجيات إدارة الأزمات</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إدارة الأزمات (</w:t>
      </w:r>
      <w:r>
        <w:rPr>
          <w:rFonts w:ascii="Times New Roman" w:cs="Simplified Arabic" w:eastAsia="Calibri" w:hAnsi="Times New Roman"/>
          <w:sz w:val="24"/>
          <w:szCs w:val="28"/>
        </w:rPr>
        <w:t>Crisis Management</w:t>
      </w:r>
      <w:r>
        <w:rPr>
          <w:rFonts w:ascii="Times New Roman" w:cs="Simplified Arabic" w:eastAsia="Calibri" w:hAnsi="Times New Roman"/>
          <w:sz w:val="24"/>
          <w:szCs w:val="28"/>
          <w:rtl/>
        </w:rPr>
        <w:t xml:space="preserve">) هي العملية النظامية التي تهدف إلى تجنب الأزمات المحتملة، أو التخفيف من آثارها، أو إيقاف تصاعدها وتحويلها إلى فرص للنمو (الجهني </w:t>
      </w:r>
      <w:r>
        <w:rPr>
          <w:rFonts w:ascii="Times New Roman" w:cs="Simplified Arabic" w:eastAsia="Calibri" w:hAnsi="Times New Roman"/>
          <w:sz w:val="24"/>
          <w:szCs w:val="28"/>
          <w:rtl/>
        </w:rPr>
        <w:t>وعبدالوهاب</w:t>
      </w:r>
      <w:r>
        <w:rPr>
          <w:rFonts w:ascii="Times New Roman" w:cs="Simplified Arabic" w:eastAsia="Calibri" w:hAnsi="Times New Roman"/>
          <w:sz w:val="24"/>
          <w:szCs w:val="28"/>
          <w:rtl/>
        </w:rPr>
        <w:t>، 2022). أما "الإستراتيجية" في هذا السياق، فهي تعبر عن الرؤية الشاملة والمسار الطويل الأمد الذي تسلكه المنظمة للتعامل مع الاضطرابات.</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تُعرف إستراتيجيات إدارة الأزمات بأنها "تلك الخيارات الإستراتيجية والأساليب الممنهجة التي تعتمدها الإدارة العليا لتحليل مصادر الخطر، وبناء القدرات الدفاعية، وتخصيص الموارد اللازمة للاستجابة السريعة والتعافي المستدام" (العتيبي والمالكي، 2021). وتشير الأدبيات الحديثة إلى أن نجاح هذه الإستراتيجيات يعتمد بشكل كبير على "الملاءمة الإستراتيجية" (</w:t>
      </w:r>
      <w:r>
        <w:rPr>
          <w:rFonts w:ascii="Times New Roman" w:cs="Simplified Arabic" w:eastAsia="Calibri" w:hAnsi="Times New Roman"/>
          <w:sz w:val="24"/>
          <w:szCs w:val="28"/>
        </w:rPr>
        <w:t>Strategic Fit</w:t>
      </w:r>
      <w:r>
        <w:rPr>
          <w:rFonts w:ascii="Times New Roman" w:cs="Simplified Arabic" w:eastAsia="Calibri" w:hAnsi="Times New Roman"/>
          <w:sz w:val="24"/>
          <w:szCs w:val="28"/>
          <w:rtl/>
        </w:rPr>
        <w:t>) بين قدرات المنظمة الداخلية ومتطلبات البيئة الخارجية المضطربة (</w:t>
      </w:r>
      <w:r>
        <w:rPr>
          <w:rFonts w:ascii="Times New Roman" w:cs="Simplified Arabic" w:eastAsia="Calibri" w:hAnsi="Times New Roman"/>
          <w:sz w:val="24"/>
          <w:szCs w:val="28"/>
        </w:rPr>
        <w:t>Conz &amp; Magnani, 2025</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ثالثاً: مراحل إدارة الأزمة (دورة الحياة الإستراتيجية)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تمر إدارة الأزمة وفق المنظور الإستراتيجي بعدة مراحل، لكل منها أدوات وإستراتيجيات خاصة:</w:t>
      </w:r>
    </w:p>
    <w:p>
      <w:pPr>
        <w:pStyle w:val="style0"/>
        <w:numPr>
          <w:ilvl w:val="0"/>
          <w:numId w:val="16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مرحلة ما قبل الأزمة (الاستباق): </w:t>
      </w:r>
      <w:r>
        <w:rPr>
          <w:rFonts w:ascii="Times New Roman" w:cs="Simplified Arabic" w:eastAsia="Calibri" w:hAnsi="Times New Roman"/>
          <w:sz w:val="24"/>
          <w:szCs w:val="28"/>
          <w:rtl/>
        </w:rPr>
        <w:t>تركز على التنبؤ، والاستعداد، وبناء أنظمة الإنذار المبكر (الغامدي والشهري، 2024).</w:t>
      </w:r>
    </w:p>
    <w:p>
      <w:pPr>
        <w:pStyle w:val="style0"/>
        <w:numPr>
          <w:ilvl w:val="0"/>
          <w:numId w:val="16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مرحلة حدوث الأزمة (المواجهة): </w:t>
      </w:r>
      <w:r>
        <w:rPr>
          <w:rFonts w:ascii="Times New Roman" w:cs="Simplified Arabic" w:eastAsia="Calibri" w:hAnsi="Times New Roman"/>
          <w:sz w:val="24"/>
          <w:szCs w:val="28"/>
          <w:rtl/>
        </w:rPr>
        <w:t>تركز على احتواء الأضرار، وتفعيل فرق المهام، والاتصال الفعال مع أصحاب المصلحة.</w:t>
      </w:r>
    </w:p>
    <w:p>
      <w:pPr>
        <w:pStyle w:val="style0"/>
        <w:numPr>
          <w:ilvl w:val="0"/>
          <w:numId w:val="16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مرحلة ما بعد الأزمة (التعافي والتعلم): </w:t>
      </w:r>
      <w:r>
        <w:rPr>
          <w:rFonts w:ascii="Times New Roman" w:cs="Simplified Arabic" w:eastAsia="Calibri" w:hAnsi="Times New Roman"/>
          <w:sz w:val="24"/>
          <w:szCs w:val="28"/>
          <w:rtl/>
        </w:rPr>
        <w:t>تركز على استعادة العمليات، وإجراء التحقيقات، واستخلاص الدروس لتعزيز المرونة المستقبلية (</w:t>
      </w:r>
      <w:r>
        <w:rPr>
          <w:rFonts w:ascii="Times New Roman" w:cs="Simplified Arabic" w:eastAsia="Calibri" w:hAnsi="Times New Roman"/>
          <w:sz w:val="24"/>
          <w:szCs w:val="28"/>
        </w:rPr>
        <w:t>Malhooz</w:t>
      </w:r>
      <w:r>
        <w:rPr>
          <w:rFonts w:ascii="Times New Roman" w:cs="Simplified Arabic" w:eastAsia="Calibri" w:hAnsi="Times New Roman"/>
          <w:sz w:val="24"/>
          <w:szCs w:val="28"/>
        </w:rPr>
        <w:t>, 2025</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رابعاً: أبعاد إستراتيجيات إدارة الأزمات (محاور الدراسة)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تتبنى الدراسة الحالية أربعة أبعاد أساسية تمثل المنظومة المتكاملة لإدارة الأزمات في الشركات الصناعية: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1. إستراتيجية المبادرة (</w:t>
      </w:r>
      <w:r>
        <w:rPr>
          <w:rFonts w:ascii="Times New Roman" w:cs="Simplified Arabic" w:eastAsia="Calibri" w:hAnsi="Times New Roman"/>
          <w:b/>
          <w:bCs/>
          <w:sz w:val="24"/>
          <w:szCs w:val="28"/>
        </w:rPr>
        <w:t>Proactive Strategy</w:t>
      </w:r>
      <w:r>
        <w:rPr>
          <w:rFonts w:ascii="Times New Roman" w:cs="Simplified Arabic" w:eastAsia="Calibri" w:hAnsi="Times New Roman"/>
          <w:b/>
          <w:bCs/>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تُعد إستراتيجية المبادرة أرقى مستويات التعامل مع الأزمات، حيث تقوم على فلسفة "الهجوم خير وسيلة للدفاع". المنظمة المبادرة لا تنتظر وقوع الأزمة لتبحث عن حلول، بل تسعى جاهدة لتحديد مسببات الأزمات قبل ظهورها (</w:t>
      </w:r>
      <w:r>
        <w:rPr>
          <w:rFonts w:ascii="Times New Roman" w:cs="Simplified Arabic" w:eastAsia="Calibri" w:hAnsi="Times New Roman"/>
          <w:sz w:val="24"/>
          <w:szCs w:val="28"/>
        </w:rPr>
        <w:t>Duchek, 2020</w:t>
      </w:r>
      <w:r>
        <w:rPr>
          <w:rFonts w:ascii="Times New Roman" w:cs="Simplified Arabic" w:eastAsia="Calibri" w:hAnsi="Times New Roman"/>
          <w:sz w:val="24"/>
          <w:szCs w:val="28"/>
          <w:rtl/>
        </w:rPr>
        <w:t>).</w:t>
      </w:r>
    </w:p>
    <w:p>
      <w:pPr>
        <w:pStyle w:val="style0"/>
        <w:numPr>
          <w:ilvl w:val="0"/>
          <w:numId w:val="17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عناصر المبادرة في الشركات الصناعية:</w:t>
      </w:r>
    </w:p>
    <w:p>
      <w:pPr>
        <w:pStyle w:val="style0"/>
        <w:numPr>
          <w:ilvl w:val="1"/>
          <w:numId w:val="17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استشراف المستقبل: </w:t>
      </w:r>
      <w:r>
        <w:rPr>
          <w:rFonts w:ascii="Times New Roman" w:cs="Simplified Arabic" w:eastAsia="Calibri" w:hAnsi="Times New Roman"/>
          <w:sz w:val="24"/>
          <w:szCs w:val="28"/>
          <w:rtl/>
        </w:rPr>
        <w:t>استخدام السيناريوهات المستقبلية لتوقع التغيرات في الأسواق العالمية وأسعار المواد الخام (الغامدي والشهري، 2024).</w:t>
      </w:r>
    </w:p>
    <w:p>
      <w:pPr>
        <w:pStyle w:val="style0"/>
        <w:numPr>
          <w:ilvl w:val="1"/>
          <w:numId w:val="17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تحليل نقاط الضعف: </w:t>
      </w:r>
      <w:r>
        <w:rPr>
          <w:rFonts w:ascii="Times New Roman" w:cs="Simplified Arabic" w:eastAsia="Calibri" w:hAnsi="Times New Roman"/>
          <w:sz w:val="24"/>
          <w:szCs w:val="28"/>
          <w:rtl/>
        </w:rPr>
        <w:t>إجراء فحوصات دورية وشاملة للهياكل التنظيمية وخطوط الإنتاج لاكتشاف مواطن الخلل المحتملة.</w:t>
      </w:r>
    </w:p>
    <w:p>
      <w:pPr>
        <w:pStyle w:val="style0"/>
        <w:numPr>
          <w:ilvl w:val="1"/>
          <w:numId w:val="17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الاستثمار في التكنولوجيا: </w:t>
      </w:r>
      <w:r>
        <w:rPr>
          <w:rFonts w:ascii="Times New Roman" w:cs="Simplified Arabic" w:eastAsia="Calibri" w:hAnsi="Times New Roman"/>
          <w:sz w:val="24"/>
          <w:szCs w:val="28"/>
          <w:rtl/>
        </w:rPr>
        <w:t>تبني أنظمة الذكاء الاصطناعي وإنترنت الأشياء (</w:t>
      </w:r>
      <w:r>
        <w:rPr>
          <w:rFonts w:ascii="Times New Roman" w:cs="Simplified Arabic" w:eastAsia="Calibri" w:hAnsi="Times New Roman"/>
          <w:sz w:val="24"/>
          <w:szCs w:val="28"/>
        </w:rPr>
        <w:t>IoT</w:t>
      </w:r>
      <w:r>
        <w:rPr>
          <w:rFonts w:ascii="Times New Roman" w:cs="Simplified Arabic" w:eastAsia="Calibri" w:hAnsi="Times New Roman"/>
          <w:sz w:val="24"/>
          <w:szCs w:val="28"/>
          <w:rtl/>
        </w:rPr>
        <w:t>) لمراقبة الأداء الصناعي اللحظي وتوقع الأعطال التقنية قبل حدوثها (</w:t>
      </w:r>
      <w:r>
        <w:rPr>
          <w:rFonts w:ascii="Times New Roman" w:cs="Simplified Arabic" w:eastAsia="Calibri" w:hAnsi="Times New Roman"/>
          <w:sz w:val="24"/>
          <w:szCs w:val="28"/>
        </w:rPr>
        <w:t>Yin et al., 2025</w:t>
      </w:r>
      <w:r>
        <w:rPr>
          <w:rFonts w:ascii="Times New Roman" w:cs="Simplified Arabic" w:eastAsia="Calibri" w:hAnsi="Times New Roman"/>
          <w:sz w:val="24"/>
          <w:szCs w:val="28"/>
          <w:rtl/>
        </w:rPr>
        <w:t>).</w:t>
      </w:r>
    </w:p>
    <w:p>
      <w:pPr>
        <w:pStyle w:val="style0"/>
        <w:numPr>
          <w:ilvl w:val="1"/>
          <w:numId w:val="170"/>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التوعية الثقافية: </w:t>
      </w:r>
      <w:r>
        <w:rPr>
          <w:rFonts w:ascii="Times New Roman" w:cs="Simplified Arabic" w:eastAsia="Calibri" w:hAnsi="Times New Roman"/>
          <w:sz w:val="24"/>
          <w:szCs w:val="28"/>
          <w:rtl/>
        </w:rPr>
        <w:t>غرس ثقافة "اليقظة" لدى الموظفين، بحيث يكون كل عامل مستشعراً للمخاطر وقادراً على التبليغ عن أي انحراف.</w:t>
      </w:r>
    </w:p>
    <w:p>
      <w:pPr>
        <w:pStyle w:val="style0"/>
        <w:spacing w:after="0" w:lineRule="auto" w:line="360"/>
        <w:jc w:val="both"/>
        <w:rPr>
          <w:rFonts w:ascii="Times New Roman" w:cs="Simplified Arabic" w:eastAsia="Calibri" w:hAnsi="Times New Roman"/>
          <w:sz w:val="24"/>
          <w:szCs w:val="28"/>
          <w:rtl/>
        </w:rPr>
      </w:pPr>
    </w:p>
    <w:p>
      <w:pPr>
        <w:pStyle w:val="style0"/>
        <w:spacing w:after="0" w:lineRule="auto" w:line="360"/>
        <w:jc w:val="both"/>
        <w:rPr>
          <w:rFonts w:ascii="Times New Roman" w:cs="Simplified Arabic" w:eastAsia="Calibri" w:hAnsi="Times New Roman"/>
          <w:sz w:val="24"/>
          <w:szCs w:val="28"/>
          <w:rtl/>
        </w:rPr>
      </w:pPr>
    </w:p>
    <w:p>
      <w:pPr>
        <w:pStyle w:val="style0"/>
        <w:spacing w:after="0" w:lineRule="auto" w:line="360"/>
        <w:jc w:val="both"/>
        <w:rPr>
          <w:rFonts w:ascii="Times New Roman" w:cs="Simplified Arabic" w:eastAsia="Calibri" w:hAnsi="Times New Roman"/>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2. إستراتيجية الوقاية (</w:t>
      </w:r>
      <w:r>
        <w:rPr>
          <w:rFonts w:ascii="Times New Roman" w:cs="Simplified Arabic" w:eastAsia="Calibri" w:hAnsi="Times New Roman"/>
          <w:b/>
          <w:bCs/>
          <w:sz w:val="24"/>
          <w:szCs w:val="28"/>
        </w:rPr>
        <w:t>Preventive Strategy</w:t>
      </w:r>
      <w:r>
        <w:rPr>
          <w:rFonts w:ascii="Times New Roman" w:cs="Simplified Arabic" w:eastAsia="Calibri" w:hAnsi="Times New Roman"/>
          <w:b/>
          <w:bCs/>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إذا كانت المبادرة تركز على التوقع، فإن الوقاية تركز على بناء "الدروع" التنظيمية التي تحول دون وقوع الأزمة أو تمنع امتداد أثرها. تهدف هذه الإستراتيجية إلى تقليل احتمالية وقوع الأزمة إلى أدنى مستوياتها (</w:t>
      </w:r>
      <w:r>
        <w:rPr>
          <w:rFonts w:ascii="Times New Roman" w:cs="Simplified Arabic" w:eastAsia="Calibri" w:hAnsi="Times New Roman"/>
          <w:sz w:val="24"/>
          <w:szCs w:val="28"/>
        </w:rPr>
        <w:t>Santos et al., 2025</w:t>
      </w:r>
      <w:r>
        <w:rPr>
          <w:rFonts w:ascii="Times New Roman" w:cs="Simplified Arabic" w:eastAsia="Calibri" w:hAnsi="Times New Roman"/>
          <w:sz w:val="24"/>
          <w:szCs w:val="28"/>
          <w:rtl/>
        </w:rPr>
        <w:t>).</w:t>
      </w:r>
    </w:p>
    <w:p>
      <w:pPr>
        <w:pStyle w:val="style0"/>
        <w:numPr>
          <w:ilvl w:val="0"/>
          <w:numId w:val="17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تطبيقات الوقاية في البيئة الصناعية بالرياض:</w:t>
      </w:r>
    </w:p>
    <w:p>
      <w:pPr>
        <w:pStyle w:val="style0"/>
        <w:numPr>
          <w:ilvl w:val="1"/>
          <w:numId w:val="17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أنظمة الإنذار المبكر (</w:t>
      </w:r>
      <w:r>
        <w:rPr>
          <w:rFonts w:ascii="Times New Roman" w:cs="Simplified Arabic" w:eastAsia="Calibri" w:hAnsi="Times New Roman"/>
          <w:b/>
          <w:bCs/>
          <w:sz w:val="24"/>
          <w:szCs w:val="28"/>
        </w:rPr>
        <w:t>EWIs</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تصميم مؤشرات قياس أداء (</w:t>
      </w:r>
      <w:r>
        <w:rPr>
          <w:rFonts w:ascii="Times New Roman" w:cs="Simplified Arabic" w:eastAsia="Calibri" w:hAnsi="Times New Roman"/>
          <w:sz w:val="24"/>
          <w:szCs w:val="28"/>
        </w:rPr>
        <w:t>KPIs</w:t>
      </w:r>
      <w:r>
        <w:rPr>
          <w:rFonts w:ascii="Times New Roman" w:cs="Simplified Arabic" w:eastAsia="Calibri" w:hAnsi="Times New Roman"/>
          <w:sz w:val="24"/>
          <w:szCs w:val="28"/>
          <w:rtl/>
        </w:rPr>
        <w:t>) حساسة للتغيرات الاقتصادية أو التشغيلية.</w:t>
      </w:r>
    </w:p>
    <w:p>
      <w:pPr>
        <w:pStyle w:val="style0"/>
        <w:numPr>
          <w:ilvl w:val="1"/>
          <w:numId w:val="17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تخطيط الطوارئ: </w:t>
      </w:r>
      <w:r>
        <w:rPr>
          <w:rFonts w:ascii="Times New Roman" w:cs="Simplified Arabic" w:eastAsia="Calibri" w:hAnsi="Times New Roman"/>
          <w:sz w:val="24"/>
          <w:szCs w:val="28"/>
          <w:rtl/>
        </w:rPr>
        <w:t>إعداد "دليل أزمات" يتضمن سيناريوهات محددة لكل نوع من المخاطر المحتملة وتحديد الأدوار والمسؤوليات (</w:t>
      </w:r>
      <w:r>
        <w:rPr>
          <w:rFonts w:ascii="Times New Roman" w:cs="Simplified Arabic" w:eastAsia="Calibri" w:hAnsi="Times New Roman"/>
          <w:sz w:val="24"/>
          <w:szCs w:val="28"/>
          <w:rtl/>
        </w:rPr>
        <w:t>إكبوكو</w:t>
      </w:r>
      <w:r>
        <w:rPr>
          <w:rFonts w:ascii="Times New Roman" w:cs="Simplified Arabic" w:eastAsia="Calibri" w:hAnsi="Times New Roman"/>
          <w:sz w:val="24"/>
          <w:szCs w:val="28"/>
          <w:rtl/>
        </w:rPr>
        <w:t xml:space="preserve"> وآخرون، 2025).</w:t>
      </w:r>
    </w:p>
    <w:p>
      <w:pPr>
        <w:pStyle w:val="style0"/>
        <w:numPr>
          <w:ilvl w:val="1"/>
          <w:numId w:val="17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تنويع الموارد: </w:t>
      </w:r>
      <w:r>
        <w:rPr>
          <w:rFonts w:ascii="Times New Roman" w:cs="Simplified Arabic" w:eastAsia="Calibri" w:hAnsi="Times New Roman"/>
          <w:sz w:val="24"/>
          <w:szCs w:val="28"/>
          <w:rtl/>
        </w:rPr>
        <w:t>عدم الاعتماد على مورد واحد أو سوق واحدة، مما يقلل من مخاطر الصدمات الخارجية في سلاسل الإمداد (</w:t>
      </w:r>
      <w:r>
        <w:rPr>
          <w:rFonts w:ascii="Times New Roman" w:cs="Simplified Arabic" w:eastAsia="Calibri" w:hAnsi="Times New Roman"/>
          <w:sz w:val="24"/>
          <w:szCs w:val="28"/>
        </w:rPr>
        <w:t>Olabode et al., 2025</w:t>
      </w:r>
      <w:r>
        <w:rPr>
          <w:rFonts w:ascii="Times New Roman" w:cs="Simplified Arabic" w:eastAsia="Calibri" w:hAnsi="Times New Roman"/>
          <w:sz w:val="24"/>
          <w:szCs w:val="28"/>
          <w:rtl/>
        </w:rPr>
        <w:t>).</w:t>
      </w:r>
    </w:p>
    <w:p>
      <w:pPr>
        <w:pStyle w:val="style0"/>
        <w:numPr>
          <w:ilvl w:val="1"/>
          <w:numId w:val="17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المناورات التجريبية: </w:t>
      </w:r>
      <w:r>
        <w:rPr>
          <w:rFonts w:ascii="Times New Roman" w:cs="Simplified Arabic" w:eastAsia="Calibri" w:hAnsi="Times New Roman"/>
          <w:sz w:val="24"/>
          <w:szCs w:val="28"/>
          <w:rtl/>
        </w:rPr>
        <w:t>إجراء تمارين محاكاة للأزمات (</w:t>
      </w:r>
      <w:r>
        <w:rPr>
          <w:rFonts w:ascii="Times New Roman" w:cs="Simplified Arabic" w:eastAsia="Calibri" w:hAnsi="Times New Roman"/>
          <w:sz w:val="24"/>
          <w:szCs w:val="28"/>
        </w:rPr>
        <w:t>Simulations</w:t>
      </w:r>
      <w:r>
        <w:rPr>
          <w:rFonts w:ascii="Times New Roman" w:cs="Simplified Arabic" w:eastAsia="Calibri" w:hAnsi="Times New Roman"/>
          <w:sz w:val="24"/>
          <w:szCs w:val="28"/>
          <w:rtl/>
        </w:rPr>
        <w:t>) لتدريب فرق العمل على كيفية التصرف الفعلي عند انقطاع الكهرباء أو تسرب المواد الكيميائية مثلاً.</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3. إستراتيجية الاستجابة (</w:t>
      </w:r>
      <w:r>
        <w:rPr>
          <w:rFonts w:ascii="Times New Roman" w:cs="Simplified Arabic" w:eastAsia="Calibri" w:hAnsi="Times New Roman"/>
          <w:b/>
          <w:bCs/>
          <w:sz w:val="24"/>
          <w:szCs w:val="28"/>
        </w:rPr>
        <w:t>Response Strategy</w:t>
      </w:r>
      <w:r>
        <w:rPr>
          <w:rFonts w:ascii="Times New Roman" w:cs="Simplified Arabic" w:eastAsia="Calibri" w:hAnsi="Times New Roman"/>
          <w:b/>
          <w:bCs/>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تمثل هذه الإستراتيجية الإجراءات الميدانية التي تُتخذ لحظة وقوع الأزمة. الهدف هنا هو "السيطرة" ومنع تفاقم الوضع (</w:t>
      </w:r>
      <w:r>
        <w:rPr>
          <w:rFonts w:ascii="Times New Roman" w:cs="Simplified Arabic" w:eastAsia="Calibri" w:hAnsi="Times New Roman"/>
          <w:sz w:val="24"/>
          <w:szCs w:val="28"/>
        </w:rPr>
        <w:t>Containment</w:t>
      </w:r>
      <w:r>
        <w:rPr>
          <w:rFonts w:ascii="Times New Roman" w:cs="Simplified Arabic" w:eastAsia="Calibri" w:hAnsi="Times New Roman"/>
          <w:sz w:val="24"/>
          <w:szCs w:val="28"/>
          <w:rtl/>
        </w:rPr>
        <w:t>). تعتمد جودة الاستجابة على سرعة اتخاذ القرار وتدفق المعلومات (</w:t>
      </w:r>
      <w:r>
        <w:rPr>
          <w:rFonts w:ascii="Times New Roman" w:cs="Simplified Arabic" w:eastAsia="Calibri" w:hAnsi="Times New Roman"/>
          <w:sz w:val="24"/>
          <w:szCs w:val="28"/>
        </w:rPr>
        <w:t>Chen et al., 2024</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p>
    <w:p>
      <w:pPr>
        <w:pStyle w:val="style0"/>
        <w:spacing w:after="0" w:lineRule="auto" w:line="360"/>
        <w:ind w:firstLine="510"/>
        <w:jc w:val="both"/>
        <w:rPr>
          <w:rFonts w:ascii="Times New Roman" w:cs="Simplified Arabic" w:eastAsia="Calibri" w:hAnsi="Times New Roman"/>
          <w:sz w:val="24"/>
          <w:szCs w:val="28"/>
          <w:rtl/>
        </w:rPr>
      </w:pPr>
    </w:p>
    <w:p>
      <w:pPr>
        <w:pStyle w:val="style0"/>
        <w:numPr>
          <w:ilvl w:val="0"/>
          <w:numId w:val="17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متطلبات الاستجابة الفعالة:</w:t>
      </w:r>
    </w:p>
    <w:p>
      <w:pPr>
        <w:pStyle w:val="style0"/>
        <w:numPr>
          <w:ilvl w:val="1"/>
          <w:numId w:val="17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فريق إدارة الأزمة (</w:t>
      </w:r>
      <w:r>
        <w:rPr>
          <w:rFonts w:ascii="Times New Roman" w:cs="Simplified Arabic" w:eastAsia="Calibri" w:hAnsi="Times New Roman"/>
          <w:b/>
          <w:bCs/>
          <w:sz w:val="24"/>
          <w:szCs w:val="28"/>
        </w:rPr>
        <w:t>CMT</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تشكيل فريق متعدد التخصصات يتمتع بصلاحيات واسعة لاتخاذ قرارات سريعة دون الرجوع للبيروقراطية التقليدية.</w:t>
      </w:r>
    </w:p>
    <w:p>
      <w:pPr>
        <w:pStyle w:val="style0"/>
        <w:numPr>
          <w:ilvl w:val="1"/>
          <w:numId w:val="17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مركز عمليات الأزمات: </w:t>
      </w:r>
      <w:r>
        <w:rPr>
          <w:rFonts w:ascii="Times New Roman" w:cs="Simplified Arabic" w:eastAsia="Calibri" w:hAnsi="Times New Roman"/>
          <w:sz w:val="24"/>
          <w:szCs w:val="28"/>
          <w:rtl/>
        </w:rPr>
        <w:t>توفير غرفة عمليات مجهزة تقنياً لمتابعة الأحداث لحظة بلحظة.</w:t>
      </w:r>
    </w:p>
    <w:p>
      <w:pPr>
        <w:pStyle w:val="style0"/>
        <w:numPr>
          <w:ilvl w:val="1"/>
          <w:numId w:val="17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إستراتيجية الاتصال: </w:t>
      </w:r>
      <w:r>
        <w:rPr>
          <w:rFonts w:ascii="Times New Roman" w:cs="Simplified Arabic" w:eastAsia="Calibri" w:hAnsi="Times New Roman"/>
          <w:sz w:val="24"/>
          <w:szCs w:val="28"/>
          <w:rtl/>
        </w:rPr>
        <w:t>التواصل الشفاف والصادق مع الموظفين، والعملاء، والجهات الحكومية، ووسائل الإعلام لمنع انتشار الشائعات التي قد تدمر سمعة الشركة (الشمري والدوسري، 2021).</w:t>
      </w:r>
    </w:p>
    <w:p>
      <w:pPr>
        <w:pStyle w:val="style0"/>
        <w:numPr>
          <w:ilvl w:val="1"/>
          <w:numId w:val="17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تعبئة الموارد: </w:t>
      </w:r>
      <w:r>
        <w:rPr>
          <w:rFonts w:ascii="Times New Roman" w:cs="Simplified Arabic" w:eastAsia="Calibri" w:hAnsi="Times New Roman"/>
          <w:sz w:val="24"/>
          <w:szCs w:val="28"/>
          <w:rtl/>
        </w:rPr>
        <w:t>توجيه كافة الإمكانيات المادية والمالية والتقنية نحو نقاط الاختناق في الأزمة لضمان عدم توقف العمليات الحيوية.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4. إستراتيجية التعافي (</w:t>
      </w:r>
      <w:r>
        <w:rPr>
          <w:rFonts w:ascii="Times New Roman" w:cs="Simplified Arabic" w:eastAsia="Calibri" w:hAnsi="Times New Roman"/>
          <w:b/>
          <w:bCs/>
          <w:sz w:val="24"/>
          <w:szCs w:val="28"/>
        </w:rPr>
        <w:t>Recovery Strategy</w:t>
      </w:r>
      <w:r>
        <w:rPr>
          <w:rFonts w:ascii="Times New Roman" w:cs="Simplified Arabic" w:eastAsia="Calibri" w:hAnsi="Times New Roman"/>
          <w:b/>
          <w:bCs/>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بعد انحسار العاصفة، تبدأ مرحلة التعافي التي تهدف إلى إعادة المنظمة إلى حالتها الطبيعية، بل وأفضل مما كانت عليه. التعافي ليس مجرد إصلاح الأضرار، بل هو عملية "إعادة بناء" إستراتيجية (</w:t>
      </w:r>
      <w:r>
        <w:rPr>
          <w:rFonts w:ascii="Times New Roman" w:cs="Simplified Arabic" w:eastAsia="Calibri" w:hAnsi="Times New Roman"/>
          <w:sz w:val="24"/>
          <w:szCs w:val="28"/>
        </w:rPr>
        <w:t>Giang, 2024</w:t>
      </w:r>
      <w:r>
        <w:rPr>
          <w:rFonts w:ascii="Times New Roman" w:cs="Simplified Arabic" w:eastAsia="Calibri" w:hAnsi="Times New Roman"/>
          <w:sz w:val="24"/>
          <w:szCs w:val="28"/>
          <w:rtl/>
        </w:rPr>
        <w:t>).</w:t>
      </w:r>
    </w:p>
    <w:p>
      <w:pPr>
        <w:pStyle w:val="style0"/>
        <w:numPr>
          <w:ilvl w:val="0"/>
          <w:numId w:val="17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أبعاد التعافي التنظيمي:</w:t>
      </w:r>
    </w:p>
    <w:p>
      <w:pPr>
        <w:pStyle w:val="style0"/>
        <w:numPr>
          <w:ilvl w:val="1"/>
          <w:numId w:val="17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التعافي التشغيلي: </w:t>
      </w:r>
      <w:r>
        <w:rPr>
          <w:rFonts w:ascii="Times New Roman" w:cs="Simplified Arabic" w:eastAsia="Calibri" w:hAnsi="Times New Roman"/>
          <w:sz w:val="24"/>
          <w:szCs w:val="28"/>
          <w:rtl/>
        </w:rPr>
        <w:t>استئناف الإنتاج، وإصلاح المعدات، وتعويض النقص في المخزون.</w:t>
      </w:r>
    </w:p>
    <w:p>
      <w:pPr>
        <w:pStyle w:val="style0"/>
        <w:numPr>
          <w:ilvl w:val="1"/>
          <w:numId w:val="17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التعافي المعنوي: </w:t>
      </w:r>
      <w:r>
        <w:rPr>
          <w:rFonts w:ascii="Times New Roman" w:cs="Simplified Arabic" w:eastAsia="Calibri" w:hAnsi="Times New Roman"/>
          <w:sz w:val="24"/>
          <w:szCs w:val="28"/>
          <w:rtl/>
        </w:rPr>
        <w:t>معالجة الآثار النفسية للأزمة على العاملين وإعادة بناء الثقة التنظيمية (حجازي وآخرون، 2025).</w:t>
      </w:r>
    </w:p>
    <w:p>
      <w:pPr>
        <w:pStyle w:val="style0"/>
        <w:numPr>
          <w:ilvl w:val="1"/>
          <w:numId w:val="17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التعلم التنظيمي: </w:t>
      </w:r>
      <w:r>
        <w:rPr>
          <w:rFonts w:ascii="Times New Roman" w:cs="Simplified Arabic" w:eastAsia="Calibri" w:hAnsi="Times New Roman"/>
          <w:sz w:val="24"/>
          <w:szCs w:val="28"/>
          <w:rtl/>
        </w:rPr>
        <w:t>إجراء مراجعة شاملة لما بعد الأزمة (</w:t>
      </w:r>
      <w:r>
        <w:rPr>
          <w:rFonts w:ascii="Times New Roman" w:cs="Simplified Arabic" w:eastAsia="Calibri" w:hAnsi="Times New Roman"/>
          <w:sz w:val="24"/>
          <w:szCs w:val="28"/>
        </w:rPr>
        <w:t>Post-Crisis Audit</w:t>
      </w:r>
      <w:r>
        <w:rPr>
          <w:rFonts w:ascii="Times New Roman" w:cs="Simplified Arabic" w:eastAsia="Calibri" w:hAnsi="Times New Roman"/>
          <w:sz w:val="24"/>
          <w:szCs w:val="28"/>
          <w:rtl/>
        </w:rPr>
        <w:t>) لتحديد: لماذا حدثت الأزمة؟ وكيف كان أداؤنا؟ وكيف نمنع تكرارها؟</w:t>
      </w:r>
    </w:p>
    <w:p>
      <w:pPr>
        <w:pStyle w:val="style0"/>
        <w:numPr>
          <w:ilvl w:val="1"/>
          <w:numId w:val="17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التعديل الإستراتيجي: </w:t>
      </w:r>
      <w:r>
        <w:rPr>
          <w:rFonts w:ascii="Times New Roman" w:cs="Simplified Arabic" w:eastAsia="Calibri" w:hAnsi="Times New Roman"/>
          <w:sz w:val="24"/>
          <w:szCs w:val="28"/>
          <w:rtl/>
        </w:rPr>
        <w:t>تغيير بعض السياسات أو الإستراتيجيات بناءً على الدروس المستفادة، وهو ما يمثل جوهر المرونة التنظيمية (</w:t>
      </w:r>
      <w:r>
        <w:rPr>
          <w:rFonts w:ascii="Times New Roman" w:cs="Simplified Arabic" w:eastAsia="Calibri" w:hAnsi="Times New Roman"/>
          <w:sz w:val="24"/>
          <w:szCs w:val="28"/>
        </w:rPr>
        <w:t>Bachtiar et al., 2023</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خامساً: إستراتيجيات إدارة الأزمات والقطاع الصناعي في الرياض (رؤية 2030)</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تعيش الشركات الصناعية في مدينة الرياض في بيئة محفزة تتسم بالدعم الحكومي اللامحدود من خلال "برنامج تطوير الصناعة الوطنية والخدمات اللوجستية" (</w:t>
      </w:r>
      <w:r>
        <w:rPr>
          <w:rFonts w:ascii="Times New Roman" w:cs="Simplified Arabic" w:eastAsia="Calibri" w:hAnsi="Times New Roman"/>
          <w:sz w:val="24"/>
          <w:szCs w:val="28"/>
          <w:rtl/>
        </w:rPr>
        <w:t>ندلب</w:t>
      </w:r>
      <w:r>
        <w:rPr>
          <w:rFonts w:ascii="Times New Roman" w:cs="Simplified Arabic" w:eastAsia="Calibri" w:hAnsi="Times New Roman"/>
          <w:sz w:val="24"/>
          <w:szCs w:val="28"/>
          <w:rtl/>
        </w:rPr>
        <w:t>). ومع ذلك، فإن هذا النمو يصاحبه مخاطر مرتبطة بالتقلبات السعرية العالمية والتحولات الرقمية (الثورة الصناعية الرابعة).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لذا، فإن تبني هذه الإستراتيجيات في الرياض يتطلب:</w:t>
      </w:r>
    </w:p>
    <w:p>
      <w:pPr>
        <w:pStyle w:val="style0"/>
        <w:numPr>
          <w:ilvl w:val="0"/>
          <w:numId w:val="17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المواءمة مع المعايير الوطنية: </w:t>
      </w:r>
      <w:r>
        <w:rPr>
          <w:rFonts w:ascii="Times New Roman" w:cs="Simplified Arabic" w:eastAsia="Calibri" w:hAnsi="Times New Roman"/>
          <w:sz w:val="24"/>
          <w:szCs w:val="28"/>
          <w:rtl/>
        </w:rPr>
        <w:t>الالتزام بمتطلبات الهيئة العليا للأمن الصناعي والهيئة السعودية للمواصفات والمقاييس والجودة (</w:t>
      </w:r>
      <w:r>
        <w:rPr>
          <w:rFonts w:ascii="Times New Roman" w:cs="Simplified Arabic" w:eastAsia="Calibri" w:hAnsi="Times New Roman"/>
          <w:sz w:val="24"/>
          <w:szCs w:val="28"/>
        </w:rPr>
        <w:t>SASO</w:t>
      </w:r>
      <w:r>
        <w:rPr>
          <w:rFonts w:ascii="Times New Roman" w:cs="Simplified Arabic" w:eastAsia="Calibri" w:hAnsi="Times New Roman"/>
          <w:sz w:val="24"/>
          <w:szCs w:val="28"/>
          <w:rtl/>
        </w:rPr>
        <w:t>).</w:t>
      </w:r>
    </w:p>
    <w:p>
      <w:pPr>
        <w:pStyle w:val="style0"/>
        <w:numPr>
          <w:ilvl w:val="0"/>
          <w:numId w:val="17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المرونة الرقمية: </w:t>
      </w:r>
      <w:r>
        <w:rPr>
          <w:rFonts w:ascii="Times New Roman" w:cs="Simplified Arabic" w:eastAsia="Calibri" w:hAnsi="Times New Roman"/>
          <w:sz w:val="24"/>
          <w:szCs w:val="28"/>
          <w:rtl/>
        </w:rPr>
        <w:t>دمج إستراتيجيات إدارة الأزمات مع التحول الرقمي، حيث أن الأنظمة السحابية والأتمتة تساهم في تقليل الخطأ البشري أثناء الأزمات (</w:t>
      </w:r>
      <w:r>
        <w:rPr>
          <w:rFonts w:ascii="Times New Roman" w:cs="Simplified Arabic" w:eastAsia="Calibri" w:hAnsi="Times New Roman"/>
          <w:sz w:val="24"/>
          <w:szCs w:val="28"/>
        </w:rPr>
        <w:t>Awad</w:t>
      </w:r>
      <w:r>
        <w:rPr>
          <w:rFonts w:ascii="Times New Roman" w:cs="Simplified Arabic" w:eastAsia="Calibri" w:hAnsi="Times New Roman"/>
          <w:sz w:val="24"/>
          <w:szCs w:val="28"/>
          <w:rtl/>
        </w:rPr>
        <w:t xml:space="preserve"> &amp; </w:t>
      </w:r>
      <w:r>
        <w:rPr>
          <w:rFonts w:ascii="Times New Roman" w:cs="Simplified Arabic" w:eastAsia="Calibri" w:hAnsi="Times New Roman"/>
          <w:sz w:val="24"/>
          <w:szCs w:val="28"/>
        </w:rPr>
        <w:t>Martín-Rojas, 2024</w:t>
      </w:r>
      <w:r>
        <w:rPr>
          <w:rFonts w:ascii="Times New Roman" w:cs="Simplified Arabic" w:eastAsia="Calibri" w:hAnsi="Times New Roman"/>
          <w:sz w:val="24"/>
          <w:szCs w:val="28"/>
          <w:rtl/>
        </w:rPr>
        <w:t>).</w:t>
      </w:r>
    </w:p>
    <w:p>
      <w:pPr>
        <w:pStyle w:val="style0"/>
        <w:numPr>
          <w:ilvl w:val="0"/>
          <w:numId w:val="17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تطوير الكفاءات الوطنية: </w:t>
      </w:r>
      <w:r>
        <w:rPr>
          <w:rFonts w:ascii="Times New Roman" w:cs="Simplified Arabic" w:eastAsia="Calibri" w:hAnsi="Times New Roman"/>
          <w:sz w:val="24"/>
          <w:szCs w:val="28"/>
          <w:rtl/>
        </w:rPr>
        <w:t xml:space="preserve">تدريب الكوادر السعودية الشابة على فنون إدارة الأزمات الحديثة كجزء من التوطين النوعي للوظائف القيادية (الجهني </w:t>
      </w:r>
      <w:r>
        <w:rPr>
          <w:rFonts w:ascii="Times New Roman" w:cs="Simplified Arabic" w:eastAsia="Calibri" w:hAnsi="Times New Roman"/>
          <w:sz w:val="24"/>
          <w:szCs w:val="28"/>
          <w:rtl/>
        </w:rPr>
        <w:t>وعبدالوهاب</w:t>
      </w:r>
      <w:r>
        <w:rPr>
          <w:rFonts w:ascii="Times New Roman" w:cs="Simplified Arabic" w:eastAsia="Calibri" w:hAnsi="Times New Roman"/>
          <w:sz w:val="24"/>
          <w:szCs w:val="28"/>
          <w:rtl/>
        </w:rPr>
        <w:t>، 2022).</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سادساً: العوامل المؤثرة في نجاح إستراتيجيات إدارة الأزمات</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لا تعمل هذه الإستراتيجيات في فراغ، بل تتأثر بمجموعة من العوامل التنظيمية:</w:t>
      </w:r>
    </w:p>
    <w:p>
      <w:pPr>
        <w:pStyle w:val="style0"/>
        <w:numPr>
          <w:ilvl w:val="0"/>
          <w:numId w:val="17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دعم الإدارة العليا: </w:t>
      </w:r>
      <w:r>
        <w:rPr>
          <w:rFonts w:ascii="Times New Roman" w:cs="Simplified Arabic" w:eastAsia="Calibri" w:hAnsi="Times New Roman"/>
          <w:sz w:val="24"/>
          <w:szCs w:val="28"/>
          <w:rtl/>
        </w:rPr>
        <w:t>لا يمكن تنفيذ أي إستراتيجية أزمات دون قناعة ودعم مالي ومعنوي من القيادة (التويجري، 2023).</w:t>
      </w:r>
    </w:p>
    <w:p>
      <w:pPr>
        <w:pStyle w:val="style0"/>
        <w:numPr>
          <w:ilvl w:val="0"/>
          <w:numId w:val="17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نمط القيادة: </w:t>
      </w:r>
      <w:r>
        <w:rPr>
          <w:rFonts w:ascii="Times New Roman" w:cs="Simplified Arabic" w:eastAsia="Calibri" w:hAnsi="Times New Roman"/>
          <w:sz w:val="24"/>
          <w:szCs w:val="28"/>
          <w:rtl/>
        </w:rPr>
        <w:t xml:space="preserve">القيادة الإستراتيجية والتكيفية هي الأقدر على إدارة الأزمات مقارنة بالقيادة الأوتوقراطية (المعمري </w:t>
      </w:r>
      <w:r>
        <w:rPr>
          <w:rFonts w:ascii="Times New Roman" w:cs="Simplified Arabic" w:eastAsia="Calibri" w:hAnsi="Times New Roman"/>
          <w:sz w:val="24"/>
          <w:szCs w:val="28"/>
          <w:rtl/>
        </w:rPr>
        <w:t>والسبيحي</w:t>
      </w:r>
      <w:r>
        <w:rPr>
          <w:rFonts w:ascii="Times New Roman" w:cs="Simplified Arabic" w:eastAsia="Calibri" w:hAnsi="Times New Roman"/>
          <w:sz w:val="24"/>
          <w:szCs w:val="28"/>
          <w:rtl/>
        </w:rPr>
        <w:t>، 2025؛ السلمي، 2025).</w:t>
      </w:r>
    </w:p>
    <w:p>
      <w:pPr>
        <w:pStyle w:val="style0"/>
        <w:numPr>
          <w:ilvl w:val="0"/>
          <w:numId w:val="17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الثقافة التنظيمية: </w:t>
      </w:r>
      <w:r>
        <w:rPr>
          <w:rFonts w:ascii="Times New Roman" w:cs="Simplified Arabic" w:eastAsia="Calibri" w:hAnsi="Times New Roman"/>
          <w:sz w:val="24"/>
          <w:szCs w:val="28"/>
          <w:rtl/>
        </w:rPr>
        <w:t>المنظمات التي تشجع على الإبداع وتقبل الخطأ المدروس تكون أقدر على التعافي من المنظمات المنغلقة (زكريا، 2025).</w:t>
      </w:r>
    </w:p>
    <w:p>
      <w:pPr>
        <w:pStyle w:val="style0"/>
        <w:numPr>
          <w:ilvl w:val="0"/>
          <w:numId w:val="17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جودة نظام المعلومات: </w:t>
      </w:r>
      <w:r>
        <w:rPr>
          <w:rFonts w:ascii="Times New Roman" w:cs="Simplified Arabic" w:eastAsia="Calibri" w:hAnsi="Times New Roman"/>
          <w:sz w:val="24"/>
          <w:szCs w:val="28"/>
          <w:rtl/>
        </w:rPr>
        <w:t>المعلومات هي "الوقود" الذي يحرك إستراتيجية إدارة الأزمات؛ فالمعلومات الناقصة تؤدي إلى قرارات كارثية.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سابعاً: الخلاصة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إن إستراتيجيات إدارة الأزمات </w:t>
      </w:r>
      <w:r>
        <w:rPr>
          <w:rFonts w:ascii="Times New Roman" w:cs="Simplified Arabic" w:eastAsia="Calibri" w:hAnsi="Times New Roman" w:hint="cs"/>
          <w:sz w:val="24"/>
          <w:szCs w:val="28"/>
          <w:rtl/>
        </w:rPr>
        <w:t>بأبعادها</w:t>
      </w:r>
      <w:r>
        <w:rPr>
          <w:rFonts w:ascii="Times New Roman" w:cs="Simplified Arabic" w:eastAsia="Calibri" w:hAnsi="Times New Roman"/>
          <w:sz w:val="24"/>
          <w:szCs w:val="28"/>
          <w:rtl/>
        </w:rPr>
        <w:t xml:space="preserve"> (المبادرة، الوقاية، الاستجابة، التعافي) تشكل وحدة واحدة لا تتجزأ. فالمبادرة والوقاية تقللان من فرص حدوث الأزمة، بينما تضمن الاستجابة والتعافي الخروج منها بأقل الخسائر الممكنة. وبالنسبة للشركات الصناعية في مدينة الرياض، فإن إتقان هذه الإستراتيجيات يعد شرطاً ضرورياً ليس فقط للبقاء، بل لتحقيق المرونة التنظيمية التي تمكنها من المنافسة على الصعيدين الإقليمي والدولي.</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hint="cs"/>
          <w:sz w:val="24"/>
          <w:szCs w:val="28"/>
          <w:rtl/>
        </w:rPr>
        <w:t>و</w:t>
      </w:r>
      <w:r>
        <w:rPr>
          <w:rFonts w:ascii="Times New Roman" w:cs="Simplified Arabic" w:eastAsia="Calibri" w:hAnsi="Times New Roman"/>
          <w:sz w:val="24"/>
          <w:szCs w:val="28"/>
          <w:rtl/>
        </w:rPr>
        <w:t>إن الترابط الوثيق بين هذه الإستراتيجيات وقدرة المنظمة على التكيف يعزز المفهوم الحديث للمرونة (</w:t>
      </w:r>
      <w:r>
        <w:rPr>
          <w:rFonts w:ascii="Times New Roman" w:cs="Simplified Arabic" w:eastAsia="Calibri" w:hAnsi="Times New Roman"/>
          <w:sz w:val="24"/>
          <w:szCs w:val="28"/>
        </w:rPr>
        <w:t>Resilience</w:t>
      </w:r>
      <w:r>
        <w:rPr>
          <w:rFonts w:ascii="Times New Roman" w:cs="Simplified Arabic" w:eastAsia="Calibri" w:hAnsi="Times New Roman"/>
          <w:sz w:val="24"/>
          <w:szCs w:val="28"/>
          <w:rtl/>
        </w:rPr>
        <w:t>)؛ حيث تصبح الأزمة محطة للتطوير بدلاً من أن تكون نهاية للمسار. وهذا ما سيتم تناوله بالتفصيل في المبحث الثاني المتعلق بالمرونة التنظيمية.</w:t>
      </w:r>
    </w:p>
    <w:p>
      <w:pPr>
        <w:pStyle w:val="style0"/>
        <w:bidi w:val="false"/>
        <w:spacing w:after="200" w:lineRule="auto" w:line="276"/>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br w:type="page"/>
      </w:r>
    </w:p>
    <w:p>
      <w:pPr>
        <w:pStyle w:val="style0"/>
        <w:spacing w:after="0" w:lineRule="auto" w:line="360"/>
        <w:ind w:firstLine="510"/>
        <w:jc w:val="center"/>
        <w:rPr>
          <w:rFonts w:ascii="Times New Roman" w:cs="Simplified Arabic" w:eastAsia="Calibri" w:hAnsi="Times New Roman"/>
          <w:b/>
          <w:bCs/>
          <w:sz w:val="26"/>
          <w:szCs w:val="30"/>
          <w:rtl/>
        </w:rPr>
      </w:pPr>
      <w:r>
        <w:rPr>
          <w:rFonts w:ascii="Times New Roman" w:cs="Simplified Arabic" w:eastAsia="Calibri" w:hAnsi="Times New Roman"/>
          <w:b/>
          <w:bCs/>
          <w:sz w:val="26"/>
          <w:szCs w:val="30"/>
          <w:rtl/>
        </w:rPr>
        <w:t>المبحث الثاني: المرونة التنظيمية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في ظل بيئة أعمال عالمية تتسم بالاضطراب المستمر، لم يعد البقاء للأقوى فحسب، بل للأكثر مرونة وقدرة على التكيف. تُعد المرونة التنظيمية (</w:t>
      </w:r>
      <w:r>
        <w:rPr>
          <w:rFonts w:ascii="Times New Roman" w:cs="Simplified Arabic" w:eastAsia="Calibri" w:hAnsi="Times New Roman"/>
          <w:sz w:val="24"/>
          <w:szCs w:val="28"/>
        </w:rPr>
        <w:t>Organizational Resilience</w:t>
      </w:r>
      <w:r>
        <w:rPr>
          <w:rFonts w:ascii="Times New Roman" w:cs="Simplified Arabic" w:eastAsia="Calibri" w:hAnsi="Times New Roman"/>
          <w:sz w:val="24"/>
          <w:szCs w:val="28"/>
          <w:rtl/>
        </w:rPr>
        <w:t>) المظلة الإستراتيجية التي تمكن الشركات الصناعية من تحويل الأزمات من تهديدات مدمرة إلى فرص للتعلم والارتقاء. يتناول هذا المبحث تأصيل مفهوم المرونة، وأهميتها الحيوية، وأبعادها الثلاثة التي تتبناها الدراسة، مع استعراض العوامل الداعمة لها في البيئة الصناعية.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أولاً: التأصيل المفاهيمي للمرونة التنظيمية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اشتُق مصطلح المرونة (</w:t>
      </w:r>
      <w:r>
        <w:rPr>
          <w:rFonts w:ascii="Times New Roman" w:cs="Simplified Arabic" w:eastAsia="Calibri" w:hAnsi="Times New Roman"/>
          <w:sz w:val="24"/>
          <w:szCs w:val="28"/>
        </w:rPr>
        <w:t>Resilience</w:t>
      </w:r>
      <w:r>
        <w:rPr>
          <w:rFonts w:ascii="Times New Roman" w:cs="Simplified Arabic" w:eastAsia="Calibri" w:hAnsi="Times New Roman"/>
          <w:sz w:val="24"/>
          <w:szCs w:val="28"/>
          <w:rtl/>
        </w:rPr>
        <w:t>) أساساً من العلوم الفيزيائية والهندسية للدلالة على قدرة المادة على العودة إلى شكلها الأصلي بعد تعرضها لضغط خارجي، ثم انتقل إلى علم النفس ليوصف به الأفراد القادرون على تخطي الصدمات. وفي الفكر الإداري الحديث، تطور المفهوم ليعبر عن قدرة المنظمة على "الاستمرار في العمل والنمو والازدهار" رغم مواجهة تغيرات بيئية حادة (</w:t>
      </w:r>
      <w:r>
        <w:rPr>
          <w:rFonts w:ascii="Times New Roman" w:cs="Simplified Arabic" w:eastAsia="Calibri" w:hAnsi="Times New Roman"/>
          <w:sz w:val="24"/>
          <w:szCs w:val="28"/>
        </w:rPr>
        <w:t>Duchek, 2020</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تُعرف المرونة التنظيمية بأنها "قدرة المنظمة على امتصاص الصدمات، والاستجابة بفعالية للتحديات، واستعادة توازنها التشغيلي بسرعة وكفاءة" (التراث، 2024). وتمتاز المرونة عن "الصلابة"؛ فالصلابة تعني المقاومة دون تغير، بينما المرونة تعني "التكيف" (</w:t>
      </w:r>
      <w:r>
        <w:rPr>
          <w:rFonts w:ascii="Times New Roman" w:cs="Simplified Arabic" w:eastAsia="Calibri" w:hAnsi="Times New Roman"/>
          <w:sz w:val="24"/>
          <w:szCs w:val="28"/>
        </w:rPr>
        <w:t>Adaptation</w:t>
      </w:r>
      <w:r>
        <w:rPr>
          <w:rFonts w:ascii="Times New Roman" w:cs="Simplified Arabic" w:eastAsia="Calibri" w:hAnsi="Times New Roman"/>
          <w:sz w:val="24"/>
          <w:szCs w:val="28"/>
          <w:rtl/>
        </w:rPr>
        <w:t>) مع التغير. وتؤكد الأدبيات أن المرونة ليست حالة ثابتة، بل هي "قدرة ديناميكية" (</w:t>
      </w:r>
      <w:r>
        <w:rPr>
          <w:rFonts w:ascii="Times New Roman" w:cs="Simplified Arabic" w:eastAsia="Calibri" w:hAnsi="Times New Roman"/>
          <w:sz w:val="24"/>
          <w:szCs w:val="28"/>
        </w:rPr>
        <w:t>Dynamic Capability</w:t>
      </w:r>
      <w:r>
        <w:rPr>
          <w:rFonts w:ascii="Times New Roman" w:cs="Simplified Arabic" w:eastAsia="Calibri" w:hAnsi="Times New Roman"/>
          <w:sz w:val="24"/>
          <w:szCs w:val="28"/>
          <w:rtl/>
        </w:rPr>
        <w:t>) يتم بناؤها وتطويرها عبر الزمن من خلال التفاعل المستمر مع التحديات (</w:t>
      </w:r>
      <w:r>
        <w:rPr>
          <w:rFonts w:ascii="Times New Roman" w:cs="Simplified Arabic" w:eastAsia="Calibri" w:hAnsi="Times New Roman"/>
          <w:sz w:val="24"/>
          <w:szCs w:val="28"/>
        </w:rPr>
        <w:t>Santos et al., 2025</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ثانياً: الفرق بين المرونة التنظيمية والمفاهيم المقاربة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من الضروري في الدراسات الأكاديمية الرصينة التمييز بين المرونة وبعض المفاهيم التي قد تلتبس بها:</w:t>
      </w:r>
    </w:p>
    <w:p>
      <w:pPr>
        <w:pStyle w:val="style0"/>
        <w:numPr>
          <w:ilvl w:val="0"/>
          <w:numId w:val="17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المرونة (</w:t>
      </w:r>
      <w:r>
        <w:rPr>
          <w:rFonts w:ascii="Times New Roman" w:cs="Simplified Arabic" w:eastAsia="Calibri" w:hAnsi="Times New Roman"/>
          <w:b/>
          <w:bCs/>
          <w:sz w:val="24"/>
          <w:szCs w:val="28"/>
        </w:rPr>
        <w:t>Flexibility</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تشير غالباً إلى القدرة على التغيير بين بدائل معروفة مسبقاً (مثل تغيير خط الإنتاج)، بينما المرونة التنظيمية (</w:t>
      </w:r>
      <w:r>
        <w:rPr>
          <w:rFonts w:ascii="Times New Roman" w:cs="Simplified Arabic" w:eastAsia="Calibri" w:hAnsi="Times New Roman"/>
          <w:sz w:val="24"/>
          <w:szCs w:val="28"/>
        </w:rPr>
        <w:t>Resilience</w:t>
      </w:r>
      <w:r>
        <w:rPr>
          <w:rFonts w:ascii="Times New Roman" w:cs="Simplified Arabic" w:eastAsia="Calibri" w:hAnsi="Times New Roman"/>
          <w:sz w:val="24"/>
          <w:szCs w:val="28"/>
          <w:rtl/>
        </w:rPr>
        <w:t>) تتعامل مع أحداث غير متوقعة تماماً.</w:t>
      </w:r>
    </w:p>
    <w:p>
      <w:pPr>
        <w:pStyle w:val="style0"/>
        <w:numPr>
          <w:ilvl w:val="0"/>
          <w:numId w:val="17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خفة الحركة (</w:t>
      </w:r>
      <w:r>
        <w:rPr>
          <w:rFonts w:ascii="Times New Roman" w:cs="Simplified Arabic" w:eastAsia="Calibri" w:hAnsi="Times New Roman"/>
          <w:b/>
          <w:bCs/>
          <w:sz w:val="24"/>
          <w:szCs w:val="28"/>
        </w:rPr>
        <w:t>Agility</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تركز على السرعة في استغلال الفرص السوقية، بينما المرونة التنظيمية تركز على الصمود والتعافي من التهديدات (</w:t>
      </w:r>
      <w:r>
        <w:rPr>
          <w:rFonts w:ascii="Times New Roman" w:cs="Simplified Arabic" w:eastAsia="Calibri" w:hAnsi="Times New Roman"/>
          <w:sz w:val="24"/>
          <w:szCs w:val="28"/>
        </w:rPr>
        <w:t>Olabode et al., 2025</w:t>
      </w:r>
      <w:r>
        <w:rPr>
          <w:rFonts w:ascii="Times New Roman" w:cs="Simplified Arabic" w:eastAsia="Calibri" w:hAnsi="Times New Roman"/>
          <w:sz w:val="24"/>
          <w:szCs w:val="28"/>
          <w:rtl/>
        </w:rPr>
        <w:t>).</w:t>
      </w:r>
    </w:p>
    <w:p>
      <w:pPr>
        <w:pStyle w:val="style0"/>
        <w:numPr>
          <w:ilvl w:val="0"/>
          <w:numId w:val="17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إدارة المخاطر (</w:t>
      </w:r>
      <w:r>
        <w:rPr>
          <w:rFonts w:ascii="Times New Roman" w:cs="Simplified Arabic" w:eastAsia="Calibri" w:hAnsi="Times New Roman"/>
          <w:b/>
          <w:bCs/>
          <w:sz w:val="24"/>
          <w:szCs w:val="28"/>
        </w:rPr>
        <w:t>Risk Management</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هي عملية التنبؤ بالأخطار المحتملة ووضع تدابير وقائية، بينما المرونة تبدأ حينما تفشل إدارة المخاطر في منع وقوع الحدث (</w:t>
      </w:r>
      <w:r>
        <w:rPr>
          <w:rFonts w:ascii="Times New Roman" w:cs="Simplified Arabic" w:eastAsia="Calibri" w:hAnsi="Times New Roman"/>
          <w:sz w:val="24"/>
          <w:szCs w:val="28"/>
        </w:rPr>
        <w:t>Linnenluecke, 2023</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ثالثاً: أهمية المرونة للشركات الصناعية بمدينة الرياض</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تكتسب المرونة أهمية مضاعفة للقطاع الصناعي في الرياض للأسباب الآتية:</w:t>
      </w:r>
    </w:p>
    <w:p>
      <w:pPr>
        <w:pStyle w:val="style0"/>
        <w:numPr>
          <w:ilvl w:val="0"/>
          <w:numId w:val="17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استمرارية سلاسل الإمداد: </w:t>
      </w:r>
      <w:r>
        <w:rPr>
          <w:rFonts w:ascii="Times New Roman" w:cs="Simplified Arabic" w:eastAsia="Calibri" w:hAnsi="Times New Roman"/>
          <w:sz w:val="24"/>
          <w:szCs w:val="28"/>
          <w:rtl/>
        </w:rPr>
        <w:t>نظراً لارتباط الصناعة بمدخلات ومواد خام عالمية، تضمن المرونة تدفق العمليات رغم تعطل طرق الإمداد (</w:t>
      </w:r>
      <w:r>
        <w:rPr>
          <w:rFonts w:ascii="Times New Roman" w:cs="Simplified Arabic" w:eastAsia="Calibri" w:hAnsi="Times New Roman"/>
          <w:sz w:val="24"/>
          <w:szCs w:val="28"/>
        </w:rPr>
        <w:t>Olabode et al., 2025</w:t>
      </w:r>
      <w:r>
        <w:rPr>
          <w:rFonts w:ascii="Times New Roman" w:cs="Simplified Arabic" w:eastAsia="Calibri" w:hAnsi="Times New Roman"/>
          <w:sz w:val="24"/>
          <w:szCs w:val="28"/>
          <w:rtl/>
        </w:rPr>
        <w:t>).</w:t>
      </w:r>
    </w:p>
    <w:p>
      <w:pPr>
        <w:pStyle w:val="style0"/>
        <w:numPr>
          <w:ilvl w:val="0"/>
          <w:numId w:val="17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الحفاظ على الحصة السوقية: </w:t>
      </w:r>
      <w:r>
        <w:rPr>
          <w:rFonts w:ascii="Times New Roman" w:cs="Simplified Arabic" w:eastAsia="Calibri" w:hAnsi="Times New Roman"/>
          <w:sz w:val="24"/>
          <w:szCs w:val="28"/>
          <w:rtl/>
        </w:rPr>
        <w:t>الشركات المرنة هي الأقدر على الوفاء بالتزاماتها تجاه العملاء حتى في أحلك الظروف، مما يعزز سمعتها التنافسية (عباس، 2025).</w:t>
      </w:r>
    </w:p>
    <w:p>
      <w:pPr>
        <w:pStyle w:val="style0"/>
        <w:numPr>
          <w:ilvl w:val="0"/>
          <w:numId w:val="17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تحقيق رؤية 2030: </w:t>
      </w:r>
      <w:r>
        <w:rPr>
          <w:rFonts w:ascii="Times New Roman" w:cs="Simplified Arabic" w:eastAsia="Calibri" w:hAnsi="Times New Roman"/>
          <w:sz w:val="24"/>
          <w:szCs w:val="28"/>
          <w:rtl/>
        </w:rPr>
        <w:t>يهدف التحول الصناعي في المملكة إلى بناء قاعدة إنتاجية صلبة ومرنة قادرة على مواجهة التقلبات النفطية والاقتصادية العالمية (التويجري، 2023).</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 xml:space="preserve">رابعاً: أبعاد المرونة التنظيمية </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تتبنى هذه الدراسة الأبعاد الثلاثة للمرونة كعملية متكاملة (استباق، تكيف، تعافي):</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1. القدرة الاستباقية (</w:t>
      </w:r>
      <w:r>
        <w:rPr>
          <w:rFonts w:ascii="Times New Roman" w:cs="Simplified Arabic" w:eastAsia="Calibri" w:hAnsi="Times New Roman"/>
          <w:b/>
          <w:bCs/>
          <w:sz w:val="24"/>
          <w:szCs w:val="28"/>
        </w:rPr>
        <w:t>Anticipation Capability</w:t>
      </w:r>
      <w:r>
        <w:rPr>
          <w:rFonts w:ascii="Times New Roman" w:cs="Simplified Arabic" w:eastAsia="Calibri" w:hAnsi="Times New Roman"/>
          <w:b/>
          <w:bCs/>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تمثل البعد الأول والمحرك الرئيس للمرونة، وهي قدرة المنظمة على قراءة الإشارات الضعيفة (</w:t>
      </w:r>
      <w:r>
        <w:rPr>
          <w:rFonts w:ascii="Times New Roman" w:cs="Simplified Arabic" w:eastAsia="Calibri" w:hAnsi="Times New Roman"/>
          <w:sz w:val="24"/>
          <w:szCs w:val="28"/>
        </w:rPr>
        <w:t>Weak Signals</w:t>
      </w:r>
      <w:r>
        <w:rPr>
          <w:rFonts w:ascii="Times New Roman" w:cs="Simplified Arabic" w:eastAsia="Calibri" w:hAnsi="Times New Roman"/>
          <w:sz w:val="24"/>
          <w:szCs w:val="28"/>
          <w:rtl/>
        </w:rPr>
        <w:t>) في البيئة والتنبؤ بالاضطرابات قبل حدوثها.</w:t>
      </w:r>
    </w:p>
    <w:p>
      <w:pPr>
        <w:pStyle w:val="style0"/>
        <w:numPr>
          <w:ilvl w:val="0"/>
          <w:numId w:val="17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مظاهر الاستباق في الشركات الصناعية:</w:t>
      </w:r>
    </w:p>
    <w:p>
      <w:pPr>
        <w:pStyle w:val="style0"/>
        <w:numPr>
          <w:ilvl w:val="1"/>
          <w:numId w:val="17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رصد البيئة: </w:t>
      </w:r>
      <w:r>
        <w:rPr>
          <w:rFonts w:ascii="Times New Roman" w:cs="Simplified Arabic" w:eastAsia="Calibri" w:hAnsi="Times New Roman"/>
          <w:sz w:val="24"/>
          <w:szCs w:val="28"/>
          <w:rtl/>
        </w:rPr>
        <w:t>المتابعة المستمرة للتغيرات الجيوسياسية والاقتصادية التي قد تؤثر على أسعار الطاقة أو المواد الأولية.</w:t>
      </w:r>
    </w:p>
    <w:p>
      <w:pPr>
        <w:pStyle w:val="style0"/>
        <w:numPr>
          <w:ilvl w:val="1"/>
          <w:numId w:val="17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تحليل السيناريوهات: </w:t>
      </w:r>
      <w:r>
        <w:rPr>
          <w:rFonts w:ascii="Times New Roman" w:cs="Simplified Arabic" w:eastAsia="Calibri" w:hAnsi="Times New Roman"/>
          <w:sz w:val="24"/>
          <w:szCs w:val="28"/>
          <w:rtl/>
        </w:rPr>
        <w:t>إعداد بدائل "ماذا لو؟" للتعامل مع مختلف الاحتمالات (الغامدي والشهري، 2024).</w:t>
      </w:r>
    </w:p>
    <w:p>
      <w:pPr>
        <w:pStyle w:val="style0"/>
        <w:numPr>
          <w:ilvl w:val="1"/>
          <w:numId w:val="178"/>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اليقظة التقنية: </w:t>
      </w:r>
      <w:r>
        <w:rPr>
          <w:rFonts w:ascii="Times New Roman" w:cs="Simplified Arabic" w:eastAsia="Calibri" w:hAnsi="Times New Roman"/>
          <w:sz w:val="24"/>
          <w:szCs w:val="28"/>
          <w:rtl/>
        </w:rPr>
        <w:t>تتبع الابتكارات التي قد تجعل خطوط الإنتاج الحالية متقادمة فجأة.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2. القدرة التكيفية (</w:t>
      </w:r>
      <w:r>
        <w:rPr>
          <w:rFonts w:ascii="Times New Roman" w:cs="Simplified Arabic" w:eastAsia="Calibri" w:hAnsi="Times New Roman"/>
          <w:b/>
          <w:bCs/>
          <w:sz w:val="24"/>
          <w:szCs w:val="28"/>
        </w:rPr>
        <w:t>Adaptive Capability</w:t>
      </w:r>
      <w:r>
        <w:rPr>
          <w:rFonts w:ascii="Times New Roman" w:cs="Simplified Arabic" w:eastAsia="Calibri" w:hAnsi="Times New Roman"/>
          <w:b/>
          <w:bCs/>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هي جوهر المرونة، وتظهر عند وقوع الاضطراب بالفعل؛ حيث تعبر عن قدرة المنظمة على تغيير سلوكها وهيكلها ومواردها للاستجابة للواقع الجديد دون الانهيار.</w:t>
      </w:r>
    </w:p>
    <w:p>
      <w:pPr>
        <w:pStyle w:val="style0"/>
        <w:numPr>
          <w:ilvl w:val="0"/>
          <w:numId w:val="17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آليات التكيف التنظيمي:</w:t>
      </w:r>
    </w:p>
    <w:p>
      <w:pPr>
        <w:pStyle w:val="style0"/>
        <w:numPr>
          <w:ilvl w:val="1"/>
          <w:numId w:val="17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اللامركزية: </w:t>
      </w:r>
      <w:r>
        <w:rPr>
          <w:rFonts w:ascii="Times New Roman" w:cs="Simplified Arabic" w:eastAsia="Calibri" w:hAnsi="Times New Roman"/>
          <w:sz w:val="24"/>
          <w:szCs w:val="28"/>
          <w:rtl/>
        </w:rPr>
        <w:t>منح صلاحيات أوسع لمديري المواقع لاتخاذ قرارات فورية تتناسب مع ظروف الأزمة الميدانية (زكريا، 2025).</w:t>
      </w:r>
    </w:p>
    <w:p>
      <w:pPr>
        <w:pStyle w:val="style0"/>
        <w:numPr>
          <w:ilvl w:val="1"/>
          <w:numId w:val="17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تعددية المهارات: </w:t>
      </w:r>
      <w:r>
        <w:rPr>
          <w:rFonts w:ascii="Times New Roman" w:cs="Simplified Arabic" w:eastAsia="Calibri" w:hAnsi="Times New Roman"/>
          <w:sz w:val="24"/>
          <w:szCs w:val="28"/>
          <w:rtl/>
        </w:rPr>
        <w:t>وجود عمالة مدربة على أكثر من تخصص، مما يسمح بسد العجز في حال تغيب بعض الكوادر.</w:t>
      </w:r>
    </w:p>
    <w:p>
      <w:pPr>
        <w:pStyle w:val="style0"/>
        <w:numPr>
          <w:ilvl w:val="1"/>
          <w:numId w:val="179"/>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الارتجال المنظم: </w:t>
      </w:r>
      <w:r>
        <w:rPr>
          <w:rFonts w:ascii="Times New Roman" w:cs="Simplified Arabic" w:eastAsia="Calibri" w:hAnsi="Times New Roman"/>
          <w:sz w:val="24"/>
          <w:szCs w:val="28"/>
          <w:rtl/>
        </w:rPr>
        <w:t>القدرة على ابتكار حلول غير تقليدية باستخدام الموارد المتاحة وقت الأزمة (زكريا، 2025).</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3. القدرة على التعافي (</w:t>
      </w:r>
      <w:r>
        <w:rPr>
          <w:rFonts w:ascii="Times New Roman" w:cs="Simplified Arabic" w:eastAsia="Calibri" w:hAnsi="Times New Roman"/>
          <w:b/>
          <w:bCs/>
          <w:sz w:val="24"/>
          <w:szCs w:val="28"/>
        </w:rPr>
        <w:t>Recovery Capability</w:t>
      </w:r>
      <w:r>
        <w:rPr>
          <w:rFonts w:ascii="Times New Roman" w:cs="Simplified Arabic" w:eastAsia="Calibri" w:hAnsi="Times New Roman"/>
          <w:b/>
          <w:bCs/>
          <w:sz w:val="24"/>
          <w:szCs w:val="28"/>
          <w:rtl/>
        </w:rPr>
        <w:t>)</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لا تنتهي المرونة بمجرد الصمود، بل يجب أن تمتلك المنظمة "قوة ارتدادية" تمكنها من استعادة وضعها الطبيعي في أسرع وقت ممكن وبأقل التكاليف.</w:t>
      </w:r>
    </w:p>
    <w:p>
      <w:pPr>
        <w:pStyle w:val="style0"/>
        <w:numPr>
          <w:ilvl w:val="0"/>
          <w:numId w:val="18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متطلبات التعافي الناجح:</w:t>
      </w:r>
    </w:p>
    <w:p>
      <w:pPr>
        <w:pStyle w:val="style0"/>
        <w:numPr>
          <w:ilvl w:val="1"/>
          <w:numId w:val="18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المرونة المالية: </w:t>
      </w:r>
      <w:r>
        <w:rPr>
          <w:rFonts w:ascii="Times New Roman" w:cs="Simplified Arabic" w:eastAsia="Calibri" w:hAnsi="Times New Roman"/>
          <w:sz w:val="24"/>
          <w:szCs w:val="28"/>
          <w:rtl/>
        </w:rPr>
        <w:t>وجود احتياطيات نقدية أو خطوط ائتمان تدعم استمرارية الصرف على العمليات خلال الأزمة.</w:t>
      </w:r>
    </w:p>
    <w:p>
      <w:pPr>
        <w:pStyle w:val="style0"/>
        <w:numPr>
          <w:ilvl w:val="1"/>
          <w:numId w:val="18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التعلم التنظيمي: </w:t>
      </w:r>
      <w:r>
        <w:rPr>
          <w:rFonts w:ascii="Times New Roman" w:cs="Simplified Arabic" w:eastAsia="Calibri" w:hAnsi="Times New Roman"/>
          <w:sz w:val="24"/>
          <w:szCs w:val="28"/>
          <w:rtl/>
        </w:rPr>
        <w:t>القدرة على تحليل التجربة واستخلاص "المعرفة المرنة" التي تمنع تكرار الفشل (</w:t>
      </w:r>
      <w:r>
        <w:rPr>
          <w:rFonts w:ascii="Times New Roman" w:cs="Simplified Arabic" w:eastAsia="Calibri" w:hAnsi="Times New Roman"/>
          <w:sz w:val="24"/>
          <w:szCs w:val="28"/>
        </w:rPr>
        <w:t>Awad &amp; Martín-Rojas, 2024</w:t>
      </w:r>
      <w:r>
        <w:rPr>
          <w:rFonts w:ascii="Times New Roman" w:cs="Simplified Arabic" w:eastAsia="Calibri" w:hAnsi="Times New Roman"/>
          <w:sz w:val="24"/>
          <w:szCs w:val="28"/>
          <w:rtl/>
        </w:rPr>
        <w:t>).</w:t>
      </w:r>
    </w:p>
    <w:p>
      <w:pPr>
        <w:pStyle w:val="style0"/>
        <w:numPr>
          <w:ilvl w:val="1"/>
          <w:numId w:val="180"/>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إعادة البناء الإستراتيجي: </w:t>
      </w:r>
      <w:r>
        <w:rPr>
          <w:rFonts w:ascii="Times New Roman" w:cs="Simplified Arabic" w:eastAsia="Calibri" w:hAnsi="Times New Roman"/>
          <w:sz w:val="24"/>
          <w:szCs w:val="28"/>
          <w:rtl/>
        </w:rPr>
        <w:t>أحياناً يكون التعافي عبر تغيير نموذج العمل بالكامل ليتوافق مع البيئة الجديدة ما بعد الأزمة.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خامساً: المرتكزات النظرية لبناء المرونة التنظيمية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تستند المرونة التنظيمية إلى عدة منطلقات نظرية تفسر تفاوت المنظمات في قدرتها على الصمود:</w:t>
      </w:r>
    </w:p>
    <w:p>
      <w:pPr>
        <w:pStyle w:val="style0"/>
        <w:numPr>
          <w:ilvl w:val="0"/>
          <w:numId w:val="18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نظرية الموارد (</w:t>
      </w:r>
      <w:r>
        <w:rPr>
          <w:rFonts w:ascii="Times New Roman" w:cs="Simplified Arabic" w:eastAsia="Calibri" w:hAnsi="Times New Roman"/>
          <w:b/>
          <w:bCs/>
          <w:sz w:val="24"/>
          <w:szCs w:val="28"/>
        </w:rPr>
        <w:t>RBV</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ترى أن المرونة تنبع من امتلاك موارد نادرة وقيمة (بشرية، مالية، تقنية) يصعب تقليدها وتوفر حماية للمنظمة (</w:t>
      </w:r>
      <w:r>
        <w:rPr>
          <w:rFonts w:ascii="Times New Roman" w:cs="Simplified Arabic" w:eastAsia="Calibri" w:hAnsi="Times New Roman"/>
          <w:sz w:val="24"/>
          <w:szCs w:val="28"/>
        </w:rPr>
        <w:t>Gölgeci</w:t>
      </w:r>
      <w:r>
        <w:rPr>
          <w:rFonts w:ascii="Times New Roman" w:cs="Simplified Arabic" w:eastAsia="Calibri" w:hAnsi="Times New Roman"/>
          <w:sz w:val="24"/>
          <w:szCs w:val="28"/>
        </w:rPr>
        <w:t xml:space="preserve"> et al., 2024</w:t>
      </w:r>
      <w:r>
        <w:rPr>
          <w:rFonts w:ascii="Times New Roman" w:cs="Simplified Arabic" w:eastAsia="Calibri" w:hAnsi="Times New Roman"/>
          <w:sz w:val="24"/>
          <w:szCs w:val="28"/>
          <w:rtl/>
        </w:rPr>
        <w:t>).</w:t>
      </w:r>
    </w:p>
    <w:p>
      <w:pPr>
        <w:pStyle w:val="style0"/>
        <w:numPr>
          <w:ilvl w:val="0"/>
          <w:numId w:val="18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نظرية القدرات الديناميكية: </w:t>
      </w:r>
      <w:r>
        <w:rPr>
          <w:rFonts w:ascii="Times New Roman" w:cs="Simplified Arabic" w:eastAsia="Calibri" w:hAnsi="Times New Roman"/>
          <w:sz w:val="24"/>
          <w:szCs w:val="28"/>
          <w:rtl/>
        </w:rPr>
        <w:t>تؤكد أن نجاح المرونة يعتمد على قدرة الإدارة في "إعادة تشكيل" الموارد باستمرار لتتلاءم مع التغيرات السريعة (</w:t>
      </w:r>
      <w:r>
        <w:rPr>
          <w:rFonts w:ascii="Times New Roman" w:cs="Simplified Arabic" w:eastAsia="Calibri" w:hAnsi="Times New Roman"/>
          <w:sz w:val="24"/>
          <w:szCs w:val="28"/>
        </w:rPr>
        <w:t>Santos et al., 2025</w:t>
      </w:r>
      <w:r>
        <w:rPr>
          <w:rFonts w:ascii="Times New Roman" w:cs="Simplified Arabic" w:eastAsia="Calibri" w:hAnsi="Times New Roman"/>
          <w:sz w:val="24"/>
          <w:szCs w:val="28"/>
          <w:rtl/>
        </w:rPr>
        <w:t>).</w:t>
      </w:r>
    </w:p>
    <w:p>
      <w:pPr>
        <w:pStyle w:val="style0"/>
        <w:numPr>
          <w:ilvl w:val="0"/>
          <w:numId w:val="181"/>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نظرية الاعتماد على الموارد: </w:t>
      </w:r>
      <w:r>
        <w:rPr>
          <w:rFonts w:ascii="Times New Roman" w:cs="Simplified Arabic" w:eastAsia="Calibri" w:hAnsi="Times New Roman"/>
          <w:sz w:val="24"/>
          <w:szCs w:val="28"/>
          <w:rtl/>
        </w:rPr>
        <w:t>تفسر كيف تزيد الشراكات الإستراتيجية والتعاون مع الموردين من مرونة المنظمة عبر تقليل ارتهانها لمصدر واحد (</w:t>
      </w:r>
      <w:r>
        <w:rPr>
          <w:rFonts w:ascii="Times New Roman" w:cs="Simplified Arabic" w:eastAsia="Calibri" w:hAnsi="Times New Roman"/>
          <w:sz w:val="24"/>
          <w:szCs w:val="28"/>
        </w:rPr>
        <w:t>Olabode et al., 2025</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سادساً: العوامل الداعمة لتعزيز المرونة في القطاع الصناعي</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هناك عوامل بيئية وإدارية تعمل كمحفزات للمرونة التنظيمية:</w:t>
      </w:r>
    </w:p>
    <w:p>
      <w:pPr>
        <w:pStyle w:val="style0"/>
        <w:numPr>
          <w:ilvl w:val="0"/>
          <w:numId w:val="18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التحول الرقمي والذكاء الاصطناعي: </w:t>
      </w:r>
      <w:r>
        <w:rPr>
          <w:rFonts w:ascii="Times New Roman" w:cs="Simplified Arabic" w:eastAsia="Calibri" w:hAnsi="Times New Roman"/>
          <w:sz w:val="24"/>
          <w:szCs w:val="28"/>
          <w:rtl/>
        </w:rPr>
        <w:t>تساهم تقنيات الثورة الصناعية الرابعة في توفير بيانات دقيقة وسريعة تدعم الاستباق والتكيف اللحظي (</w:t>
      </w:r>
      <w:r>
        <w:rPr>
          <w:rFonts w:ascii="Times New Roman" w:cs="Simplified Arabic" w:eastAsia="Calibri" w:hAnsi="Times New Roman"/>
          <w:sz w:val="24"/>
          <w:szCs w:val="28"/>
        </w:rPr>
        <w:t>Yin et al., 2025</w:t>
      </w:r>
      <w:r>
        <w:rPr>
          <w:rFonts w:ascii="Times New Roman" w:cs="Simplified Arabic" w:eastAsia="Calibri" w:hAnsi="Times New Roman"/>
          <w:sz w:val="24"/>
          <w:szCs w:val="28"/>
          <w:rtl/>
        </w:rPr>
        <w:t>).</w:t>
      </w:r>
    </w:p>
    <w:p>
      <w:pPr>
        <w:pStyle w:val="style0"/>
        <w:numPr>
          <w:ilvl w:val="0"/>
          <w:numId w:val="18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القيادة التكيفية والاستراتيجية: </w:t>
      </w:r>
      <w:r>
        <w:rPr>
          <w:rFonts w:ascii="Times New Roman" w:cs="Simplified Arabic" w:eastAsia="Calibri" w:hAnsi="Times New Roman"/>
          <w:sz w:val="24"/>
          <w:szCs w:val="28"/>
          <w:rtl/>
        </w:rPr>
        <w:t xml:space="preserve">القيادة التي تؤمن بالتغيير وتشرك العاملين في صنع القرار هي الأكثر قدرة على بناء منظمة مرنة (المعمري </w:t>
      </w:r>
      <w:r>
        <w:rPr>
          <w:rFonts w:ascii="Times New Roman" w:cs="Simplified Arabic" w:eastAsia="Calibri" w:hAnsi="Times New Roman"/>
          <w:sz w:val="24"/>
          <w:szCs w:val="28"/>
          <w:rtl/>
        </w:rPr>
        <w:t>والسبيحي</w:t>
      </w:r>
      <w:r>
        <w:rPr>
          <w:rFonts w:ascii="Times New Roman" w:cs="Simplified Arabic" w:eastAsia="Calibri" w:hAnsi="Times New Roman"/>
          <w:sz w:val="24"/>
          <w:szCs w:val="28"/>
          <w:rtl/>
        </w:rPr>
        <w:t>، 2025؛ السلمي، 2025).</w:t>
      </w:r>
    </w:p>
    <w:p>
      <w:pPr>
        <w:pStyle w:val="style0"/>
        <w:numPr>
          <w:ilvl w:val="0"/>
          <w:numId w:val="18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الثقافة التنظيمية المرنة: </w:t>
      </w:r>
      <w:r>
        <w:rPr>
          <w:rFonts w:ascii="Times New Roman" w:cs="Simplified Arabic" w:eastAsia="Calibri" w:hAnsi="Times New Roman"/>
          <w:sz w:val="24"/>
          <w:szCs w:val="28"/>
          <w:rtl/>
        </w:rPr>
        <w:t>الثقافة التي تنبذ "لوم الفرد" عند الخطأ وتركز على "إصلاح النظام" تشجع على التعلم والابتكار أثناء الأزمات (زكريا، 2025).</w:t>
      </w:r>
    </w:p>
    <w:p>
      <w:pPr>
        <w:pStyle w:val="style0"/>
        <w:numPr>
          <w:ilvl w:val="0"/>
          <w:numId w:val="182"/>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نظم الرقابة المرنة: </w:t>
      </w:r>
      <w:r>
        <w:rPr>
          <w:rFonts w:ascii="Times New Roman" w:cs="Simplified Arabic" w:eastAsia="Calibri" w:hAnsi="Times New Roman"/>
          <w:sz w:val="24"/>
          <w:szCs w:val="28"/>
          <w:rtl/>
        </w:rPr>
        <w:t>استخدام نظم رقابة (</w:t>
      </w:r>
      <w:r>
        <w:rPr>
          <w:rFonts w:ascii="Times New Roman" w:cs="Simplified Arabic" w:eastAsia="Calibri" w:hAnsi="Times New Roman"/>
          <w:sz w:val="24"/>
          <w:szCs w:val="28"/>
        </w:rPr>
        <w:t>Management Control Systems</w:t>
      </w:r>
      <w:r>
        <w:rPr>
          <w:rFonts w:ascii="Times New Roman" w:cs="Simplified Arabic" w:eastAsia="Calibri" w:hAnsi="Times New Roman"/>
          <w:sz w:val="24"/>
          <w:szCs w:val="28"/>
          <w:rtl/>
        </w:rPr>
        <w:t>) تسمح بالمرونة ولا تكتفي فقط بالامتثال الجامد للوائح (</w:t>
      </w:r>
      <w:r>
        <w:rPr>
          <w:rFonts w:ascii="Times New Roman" w:cs="Simplified Arabic" w:eastAsia="Calibri" w:hAnsi="Times New Roman"/>
          <w:sz w:val="24"/>
          <w:szCs w:val="28"/>
        </w:rPr>
        <w:t>Weber et al., 2024</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سابعاً: تحديات تحقيق المرونة في الشركات الصناعية بالرياض</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رغم الفرص الكبيرة، تواجه الشركات بعض المعوقات:</w:t>
      </w:r>
    </w:p>
    <w:p>
      <w:pPr>
        <w:pStyle w:val="style0"/>
        <w:numPr>
          <w:ilvl w:val="0"/>
          <w:numId w:val="18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البيروقراطية: </w:t>
      </w:r>
      <w:r>
        <w:rPr>
          <w:rFonts w:ascii="Times New Roman" w:cs="Simplified Arabic" w:eastAsia="Calibri" w:hAnsi="Times New Roman"/>
          <w:sz w:val="24"/>
          <w:szCs w:val="28"/>
          <w:rtl/>
        </w:rPr>
        <w:t>الجمود التنظيمي الذي قد يعيق سرعة الاستجابة المطلوبة في الأزمات.</w:t>
      </w:r>
    </w:p>
    <w:p>
      <w:pPr>
        <w:pStyle w:val="style0"/>
        <w:numPr>
          <w:ilvl w:val="0"/>
          <w:numId w:val="18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التكلفة العالية: </w:t>
      </w:r>
      <w:r>
        <w:rPr>
          <w:rFonts w:ascii="Times New Roman" w:cs="Simplified Arabic" w:eastAsia="Calibri" w:hAnsi="Times New Roman"/>
          <w:sz w:val="24"/>
          <w:szCs w:val="28"/>
          <w:rtl/>
        </w:rPr>
        <w:t>بناء القدرات المرنة (مثل فائض المخزون أو أنظمة النسخ الاحتياطي) يتطلب استثمارات قد تبدو "غير منتجة" في الأوقات العادية.</w:t>
      </w:r>
    </w:p>
    <w:p>
      <w:pPr>
        <w:pStyle w:val="style0"/>
        <w:numPr>
          <w:ilvl w:val="0"/>
          <w:numId w:val="183"/>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الفجوة المهارية: </w:t>
      </w:r>
      <w:r>
        <w:rPr>
          <w:rFonts w:ascii="Times New Roman" w:cs="Simplified Arabic" w:eastAsia="Calibri" w:hAnsi="Times New Roman"/>
          <w:sz w:val="24"/>
          <w:szCs w:val="28"/>
          <w:rtl/>
        </w:rPr>
        <w:t xml:space="preserve">الحاجة إلى كوادر بشرية متخصصة تجمع بين المعرفة الصناعية ومهارات إدارة الأزمات الحديثة (الجهني </w:t>
      </w:r>
      <w:r>
        <w:rPr>
          <w:rFonts w:ascii="Times New Roman" w:cs="Simplified Arabic" w:eastAsia="Calibri" w:hAnsi="Times New Roman"/>
          <w:sz w:val="24"/>
          <w:szCs w:val="28"/>
          <w:rtl/>
        </w:rPr>
        <w:t>وعبدالوهاب</w:t>
      </w:r>
      <w:r>
        <w:rPr>
          <w:rFonts w:ascii="Times New Roman" w:cs="Simplified Arabic" w:eastAsia="Calibri" w:hAnsi="Times New Roman"/>
          <w:sz w:val="24"/>
          <w:szCs w:val="28"/>
          <w:rtl/>
        </w:rPr>
        <w:t>، 2022).</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ثامناً: الخلاصة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إن المرونة التنظيمية ليست مجرد "خطة طوارئ" بل هي فلسفة إدارية متكاملة تتغلغل في كافة مفاصل المنظمة. بالنسبة للشركات الصناعية في مدينة الرياض، تمثل المرونة صمام الأمان الذي يضمن استدامة العمليات الإنتاجية في ظل التغيرات العالمية. إن امتلاك قدرات استباقية وتكيفية </w:t>
      </w:r>
      <w:r>
        <w:rPr>
          <w:rFonts w:ascii="Times New Roman" w:cs="Simplified Arabic" w:eastAsia="Calibri" w:hAnsi="Times New Roman"/>
          <w:sz w:val="24"/>
          <w:szCs w:val="28"/>
          <w:rtl/>
        </w:rPr>
        <w:t>وتعافية</w:t>
      </w:r>
      <w:r>
        <w:rPr>
          <w:rFonts w:ascii="Times New Roman" w:cs="Simplified Arabic" w:eastAsia="Calibri" w:hAnsi="Times New Roman"/>
          <w:sz w:val="24"/>
          <w:szCs w:val="28"/>
          <w:rtl/>
        </w:rPr>
        <w:t xml:space="preserve"> متينة هو ما يحول المنظمة من كيان هش (</w:t>
      </w:r>
      <w:r>
        <w:rPr>
          <w:rFonts w:ascii="Times New Roman" w:cs="Simplified Arabic" w:eastAsia="Calibri" w:hAnsi="Times New Roman"/>
          <w:sz w:val="24"/>
          <w:szCs w:val="28"/>
        </w:rPr>
        <w:t>Fragile</w:t>
      </w:r>
      <w:r>
        <w:rPr>
          <w:rFonts w:ascii="Times New Roman" w:cs="Simplified Arabic" w:eastAsia="Calibri" w:hAnsi="Times New Roman"/>
          <w:sz w:val="24"/>
          <w:szCs w:val="28"/>
          <w:rtl/>
        </w:rPr>
        <w:t>) يتأثر بأي اضطراب، إلى كيان مرن (</w:t>
      </w:r>
      <w:r>
        <w:rPr>
          <w:rFonts w:ascii="Times New Roman" w:cs="Simplified Arabic" w:eastAsia="Calibri" w:hAnsi="Times New Roman"/>
          <w:sz w:val="24"/>
          <w:szCs w:val="28"/>
        </w:rPr>
        <w:t>Resilient</w:t>
      </w:r>
      <w:r>
        <w:rPr>
          <w:rFonts w:ascii="Times New Roman" w:cs="Simplified Arabic" w:eastAsia="Calibri" w:hAnsi="Times New Roman"/>
          <w:sz w:val="24"/>
          <w:szCs w:val="28"/>
          <w:rtl/>
        </w:rPr>
        <w:t>) يزداد قوة وصلابة عند مواجهة الأزمات.</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وهذا يقودنا بوضوح إلى ضرورة دراسة العلاقة بين "إستراتيجيات إدارة الأزمات" كفعل إداري منظم، و"المرونة التنظيمية" كنتاج وقدرة مؤسسية، وهو ما سيتم تفصيله في المبحث الثالث.</w:t>
      </w:r>
    </w:p>
    <w:p>
      <w:pPr>
        <w:pStyle w:val="style0"/>
        <w:bidi w:val="false"/>
        <w:spacing w:after="200" w:lineRule="auto" w:line="276"/>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br w:type="page"/>
      </w:r>
    </w:p>
    <w:p>
      <w:pPr>
        <w:pStyle w:val="style0"/>
        <w:spacing w:after="0" w:lineRule="auto" w:line="360"/>
        <w:ind w:firstLine="510"/>
        <w:jc w:val="center"/>
        <w:rPr>
          <w:rFonts w:ascii="Times New Roman" w:cs="Simplified Arabic" w:eastAsia="Calibri" w:hAnsi="Times New Roman"/>
          <w:b/>
          <w:bCs/>
          <w:sz w:val="26"/>
          <w:szCs w:val="30"/>
          <w:rtl/>
        </w:rPr>
      </w:pPr>
      <w:r>
        <w:rPr>
          <w:rFonts w:ascii="Times New Roman" w:cs="Simplified Arabic" w:eastAsia="Calibri" w:hAnsi="Times New Roman"/>
          <w:b/>
          <w:bCs/>
          <w:sz w:val="26"/>
          <w:szCs w:val="30"/>
          <w:rtl/>
        </w:rPr>
        <w:t>المبحث الثالث: دور إستراتيجيات إدارة الأزمات في تعزيز المرونة التنظيمية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لا يمكن النظر إلى المرونة التنظيمية كخصلة فطرية تولد بها المنظمات، بل هي نتاج "صناعة إدارية" واعية ومعقدة. وفي قلب هذه الصناعة تكمن إستراتيجيات إدارة الأزمات التي تعمل كالمحرك والوقود لبناء القدرات المرنة. يتناول هذا المبحث العلاقة التفاعلية بين المتغيرين، والأطر النظرية التي تفسر هذا الدور، وصولاً إلى بناء النموذج المقترح للدراسة في الشركات الصناعية بمدينة الرياض.</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أولاً: العلاقة المنطقية والإستراتيجية بين المتغيرين</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تمثل إستراتيجيات إدارة الأزمات (الفعل الإداري) حجر الأساس الذي تُبنى عليه المرونة التنظيمية (الحالة أو القدرة المكتسبة). فبينما تركز إدارة الأزمات على معالجة "الحدث" واحتوائه، تركز المرونة على "بنية المنظمة" وقدرتها على الاستمرار والتعلم.</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تتجسد هذه العلاقة في أن الإستراتيجيات الناجحة للأزمات تعمل على:</w:t>
      </w:r>
    </w:p>
    <w:p>
      <w:pPr>
        <w:pStyle w:val="style0"/>
        <w:numPr>
          <w:ilvl w:val="0"/>
          <w:numId w:val="18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تقليص الفجوة التشغيلية: </w:t>
      </w:r>
      <w:r>
        <w:rPr>
          <w:rFonts w:ascii="Times New Roman" w:cs="Simplified Arabic" w:eastAsia="Calibri" w:hAnsi="Times New Roman"/>
          <w:sz w:val="24"/>
          <w:szCs w:val="28"/>
          <w:rtl/>
        </w:rPr>
        <w:t>من خلال الاستجابة السريعة التي تمنع الانهيار الكامل، مما يسهل عملية التكيف والتعافي اللاحق (</w:t>
      </w:r>
      <w:r>
        <w:rPr>
          <w:rFonts w:ascii="Times New Roman" w:cs="Simplified Arabic" w:eastAsia="Calibri" w:hAnsi="Times New Roman"/>
          <w:sz w:val="24"/>
          <w:szCs w:val="28"/>
        </w:rPr>
        <w:t>Chen et al., 2024</w:t>
      </w:r>
      <w:r>
        <w:rPr>
          <w:rFonts w:ascii="Times New Roman" w:cs="Simplified Arabic" w:eastAsia="Calibri" w:hAnsi="Times New Roman"/>
          <w:sz w:val="24"/>
          <w:szCs w:val="28"/>
          <w:rtl/>
        </w:rPr>
        <w:t>).</w:t>
      </w:r>
    </w:p>
    <w:p>
      <w:pPr>
        <w:pStyle w:val="style0"/>
        <w:numPr>
          <w:ilvl w:val="0"/>
          <w:numId w:val="18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حماية الموارد الإستراتيجية: </w:t>
      </w:r>
      <w:r>
        <w:rPr>
          <w:rFonts w:ascii="Times New Roman" w:cs="Simplified Arabic" w:eastAsia="Calibri" w:hAnsi="Times New Roman"/>
          <w:sz w:val="24"/>
          <w:szCs w:val="28"/>
          <w:rtl/>
        </w:rPr>
        <w:t>توفر إستراتيجيات الوقاية حماية للأصول والكفاءات البشرية، وهي الموارد ذاتها التي تحتاجها المنظمة لتبدي مرونتها (</w:t>
      </w:r>
      <w:r>
        <w:rPr>
          <w:rFonts w:ascii="Times New Roman" w:cs="Simplified Arabic" w:eastAsia="Calibri" w:hAnsi="Times New Roman"/>
          <w:sz w:val="24"/>
          <w:szCs w:val="28"/>
        </w:rPr>
        <w:t>Santos et al., 2025</w:t>
      </w:r>
      <w:r>
        <w:rPr>
          <w:rFonts w:ascii="Times New Roman" w:cs="Simplified Arabic" w:eastAsia="Calibri" w:hAnsi="Times New Roman"/>
          <w:sz w:val="24"/>
          <w:szCs w:val="28"/>
          <w:rtl/>
        </w:rPr>
        <w:t>).</w:t>
      </w:r>
    </w:p>
    <w:p>
      <w:pPr>
        <w:pStyle w:val="style0"/>
        <w:numPr>
          <w:ilvl w:val="0"/>
          <w:numId w:val="184"/>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تحويل المعرفة إلى مرونة: </w:t>
      </w:r>
      <w:r>
        <w:rPr>
          <w:rFonts w:ascii="Times New Roman" w:cs="Simplified Arabic" w:eastAsia="Calibri" w:hAnsi="Times New Roman"/>
          <w:sz w:val="24"/>
          <w:szCs w:val="28"/>
          <w:rtl/>
        </w:rPr>
        <w:t>إن إستراتيجية التعافي القائمة على التعلم التنظيمي هي التي تحول دروس الأزمة إلى آليات مرونة مستدامة تمنع تكرار الإخفاقات (</w:t>
      </w:r>
      <w:r>
        <w:rPr>
          <w:rFonts w:ascii="Times New Roman" w:cs="Simplified Arabic" w:eastAsia="Calibri" w:hAnsi="Times New Roman"/>
          <w:sz w:val="24"/>
          <w:szCs w:val="28"/>
        </w:rPr>
        <w:t>Awad</w:t>
      </w:r>
      <w:r>
        <w:rPr>
          <w:rFonts w:ascii="Times New Roman" w:cs="Simplified Arabic" w:eastAsia="Calibri" w:hAnsi="Times New Roman"/>
          <w:sz w:val="24"/>
          <w:szCs w:val="28"/>
          <w:rtl/>
        </w:rPr>
        <w:t xml:space="preserve"> &amp; </w:t>
      </w:r>
      <w:r>
        <w:rPr>
          <w:rFonts w:ascii="Times New Roman" w:cs="Simplified Arabic" w:eastAsia="Calibri" w:hAnsi="Times New Roman"/>
          <w:sz w:val="24"/>
          <w:szCs w:val="28"/>
        </w:rPr>
        <w:t>Martín-Rojas, 2024</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ثانياً: دور أبعاد إستراتيجيات إدارة الأزمات في بناء أبعاد المرونة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يمكن تفصيل هذا الدور من خلال الربط المباشر بين أبعاد المتغيرين وفقاً لما خلصت إليه الأدبيات الحديثة: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1. دور إستراتيجية المبادرة في تعزيز "القدرة الاستباقية"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تعد إستراتيجية المبادرة هي المغذي الأول للقدرة الاستباقية في المرونة التنظيمية. فالمنظمات الصناعية التي تتبنى استشراف المستقبل وتحليل السيناريوهات (كفعل إستراتيجي) تكتسب تلقائياً "حاسة سادسة" تنظيمية تمكنها من رؤية التهديدات قبل نضوجها (الغامدي والشهري، 2024). هذا الاستباق يمنح المنظمة ميزة "السبق في التكيف"، بحيث تبدأ في تعديل مسارها قبل أن تصل الأزمة إلى ذروتها، مما يقلل من الطاقة اللازمة للصمود لاحقاً (</w:t>
      </w:r>
      <w:r>
        <w:rPr>
          <w:rFonts w:ascii="Times New Roman" w:cs="Simplified Arabic" w:eastAsia="Calibri" w:hAnsi="Times New Roman"/>
          <w:sz w:val="24"/>
          <w:szCs w:val="28"/>
        </w:rPr>
        <w:t>Duchek, 2020</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2. دور إستراتيجيتي الوقاية والاستجابة في تعزيز "القدرة التكيفية"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عندما تقع الأزمة، تبرز إستراتيجية الوقاية (التي وفرت بدائل وموارد احتياطية) وإستراتيجية الاستجابة (التي توفر سرعة الحركة واللامركزية). هذا المزيج هو الذي يمنح المنظمة مرونتها التكيفية. فالتكيف يتطلب "بنية مرنة" و"موارد متاحة" و"قيادة شجاعة"، وهي كلها مخرجات مباشرة لإدارة الأزمات الفعالة (زكريا، 2025). وبدون استجابة تكتيكية محكمة، تستهلك المنظمة مواردها في "الفوضى" بدلاً من "التكيف"، مما يؤدي إلى انهيار المرونة (</w:t>
      </w:r>
      <w:r>
        <w:rPr>
          <w:rFonts w:ascii="Times New Roman" w:cs="Simplified Arabic" w:eastAsia="Calibri" w:hAnsi="Times New Roman"/>
          <w:sz w:val="24"/>
          <w:szCs w:val="28"/>
        </w:rPr>
        <w:t>Koronis</w:t>
      </w:r>
      <w:r>
        <w:rPr>
          <w:rFonts w:ascii="Times New Roman" w:cs="Simplified Arabic" w:eastAsia="Calibri" w:hAnsi="Times New Roman"/>
          <w:sz w:val="24"/>
          <w:szCs w:val="28"/>
          <w:rtl/>
        </w:rPr>
        <w:t xml:space="preserve"> &amp; </w:t>
      </w:r>
      <w:r>
        <w:rPr>
          <w:rFonts w:ascii="Times New Roman" w:cs="Simplified Arabic" w:eastAsia="Calibri" w:hAnsi="Times New Roman"/>
          <w:sz w:val="24"/>
          <w:szCs w:val="28"/>
        </w:rPr>
        <w:t>Ponis</w:t>
      </w:r>
      <w:r>
        <w:rPr>
          <w:rFonts w:ascii="Times New Roman" w:cs="Simplified Arabic" w:eastAsia="Calibri" w:hAnsi="Times New Roman"/>
          <w:sz w:val="24"/>
          <w:szCs w:val="28"/>
        </w:rPr>
        <w:t>, 2018</w:t>
      </w:r>
      <w:r>
        <w:rPr>
          <w:rFonts w:ascii="Times New Roman" w:cs="Simplified Arabic" w:eastAsia="Calibri" w:hAnsi="Times New Roman"/>
          <w:sz w:val="24"/>
          <w:szCs w:val="28"/>
          <w:rtl/>
        </w:rPr>
        <w:t>).</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3. دور إستراتيجية التعافي في تعزيز "القدرة على التعافي والنمو"</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التعافي في المرونة ليس مجرد عودة للصفر، بل هو "نمو ما بعد الأزمة". إستراتيجية التعافي التي تركز على التحقيق والتعلم التنظيمي تساهم في إعادة هيكلة المنظمة بشكل يجعلها أكثر مرونة مما كانت عليه (</w:t>
      </w:r>
      <w:r>
        <w:rPr>
          <w:rFonts w:ascii="Times New Roman" w:cs="Simplified Arabic" w:eastAsia="Calibri" w:hAnsi="Times New Roman"/>
          <w:sz w:val="24"/>
          <w:szCs w:val="28"/>
        </w:rPr>
        <w:t>Bachtiar et al., 2023</w:t>
      </w:r>
      <w:r>
        <w:rPr>
          <w:rFonts w:ascii="Times New Roman" w:cs="Simplified Arabic" w:eastAsia="Calibri" w:hAnsi="Times New Roman"/>
          <w:sz w:val="24"/>
          <w:szCs w:val="28"/>
          <w:rtl/>
        </w:rPr>
        <w:t xml:space="preserve">). الشركات الصناعية في الرياض التي نجحت في التعافي </w:t>
      </w:r>
      <w:r>
        <w:rPr>
          <w:rFonts w:ascii="Times New Roman" w:cs="Simplified Arabic" w:eastAsia="Calibri" w:hAnsi="Times New Roman"/>
          <w:sz w:val="24"/>
          <w:szCs w:val="28"/>
          <w:rtl/>
        </w:rPr>
        <w:t>من أزمات سلاسل التوريد (مثل أزمة كوفيد-19) هي التي قامت بتغيير نماذج أعمالها وتوطين تقنياتها، مما عزز من مرونتها الطويلة الأمد (التويجري، 2023).</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ثالثاً: العوامل الوسيطة والمعدلة في علاقة الدور</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تشير الدراسات إلى أن دور إستراتيجيات الأزمات في تعزيز المرونة لا يتم في فراغ، بل يتأثر بمتغيرات أخرى:</w:t>
      </w:r>
    </w:p>
    <w:p>
      <w:pPr>
        <w:pStyle w:val="style0"/>
        <w:numPr>
          <w:ilvl w:val="0"/>
          <w:numId w:val="18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القيادة الإستراتيجية: </w:t>
      </w:r>
      <w:r>
        <w:rPr>
          <w:rFonts w:ascii="Times New Roman" w:cs="Simplified Arabic" w:eastAsia="Calibri" w:hAnsi="Times New Roman"/>
          <w:sz w:val="24"/>
          <w:szCs w:val="28"/>
          <w:rtl/>
        </w:rPr>
        <w:t>تعمل القيادة كـ "محفز" (</w:t>
      </w:r>
      <w:r>
        <w:rPr>
          <w:rFonts w:ascii="Times New Roman" w:cs="Simplified Arabic" w:eastAsia="Calibri" w:hAnsi="Times New Roman"/>
          <w:sz w:val="24"/>
          <w:szCs w:val="28"/>
        </w:rPr>
        <w:t>Catalyst</w:t>
      </w:r>
      <w:r>
        <w:rPr>
          <w:rFonts w:ascii="Times New Roman" w:cs="Simplified Arabic" w:eastAsia="Calibri" w:hAnsi="Times New Roman"/>
          <w:sz w:val="24"/>
          <w:szCs w:val="28"/>
          <w:rtl/>
        </w:rPr>
        <w:t xml:space="preserve">) يسرع من تحويل خطط الأزمات إلى سلوك مرن (الجهني </w:t>
      </w:r>
      <w:r>
        <w:rPr>
          <w:rFonts w:ascii="Times New Roman" w:cs="Simplified Arabic" w:eastAsia="Calibri" w:hAnsi="Times New Roman"/>
          <w:sz w:val="24"/>
          <w:szCs w:val="28"/>
          <w:rtl/>
        </w:rPr>
        <w:t>وعبدالوهاب</w:t>
      </w:r>
      <w:r>
        <w:rPr>
          <w:rFonts w:ascii="Times New Roman" w:cs="Simplified Arabic" w:eastAsia="Calibri" w:hAnsi="Times New Roman"/>
          <w:sz w:val="24"/>
          <w:szCs w:val="28"/>
          <w:rtl/>
        </w:rPr>
        <w:t>، 2022).</w:t>
      </w:r>
    </w:p>
    <w:p>
      <w:pPr>
        <w:pStyle w:val="style0"/>
        <w:numPr>
          <w:ilvl w:val="0"/>
          <w:numId w:val="18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التحول الرقمي: </w:t>
      </w:r>
      <w:r>
        <w:rPr>
          <w:rFonts w:ascii="Times New Roman" w:cs="Simplified Arabic" w:eastAsia="Calibri" w:hAnsi="Times New Roman"/>
          <w:sz w:val="24"/>
          <w:szCs w:val="28"/>
          <w:rtl/>
        </w:rPr>
        <w:t>التكنولوجيا هي "الممكن" (</w:t>
      </w:r>
      <w:r>
        <w:rPr>
          <w:rFonts w:ascii="Times New Roman" w:cs="Simplified Arabic" w:eastAsia="Calibri" w:hAnsi="Times New Roman"/>
          <w:sz w:val="24"/>
          <w:szCs w:val="28"/>
        </w:rPr>
        <w:t>Enabler</w:t>
      </w:r>
      <w:r>
        <w:rPr>
          <w:rFonts w:ascii="Times New Roman" w:cs="Simplified Arabic" w:eastAsia="Calibri" w:hAnsi="Times New Roman"/>
          <w:sz w:val="24"/>
          <w:szCs w:val="28"/>
          <w:rtl/>
        </w:rPr>
        <w:t>) الذي يربط بين إستراتيجية الأزمة والمرونة، فبدون بيانات لحظية تبقى الإستراتيجيات حبراً على ورق (</w:t>
      </w:r>
      <w:r>
        <w:rPr>
          <w:rFonts w:ascii="Times New Roman" w:cs="Simplified Arabic" w:eastAsia="Calibri" w:hAnsi="Times New Roman"/>
          <w:sz w:val="24"/>
          <w:szCs w:val="28"/>
        </w:rPr>
        <w:t>Yin et al., 2025</w:t>
      </w:r>
      <w:r>
        <w:rPr>
          <w:rFonts w:ascii="Times New Roman" w:cs="Simplified Arabic" w:eastAsia="Calibri" w:hAnsi="Times New Roman"/>
          <w:sz w:val="24"/>
          <w:szCs w:val="28"/>
          <w:rtl/>
        </w:rPr>
        <w:t>).</w:t>
      </w:r>
    </w:p>
    <w:p>
      <w:pPr>
        <w:pStyle w:val="style0"/>
        <w:numPr>
          <w:ilvl w:val="0"/>
          <w:numId w:val="185"/>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الثقافة التنظيمية: </w:t>
      </w:r>
      <w:r>
        <w:rPr>
          <w:rFonts w:ascii="Times New Roman" w:cs="Simplified Arabic" w:eastAsia="Calibri" w:hAnsi="Times New Roman"/>
          <w:sz w:val="24"/>
          <w:szCs w:val="28"/>
          <w:rtl/>
        </w:rPr>
        <w:t>هي "الوسط" (</w:t>
      </w:r>
      <w:r>
        <w:rPr>
          <w:rFonts w:ascii="Times New Roman" w:cs="Simplified Arabic" w:eastAsia="Calibri" w:hAnsi="Times New Roman"/>
          <w:sz w:val="24"/>
          <w:szCs w:val="28"/>
        </w:rPr>
        <w:t>Medium</w:t>
      </w:r>
      <w:r>
        <w:rPr>
          <w:rFonts w:ascii="Times New Roman" w:cs="Simplified Arabic" w:eastAsia="Calibri" w:hAnsi="Times New Roman"/>
          <w:sz w:val="24"/>
          <w:szCs w:val="28"/>
          <w:rtl/>
        </w:rPr>
        <w:t>) الذي تترسخ فيه المرونة؛ فالثقافة التي تدعم الابتكار والشفافية تضاعف من أثر إستراتيجيات الأزمات (زكريا، 2025).</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رابعاً: النموذج المفاهيمي المقترح للدراسة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بناءً على التناول النظري السابق، يمكن رسم ملامح النموذج الذي ستختبره الدراسة الحالية في الميدان:</w:t>
      </w:r>
    </w:p>
    <w:p>
      <w:pPr>
        <w:pStyle w:val="style0"/>
        <w:numPr>
          <w:ilvl w:val="0"/>
          <w:numId w:val="18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المدخلات: </w:t>
      </w:r>
      <w:r>
        <w:rPr>
          <w:rFonts w:ascii="Times New Roman" w:cs="Simplified Arabic" w:eastAsia="Calibri" w:hAnsi="Times New Roman"/>
          <w:sz w:val="24"/>
          <w:szCs w:val="28"/>
          <w:rtl/>
        </w:rPr>
        <w:t>إستراتيجيات إدارة الأزمات بأبعادها الأربعة.</w:t>
      </w:r>
    </w:p>
    <w:p>
      <w:pPr>
        <w:pStyle w:val="style0"/>
        <w:numPr>
          <w:ilvl w:val="0"/>
          <w:numId w:val="18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العمليات: </w:t>
      </w:r>
      <w:r>
        <w:rPr>
          <w:rFonts w:ascii="Times New Roman" w:cs="Simplified Arabic" w:eastAsia="Calibri" w:hAnsi="Times New Roman"/>
          <w:sz w:val="24"/>
          <w:szCs w:val="28"/>
          <w:rtl/>
        </w:rPr>
        <w:t>التفاعل الإداري، سرعة اتخاذ القرار، تخصيص الموارد، التعلم التنظيمي.</w:t>
      </w:r>
    </w:p>
    <w:p>
      <w:pPr>
        <w:pStyle w:val="style0"/>
        <w:numPr>
          <w:ilvl w:val="0"/>
          <w:numId w:val="186"/>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المخرجات: </w:t>
      </w:r>
      <w:r>
        <w:rPr>
          <w:rFonts w:ascii="Times New Roman" w:cs="Simplified Arabic" w:eastAsia="Calibri" w:hAnsi="Times New Roman"/>
          <w:sz w:val="24"/>
          <w:szCs w:val="28"/>
          <w:rtl/>
        </w:rPr>
        <w:t>مرونة تنظيمية عالية (منظمة قادرة على الصمود، التكيف، والازدهار في بيئة الرياض الصناعية).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خامساً: تطبيقات ميدانية في الشركات الصناعية بالرياض</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في سياق مدينة الرياض، يتجلى هذا الدور من خلال:</w:t>
      </w:r>
    </w:p>
    <w:p>
      <w:pPr>
        <w:pStyle w:val="style0"/>
        <w:numPr>
          <w:ilvl w:val="0"/>
          <w:numId w:val="18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الملاءمة مع تقلبات الأسواق: </w:t>
      </w:r>
      <w:r>
        <w:rPr>
          <w:rFonts w:ascii="Times New Roman" w:cs="Simplified Arabic" w:eastAsia="Calibri" w:hAnsi="Times New Roman"/>
          <w:sz w:val="24"/>
          <w:szCs w:val="28"/>
          <w:rtl/>
        </w:rPr>
        <w:t>كيف تساهم إستراتيجيات الأزمات في حماية المصانع السعودية من تذبذب أسعار مدخلات الإنتاج العالمية.</w:t>
      </w:r>
    </w:p>
    <w:p>
      <w:pPr>
        <w:pStyle w:val="style0"/>
        <w:numPr>
          <w:ilvl w:val="0"/>
          <w:numId w:val="18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الأزمات التقنية وسرعة التكيف: </w:t>
      </w:r>
      <w:r>
        <w:rPr>
          <w:rFonts w:ascii="Times New Roman" w:cs="Simplified Arabic" w:eastAsia="Calibri" w:hAnsi="Times New Roman"/>
          <w:sz w:val="24"/>
          <w:szCs w:val="28"/>
          <w:rtl/>
        </w:rPr>
        <w:t>دور فرق استجابة الأزمات في مواجهة هجمات الأمن السيبراني أو أعطال الأنظمة المؤتمتة لضمان مرونة استمرارية الأعمال.</w:t>
      </w:r>
    </w:p>
    <w:p>
      <w:pPr>
        <w:pStyle w:val="style0"/>
        <w:numPr>
          <w:ilvl w:val="0"/>
          <w:numId w:val="187"/>
        </w:numPr>
        <w:spacing w:after="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إدارة الكوارث الطبيعية والبيئية: </w:t>
      </w:r>
      <w:r>
        <w:rPr>
          <w:rFonts w:ascii="Times New Roman" w:cs="Simplified Arabic" w:eastAsia="Calibri" w:hAnsi="Times New Roman"/>
          <w:sz w:val="24"/>
          <w:szCs w:val="28"/>
          <w:rtl/>
        </w:rPr>
        <w:t>كيف تعزز إستراتيجيات الوقاية والمبادرة من قدرة المنشآت الصناعية في المدن الصناعية بالرياض (مثل مدن 1 و2 و3) على مواجهة مخاطر السيول أو الحرائق الصناعية.</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سادساً: الخلاصة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إن العلاقة بين إستراتيجيات إدارة الأزمات والمرونة التنظيمية هي علاقة "تكامل بنيوي". فإدارة الأزمات هي الوسيلة، والمرونة التنظيمية هي الغاية. المنظمة التي تتقن إستراتيجيات الأزمات لا تخرج فقط سالمة من المحن، بل تخرج "أكثر مرونة" وأكثر استعداداً للمستقبل. بالنسبة للشركات الصناعية في مدينة الرياض، يمثل هذا التكامل المسار الإجباري نحو الاستدامة التنافسية والتميز المؤسسي في ظل عالم متسارع التغير.</w:t>
      </w: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خاتمة الإطار النظري:</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في ختام هذا العرض النظري الموسع، يمكن استخلاص جملة من الحقائق العلمية التي تشكل القاعدة الصلبة للجانب الميداني من الدراسة؛ حيث تبين أن العلاقة بين إستراتيجيات إدارة الأزمات والمرونة التنظيمية ليست مجرد علاقة ارتباطية عابرة، بل هي علاقة "تكامل بنيوي" تحتم على الشركات الصناعية في مدينة الرياض النظر إلى إدارة الأزمات كخيار إستراتيجي دائم وليس مجرد رد فعل لحظي.</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hint="cs"/>
          <w:sz w:val="24"/>
          <w:szCs w:val="28"/>
          <w:rtl/>
        </w:rPr>
        <w:t xml:space="preserve">وقد </w:t>
      </w:r>
      <w:r>
        <w:rPr>
          <w:rFonts w:ascii="Times New Roman" w:cs="Simplified Arabic" w:eastAsia="Calibri" w:hAnsi="Times New Roman"/>
          <w:sz w:val="24"/>
          <w:szCs w:val="28"/>
          <w:rtl/>
        </w:rPr>
        <w:t xml:space="preserve">كشف الإطار النظري أن </w:t>
      </w:r>
      <w:r>
        <w:rPr>
          <w:rFonts w:ascii="Times New Roman" w:cs="Simplified Arabic" w:eastAsia="Calibri" w:hAnsi="Times New Roman"/>
          <w:b/>
          <w:bCs/>
          <w:sz w:val="24"/>
          <w:szCs w:val="28"/>
          <w:rtl/>
        </w:rPr>
        <w:t>إستراتيجيات المبادرة والوقاية</w:t>
      </w:r>
      <w:r>
        <w:rPr>
          <w:rFonts w:ascii="Times New Roman" w:cs="Simplified Arabic" w:eastAsia="Calibri" w:hAnsi="Times New Roman"/>
          <w:sz w:val="24"/>
          <w:szCs w:val="28"/>
          <w:rtl/>
        </w:rPr>
        <w:t xml:space="preserve"> تمثل خط الدفاع الأول الذي يغذي "القدرة الاستباقية" للمنظمة، في حين أن </w:t>
      </w:r>
      <w:r>
        <w:rPr>
          <w:rFonts w:ascii="Times New Roman" w:cs="Simplified Arabic" w:eastAsia="Calibri" w:hAnsi="Times New Roman"/>
          <w:b/>
          <w:bCs/>
          <w:sz w:val="24"/>
          <w:szCs w:val="28"/>
          <w:rtl/>
        </w:rPr>
        <w:t>إستراتيجيات الاستجابة والتعافي</w:t>
      </w:r>
      <w:r>
        <w:rPr>
          <w:rFonts w:ascii="Times New Roman" w:cs="Simplified Arabic" w:eastAsia="Calibri" w:hAnsi="Times New Roman"/>
          <w:sz w:val="24"/>
          <w:szCs w:val="28"/>
          <w:rtl/>
        </w:rPr>
        <w:t xml:space="preserve"> هي المحركات الفعلية لـ "المرونة التكيفية" وقدرة المنظمة على استعادة توازنها والنمو ما بعد الصدمة. إن هذا التناغم بين الفعل الإداري (الإستراتيجية) والقدرة المؤسسية (المرونة) هو ما يصنع الفارق التنافسي في بيئة صناعية تتسم بعدم اليقين.</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وبناءً على ما تقدم من تأصيل نظري، تخلص الدراسة إلى أن تحقيق المرونة التنظيمية في القطاع الصناعي السعودي يتطلب بيئة تدعم القيادة التكيفية، والتحول الرقمي، والتعلم التنظيمي المستمر. وبذلك، يكون هذا الإطار قد أتم مهمته في رصد الأبعاد النظرية وتحديد الفجوات البحثية، ممهداً الطريق للجانب التطبيقي من الدراسة لاختبار هذه الفرضيات ميدانياً في الشركات الصناعية بمدينة الرياض، بهدف الوصول إلى نتائج تسهم في تمكين هذه الشركات من مواجهة أزمات المستقبل بكفاءة واقتدار.</w:t>
      </w:r>
    </w:p>
    <w:p>
      <w:pPr>
        <w:pStyle w:val="style0"/>
        <w:spacing w:after="0" w:lineRule="auto" w:line="360"/>
        <w:jc w:val="both"/>
        <w:rPr>
          <w:rFonts w:ascii="Times New Roman" w:cs="Simplified Arabic" w:eastAsia="Calibri" w:hAnsi="Times New Roman" w:hint="cs"/>
          <w:sz w:val="24"/>
          <w:szCs w:val="28"/>
        </w:rPr>
      </w:pPr>
    </w:p>
    <w:sectPr>
      <w:footerReference w:type="default" r:id="rId3"/>
      <w:pgSz w:w="11906" w:h="16838" w:orient="portrait"/>
      <w:pgMar w:top="1168" w:right="1729" w:bottom="1412" w:left="1729" w:header="709" w:footer="709" w:gutter="0"/>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plified Arabic">
    <w:altName w:val="Simplified Arabic"/>
    <w:panose1 w:val="02020603050004020304"/>
    <w:charset w:val="00"/>
    <w:family w:val="roman"/>
    <w:pitch w:val="variable"/>
    <w:sig w:usb0="00002003" w:usb1="80000000" w:usb2="00000008" w:usb3="00000000" w:csb0="00000041"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SimSun">
    <w:altName w:val="宋体"/>
    <w:panose1 w:val="02010600030001010101"/>
    <w:charset w:val="86"/>
    <w:family w:val="auto"/>
    <w:pitch w:val="variable"/>
    <w:sig w:usb0="00000203" w:usb1="288F0000" w:usb2="00000016" w:usb3="00000000" w:csb0="00040001" w:csb1="00000000"/>
  </w:font>
  <w:font w:name="PT Bold Heading">
    <w:altName w:val="PT Bold Heading"/>
    <w:panose1 w:val="02010400000000000000"/>
    <w:charset w:val="b2"/>
    <w:family w:val="auto"/>
    <w:pitch w:val="variable"/>
    <w:sig w:usb0="00002001" w:usb1="80000000" w:usb2="00000008" w:usb3="00000000" w:csb0="00000040" w:csb1="00000000"/>
  </w:font>
  <w:font w:name="Batang">
    <w:altName w:val="Batang"/>
    <w:panose1 w:val="020306000000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pitch w:val="default"/>
    <w:sig w:usb0="00000003" w:usb1="00000000" w:usb2="00000000" w:usb3="00000000" w:csb0="00000001" w:csb1="00000000"/>
  </w:font>
  <w:font w:name="Calibri Light">
    <w:altName w:val="Calibri Light"/>
    <w:panose1 w:val="020f0302020002030204"/>
    <w:charset w:val="00"/>
    <w:family w:val="swiss"/>
    <w:pitch w:val="variable"/>
    <w:sig w:usb0="E4002EFF" w:usb1="C000247B" w:usb2="00000009" w:usb3="00000000" w:csb0="000001FF" w:csb1="00000000"/>
  </w:font>
  <w:font w:name="Monotype Koufi">
    <w:altName w:val="Monotype Koufi"/>
    <w:panose1 w:val="00000000000000000000"/>
    <w:charset w:val="b2"/>
    <w:family w:val="auto"/>
    <w:pitch w:val="variable"/>
    <w:sig w:usb0="02942001" w:usb1="03D40006" w:usb2="02620000" w:usb3="00000000" w:csb0="0000004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PAGE   \* MERGEFORMAT</w:instrText>
    </w:r>
    <w:r>
      <w:rPr/>
      <w:fldChar w:fldCharType="separate"/>
    </w:r>
    <w:r>
      <w:rPr>
        <w:rtl/>
        <w:lang w:val="ar-SA"/>
      </w:rPr>
      <w:t>2</w:t>
    </w:r>
    <w:r>
      <w:rPr/>
      <w:fldChar w:fldCharType="end"/>
    </w:r>
  </w:p>
  <w:p>
    <w:pPr>
      <w:pStyle w:val="style32"/>
      <w:jc w:val="center"/>
      <w:rPr>
        <w:rFonts w:cs="Simplified Arabic"/>
        <w:b/>
        <w:bCs/>
        <w:sz w:val="28"/>
        <w:szCs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5B369F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4EDCB9A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multilevel"/>
    <w:tmpl w:val="29646148"/>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
    <w:nsid w:val="00000003"/>
    <w:multiLevelType w:val="multilevel"/>
    <w:tmpl w:val="54744B2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
    <w:nsid w:val="00000004"/>
    <w:multiLevelType w:val="multilevel"/>
    <w:tmpl w:val="6D4A3F3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C1E279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046882C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
    <w:nsid w:val="00000007"/>
    <w:multiLevelType w:val="multilevel"/>
    <w:tmpl w:val="C37855C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0192A1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EB606AB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
    <w:nsid w:val="0000000A"/>
    <w:multiLevelType w:val="multilevel"/>
    <w:tmpl w:val="6CBE0C8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680878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8C922E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29367F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6A3860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94122530"/>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
    <w:nsid w:val="00000010"/>
    <w:multiLevelType w:val="multilevel"/>
    <w:tmpl w:val="1F82451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7">
    <w:nsid w:val="00000011"/>
    <w:multiLevelType w:val="multilevel"/>
    <w:tmpl w:val="2F845CE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hybridMultilevel"/>
    <w:tmpl w:val="14882D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3"/>
    <w:multiLevelType w:val="multilevel"/>
    <w:tmpl w:val="C77A271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0">
    <w:nsid w:val="00000014"/>
    <w:multiLevelType w:val="multilevel"/>
    <w:tmpl w:val="1B32CBC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1">
    <w:nsid w:val="00000015"/>
    <w:multiLevelType w:val="multilevel"/>
    <w:tmpl w:val="0DBEA6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multilevel"/>
    <w:tmpl w:val="C270FE7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multilevel"/>
    <w:tmpl w:val="D6B2217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multilevel"/>
    <w:tmpl w:val="29DE8E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multilevel"/>
    <w:tmpl w:val="DD9C686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multilevel"/>
    <w:tmpl w:val="9BB0587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7">
    <w:nsid w:val="0000001B"/>
    <w:multiLevelType w:val="multilevel"/>
    <w:tmpl w:val="4684941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8">
    <w:nsid w:val="0000001C"/>
    <w:multiLevelType w:val="multilevel"/>
    <w:tmpl w:val="AD94B8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
    <w:nsid w:val="0000001D"/>
    <w:multiLevelType w:val="multilevel"/>
    <w:tmpl w:val="FF24D6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
    <w:nsid w:val="0000001E"/>
    <w:multiLevelType w:val="multilevel"/>
    <w:tmpl w:val="684CC38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1">
    <w:nsid w:val="0000001F"/>
    <w:multiLevelType w:val="multilevel"/>
    <w:tmpl w:val="688C1A6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
    <w:nsid w:val="00000020"/>
    <w:multiLevelType w:val="multilevel"/>
    <w:tmpl w:val="4E568AD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3">
    <w:nsid w:val="00000021"/>
    <w:multiLevelType w:val="multilevel"/>
    <w:tmpl w:val="2A265076"/>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
    <w:nsid w:val="00000022"/>
    <w:multiLevelType w:val="multilevel"/>
    <w:tmpl w:val="CA38421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
    <w:nsid w:val="00000023"/>
    <w:multiLevelType w:val="multilevel"/>
    <w:tmpl w:val="0186AF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
    <w:nsid w:val="00000024"/>
    <w:multiLevelType w:val="multilevel"/>
    <w:tmpl w:val="DC8A18C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7">
    <w:nsid w:val="00000025"/>
    <w:multiLevelType w:val="multilevel"/>
    <w:tmpl w:val="5DB8F00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8">
    <w:nsid w:val="00000026"/>
    <w:multiLevelType w:val="multilevel"/>
    <w:tmpl w:val="ECA88CC0"/>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9">
    <w:nsid w:val="00000027"/>
    <w:multiLevelType w:val="multilevel"/>
    <w:tmpl w:val="305A35A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0">
    <w:nsid w:val="00000028"/>
    <w:multiLevelType w:val="multilevel"/>
    <w:tmpl w:val="6284DE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1">
    <w:nsid w:val="00000029"/>
    <w:multiLevelType w:val="multilevel"/>
    <w:tmpl w:val="7B304F1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2">
    <w:nsid w:val="0000002A"/>
    <w:multiLevelType w:val="multilevel"/>
    <w:tmpl w:val="3B72F22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3">
    <w:nsid w:val="0000002B"/>
    <w:multiLevelType w:val="multilevel"/>
    <w:tmpl w:val="811EDE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4">
    <w:nsid w:val="0000002C"/>
    <w:multiLevelType w:val="multilevel"/>
    <w:tmpl w:val="BC440E3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5">
    <w:nsid w:val="0000002D"/>
    <w:multiLevelType w:val="multilevel"/>
    <w:tmpl w:val="D9E250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6">
    <w:nsid w:val="0000002E"/>
    <w:multiLevelType w:val="multilevel"/>
    <w:tmpl w:val="9CC26C9E"/>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7">
    <w:nsid w:val="0000002F"/>
    <w:multiLevelType w:val="multilevel"/>
    <w:tmpl w:val="FF2ABD5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8">
    <w:nsid w:val="00000030"/>
    <w:multiLevelType w:val="multilevel"/>
    <w:tmpl w:val="7B1EAAD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9">
    <w:nsid w:val="00000031"/>
    <w:multiLevelType w:val="multilevel"/>
    <w:tmpl w:val="282A1B4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0">
    <w:nsid w:val="00000032"/>
    <w:multiLevelType w:val="multilevel"/>
    <w:tmpl w:val="7C6CC5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1">
    <w:nsid w:val="00000033"/>
    <w:multiLevelType w:val="multilevel"/>
    <w:tmpl w:val="93CC8C60"/>
    <w:lvl w:ilvl="0">
      <w:start w:val="1"/>
      <w:numFmt w:val="bullet"/>
      <w:lvlText w:val=""/>
      <w:lvlJc w:val="left"/>
      <w:pPr>
        <w:tabs>
          <w:tab w:val="left" w:leader="none" w:pos="720"/>
        </w:tabs>
        <w:ind w:left="720" w:hanging="360"/>
      </w:pPr>
      <w:rPr>
        <w:rFonts w:ascii="Wingdings" w:hAnsi="Wingdings"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2">
    <w:nsid w:val="00000034"/>
    <w:multiLevelType w:val="multilevel"/>
    <w:tmpl w:val="48BA92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3">
    <w:nsid w:val="00000035"/>
    <w:multiLevelType w:val="multilevel"/>
    <w:tmpl w:val="58449682"/>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4">
    <w:nsid w:val="00000036"/>
    <w:multiLevelType w:val="multilevel"/>
    <w:tmpl w:val="43FC8F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5">
    <w:nsid w:val="00000037"/>
    <w:multiLevelType w:val="multilevel"/>
    <w:tmpl w:val="32BEF7A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6">
    <w:nsid w:val="00000038"/>
    <w:multiLevelType w:val="multilevel"/>
    <w:tmpl w:val="14FC5F0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7">
    <w:nsid w:val="00000039"/>
    <w:multiLevelType w:val="hybridMultilevel"/>
    <w:tmpl w:val="5E8237F8"/>
    <w:lvl w:ilvl="0" w:tplc="04090005">
      <w:start w:val="1"/>
      <w:numFmt w:val="bullet"/>
      <w:lvlText w:val=""/>
      <w:lvlJc w:val="left"/>
      <w:pPr>
        <w:ind w:left="1781" w:hanging="720"/>
      </w:pPr>
      <w:rPr>
        <w:rFonts w:ascii="Wingdings" w:hAnsi="Wingdings" w:hint="default"/>
        <w:b/>
      </w:rPr>
    </w:lvl>
    <w:lvl w:ilvl="1" w:tentative="1">
      <w:start w:val="1"/>
      <w:numFmt w:val="lowerLetter"/>
      <w:lvlText w:val="%2."/>
      <w:lvlJc w:val="left"/>
      <w:pPr>
        <w:ind w:left="2141" w:hanging="360"/>
      </w:pPr>
    </w:lvl>
    <w:lvl w:ilvl="2" w:tentative="1">
      <w:start w:val="1"/>
      <w:numFmt w:val="lowerRoman"/>
      <w:lvlText w:val="%3."/>
      <w:lvlJc w:val="right"/>
      <w:pPr>
        <w:ind w:left="2861" w:hanging="180"/>
      </w:pPr>
    </w:lvl>
    <w:lvl w:ilvl="3" w:tentative="1">
      <w:start w:val="1"/>
      <w:numFmt w:val="decimal"/>
      <w:lvlText w:val="%4."/>
      <w:lvlJc w:val="left"/>
      <w:pPr>
        <w:ind w:left="3581" w:hanging="360"/>
      </w:pPr>
    </w:lvl>
    <w:lvl w:ilvl="4" w:tentative="1">
      <w:start w:val="1"/>
      <w:numFmt w:val="lowerLetter"/>
      <w:lvlText w:val="%5."/>
      <w:lvlJc w:val="left"/>
      <w:pPr>
        <w:ind w:left="4301" w:hanging="360"/>
      </w:pPr>
    </w:lvl>
    <w:lvl w:ilvl="5" w:tentative="1">
      <w:start w:val="1"/>
      <w:numFmt w:val="lowerRoman"/>
      <w:lvlText w:val="%6."/>
      <w:lvlJc w:val="right"/>
      <w:pPr>
        <w:ind w:left="5021" w:hanging="180"/>
      </w:pPr>
    </w:lvl>
    <w:lvl w:ilvl="6" w:tentative="1">
      <w:start w:val="1"/>
      <w:numFmt w:val="decimal"/>
      <w:lvlText w:val="%7."/>
      <w:lvlJc w:val="left"/>
      <w:pPr>
        <w:ind w:left="5741" w:hanging="360"/>
      </w:pPr>
    </w:lvl>
    <w:lvl w:ilvl="7" w:tentative="1">
      <w:start w:val="1"/>
      <w:numFmt w:val="lowerLetter"/>
      <w:lvlText w:val="%8."/>
      <w:lvlJc w:val="left"/>
      <w:pPr>
        <w:ind w:left="6461" w:hanging="360"/>
      </w:pPr>
    </w:lvl>
    <w:lvl w:ilvl="8" w:tentative="1">
      <w:start w:val="1"/>
      <w:numFmt w:val="lowerRoman"/>
      <w:lvlText w:val="%9."/>
      <w:lvlJc w:val="right"/>
      <w:pPr>
        <w:ind w:left="7181" w:hanging="180"/>
      </w:pPr>
    </w:lvl>
  </w:abstractNum>
  <w:abstractNum w:abstractNumId="58">
    <w:nsid w:val="0000003A"/>
    <w:multiLevelType w:val="multilevel"/>
    <w:tmpl w:val="B8AAC6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9">
    <w:nsid w:val="0000003B"/>
    <w:multiLevelType w:val="multilevel"/>
    <w:tmpl w:val="BCA800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0">
    <w:nsid w:val="0000003C"/>
    <w:multiLevelType w:val="multilevel"/>
    <w:tmpl w:val="278C97B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1">
    <w:nsid w:val="0000003D"/>
    <w:multiLevelType w:val="multilevel"/>
    <w:tmpl w:val="5538AA5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2">
    <w:nsid w:val="0000003E"/>
    <w:multiLevelType w:val="multilevel"/>
    <w:tmpl w:val="19A8C56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3">
    <w:nsid w:val="0000003F"/>
    <w:multiLevelType w:val="multilevel"/>
    <w:tmpl w:val="40F8FE2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4">
    <w:nsid w:val="00000040"/>
    <w:multiLevelType w:val="multilevel"/>
    <w:tmpl w:val="84D2130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5">
    <w:nsid w:val="00000041"/>
    <w:multiLevelType w:val="multilevel"/>
    <w:tmpl w:val="441A290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6">
    <w:nsid w:val="00000042"/>
    <w:multiLevelType w:val="multilevel"/>
    <w:tmpl w:val="64D0EE1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7">
    <w:nsid w:val="00000043"/>
    <w:multiLevelType w:val="multilevel"/>
    <w:tmpl w:val="87E00FF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8">
    <w:nsid w:val="00000044"/>
    <w:multiLevelType w:val="multilevel"/>
    <w:tmpl w:val="F4CA76D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9">
    <w:nsid w:val="00000045"/>
    <w:multiLevelType w:val="multilevel"/>
    <w:tmpl w:val="512EC4A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0">
    <w:nsid w:val="00000046"/>
    <w:multiLevelType w:val="multilevel"/>
    <w:tmpl w:val="63A2CC0E"/>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1">
    <w:nsid w:val="00000047"/>
    <w:multiLevelType w:val="multilevel"/>
    <w:tmpl w:val="205A86A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2">
    <w:nsid w:val="00000048"/>
    <w:multiLevelType w:val="multilevel"/>
    <w:tmpl w:val="4D66C37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3">
    <w:nsid w:val="00000049"/>
    <w:multiLevelType w:val="multilevel"/>
    <w:tmpl w:val="42BECA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4">
    <w:nsid w:val="0000004A"/>
    <w:multiLevelType w:val="multilevel"/>
    <w:tmpl w:val="11CE771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5">
    <w:nsid w:val="0000004B"/>
    <w:multiLevelType w:val="multilevel"/>
    <w:tmpl w:val="FC1AFE88"/>
    <w:lvl w:ilvl="0">
      <w:start w:val="1"/>
      <w:numFmt w:val="decimal"/>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6">
    <w:nsid w:val="0000004C"/>
    <w:multiLevelType w:val="multilevel"/>
    <w:tmpl w:val="6EB816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7">
    <w:nsid w:val="0000004D"/>
    <w:multiLevelType w:val="multilevel"/>
    <w:tmpl w:val="86D0665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8">
    <w:nsid w:val="0000004E"/>
    <w:multiLevelType w:val="multilevel"/>
    <w:tmpl w:val="9CC26C9E"/>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9">
    <w:nsid w:val="0000004F"/>
    <w:multiLevelType w:val="multilevel"/>
    <w:tmpl w:val="056C6F5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0">
    <w:nsid w:val="00000050"/>
    <w:multiLevelType w:val="multilevel"/>
    <w:tmpl w:val="1E1A2E5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1">
    <w:nsid w:val="00000051"/>
    <w:multiLevelType w:val="multilevel"/>
    <w:tmpl w:val="120E186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2">
    <w:nsid w:val="00000052"/>
    <w:multiLevelType w:val="multilevel"/>
    <w:tmpl w:val="59BE4FB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3">
    <w:nsid w:val="00000053"/>
    <w:multiLevelType w:val="multilevel"/>
    <w:tmpl w:val="3AFE6BB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4">
    <w:nsid w:val="00000054"/>
    <w:multiLevelType w:val="multilevel"/>
    <w:tmpl w:val="EF6A402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5">
    <w:nsid w:val="00000055"/>
    <w:multiLevelType w:val="multilevel"/>
    <w:tmpl w:val="EF820D9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6">
    <w:nsid w:val="00000056"/>
    <w:multiLevelType w:val="hybridMultilevel"/>
    <w:tmpl w:val="6DF006EC"/>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7">
    <w:nsid w:val="00000057"/>
    <w:multiLevelType w:val="multilevel"/>
    <w:tmpl w:val="5E4AA52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8">
    <w:nsid w:val="00000058"/>
    <w:multiLevelType w:val="multilevel"/>
    <w:tmpl w:val="C068F94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9">
    <w:nsid w:val="00000059"/>
    <w:multiLevelType w:val="multilevel"/>
    <w:tmpl w:val="EB02475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0">
    <w:nsid w:val="0000005A"/>
    <w:multiLevelType w:val="multilevel"/>
    <w:tmpl w:val="3D46351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1">
    <w:nsid w:val="0000005B"/>
    <w:multiLevelType w:val="hybridMultilevel"/>
    <w:tmpl w:val="F02ECE54"/>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92">
    <w:nsid w:val="0000005C"/>
    <w:multiLevelType w:val="multilevel"/>
    <w:tmpl w:val="02CEE6E6"/>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3">
    <w:nsid w:val="0000005D"/>
    <w:multiLevelType w:val="multilevel"/>
    <w:tmpl w:val="1444CF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4">
    <w:nsid w:val="0000005E"/>
    <w:multiLevelType w:val="multilevel"/>
    <w:tmpl w:val="E4F640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5">
    <w:nsid w:val="0000005F"/>
    <w:multiLevelType w:val="multilevel"/>
    <w:tmpl w:val="DBB6817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6">
    <w:nsid w:val="00000060"/>
    <w:multiLevelType w:val="multilevel"/>
    <w:tmpl w:val="F21E10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7">
    <w:nsid w:val="00000061"/>
    <w:multiLevelType w:val="multilevel"/>
    <w:tmpl w:val="FA60DA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8">
    <w:nsid w:val="00000062"/>
    <w:multiLevelType w:val="multilevel"/>
    <w:tmpl w:val="AFB8C0B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9">
    <w:nsid w:val="00000063"/>
    <w:multiLevelType w:val="multilevel"/>
    <w:tmpl w:val="FFEA470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0">
    <w:nsid w:val="00000064"/>
    <w:multiLevelType w:val="multilevel"/>
    <w:tmpl w:val="472264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1">
    <w:nsid w:val="00000065"/>
    <w:multiLevelType w:val="multilevel"/>
    <w:tmpl w:val="8698FD4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2">
    <w:nsid w:val="00000066"/>
    <w:multiLevelType w:val="multilevel"/>
    <w:tmpl w:val="50B6EB2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3">
    <w:nsid w:val="00000067"/>
    <w:multiLevelType w:val="multilevel"/>
    <w:tmpl w:val="CAA2600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4">
    <w:nsid w:val="00000068"/>
    <w:multiLevelType w:val="multilevel"/>
    <w:tmpl w:val="FC48E95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5">
    <w:nsid w:val="00000069"/>
    <w:multiLevelType w:val="multilevel"/>
    <w:tmpl w:val="5E22DBC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6">
    <w:nsid w:val="0000006A"/>
    <w:multiLevelType w:val="hybridMultilevel"/>
    <w:tmpl w:val="09AC6516"/>
    <w:lvl w:ilvl="0" w:tplc="04090005">
      <w:start w:val="1"/>
      <w:numFmt w:val="bullet"/>
      <w:lvlText w:val=""/>
      <w:lvlJc w:val="left"/>
      <w:pPr>
        <w:ind w:left="1797" w:hanging="360"/>
      </w:pPr>
      <w:rPr>
        <w:rFonts w:ascii="Wingdings" w:hAnsi="Wingdings" w:hint="default"/>
      </w:rPr>
    </w:lvl>
    <w:lvl w:ilvl="1" w:tentative="1">
      <w:start w:val="1"/>
      <w:numFmt w:val="bullet"/>
      <w:lvlText w:val="o"/>
      <w:lvlJc w:val="left"/>
      <w:pPr>
        <w:ind w:left="2517" w:hanging="360"/>
      </w:pPr>
      <w:rPr>
        <w:rFonts w:ascii="Courier New" w:cs="Courier New" w:hAnsi="Courier New" w:hint="default"/>
      </w:rPr>
    </w:lvl>
    <w:lvl w:ilvl="2" w:tentative="1">
      <w:start w:val="1"/>
      <w:numFmt w:val="bullet"/>
      <w:lvlText w:val=""/>
      <w:lvlJc w:val="left"/>
      <w:pPr>
        <w:ind w:left="3237" w:hanging="360"/>
      </w:pPr>
      <w:rPr>
        <w:rFonts w:ascii="Wingdings" w:hAnsi="Wingdings" w:hint="default"/>
      </w:rPr>
    </w:lvl>
    <w:lvl w:ilvl="3" w:tentative="1">
      <w:start w:val="1"/>
      <w:numFmt w:val="bullet"/>
      <w:lvlText w:val=""/>
      <w:lvlJc w:val="left"/>
      <w:pPr>
        <w:ind w:left="3957" w:hanging="360"/>
      </w:pPr>
      <w:rPr>
        <w:rFonts w:ascii="Symbol" w:hAnsi="Symbol" w:hint="default"/>
      </w:rPr>
    </w:lvl>
    <w:lvl w:ilvl="4" w:tentative="1">
      <w:start w:val="1"/>
      <w:numFmt w:val="bullet"/>
      <w:lvlText w:val="o"/>
      <w:lvlJc w:val="left"/>
      <w:pPr>
        <w:ind w:left="4677" w:hanging="360"/>
      </w:pPr>
      <w:rPr>
        <w:rFonts w:ascii="Courier New" w:cs="Courier New" w:hAnsi="Courier New" w:hint="default"/>
      </w:rPr>
    </w:lvl>
    <w:lvl w:ilvl="5" w:tentative="1">
      <w:start w:val="1"/>
      <w:numFmt w:val="bullet"/>
      <w:lvlText w:val=""/>
      <w:lvlJc w:val="left"/>
      <w:pPr>
        <w:ind w:left="5397" w:hanging="360"/>
      </w:pPr>
      <w:rPr>
        <w:rFonts w:ascii="Wingdings" w:hAnsi="Wingdings" w:hint="default"/>
      </w:rPr>
    </w:lvl>
    <w:lvl w:ilvl="6" w:tentative="1">
      <w:start w:val="1"/>
      <w:numFmt w:val="bullet"/>
      <w:lvlText w:val=""/>
      <w:lvlJc w:val="left"/>
      <w:pPr>
        <w:ind w:left="6117" w:hanging="360"/>
      </w:pPr>
      <w:rPr>
        <w:rFonts w:ascii="Symbol" w:hAnsi="Symbol" w:hint="default"/>
      </w:rPr>
    </w:lvl>
    <w:lvl w:ilvl="7" w:tentative="1">
      <w:start w:val="1"/>
      <w:numFmt w:val="bullet"/>
      <w:lvlText w:val="o"/>
      <w:lvlJc w:val="left"/>
      <w:pPr>
        <w:ind w:left="6837" w:hanging="360"/>
      </w:pPr>
      <w:rPr>
        <w:rFonts w:ascii="Courier New" w:cs="Courier New" w:hAnsi="Courier New" w:hint="default"/>
      </w:rPr>
    </w:lvl>
    <w:lvl w:ilvl="8" w:tentative="1">
      <w:start w:val="1"/>
      <w:numFmt w:val="bullet"/>
      <w:lvlText w:val=""/>
      <w:lvlJc w:val="left"/>
      <w:pPr>
        <w:ind w:left="7557" w:hanging="360"/>
      </w:pPr>
      <w:rPr>
        <w:rFonts w:ascii="Wingdings" w:hAnsi="Wingdings" w:hint="default"/>
      </w:rPr>
    </w:lvl>
  </w:abstractNum>
  <w:abstractNum w:abstractNumId="107">
    <w:nsid w:val="0000006B"/>
    <w:multiLevelType w:val="multilevel"/>
    <w:tmpl w:val="8098D98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8">
    <w:nsid w:val="0000006C"/>
    <w:multiLevelType w:val="multilevel"/>
    <w:tmpl w:val="67F80C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9">
    <w:nsid w:val="0000006D"/>
    <w:multiLevelType w:val="multilevel"/>
    <w:tmpl w:val="3B8CBA7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0">
    <w:nsid w:val="0000006E"/>
    <w:multiLevelType w:val="multilevel"/>
    <w:tmpl w:val="63A2CC0E"/>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1">
    <w:nsid w:val="0000006F"/>
    <w:multiLevelType w:val="multilevel"/>
    <w:tmpl w:val="0EA66AA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2">
    <w:nsid w:val="00000070"/>
    <w:multiLevelType w:val="multilevel"/>
    <w:tmpl w:val="2F623C3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3">
    <w:nsid w:val="00000071"/>
    <w:multiLevelType w:val="multilevel"/>
    <w:tmpl w:val="77D6D4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4">
    <w:nsid w:val="00000072"/>
    <w:multiLevelType w:val="multilevel"/>
    <w:tmpl w:val="F462122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5">
    <w:nsid w:val="00000073"/>
    <w:multiLevelType w:val="multilevel"/>
    <w:tmpl w:val="266C6ED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6">
    <w:nsid w:val="00000074"/>
    <w:multiLevelType w:val="multilevel"/>
    <w:tmpl w:val="26FE555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7">
    <w:nsid w:val="00000075"/>
    <w:multiLevelType w:val="hybridMultilevel"/>
    <w:tmpl w:val="92EA951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18">
    <w:nsid w:val="00000076"/>
    <w:multiLevelType w:val="multilevel"/>
    <w:tmpl w:val="FFA26CD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9">
    <w:nsid w:val="00000077"/>
    <w:multiLevelType w:val="multilevel"/>
    <w:tmpl w:val="A1BE907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0">
    <w:nsid w:val="00000078"/>
    <w:multiLevelType w:val="multilevel"/>
    <w:tmpl w:val="B4BABA7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1">
    <w:nsid w:val="00000079"/>
    <w:multiLevelType w:val="multilevel"/>
    <w:tmpl w:val="C4F69DC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2">
    <w:nsid w:val="0000007A"/>
    <w:multiLevelType w:val="multilevel"/>
    <w:tmpl w:val="C930C1A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3">
    <w:nsid w:val="0000007B"/>
    <w:multiLevelType w:val="multilevel"/>
    <w:tmpl w:val="0FB02380"/>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4">
    <w:nsid w:val="0000007C"/>
    <w:multiLevelType w:val="multilevel"/>
    <w:tmpl w:val="838C315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5">
    <w:nsid w:val="0000007D"/>
    <w:multiLevelType w:val="multilevel"/>
    <w:tmpl w:val="C36EFF3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6">
    <w:nsid w:val="0000007E"/>
    <w:multiLevelType w:val="multilevel"/>
    <w:tmpl w:val="984C0CE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7">
    <w:nsid w:val="0000007F"/>
    <w:multiLevelType w:val="multilevel"/>
    <w:tmpl w:val="97F8967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8">
    <w:nsid w:val="00000080"/>
    <w:multiLevelType w:val="multilevel"/>
    <w:tmpl w:val="CFFEBF5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9">
    <w:nsid w:val="00000081"/>
    <w:multiLevelType w:val="multilevel"/>
    <w:tmpl w:val="FDDA288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30">
    <w:nsid w:val="00000082"/>
    <w:multiLevelType w:val="multilevel"/>
    <w:tmpl w:val="C84ECBB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1">
    <w:nsid w:val="00000083"/>
    <w:multiLevelType w:val="multilevel"/>
    <w:tmpl w:val="FC7CCB2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2">
    <w:nsid w:val="00000084"/>
    <w:multiLevelType w:val="multilevel"/>
    <w:tmpl w:val="19704EF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3">
    <w:nsid w:val="00000085"/>
    <w:multiLevelType w:val="multilevel"/>
    <w:tmpl w:val="5FCA530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34">
    <w:nsid w:val="00000086"/>
    <w:multiLevelType w:val="multilevel"/>
    <w:tmpl w:val="72ACBE1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5">
    <w:nsid w:val="00000087"/>
    <w:multiLevelType w:val="multilevel"/>
    <w:tmpl w:val="987C453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36">
    <w:nsid w:val="00000088"/>
    <w:multiLevelType w:val="multilevel"/>
    <w:tmpl w:val="B63CD1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7">
    <w:nsid w:val="00000089"/>
    <w:multiLevelType w:val="multilevel"/>
    <w:tmpl w:val="A47A779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8">
    <w:nsid w:val="0000008A"/>
    <w:multiLevelType w:val="multilevel"/>
    <w:tmpl w:val="5D5C2E6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9">
    <w:nsid w:val="0000008B"/>
    <w:multiLevelType w:val="multilevel"/>
    <w:tmpl w:val="3D66D4E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0">
    <w:nsid w:val="0000008C"/>
    <w:multiLevelType w:val="multilevel"/>
    <w:tmpl w:val="7F8ECAB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1">
    <w:nsid w:val="0000008D"/>
    <w:multiLevelType w:val="multilevel"/>
    <w:tmpl w:val="1222F97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2">
    <w:nsid w:val="0000008E"/>
    <w:multiLevelType w:val="multilevel"/>
    <w:tmpl w:val="56A6B37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3">
    <w:nsid w:val="0000008F"/>
    <w:multiLevelType w:val="multilevel"/>
    <w:tmpl w:val="5A6E944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4">
    <w:nsid w:val="00000090"/>
    <w:multiLevelType w:val="multilevel"/>
    <w:tmpl w:val="8356E1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5">
    <w:nsid w:val="00000091"/>
    <w:multiLevelType w:val="multilevel"/>
    <w:tmpl w:val="4928F85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6">
    <w:nsid w:val="00000092"/>
    <w:multiLevelType w:val="multilevel"/>
    <w:tmpl w:val="46A46FC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7">
    <w:nsid w:val="00000093"/>
    <w:multiLevelType w:val="multilevel"/>
    <w:tmpl w:val="6BF86F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8">
    <w:nsid w:val="00000094"/>
    <w:multiLevelType w:val="multilevel"/>
    <w:tmpl w:val="0C80D2E8"/>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9">
    <w:nsid w:val="00000095"/>
    <w:multiLevelType w:val="hybridMultilevel"/>
    <w:tmpl w:val="575A7640"/>
    <w:lvl w:ilvl="0" w:tplc="CAA23146">
      <w:start w:val="2"/>
      <w:numFmt w:val="bullet"/>
      <w:lvlText w:val="-"/>
      <w:lvlJc w:val="left"/>
      <w:pPr>
        <w:ind w:left="644" w:hanging="360"/>
      </w:pPr>
      <w:rPr>
        <w:rFonts w:ascii="Simplified Arabic" w:cs="Simplified Arabic" w:eastAsia="Calibri" w:hAnsi="Simplified Arabic" w:hint="default"/>
      </w:rPr>
    </w:lvl>
    <w:lvl w:ilvl="1" w:tplc="04090003" w:tentative="1">
      <w:start w:val="1"/>
      <w:numFmt w:val="bullet"/>
      <w:lvlText w:val="o"/>
      <w:lvlJc w:val="left"/>
      <w:pPr>
        <w:ind w:left="1364" w:hanging="360"/>
      </w:pPr>
      <w:rPr>
        <w:rFonts w:ascii="Courier New" w:cs="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cs="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cs="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0">
    <w:nsid w:val="00000096"/>
    <w:multiLevelType w:val="hybridMultilevel"/>
    <w:tmpl w:val="8F4CED36"/>
    <w:lvl w:ilvl="0" w:tplc="04090005">
      <w:start w:val="1"/>
      <w:numFmt w:val="bullet"/>
      <w:lvlText w:val=""/>
      <w:lvlJc w:val="left"/>
      <w:pPr>
        <w:ind w:left="644" w:hanging="360"/>
      </w:pPr>
      <w:rPr>
        <w:rFonts w:ascii="Wingdings" w:hAnsi="Wingdings" w:hint="default"/>
      </w:rPr>
    </w:lvl>
    <w:lvl w:ilvl="1" w:tentative="1">
      <w:start w:val="1"/>
      <w:numFmt w:val="bullet"/>
      <w:lvlText w:val="o"/>
      <w:lvlJc w:val="left"/>
      <w:pPr>
        <w:ind w:left="1364" w:hanging="360"/>
      </w:pPr>
      <w:rPr>
        <w:rFonts w:ascii="Courier New" w:cs="Courier New" w:hAnsi="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cs="Courier New" w:hAnsi="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cs="Courier New" w:hAnsi="Courier New" w:hint="default"/>
      </w:rPr>
    </w:lvl>
    <w:lvl w:ilvl="8" w:tentative="1">
      <w:start w:val="1"/>
      <w:numFmt w:val="bullet"/>
      <w:lvlText w:val=""/>
      <w:lvlJc w:val="left"/>
      <w:pPr>
        <w:ind w:left="6404" w:hanging="360"/>
      </w:pPr>
      <w:rPr>
        <w:rFonts w:ascii="Wingdings" w:hAnsi="Wingdings" w:hint="default"/>
      </w:rPr>
    </w:lvl>
  </w:abstractNum>
  <w:abstractNum w:abstractNumId="151">
    <w:nsid w:val="00000097"/>
    <w:multiLevelType w:val="multilevel"/>
    <w:tmpl w:val="88ACA09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2">
    <w:nsid w:val="00000098"/>
    <w:multiLevelType w:val="multilevel"/>
    <w:tmpl w:val="EA92669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3">
    <w:nsid w:val="00000099"/>
    <w:multiLevelType w:val="multilevel"/>
    <w:tmpl w:val="C72ECA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4">
    <w:nsid w:val="0000009A"/>
    <w:multiLevelType w:val="multilevel"/>
    <w:tmpl w:val="29646148"/>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5">
    <w:nsid w:val="0000009B"/>
    <w:multiLevelType w:val="multilevel"/>
    <w:tmpl w:val="F0D01BE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6">
    <w:nsid w:val="0000009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0000009D"/>
    <w:multiLevelType w:val="multilevel"/>
    <w:tmpl w:val="948421F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8">
    <w:nsid w:val="0000009E"/>
    <w:multiLevelType w:val="multilevel"/>
    <w:tmpl w:val="287A281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9">
    <w:nsid w:val="0000009F"/>
    <w:multiLevelType w:val="multilevel"/>
    <w:tmpl w:val="303E2A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0">
    <w:nsid w:val="000000A0"/>
    <w:multiLevelType w:val="multilevel"/>
    <w:tmpl w:val="9C6EA03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1">
    <w:nsid w:val="000000A1"/>
    <w:multiLevelType w:val="multilevel"/>
    <w:tmpl w:val="921EFA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2">
    <w:nsid w:val="000000A2"/>
    <w:multiLevelType w:val="multilevel"/>
    <w:tmpl w:val="F148FB8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3">
    <w:nsid w:val="000000A3"/>
    <w:multiLevelType w:val="multilevel"/>
    <w:tmpl w:val="BB426DF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4">
    <w:nsid w:val="000000A4"/>
    <w:multiLevelType w:val="multilevel"/>
    <w:tmpl w:val="E0AEF3C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5">
    <w:nsid w:val="000000A5"/>
    <w:multiLevelType w:val="multilevel"/>
    <w:tmpl w:val="EF84439C"/>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6">
    <w:nsid w:val="000000A6"/>
    <w:multiLevelType w:val="multilevel"/>
    <w:tmpl w:val="B712C49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7">
    <w:nsid w:val="000000A7"/>
    <w:multiLevelType w:val="multilevel"/>
    <w:tmpl w:val="982A0B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8">
    <w:nsid w:val="000000A8"/>
    <w:multiLevelType w:val="multilevel"/>
    <w:tmpl w:val="DA547FB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9">
    <w:nsid w:val="000000A9"/>
    <w:multiLevelType w:val="multilevel"/>
    <w:tmpl w:val="5E7E96E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0">
    <w:nsid w:val="000000AA"/>
    <w:multiLevelType w:val="multilevel"/>
    <w:tmpl w:val="F13409B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71">
    <w:nsid w:val="000000AB"/>
    <w:multiLevelType w:val="multilevel"/>
    <w:tmpl w:val="F9FCBAB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2">
    <w:nsid w:val="000000AC"/>
    <w:multiLevelType w:val="multilevel"/>
    <w:tmpl w:val="D79C0CB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73">
    <w:nsid w:val="000000AD"/>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000000AE"/>
    <w:multiLevelType w:val="multilevel"/>
    <w:tmpl w:val="6FDA865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5">
    <w:nsid w:val="000000AF"/>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000000B0"/>
    <w:multiLevelType w:val="multilevel"/>
    <w:tmpl w:val="670498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7">
    <w:nsid w:val="000000B1"/>
    <w:multiLevelType w:val="multilevel"/>
    <w:tmpl w:val="A696687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8">
    <w:nsid w:val="000000B2"/>
    <w:multiLevelType w:val="multilevel"/>
    <w:tmpl w:val="56CC3FC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79">
    <w:nsid w:val="000000B3"/>
    <w:multiLevelType w:val="multilevel"/>
    <w:tmpl w:val="655AB5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0">
    <w:nsid w:val="000000B4"/>
    <w:multiLevelType w:val="multilevel"/>
    <w:tmpl w:val="5EC8715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1">
    <w:nsid w:val="000000B5"/>
    <w:multiLevelType w:val="multilevel"/>
    <w:tmpl w:val="6902095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2">
    <w:nsid w:val="000000B6"/>
    <w:multiLevelType w:val="multilevel"/>
    <w:tmpl w:val="DF82212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3">
    <w:nsid w:val="000000B7"/>
    <w:multiLevelType w:val="multilevel"/>
    <w:tmpl w:val="B2F052D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4">
    <w:nsid w:val="000000B8"/>
    <w:multiLevelType w:val="multilevel"/>
    <w:tmpl w:val="12AEFEF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5">
    <w:nsid w:val="000000B9"/>
    <w:multiLevelType w:val="multilevel"/>
    <w:tmpl w:val="61E2944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6">
    <w:nsid w:val="000000BA"/>
    <w:multiLevelType w:val="multilevel"/>
    <w:tmpl w:val="5C42DF7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7">
    <w:nsid w:val="000000BB"/>
    <w:multiLevelType w:val="multilevel"/>
    <w:tmpl w:val="B324DC2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8">
    <w:nsid w:val="000000BC"/>
    <w:multiLevelType w:val="multilevel"/>
    <w:tmpl w:val="FE64031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9">
    <w:nsid w:val="000000BD"/>
    <w:multiLevelType w:val="multilevel"/>
    <w:tmpl w:val="FE0A8EE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0">
    <w:nsid w:val="000000BE"/>
    <w:multiLevelType w:val="multilevel"/>
    <w:tmpl w:val="D380772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1">
    <w:nsid w:val="000000BF"/>
    <w:multiLevelType w:val="multilevel"/>
    <w:tmpl w:val="6060BB0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2">
    <w:nsid w:val="000000C0"/>
    <w:multiLevelType w:val="multilevel"/>
    <w:tmpl w:val="66986B4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3">
    <w:nsid w:val="000000C1"/>
    <w:multiLevelType w:val="multilevel"/>
    <w:tmpl w:val="CDA8527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4">
    <w:nsid w:val="000000C2"/>
    <w:multiLevelType w:val="multilevel"/>
    <w:tmpl w:val="CD385F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5">
    <w:nsid w:val="000000C3"/>
    <w:multiLevelType w:val="multilevel"/>
    <w:tmpl w:val="9F422A5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6">
    <w:nsid w:val="000000C4"/>
    <w:multiLevelType w:val="multilevel"/>
    <w:tmpl w:val="CBA657B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7">
    <w:nsid w:val="000000C5"/>
    <w:multiLevelType w:val="multilevel"/>
    <w:tmpl w:val="AECA268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8">
    <w:nsid w:val="000000C6"/>
    <w:multiLevelType w:val="multilevel"/>
    <w:tmpl w:val="2506C7B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9">
    <w:nsid w:val="000000C7"/>
    <w:multiLevelType w:val="multilevel"/>
    <w:tmpl w:val="B2B430F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00">
    <w:nsid w:val="000000C8"/>
    <w:multiLevelType w:val="multilevel"/>
    <w:tmpl w:val="E468F0C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01">
    <w:nsid w:val="000000C9"/>
    <w:multiLevelType w:val="multilevel"/>
    <w:tmpl w:val="0452FB0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2">
    <w:nsid w:val="000000CA"/>
    <w:multiLevelType w:val="multilevel"/>
    <w:tmpl w:val="303A9A3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03">
    <w:nsid w:val="000000CB"/>
    <w:multiLevelType w:val="multilevel"/>
    <w:tmpl w:val="1494F5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4">
    <w:nsid w:val="000000CC"/>
    <w:multiLevelType w:val="multilevel"/>
    <w:tmpl w:val="77486E5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57"/>
  </w:num>
  <w:num w:numId="2">
    <w:abstractNumId w:val="106"/>
  </w:num>
  <w:num w:numId="3">
    <w:abstractNumId w:val="149"/>
  </w:num>
  <w:num w:numId="4">
    <w:abstractNumId w:val="156"/>
  </w:num>
  <w:num w:numId="5">
    <w:abstractNumId w:val="175"/>
  </w:num>
  <w:num w:numId="6">
    <w:abstractNumId w:val="5"/>
  </w:num>
  <w:num w:numId="7">
    <w:abstractNumId w:val="165"/>
  </w:num>
  <w:num w:numId="8">
    <w:abstractNumId w:val="32"/>
  </w:num>
  <w:num w:numId="9">
    <w:abstractNumId w:val="191"/>
  </w:num>
  <w:num w:numId="10">
    <w:abstractNumId w:val="66"/>
  </w:num>
  <w:num w:numId="11">
    <w:abstractNumId w:val="15"/>
  </w:num>
  <w:num w:numId="12">
    <w:abstractNumId w:val="93"/>
  </w:num>
  <w:num w:numId="13">
    <w:abstractNumId w:val="188"/>
  </w:num>
  <w:num w:numId="14">
    <w:abstractNumId w:val="158"/>
  </w:num>
  <w:num w:numId="15">
    <w:abstractNumId w:val="147"/>
  </w:num>
  <w:num w:numId="16">
    <w:abstractNumId w:val="169"/>
  </w:num>
  <w:num w:numId="17">
    <w:abstractNumId w:val="52"/>
  </w:num>
  <w:num w:numId="18">
    <w:abstractNumId w:val="98"/>
  </w:num>
  <w:num w:numId="19">
    <w:abstractNumId w:val="14"/>
  </w:num>
  <w:num w:numId="20">
    <w:abstractNumId w:val="181"/>
  </w:num>
  <w:num w:numId="21">
    <w:abstractNumId w:val="113"/>
  </w:num>
  <w:num w:numId="22">
    <w:abstractNumId w:val="115"/>
  </w:num>
  <w:num w:numId="23">
    <w:abstractNumId w:val="131"/>
  </w:num>
  <w:num w:numId="24">
    <w:abstractNumId w:val="43"/>
  </w:num>
  <w:num w:numId="25">
    <w:abstractNumId w:val="144"/>
  </w:num>
  <w:num w:numId="26">
    <w:abstractNumId w:val="189"/>
  </w:num>
  <w:num w:numId="27">
    <w:abstractNumId w:val="71"/>
  </w:num>
  <w:num w:numId="28">
    <w:abstractNumId w:val="94"/>
  </w:num>
  <w:num w:numId="29">
    <w:abstractNumId w:val="167"/>
  </w:num>
  <w:num w:numId="30">
    <w:abstractNumId w:val="159"/>
  </w:num>
  <w:num w:numId="31">
    <w:abstractNumId w:val="143"/>
  </w:num>
  <w:num w:numId="32">
    <w:abstractNumId w:val="95"/>
  </w:num>
  <w:num w:numId="33">
    <w:abstractNumId w:val="34"/>
  </w:num>
  <w:num w:numId="34">
    <w:abstractNumId w:val="85"/>
  </w:num>
  <w:num w:numId="35">
    <w:abstractNumId w:val="128"/>
  </w:num>
  <w:num w:numId="36">
    <w:abstractNumId w:val="164"/>
  </w:num>
  <w:num w:numId="37">
    <w:abstractNumId w:val="162"/>
  </w:num>
  <w:num w:numId="38">
    <w:abstractNumId w:val="19"/>
  </w:num>
  <w:num w:numId="39">
    <w:abstractNumId w:val="16"/>
  </w:num>
  <w:num w:numId="40">
    <w:abstractNumId w:val="56"/>
  </w:num>
  <w:num w:numId="41">
    <w:abstractNumId w:val="135"/>
  </w:num>
  <w:num w:numId="42">
    <w:abstractNumId w:val="136"/>
  </w:num>
  <w:num w:numId="43">
    <w:abstractNumId w:val="99"/>
  </w:num>
  <w:num w:numId="44">
    <w:abstractNumId w:val="58"/>
  </w:num>
  <w:num w:numId="45">
    <w:abstractNumId w:val="8"/>
  </w:num>
  <w:num w:numId="46">
    <w:abstractNumId w:val="35"/>
  </w:num>
  <w:num w:numId="47">
    <w:abstractNumId w:val="150"/>
  </w:num>
  <w:num w:numId="48">
    <w:abstractNumId w:val="173"/>
  </w:num>
  <w:num w:numId="49">
    <w:abstractNumId w:val="53"/>
  </w:num>
  <w:num w:numId="50">
    <w:abstractNumId w:val="133"/>
  </w:num>
  <w:num w:numId="51">
    <w:abstractNumId w:val="200"/>
  </w:num>
  <w:num w:numId="52">
    <w:abstractNumId w:val="202"/>
  </w:num>
  <w:num w:numId="53">
    <w:abstractNumId w:val="132"/>
  </w:num>
  <w:num w:numId="54">
    <w:abstractNumId w:val="185"/>
  </w:num>
  <w:num w:numId="55">
    <w:abstractNumId w:val="89"/>
  </w:num>
  <w:num w:numId="56">
    <w:abstractNumId w:val="163"/>
  </w:num>
  <w:num w:numId="57">
    <w:abstractNumId w:val="121"/>
  </w:num>
  <w:num w:numId="58">
    <w:abstractNumId w:val="157"/>
  </w:num>
  <w:num w:numId="59">
    <w:abstractNumId w:val="194"/>
  </w:num>
  <w:num w:numId="60">
    <w:abstractNumId w:val="65"/>
  </w:num>
  <w:num w:numId="61">
    <w:abstractNumId w:val="24"/>
  </w:num>
  <w:num w:numId="62">
    <w:abstractNumId w:val="203"/>
  </w:num>
  <w:num w:numId="63">
    <w:abstractNumId w:val="193"/>
  </w:num>
  <w:num w:numId="64">
    <w:abstractNumId w:val="54"/>
  </w:num>
  <w:num w:numId="65">
    <w:abstractNumId w:val="155"/>
  </w:num>
  <w:num w:numId="66">
    <w:abstractNumId w:val="122"/>
  </w:num>
  <w:num w:numId="67">
    <w:abstractNumId w:val="90"/>
  </w:num>
  <w:num w:numId="68">
    <w:abstractNumId w:val="111"/>
  </w:num>
  <w:num w:numId="69">
    <w:abstractNumId w:val="88"/>
  </w:num>
  <w:num w:numId="70">
    <w:abstractNumId w:val="192"/>
  </w:num>
  <w:num w:numId="71">
    <w:abstractNumId w:val="55"/>
  </w:num>
  <w:num w:numId="72">
    <w:abstractNumId w:val="102"/>
  </w:num>
  <w:num w:numId="73">
    <w:abstractNumId w:val="105"/>
  </w:num>
  <w:num w:numId="74">
    <w:abstractNumId w:val="114"/>
  </w:num>
  <w:num w:numId="75">
    <w:abstractNumId w:val="92"/>
  </w:num>
  <w:num w:numId="76">
    <w:abstractNumId w:val="45"/>
  </w:num>
  <w:num w:numId="77">
    <w:abstractNumId w:val="184"/>
  </w:num>
  <w:num w:numId="78">
    <w:abstractNumId w:val="129"/>
  </w:num>
  <w:num w:numId="79">
    <w:abstractNumId w:val="154"/>
  </w:num>
  <w:num w:numId="80">
    <w:abstractNumId w:val="2"/>
  </w:num>
  <w:num w:numId="81">
    <w:abstractNumId w:val="137"/>
  </w:num>
  <w:num w:numId="82">
    <w:abstractNumId w:val="30"/>
  </w:num>
  <w:num w:numId="83">
    <w:abstractNumId w:val="23"/>
  </w:num>
  <w:num w:numId="84">
    <w:abstractNumId w:val="33"/>
  </w:num>
  <w:num w:numId="85">
    <w:abstractNumId w:val="174"/>
  </w:num>
  <w:num w:numId="86">
    <w:abstractNumId w:val="153"/>
  </w:num>
  <w:num w:numId="87">
    <w:abstractNumId w:val="28"/>
  </w:num>
  <w:num w:numId="88">
    <w:abstractNumId w:val="120"/>
  </w:num>
  <w:num w:numId="89">
    <w:abstractNumId w:val="196"/>
  </w:num>
  <w:num w:numId="90">
    <w:abstractNumId w:val="124"/>
  </w:num>
  <w:num w:numId="91">
    <w:abstractNumId w:val="134"/>
  </w:num>
  <w:num w:numId="92">
    <w:abstractNumId w:val="130"/>
  </w:num>
  <w:num w:numId="93">
    <w:abstractNumId w:val="100"/>
  </w:num>
  <w:num w:numId="94">
    <w:abstractNumId w:val="0"/>
  </w:num>
  <w:num w:numId="95">
    <w:abstractNumId w:val="141"/>
  </w:num>
  <w:num w:numId="96">
    <w:abstractNumId w:val="21"/>
  </w:num>
  <w:num w:numId="97">
    <w:abstractNumId w:val="72"/>
  </w:num>
  <w:num w:numId="98">
    <w:abstractNumId w:val="183"/>
  </w:num>
  <w:num w:numId="99">
    <w:abstractNumId w:val="1"/>
  </w:num>
  <w:num w:numId="100">
    <w:abstractNumId w:val="151"/>
  </w:num>
  <w:num w:numId="101">
    <w:abstractNumId w:val="68"/>
  </w:num>
  <w:num w:numId="102">
    <w:abstractNumId w:val="112"/>
  </w:num>
  <w:num w:numId="103">
    <w:abstractNumId w:val="13"/>
  </w:num>
  <w:num w:numId="104">
    <w:abstractNumId w:val="39"/>
  </w:num>
  <w:num w:numId="105">
    <w:abstractNumId w:val="101"/>
  </w:num>
  <w:num w:numId="106">
    <w:abstractNumId w:val="204"/>
  </w:num>
  <w:num w:numId="107">
    <w:abstractNumId w:val="146"/>
  </w:num>
  <w:num w:numId="108">
    <w:abstractNumId w:val="6"/>
  </w:num>
  <w:num w:numId="109">
    <w:abstractNumId w:val="4"/>
  </w:num>
  <w:num w:numId="110">
    <w:abstractNumId w:val="170"/>
  </w:num>
  <w:num w:numId="111">
    <w:abstractNumId w:val="27"/>
  </w:num>
  <w:num w:numId="112">
    <w:abstractNumId w:val="62"/>
  </w:num>
  <w:num w:numId="113">
    <w:abstractNumId w:val="3"/>
  </w:num>
  <w:num w:numId="114">
    <w:abstractNumId w:val="78"/>
  </w:num>
  <w:num w:numId="115">
    <w:abstractNumId w:val="82"/>
  </w:num>
  <w:num w:numId="116">
    <w:abstractNumId w:val="46"/>
  </w:num>
  <w:num w:numId="117">
    <w:abstractNumId w:val="103"/>
  </w:num>
  <w:num w:numId="118">
    <w:abstractNumId w:val="77"/>
  </w:num>
  <w:num w:numId="119">
    <w:abstractNumId w:val="171"/>
  </w:num>
  <w:num w:numId="120">
    <w:abstractNumId w:val="76"/>
  </w:num>
  <w:num w:numId="121">
    <w:abstractNumId w:val="12"/>
  </w:num>
  <w:num w:numId="122">
    <w:abstractNumId w:val="118"/>
  </w:num>
  <w:num w:numId="123">
    <w:abstractNumId w:val="48"/>
  </w:num>
  <w:num w:numId="124">
    <w:abstractNumId w:val="29"/>
  </w:num>
  <w:num w:numId="125">
    <w:abstractNumId w:val="187"/>
  </w:num>
  <w:num w:numId="126">
    <w:abstractNumId w:val="31"/>
  </w:num>
  <w:num w:numId="127">
    <w:abstractNumId w:val="25"/>
  </w:num>
  <w:num w:numId="128">
    <w:abstractNumId w:val="73"/>
  </w:num>
  <w:num w:numId="129">
    <w:abstractNumId w:val="44"/>
  </w:num>
  <w:num w:numId="130">
    <w:abstractNumId w:val="190"/>
  </w:num>
  <w:num w:numId="131">
    <w:abstractNumId w:val="49"/>
  </w:num>
  <w:num w:numId="132">
    <w:abstractNumId w:val="177"/>
  </w:num>
  <w:num w:numId="133">
    <w:abstractNumId w:val="140"/>
  </w:num>
  <w:num w:numId="134">
    <w:abstractNumId w:val="179"/>
  </w:num>
  <w:num w:numId="135">
    <w:abstractNumId w:val="7"/>
  </w:num>
  <w:num w:numId="136">
    <w:abstractNumId w:val="63"/>
  </w:num>
  <w:num w:numId="137">
    <w:abstractNumId w:val="83"/>
  </w:num>
  <w:num w:numId="138">
    <w:abstractNumId w:val="38"/>
  </w:num>
  <w:num w:numId="139">
    <w:abstractNumId w:val="96"/>
  </w:num>
  <w:num w:numId="140">
    <w:abstractNumId w:val="11"/>
  </w:num>
  <w:num w:numId="141">
    <w:abstractNumId w:val="186"/>
  </w:num>
  <w:num w:numId="142">
    <w:abstractNumId w:val="152"/>
  </w:num>
  <w:num w:numId="143">
    <w:abstractNumId w:val="84"/>
  </w:num>
  <w:num w:numId="144">
    <w:abstractNumId w:val="22"/>
  </w:num>
  <w:num w:numId="145">
    <w:abstractNumId w:val="107"/>
  </w:num>
  <w:num w:numId="146">
    <w:abstractNumId w:val="195"/>
  </w:num>
  <w:num w:numId="147">
    <w:abstractNumId w:val="172"/>
  </w:num>
  <w:num w:numId="148">
    <w:abstractNumId w:val="148"/>
  </w:num>
  <w:num w:numId="149">
    <w:abstractNumId w:val="91"/>
  </w:num>
  <w:num w:numId="150">
    <w:abstractNumId w:val="75"/>
  </w:num>
  <w:num w:numId="151">
    <w:abstractNumId w:val="67"/>
  </w:num>
  <w:num w:numId="152">
    <w:abstractNumId w:val="47"/>
  </w:num>
  <w:num w:numId="153">
    <w:abstractNumId w:val="51"/>
  </w:num>
  <w:num w:numId="154">
    <w:abstractNumId w:val="110"/>
  </w:num>
  <w:num w:numId="155">
    <w:abstractNumId w:val="70"/>
  </w:num>
  <w:num w:numId="156">
    <w:abstractNumId w:val="74"/>
  </w:num>
  <w:num w:numId="157">
    <w:abstractNumId w:val="60"/>
  </w:num>
  <w:num w:numId="158">
    <w:abstractNumId w:val="127"/>
  </w:num>
  <w:num w:numId="159">
    <w:abstractNumId w:val="61"/>
  </w:num>
  <w:num w:numId="160">
    <w:abstractNumId w:val="161"/>
  </w:num>
  <w:num w:numId="161">
    <w:abstractNumId w:val="126"/>
  </w:num>
  <w:num w:numId="162">
    <w:abstractNumId w:val="138"/>
  </w:num>
  <w:num w:numId="163">
    <w:abstractNumId w:val="180"/>
  </w:num>
  <w:num w:numId="164">
    <w:abstractNumId w:val="160"/>
  </w:num>
  <w:num w:numId="165">
    <w:abstractNumId w:val="26"/>
  </w:num>
  <w:num w:numId="166">
    <w:abstractNumId w:val="116"/>
  </w:num>
  <w:num w:numId="167">
    <w:abstractNumId w:val="36"/>
  </w:num>
  <w:num w:numId="168">
    <w:abstractNumId w:val="119"/>
  </w:num>
  <w:num w:numId="169">
    <w:abstractNumId w:val="80"/>
  </w:num>
  <w:num w:numId="170">
    <w:abstractNumId w:val="109"/>
  </w:num>
  <w:num w:numId="171">
    <w:abstractNumId w:val="81"/>
  </w:num>
  <w:num w:numId="172">
    <w:abstractNumId w:val="201"/>
  </w:num>
  <w:num w:numId="173">
    <w:abstractNumId w:val="17"/>
  </w:num>
  <w:num w:numId="174">
    <w:abstractNumId w:val="182"/>
  </w:num>
  <w:num w:numId="175">
    <w:abstractNumId w:val="50"/>
  </w:num>
  <w:num w:numId="176">
    <w:abstractNumId w:val="197"/>
  </w:num>
  <w:num w:numId="177">
    <w:abstractNumId w:val="166"/>
  </w:num>
  <w:num w:numId="178">
    <w:abstractNumId w:val="198"/>
  </w:num>
  <w:num w:numId="179">
    <w:abstractNumId w:val="97"/>
  </w:num>
  <w:num w:numId="180">
    <w:abstractNumId w:val="168"/>
  </w:num>
  <w:num w:numId="181">
    <w:abstractNumId w:val="37"/>
  </w:num>
  <w:num w:numId="182">
    <w:abstractNumId w:val="59"/>
  </w:num>
  <w:num w:numId="183">
    <w:abstractNumId w:val="199"/>
  </w:num>
  <w:num w:numId="184">
    <w:abstractNumId w:val="79"/>
  </w:num>
  <w:num w:numId="185">
    <w:abstractNumId w:val="87"/>
  </w:num>
  <w:num w:numId="186">
    <w:abstractNumId w:val="108"/>
  </w:num>
  <w:num w:numId="187">
    <w:abstractNumId w:val="9"/>
  </w:num>
  <w:num w:numId="188">
    <w:abstractNumId w:val="142"/>
  </w:num>
  <w:num w:numId="189">
    <w:abstractNumId w:val="10"/>
  </w:num>
  <w:num w:numId="190">
    <w:abstractNumId w:val="64"/>
  </w:num>
  <w:num w:numId="191">
    <w:abstractNumId w:val="176"/>
  </w:num>
  <w:num w:numId="192">
    <w:abstractNumId w:val="41"/>
  </w:num>
  <w:num w:numId="193">
    <w:abstractNumId w:val="104"/>
  </w:num>
  <w:num w:numId="194">
    <w:abstractNumId w:val="123"/>
  </w:num>
  <w:num w:numId="195">
    <w:abstractNumId w:val="20"/>
  </w:num>
  <w:num w:numId="196">
    <w:abstractNumId w:val="40"/>
  </w:num>
  <w:num w:numId="197">
    <w:abstractNumId w:val="178"/>
  </w:num>
  <w:num w:numId="198">
    <w:abstractNumId w:val="139"/>
  </w:num>
  <w:num w:numId="199">
    <w:abstractNumId w:val="145"/>
  </w:num>
  <w:num w:numId="200">
    <w:abstractNumId w:val="42"/>
  </w:num>
  <w:num w:numId="201">
    <w:abstractNumId w:val="117"/>
  </w:num>
  <w:num w:numId="202">
    <w:abstractNumId w:val="86"/>
  </w:num>
  <w:num w:numId="203">
    <w:abstractNumId w:val="125"/>
  </w:num>
  <w:num w:numId="204">
    <w:abstractNumId w:val="69"/>
  </w:num>
  <w:num w:numId="205">
    <w:abstractNumId w:val="1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bidi/>
      <w:spacing w:after="160" w:lineRule="auto" w:line="259"/>
    </w:pPr>
    <w:rPr/>
  </w:style>
  <w:style w:type="paragraph" w:styleId="style1">
    <w:name w:val="heading 1"/>
    <w:basedOn w:val="style0"/>
    <w:next w:val="style0"/>
    <w:link w:val="style4097"/>
    <w:qFormat/>
    <w:uiPriority w:val="9"/>
    <w:pPr>
      <w:keepNext/>
      <w:keepLines/>
      <w:spacing w:before="480" w:after="0" w:lineRule="auto" w:line="276"/>
      <w:outlineLvl w:val="0"/>
    </w:pPr>
    <w:rPr>
      <w:rFonts w:ascii="Cambria" w:cs="Times New Roman" w:eastAsia="宋体" w:hAnsi="Cambria"/>
      <w:b/>
      <w:bCs/>
      <w:color w:val="365f91"/>
      <w:sz w:val="28"/>
      <w:szCs w:val="28"/>
    </w:rPr>
  </w:style>
  <w:style w:type="paragraph" w:styleId="style2">
    <w:name w:val="heading 2"/>
    <w:basedOn w:val="style0"/>
    <w:next w:val="style0"/>
    <w:link w:val="style4098"/>
    <w:qFormat/>
    <w:uiPriority w:val="9"/>
    <w:pPr>
      <w:keepNext/>
      <w:keepLines/>
      <w:spacing w:before="200" w:after="0" w:lineRule="auto" w:line="276"/>
      <w:outlineLvl w:val="1"/>
    </w:pPr>
    <w:rPr>
      <w:rFonts w:ascii="Cambria" w:cs="Times New Roman" w:eastAsia="宋体" w:hAnsi="Cambria"/>
      <w:b/>
      <w:bCs/>
      <w:color w:val="4f81bd"/>
      <w:sz w:val="26"/>
      <w:szCs w:val="26"/>
    </w:rPr>
  </w:style>
  <w:style w:type="paragraph" w:styleId="style3">
    <w:name w:val="heading 3"/>
    <w:basedOn w:val="style0"/>
    <w:next w:val="style0"/>
    <w:link w:val="style4099"/>
    <w:qFormat/>
    <w:uiPriority w:val="9"/>
    <w:pPr>
      <w:keepNext/>
      <w:keepLines/>
      <w:spacing w:before="200" w:after="0" w:lineRule="auto" w:line="276"/>
      <w:outlineLvl w:val="2"/>
    </w:pPr>
    <w:rPr>
      <w:rFonts w:ascii="Cambria" w:cs="Times New Roman" w:eastAsia="宋体" w:hAnsi="Cambria"/>
      <w:b/>
      <w:bCs/>
      <w:color w:val="4f81bd"/>
    </w:rPr>
  </w:style>
  <w:style w:type="paragraph" w:styleId="style4">
    <w:name w:val="heading 4"/>
    <w:basedOn w:val="style0"/>
    <w:next w:val="style0"/>
    <w:link w:val="style4100"/>
    <w:qFormat/>
    <w:uiPriority w:val="9"/>
    <w:pPr>
      <w:keepNext/>
      <w:keepLines/>
      <w:spacing w:before="200" w:after="0" w:lineRule="auto" w:line="276"/>
      <w:outlineLvl w:val="3"/>
    </w:pPr>
    <w:rPr>
      <w:rFonts w:ascii="Cambria" w:cs="Times New Roman" w:eastAsia="宋体" w:hAnsi="Cambria"/>
      <w:b/>
      <w:bCs/>
      <w:i/>
      <w:iCs/>
      <w:color w:val="4f81bd"/>
    </w:rPr>
  </w:style>
  <w:style w:type="paragraph" w:styleId="style5">
    <w:name w:val="heading 5"/>
    <w:basedOn w:val="style0"/>
    <w:next w:val="style0"/>
    <w:link w:val="style4130"/>
    <w:qFormat/>
    <w:uiPriority w:val="9"/>
    <w:pPr>
      <w:keepNext/>
      <w:keepLines/>
      <w:spacing w:before="40" w:after="0"/>
      <w:outlineLvl w:val="4"/>
    </w:pPr>
    <w:rPr>
      <w:rFonts w:ascii="Calibri" w:cs="Times New Roman" w:eastAsia="Times New Roman" w:hAnsi="Calibri"/>
      <w:color w:val="2e74b5"/>
    </w:rPr>
  </w:style>
  <w:style w:type="paragraph" w:styleId="style6">
    <w:name w:val="heading 6"/>
    <w:basedOn w:val="style0"/>
    <w:next w:val="style0"/>
    <w:link w:val="style4131"/>
    <w:qFormat/>
    <w:uiPriority w:val="9"/>
    <w:pPr>
      <w:keepNext/>
      <w:keepLines/>
      <w:spacing w:before="40" w:after="0"/>
      <w:outlineLvl w:val="5"/>
    </w:pPr>
    <w:rPr>
      <w:rFonts w:ascii="Calibri" w:cs="Times New Roman" w:eastAsia="Times New Roman" w:hAnsi="Calibri"/>
      <w:i/>
      <w:iCs/>
      <w:color w:val="595959"/>
    </w:rPr>
  </w:style>
  <w:style w:type="paragraph" w:styleId="style7">
    <w:name w:val="heading 7"/>
    <w:basedOn w:val="style0"/>
    <w:next w:val="style0"/>
    <w:link w:val="style4132"/>
    <w:qFormat/>
    <w:uiPriority w:val="9"/>
    <w:pPr>
      <w:keepNext/>
      <w:keepLines/>
      <w:spacing w:before="40" w:after="0"/>
      <w:outlineLvl w:val="6"/>
    </w:pPr>
    <w:rPr>
      <w:rFonts w:ascii="Calibri" w:cs="Times New Roman" w:eastAsia="Times New Roman" w:hAnsi="Calibri"/>
      <w:color w:val="595959"/>
    </w:rPr>
  </w:style>
  <w:style w:type="paragraph" w:styleId="style8">
    <w:name w:val="heading 8"/>
    <w:basedOn w:val="style0"/>
    <w:next w:val="style0"/>
    <w:link w:val="style4133"/>
    <w:qFormat/>
    <w:uiPriority w:val="9"/>
    <w:pPr>
      <w:keepNext/>
      <w:keepLines/>
      <w:spacing w:before="40" w:after="0"/>
      <w:outlineLvl w:val="7"/>
    </w:pPr>
    <w:rPr>
      <w:rFonts w:ascii="Calibri" w:cs="Times New Roman" w:eastAsia="Times New Roman" w:hAnsi="Calibri"/>
      <w:i/>
      <w:iCs/>
      <w:color w:val="272727"/>
    </w:rPr>
  </w:style>
  <w:style w:type="paragraph" w:styleId="style9">
    <w:name w:val="heading 9"/>
    <w:basedOn w:val="style0"/>
    <w:next w:val="style0"/>
    <w:link w:val="style4134"/>
    <w:qFormat/>
    <w:uiPriority w:val="9"/>
    <w:pPr>
      <w:keepNext/>
      <w:keepLines/>
      <w:spacing w:before="40" w:after="0"/>
      <w:outlineLvl w:val="8"/>
    </w:pPr>
    <w:rPr>
      <w:rFonts w:ascii="Calibri" w:cs="Times New Roman" w:eastAsia="Times New Roman"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العنوان 1 Char"/>
    <w:basedOn w:val="style65"/>
    <w:next w:val="style4097"/>
    <w:link w:val="style1"/>
    <w:uiPriority w:val="9"/>
    <w:rPr>
      <w:rFonts w:ascii="Cambria" w:cs="Times New Roman" w:eastAsia="宋体" w:hAnsi="Cambria"/>
      <w:b/>
      <w:bCs/>
      <w:color w:val="365f91"/>
      <w:sz w:val="28"/>
      <w:szCs w:val="28"/>
    </w:rPr>
  </w:style>
  <w:style w:type="character" w:customStyle="1" w:styleId="style4098">
    <w:name w:val="عنوان 2 Char"/>
    <w:basedOn w:val="style65"/>
    <w:next w:val="style4098"/>
    <w:link w:val="style2"/>
    <w:uiPriority w:val="9"/>
    <w:rPr>
      <w:rFonts w:ascii="Cambria" w:cs="Times New Roman" w:eastAsia="宋体" w:hAnsi="Cambria"/>
      <w:b/>
      <w:bCs/>
      <w:color w:val="4f81bd"/>
      <w:sz w:val="26"/>
      <w:szCs w:val="26"/>
    </w:rPr>
  </w:style>
  <w:style w:type="character" w:customStyle="1" w:styleId="style4099">
    <w:name w:val="عنوان 3 Char"/>
    <w:basedOn w:val="style65"/>
    <w:next w:val="style4099"/>
    <w:link w:val="style3"/>
    <w:uiPriority w:val="9"/>
    <w:rPr>
      <w:rFonts w:ascii="Cambria" w:cs="Times New Roman" w:eastAsia="宋体" w:hAnsi="Cambria"/>
      <w:b/>
      <w:bCs/>
      <w:color w:val="4f81bd"/>
    </w:rPr>
  </w:style>
  <w:style w:type="character" w:customStyle="1" w:styleId="style4100">
    <w:name w:val="عنوان 4 Char"/>
    <w:basedOn w:val="style65"/>
    <w:next w:val="style4100"/>
    <w:link w:val="style4"/>
    <w:uiPriority w:val="9"/>
    <w:rPr>
      <w:rFonts w:ascii="Cambria" w:cs="Times New Roman" w:eastAsia="宋体" w:hAnsi="Cambria"/>
      <w:b/>
      <w:bCs/>
      <w:i/>
      <w:iCs/>
      <w:color w:val="4f81bd"/>
    </w:rPr>
  </w:style>
  <w:style w:type="paragraph" w:styleId="style32">
    <w:name w:val="footer"/>
    <w:basedOn w:val="style0"/>
    <w:next w:val="style32"/>
    <w:link w:val="style4101"/>
    <w:uiPriority w:val="99"/>
    <w:pPr>
      <w:tabs>
        <w:tab w:val="center" w:leader="none" w:pos="4153"/>
        <w:tab w:val="right" w:leader="none" w:pos="8306"/>
      </w:tabs>
      <w:spacing w:after="0" w:lineRule="auto" w:line="240"/>
    </w:pPr>
    <w:rPr/>
  </w:style>
  <w:style w:type="character" w:customStyle="1" w:styleId="style4101">
    <w:name w:val="تذييل الصفحة Char"/>
    <w:basedOn w:val="style65"/>
    <w:next w:val="style4101"/>
    <w:link w:val="style32"/>
    <w:uiPriority w:val="99"/>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link w:val="style4102"/>
    <w:qFormat/>
    <w:uiPriority w:val="34"/>
    <w:pPr>
      <w:ind w:left="720"/>
      <w:contextualSpacing/>
    </w:pPr>
    <w:rPr/>
  </w:style>
  <w:style w:type="character" w:customStyle="1" w:styleId="style4102">
    <w:name w:val="سرد الفقرات Char"/>
    <w:next w:val="style4102"/>
    <w:link w:val="style179"/>
    <w:uiPriority w:val="34"/>
  </w:style>
  <w:style w:type="paragraph" w:styleId="style31">
    <w:name w:val="header"/>
    <w:basedOn w:val="style0"/>
    <w:next w:val="style31"/>
    <w:link w:val="style4103"/>
    <w:uiPriority w:val="99"/>
    <w:pPr>
      <w:tabs>
        <w:tab w:val="center" w:leader="none" w:pos="4153"/>
        <w:tab w:val="right" w:leader="none" w:pos="8306"/>
      </w:tabs>
      <w:spacing w:after="0" w:lineRule="auto" w:line="240"/>
    </w:pPr>
    <w:rPr/>
  </w:style>
  <w:style w:type="character" w:customStyle="1" w:styleId="style4103">
    <w:name w:val="رأس الصفحة Char"/>
    <w:basedOn w:val="style65"/>
    <w:next w:val="style4103"/>
    <w:link w:val="style31"/>
    <w:uiPriority w:val="99"/>
  </w:style>
  <w:style w:type="character" w:styleId="style85">
    <w:name w:val="Hyperlink"/>
    <w:basedOn w:val="style65"/>
    <w:next w:val="style85"/>
    <w:uiPriority w:val="99"/>
    <w:rPr>
      <w:color w:val="0000ff"/>
      <w:u w:val="single"/>
    </w:rPr>
  </w:style>
  <w:style w:type="table" w:customStyle="1" w:styleId="style4104">
    <w:name w:val="جدول شبكة 4 - تمييز 51"/>
    <w:basedOn w:val="style105"/>
    <w:next w:val="style4104"/>
    <w:uiPriority w:val="49"/>
    <w:pPr>
      <w:spacing w:after="0" w:lineRule="auto" w:line="240"/>
    </w:pPr>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pPr/>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pPr/>
      <w:rPr>
        <w:b/>
        <w:bCs/>
      </w:rPr>
      <w:tblPr/>
      <w:tcPr>
        <w:tcBorders>
          <w:top w:val="double" w:sz="4" w:space="0" w:color="4bacc6"/>
        </w:tcBorders>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shd w:val="clear" w:color="auto" w:fill="daeef3"/>
      </w:tcPr>
    </w:tblStylePr>
    <w:tcPr>
      <w:tcBorders/>
    </w:tcPr>
  </w:style>
  <w:style w:type="paragraph" w:styleId="style157">
    <w:name w:val="No Spacing"/>
    <w:next w:val="style157"/>
    <w:link w:val="style4105"/>
    <w:qFormat/>
    <w:uiPriority w:val="1"/>
    <w:pPr>
      <w:bidi/>
      <w:spacing w:after="0" w:lineRule="auto" w:line="240"/>
    </w:pPr>
    <w:rPr/>
  </w:style>
  <w:style w:type="character" w:customStyle="1" w:styleId="style4105">
    <w:name w:val="بلا تباعد Char"/>
    <w:basedOn w:val="style65"/>
    <w:next w:val="style4105"/>
    <w:link w:val="style157"/>
    <w:uiPriority w:val="1"/>
  </w:style>
  <w:style w:type="paragraph" w:styleId="style153">
    <w:name w:val="Balloon Text"/>
    <w:basedOn w:val="style0"/>
    <w:next w:val="style153"/>
    <w:link w:val="style4106"/>
    <w:uiPriority w:val="99"/>
    <w:pPr>
      <w:spacing w:after="0" w:lineRule="auto" w:line="240"/>
    </w:pPr>
    <w:rPr>
      <w:rFonts w:ascii="Tahoma" w:cs="Tahoma" w:hAnsi="Tahoma"/>
      <w:sz w:val="16"/>
      <w:szCs w:val="16"/>
    </w:rPr>
  </w:style>
  <w:style w:type="character" w:customStyle="1" w:styleId="style4106">
    <w:name w:val="نص في بالون Char"/>
    <w:basedOn w:val="style65"/>
    <w:next w:val="style4106"/>
    <w:link w:val="style153"/>
    <w:uiPriority w:val="99"/>
    <w:rPr>
      <w:rFonts w:ascii="Tahoma" w:cs="Tahoma" w:hAnsi="Tahoma"/>
      <w:sz w:val="16"/>
      <w:szCs w:val="16"/>
    </w:rPr>
  </w:style>
  <w:style w:type="paragraph" w:styleId="style29">
    <w:name w:val="footnote text"/>
    <w:basedOn w:val="style0"/>
    <w:next w:val="style29"/>
    <w:link w:val="style4107"/>
    <w:qFormat/>
    <w:pPr>
      <w:spacing w:after="0" w:lineRule="auto" w:line="240"/>
    </w:pPr>
    <w:rPr>
      <w:rFonts w:ascii="Times New Roman" w:cs="Times New Roman" w:eastAsia="SimSun" w:hAnsi="Times New Roman"/>
      <w:sz w:val="20"/>
      <w:szCs w:val="20"/>
      <w:lang w:eastAsia="zh-CN"/>
    </w:rPr>
  </w:style>
  <w:style w:type="character" w:customStyle="1" w:styleId="style4107">
    <w:name w:val="نص حاشية سفلية Char"/>
    <w:basedOn w:val="style65"/>
    <w:next w:val="style4107"/>
    <w:link w:val="style29"/>
    <w:rPr>
      <w:rFonts w:ascii="Times New Roman" w:cs="Times New Roman" w:eastAsia="SimSun" w:hAnsi="Times New Roman"/>
      <w:sz w:val="20"/>
      <w:szCs w:val="20"/>
      <w:lang w:eastAsia="zh-CN"/>
    </w:rPr>
  </w:style>
  <w:style w:type="paragraph" w:styleId="style19">
    <w:name w:val="toc 1"/>
    <w:basedOn w:val="style0"/>
    <w:next w:val="style0"/>
    <w:qFormat/>
    <w:uiPriority w:val="39"/>
    <w:pPr>
      <w:spacing w:after="100" w:lineRule="auto" w:line="276"/>
    </w:pPr>
    <w:rPr/>
  </w:style>
  <w:style w:type="paragraph" w:styleId="style20">
    <w:name w:val="toc 2"/>
    <w:basedOn w:val="style0"/>
    <w:next w:val="style0"/>
    <w:qFormat/>
    <w:uiPriority w:val="39"/>
    <w:pPr>
      <w:spacing w:after="100" w:lineRule="auto" w:line="276"/>
      <w:ind w:left="220"/>
    </w:pPr>
    <w:rPr/>
  </w:style>
  <w:style w:type="character" w:styleId="style38">
    <w:name w:val="footnote reference"/>
    <w:basedOn w:val="style65"/>
    <w:next w:val="style38"/>
    <w:uiPriority w:val="99"/>
    <w:rPr>
      <w:vertAlign w:val="superscript"/>
    </w:rPr>
  </w:style>
  <w:style w:type="paragraph" w:customStyle="1" w:styleId="style4108">
    <w:name w:val="فهرس1"/>
    <w:basedOn w:val="style0"/>
    <w:next w:val="style4108"/>
    <w:link w:val="style4109"/>
    <w:qFormat/>
    <w:pPr>
      <w:spacing w:after="200" w:lineRule="auto" w:line="240"/>
      <w:jc w:val="center"/>
    </w:pPr>
    <w:rPr>
      <w:rFonts w:ascii="Cambria" w:cs="PT Bold Heading" w:eastAsia="Times New Roman" w:hAnsi="Cambria"/>
      <w:sz w:val="44"/>
      <w:szCs w:val="44"/>
      <w:lang w:bidi="ar-YE"/>
    </w:rPr>
  </w:style>
  <w:style w:type="character" w:customStyle="1" w:styleId="style4109">
    <w:name w:val="فهرس1 Char"/>
    <w:next w:val="style4109"/>
    <w:link w:val="style4108"/>
    <w:rPr>
      <w:rFonts w:ascii="Cambria" w:cs="PT Bold Heading" w:eastAsia="Times New Roman" w:hAnsi="Cambria"/>
      <w:sz w:val="44"/>
      <w:szCs w:val="44"/>
      <w:lang w:bidi="ar-YE"/>
    </w:r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sz w:val="24"/>
      <w:szCs w:val="24"/>
    </w:rPr>
  </w:style>
  <w:style w:type="character" w:styleId="style87">
    <w:name w:val="Strong"/>
    <w:basedOn w:val="style65"/>
    <w:next w:val="style87"/>
    <w:qFormat/>
    <w:uiPriority w:val="22"/>
    <w:rPr>
      <w:b/>
      <w:bCs/>
    </w:rPr>
  </w:style>
  <w:style w:type="character" w:customStyle="1" w:styleId="style4110">
    <w:name w:val="mw-headline"/>
    <w:basedOn w:val="style65"/>
    <w:next w:val="style4110"/>
  </w:style>
  <w:style w:type="paragraph" w:customStyle="1" w:styleId="style4111">
    <w:name w:val="ParaAttribute1"/>
    <w:next w:val="style4111"/>
    <w:pPr>
      <w:widowControl w:val="false"/>
      <w:wordWrap w:val="false"/>
      <w:spacing w:after="0" w:lineRule="auto" w:line="240"/>
    </w:pPr>
    <w:rPr>
      <w:rFonts w:ascii="Times New Roman" w:cs="Times New Roman" w:eastAsia="Batang" w:hAnsi="Times New Roman"/>
      <w:sz w:val="20"/>
      <w:szCs w:val="20"/>
    </w:rPr>
  </w:style>
  <w:style w:type="character" w:customStyle="1" w:styleId="style4112">
    <w:name w:val="CharAttribute0"/>
    <w:next w:val="style4112"/>
    <w:rPr>
      <w:rFonts w:ascii="Times New Roman" w:eastAsia="Times New Roman"/>
    </w:rPr>
  </w:style>
  <w:style w:type="character" w:customStyle="1" w:styleId="style4113">
    <w:name w:val="CharAttribute1"/>
    <w:next w:val="style4113"/>
    <w:rPr>
      <w:rFonts w:ascii="Times New Roman" w:eastAsia="Times New Roman"/>
    </w:rPr>
  </w:style>
  <w:style w:type="character" w:customStyle="1" w:styleId="style4114">
    <w:name w:val="mw-editsection"/>
    <w:basedOn w:val="style65"/>
    <w:next w:val="style4114"/>
  </w:style>
  <w:style w:type="character" w:customStyle="1" w:styleId="style4115">
    <w:name w:val="mw-editsection-bracket"/>
    <w:basedOn w:val="style65"/>
    <w:next w:val="style4115"/>
  </w:style>
  <w:style w:type="character" w:customStyle="1" w:styleId="style4116">
    <w:name w:val="dont-break-out"/>
    <w:basedOn w:val="style65"/>
    <w:next w:val="style4116"/>
  </w:style>
  <w:style w:type="table" w:customStyle="1" w:styleId="style4117">
    <w:name w:val="شبكة جدول1"/>
    <w:basedOn w:val="style105"/>
    <w:next w:val="style154"/>
    <w:uiPriority w:val="39"/>
    <w:pPr>
      <w:spacing w:after="0" w:lineRule="auto" w:line="240"/>
    </w:pPr>
    <w:rPr>
      <w:rFonts w:ascii="Calibri" w:cs="Arial"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18">
    <w:name w:val="fontstyle01"/>
    <w:basedOn w:val="style65"/>
    <w:next w:val="style4118"/>
    <w:rPr>
      <w:rFonts w:ascii="TimesNewRomanPSMT" w:hAnsi="TimesNewRomanPSMT" w:hint="default"/>
      <w:b w:val="false"/>
      <w:bCs w:val="false"/>
      <w:i w:val="false"/>
      <w:iCs w:val="false"/>
      <w:color w:val="000000"/>
      <w:sz w:val="24"/>
      <w:szCs w:val="24"/>
    </w:rPr>
  </w:style>
  <w:style w:type="character" w:styleId="style88">
    <w:name w:val="Emphasis"/>
    <w:next w:val="style88"/>
    <w:qFormat/>
    <w:uiPriority w:val="20"/>
    <w:rPr>
      <w:i/>
      <w:iCs/>
    </w:rPr>
  </w:style>
  <w:style w:type="table" w:customStyle="1" w:styleId="style4119">
    <w:name w:val="شبكة جدول2"/>
    <w:basedOn w:val="style105"/>
    <w:next w:val="style154"/>
    <w:uiPriority w:val="59"/>
    <w:pPr>
      <w:spacing w:after="0" w:lineRule="auto" w:line="240"/>
    </w:pPr>
    <w:rPr>
      <w:rFonts w:ascii="Times New Roman" w:cs="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20">
    <w:name w:val="شبكة جدول3"/>
    <w:basedOn w:val="style105"/>
    <w:next w:val="style154"/>
    <w:uiPriority w:val="59"/>
    <w:pPr>
      <w:spacing w:after="0" w:lineRule="auto" w:line="240"/>
    </w:pPr>
    <w:rPr>
      <w:rFonts w:ascii="Times New Roman" w:cs="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numbering" w:customStyle="1" w:styleId="style4121">
    <w:name w:val="بلا قائمة1"/>
    <w:next w:val="style107"/>
    <w:uiPriority w:val="99"/>
    <w:pPr/>
  </w:style>
  <w:style w:type="numbering" w:customStyle="1" w:styleId="style4122">
    <w:name w:val="بلا قائمة11"/>
    <w:next w:val="style107"/>
    <w:uiPriority w:val="99"/>
    <w:pPr/>
  </w:style>
  <w:style w:type="table" w:customStyle="1" w:styleId="style4123">
    <w:name w:val="شبكة جدول11"/>
    <w:basedOn w:val="style105"/>
    <w:next w:val="style154"/>
    <w:uiPriority w:val="39"/>
    <w:pPr>
      <w:spacing w:after="0" w:lineRule="auto" w:line="240"/>
    </w:pPr>
    <w:rPr>
      <w:rFonts w:ascii="Calibri" w:cs="Arial"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124">
    <w:name w:val="عنوان 51"/>
    <w:basedOn w:val="style0"/>
    <w:next w:val="style0"/>
    <w:qFormat/>
    <w:uiPriority w:val="9"/>
    <w:pPr>
      <w:keepNext/>
      <w:keepLines/>
      <w:spacing w:before="80" w:after="40" w:lineRule="auto" w:line="257"/>
      <w:ind w:firstLine="284"/>
      <w:jc w:val="both"/>
      <w:outlineLvl w:val="4"/>
    </w:pPr>
    <w:rPr>
      <w:rFonts w:cs="Times New Roman" w:eastAsia="Times New Roman"/>
      <w:color w:val="2e74b5"/>
      <w:sz w:val="24"/>
      <w:szCs w:val="28"/>
    </w:rPr>
  </w:style>
  <w:style w:type="paragraph" w:customStyle="1" w:styleId="style4125">
    <w:name w:val="عنوان 61"/>
    <w:basedOn w:val="style0"/>
    <w:next w:val="style0"/>
    <w:qFormat/>
    <w:uiPriority w:val="9"/>
    <w:pPr>
      <w:keepNext/>
      <w:keepLines/>
      <w:spacing w:before="40" w:after="0" w:lineRule="auto" w:line="257"/>
      <w:ind w:firstLine="284"/>
      <w:jc w:val="both"/>
      <w:outlineLvl w:val="5"/>
    </w:pPr>
    <w:rPr>
      <w:rFonts w:cs="Times New Roman" w:eastAsia="Times New Roman"/>
      <w:i/>
      <w:iCs/>
      <w:color w:val="595959"/>
      <w:sz w:val="24"/>
      <w:szCs w:val="28"/>
    </w:rPr>
  </w:style>
  <w:style w:type="paragraph" w:customStyle="1" w:styleId="style4126">
    <w:name w:val="عنوان 71"/>
    <w:basedOn w:val="style0"/>
    <w:next w:val="style0"/>
    <w:qFormat/>
    <w:uiPriority w:val="9"/>
    <w:pPr>
      <w:keepNext/>
      <w:keepLines/>
      <w:spacing w:before="40" w:after="0" w:lineRule="auto" w:line="257"/>
      <w:ind w:firstLine="284"/>
      <w:jc w:val="both"/>
      <w:outlineLvl w:val="6"/>
    </w:pPr>
    <w:rPr>
      <w:rFonts w:cs="Times New Roman" w:eastAsia="Times New Roman"/>
      <w:color w:val="595959"/>
      <w:sz w:val="24"/>
      <w:szCs w:val="28"/>
    </w:rPr>
  </w:style>
  <w:style w:type="paragraph" w:customStyle="1" w:styleId="style4127">
    <w:name w:val="عنوان 81"/>
    <w:basedOn w:val="style0"/>
    <w:next w:val="style0"/>
    <w:qFormat/>
    <w:uiPriority w:val="9"/>
    <w:pPr>
      <w:keepNext/>
      <w:keepLines/>
      <w:spacing w:after="0" w:lineRule="auto" w:line="257"/>
      <w:ind w:firstLine="284"/>
      <w:jc w:val="both"/>
      <w:outlineLvl w:val="7"/>
    </w:pPr>
    <w:rPr>
      <w:rFonts w:cs="Times New Roman" w:eastAsia="Times New Roman"/>
      <w:i/>
      <w:iCs/>
      <w:color w:val="272727"/>
      <w:sz w:val="24"/>
      <w:szCs w:val="28"/>
    </w:rPr>
  </w:style>
  <w:style w:type="paragraph" w:customStyle="1" w:styleId="style4128">
    <w:name w:val="عنوان 91"/>
    <w:basedOn w:val="style0"/>
    <w:next w:val="style0"/>
    <w:qFormat/>
    <w:uiPriority w:val="9"/>
    <w:pPr>
      <w:keepNext/>
      <w:keepLines/>
      <w:spacing w:after="0" w:lineRule="auto" w:line="257"/>
      <w:ind w:firstLine="284"/>
      <w:jc w:val="both"/>
      <w:outlineLvl w:val="8"/>
    </w:pPr>
    <w:rPr>
      <w:rFonts w:cs="Times New Roman" w:eastAsia="Times New Roman"/>
      <w:color w:val="272727"/>
      <w:sz w:val="24"/>
      <w:szCs w:val="28"/>
    </w:rPr>
  </w:style>
  <w:style w:type="numbering" w:customStyle="1" w:styleId="style4129">
    <w:name w:val="بلا قائمة2"/>
    <w:next w:val="style107"/>
    <w:uiPriority w:val="99"/>
    <w:pPr/>
  </w:style>
  <w:style w:type="character" w:customStyle="1" w:styleId="style4130">
    <w:name w:val="عنوان 5 Char"/>
    <w:basedOn w:val="style65"/>
    <w:next w:val="style4130"/>
    <w:link w:val="style5"/>
    <w:uiPriority w:val="9"/>
    <w:rPr>
      <w:rFonts w:ascii="Calibri" w:cs="Times New Roman" w:eastAsia="Times New Roman" w:hAnsi="Calibri"/>
      <w:color w:val="2e74b5"/>
    </w:rPr>
  </w:style>
  <w:style w:type="character" w:customStyle="1" w:styleId="style4131">
    <w:name w:val="عنوان 6 Char"/>
    <w:basedOn w:val="style65"/>
    <w:next w:val="style4131"/>
    <w:link w:val="style6"/>
    <w:uiPriority w:val="9"/>
    <w:rPr>
      <w:rFonts w:ascii="Calibri" w:cs="Times New Roman" w:eastAsia="Times New Roman" w:hAnsi="Calibri"/>
      <w:i/>
      <w:iCs/>
      <w:color w:val="595959"/>
    </w:rPr>
  </w:style>
  <w:style w:type="character" w:customStyle="1" w:styleId="style4132">
    <w:name w:val="عنوان 7 Char"/>
    <w:basedOn w:val="style65"/>
    <w:next w:val="style4132"/>
    <w:link w:val="style7"/>
    <w:uiPriority w:val="9"/>
    <w:rPr>
      <w:rFonts w:ascii="Calibri" w:cs="Times New Roman" w:eastAsia="Times New Roman" w:hAnsi="Calibri"/>
      <w:color w:val="595959"/>
    </w:rPr>
  </w:style>
  <w:style w:type="character" w:customStyle="1" w:styleId="style4133">
    <w:name w:val="عنوان 8 Char"/>
    <w:basedOn w:val="style65"/>
    <w:next w:val="style4133"/>
    <w:link w:val="style8"/>
    <w:uiPriority w:val="9"/>
    <w:rPr>
      <w:rFonts w:ascii="Calibri" w:cs="Times New Roman" w:eastAsia="Times New Roman" w:hAnsi="Calibri"/>
      <w:i/>
      <w:iCs/>
      <w:color w:val="272727"/>
    </w:rPr>
  </w:style>
  <w:style w:type="character" w:customStyle="1" w:styleId="style4134">
    <w:name w:val="عنوان 9 Char"/>
    <w:basedOn w:val="style65"/>
    <w:next w:val="style4134"/>
    <w:link w:val="style9"/>
    <w:uiPriority w:val="9"/>
    <w:rPr>
      <w:rFonts w:ascii="Calibri" w:cs="Times New Roman" w:eastAsia="Times New Roman" w:hAnsi="Calibri"/>
      <w:color w:val="272727"/>
    </w:rPr>
  </w:style>
  <w:style w:type="paragraph" w:customStyle="1" w:styleId="style4135">
    <w:name w:val="العنوان1"/>
    <w:basedOn w:val="style0"/>
    <w:next w:val="style0"/>
    <w:qFormat/>
    <w:uiPriority w:val="10"/>
    <w:pPr>
      <w:spacing w:after="80" w:lineRule="auto" w:line="240"/>
      <w:ind w:firstLine="284"/>
      <w:jc w:val="both"/>
      <w:contextualSpacing/>
    </w:pPr>
    <w:rPr>
      <w:rFonts w:ascii="Calibri Light" w:cs="Times New Roman" w:eastAsia="Times New Roman" w:hAnsi="Calibri Light"/>
      <w:spacing w:val="-10"/>
      <w:kern w:val="28"/>
      <w:sz w:val="56"/>
      <w:szCs w:val="56"/>
    </w:rPr>
  </w:style>
  <w:style w:type="character" w:customStyle="1" w:styleId="style4136">
    <w:name w:val="العنوان Char"/>
    <w:basedOn w:val="style65"/>
    <w:next w:val="style4136"/>
    <w:link w:val="style62"/>
    <w:uiPriority w:val="10"/>
    <w:rPr>
      <w:rFonts w:ascii="Calibri Light" w:cs="Times New Roman" w:eastAsia="Times New Roman" w:hAnsi="Calibri Light"/>
      <w:spacing w:val="-10"/>
      <w:kern w:val="28"/>
      <w:sz w:val="56"/>
      <w:szCs w:val="56"/>
    </w:rPr>
  </w:style>
  <w:style w:type="paragraph" w:customStyle="1" w:styleId="style4137">
    <w:name w:val="عنوان فرعي1"/>
    <w:basedOn w:val="style0"/>
    <w:next w:val="style0"/>
    <w:qFormat/>
    <w:uiPriority w:val="11"/>
    <w:pPr>
      <w:numPr>
        <w:ilvl w:val="1"/>
        <w:numId w:val="0"/>
      </w:numPr>
      <w:spacing w:lineRule="auto" w:line="257"/>
      <w:ind w:firstLine="284"/>
      <w:jc w:val="both"/>
    </w:pPr>
    <w:rPr>
      <w:rFonts w:cs="Times New Roman" w:eastAsia="Times New Roman"/>
      <w:color w:val="595959"/>
      <w:spacing w:val="15"/>
      <w:sz w:val="28"/>
      <w:szCs w:val="28"/>
    </w:rPr>
  </w:style>
  <w:style w:type="character" w:customStyle="1" w:styleId="style4138">
    <w:name w:val="عنوان فرعي Char"/>
    <w:basedOn w:val="style65"/>
    <w:next w:val="style4138"/>
    <w:link w:val="style74"/>
    <w:uiPriority w:val="11"/>
    <w:rPr>
      <w:rFonts w:ascii="Calibri" w:cs="Times New Roman" w:eastAsia="Times New Roman" w:hAnsi="Calibri"/>
      <w:color w:val="595959"/>
      <w:spacing w:val="15"/>
      <w:sz w:val="28"/>
    </w:rPr>
  </w:style>
  <w:style w:type="paragraph" w:customStyle="1" w:styleId="style4139">
    <w:name w:val="اقتباس1"/>
    <w:basedOn w:val="style0"/>
    <w:next w:val="style0"/>
    <w:qFormat/>
    <w:uiPriority w:val="29"/>
    <w:pPr>
      <w:spacing w:before="160" w:lineRule="auto" w:line="257"/>
      <w:ind w:firstLine="284"/>
      <w:jc w:val="center"/>
    </w:pPr>
    <w:rPr>
      <w:rFonts w:ascii="Times New Roman" w:cs="Simplified Arabic" w:hAnsi="Times New Roman"/>
      <w:i/>
      <w:iCs/>
      <w:color w:val="404040"/>
      <w:sz w:val="24"/>
      <w:szCs w:val="28"/>
    </w:rPr>
  </w:style>
  <w:style w:type="character" w:customStyle="1" w:styleId="style4140">
    <w:name w:val="اقتباس Char"/>
    <w:basedOn w:val="style65"/>
    <w:next w:val="style4140"/>
    <w:link w:val="style180"/>
    <w:uiPriority w:val="29"/>
    <w:rPr>
      <w:i/>
      <w:iCs/>
      <w:color w:val="404040"/>
    </w:rPr>
  </w:style>
  <w:style w:type="character" w:customStyle="1" w:styleId="style4141">
    <w:name w:val="تأكيد مكثف1"/>
    <w:basedOn w:val="style65"/>
    <w:next w:val="style4141"/>
    <w:qFormat/>
    <w:uiPriority w:val="21"/>
    <w:rPr>
      <w:i/>
      <w:iCs/>
      <w:color w:val="2e74b5"/>
    </w:rPr>
  </w:style>
  <w:style w:type="paragraph" w:customStyle="1" w:styleId="style4142">
    <w:name w:val="اقتباس مكثف1"/>
    <w:basedOn w:val="style0"/>
    <w:next w:val="style0"/>
    <w:qFormat/>
    <w:uiPriority w:val="30"/>
    <w:pPr>
      <w:pBdr>
        <w:top w:val="single" w:sz="4" w:space="10" w:color="2e74b5"/>
        <w:bottom w:val="single" w:sz="4" w:space="10" w:color="2e74b5"/>
      </w:pBdr>
      <w:spacing w:before="360" w:after="360" w:lineRule="auto" w:line="257"/>
      <w:ind w:left="864" w:right="864" w:firstLine="284"/>
      <w:jc w:val="center"/>
    </w:pPr>
    <w:rPr>
      <w:rFonts w:ascii="Times New Roman" w:cs="Simplified Arabic" w:hAnsi="Times New Roman"/>
      <w:i/>
      <w:iCs/>
      <w:color w:val="2e74b5"/>
      <w:sz w:val="24"/>
      <w:szCs w:val="28"/>
    </w:rPr>
  </w:style>
  <w:style w:type="character" w:customStyle="1" w:styleId="style4143">
    <w:name w:val="اقتباس مكثف Char"/>
    <w:basedOn w:val="style65"/>
    <w:next w:val="style4143"/>
    <w:link w:val="style181"/>
    <w:uiPriority w:val="30"/>
    <w:rPr>
      <w:i/>
      <w:iCs/>
      <w:color w:val="2e74b5"/>
    </w:rPr>
  </w:style>
  <w:style w:type="character" w:customStyle="1" w:styleId="style4144">
    <w:name w:val="مرجع مكثف1"/>
    <w:basedOn w:val="style65"/>
    <w:next w:val="style4144"/>
    <w:qFormat/>
    <w:uiPriority w:val="32"/>
    <w:rPr>
      <w:b/>
      <w:bCs/>
      <w:smallCaps/>
      <w:color w:val="2e74b5"/>
      <w:spacing w:val="5"/>
    </w:rPr>
  </w:style>
  <w:style w:type="table" w:customStyle="1" w:styleId="style4145">
    <w:name w:val="جدول شبكة 4 - تمييز 61"/>
    <w:basedOn w:val="style105"/>
    <w:next w:val="style4156"/>
    <w:uiPriority w:val="49"/>
    <w:pPr>
      <w:bidi/>
      <w:spacing w:after="0" w:lineRule="auto" w:line="240"/>
      <w:ind w:firstLine="284"/>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46">
    <w:name w:val="شبكة جدول4"/>
    <w:basedOn w:val="style105"/>
    <w:next w:val="style154"/>
    <w:uiPriority w:val="39"/>
    <w:pPr>
      <w:bidi/>
      <w:spacing w:after="0" w:lineRule="auto" w:line="240"/>
      <w:ind w:firstLine="284"/>
      <w:jc w:val="both"/>
    </w:pPr>
    <w:rPr>
      <w:rFonts w:ascii="Times New Roman" w:cs="Simplified Arabic" w:hAnsi="Times New Roman"/>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47">
    <w:name w:val="عنوان 5 Char1"/>
    <w:basedOn w:val="style65"/>
    <w:next w:val="style4147"/>
    <w:uiPriority w:val="9"/>
    <w:rPr>
      <w:rFonts w:ascii="Cambria" w:cs="Times New Roman" w:eastAsia="宋体" w:hAnsi="Cambria"/>
      <w:color w:val="365f91"/>
    </w:rPr>
  </w:style>
  <w:style w:type="character" w:customStyle="1" w:styleId="style4148">
    <w:name w:val="عنوان 6 Char1"/>
    <w:basedOn w:val="style65"/>
    <w:next w:val="style4148"/>
    <w:uiPriority w:val="9"/>
    <w:rPr>
      <w:rFonts w:ascii="Cambria" w:cs="Times New Roman" w:eastAsia="宋体" w:hAnsi="Cambria"/>
      <w:color w:val="243f60"/>
    </w:rPr>
  </w:style>
  <w:style w:type="character" w:customStyle="1" w:styleId="style4149">
    <w:name w:val="عنوان 7 Char1"/>
    <w:basedOn w:val="style65"/>
    <w:next w:val="style4149"/>
    <w:uiPriority w:val="9"/>
    <w:rPr>
      <w:rFonts w:ascii="Cambria" w:cs="Times New Roman" w:eastAsia="宋体" w:hAnsi="Cambria"/>
      <w:i/>
      <w:iCs/>
      <w:color w:val="243f60"/>
    </w:rPr>
  </w:style>
  <w:style w:type="character" w:customStyle="1" w:styleId="style4150">
    <w:name w:val="عنوان 8 Char1"/>
    <w:basedOn w:val="style65"/>
    <w:next w:val="style4150"/>
    <w:uiPriority w:val="9"/>
    <w:rPr>
      <w:rFonts w:ascii="Cambria" w:cs="Times New Roman" w:eastAsia="宋体" w:hAnsi="Cambria"/>
      <w:color w:val="272727"/>
      <w:sz w:val="21"/>
      <w:szCs w:val="21"/>
    </w:rPr>
  </w:style>
  <w:style w:type="character" w:customStyle="1" w:styleId="style4151">
    <w:name w:val="عنوان 9 Char1"/>
    <w:basedOn w:val="style65"/>
    <w:next w:val="style4151"/>
    <w:uiPriority w:val="9"/>
    <w:rPr>
      <w:rFonts w:ascii="Cambria" w:cs="Times New Roman" w:eastAsia="宋体" w:hAnsi="Cambria"/>
      <w:i/>
      <w:iCs/>
      <w:color w:val="272727"/>
      <w:sz w:val="21"/>
      <w:szCs w:val="21"/>
    </w:rPr>
  </w:style>
  <w:style w:type="paragraph" w:styleId="style62">
    <w:name w:val="Title"/>
    <w:basedOn w:val="style0"/>
    <w:next w:val="style0"/>
    <w:link w:val="style4136"/>
    <w:qFormat/>
    <w:uiPriority w:val="10"/>
    <w:pPr>
      <w:spacing w:after="0" w:lineRule="auto" w:line="240"/>
      <w:contextualSpacing/>
    </w:pPr>
    <w:rPr>
      <w:rFonts w:ascii="Calibri Light" w:cs="Times New Roman" w:eastAsia="Times New Roman" w:hAnsi="Calibri Light"/>
      <w:spacing w:val="-10"/>
      <w:kern w:val="28"/>
      <w:sz w:val="56"/>
      <w:szCs w:val="56"/>
    </w:rPr>
  </w:style>
  <w:style w:type="character" w:customStyle="1" w:styleId="style4152">
    <w:name w:val="العنوان Char1"/>
    <w:basedOn w:val="style65"/>
    <w:next w:val="style4152"/>
    <w:uiPriority w:val="10"/>
    <w:rPr>
      <w:rFonts w:ascii="Cambria" w:cs="Times New Roman" w:eastAsia="宋体" w:hAnsi="Cambria"/>
      <w:spacing w:val="-10"/>
      <w:kern w:val="28"/>
      <w:sz w:val="56"/>
      <w:szCs w:val="56"/>
    </w:rPr>
  </w:style>
  <w:style w:type="paragraph" w:styleId="style74">
    <w:name w:val="Subtitle"/>
    <w:basedOn w:val="style0"/>
    <w:next w:val="style0"/>
    <w:link w:val="style4138"/>
    <w:qFormat/>
    <w:uiPriority w:val="11"/>
    <w:pPr>
      <w:numPr>
        <w:ilvl w:val="1"/>
        <w:numId w:val="0"/>
      </w:numPr>
    </w:pPr>
    <w:rPr>
      <w:rFonts w:ascii="Calibri" w:cs="Times New Roman" w:eastAsia="Times New Roman" w:hAnsi="Calibri"/>
      <w:color w:val="595959"/>
      <w:spacing w:val="15"/>
      <w:sz w:val="28"/>
    </w:rPr>
  </w:style>
  <w:style w:type="character" w:customStyle="1" w:styleId="style4153">
    <w:name w:val="عنوان فرعي Char1"/>
    <w:basedOn w:val="style65"/>
    <w:next w:val="style4153"/>
    <w:uiPriority w:val="11"/>
    <w:rPr>
      <w:rFonts w:eastAsia="宋体"/>
      <w:color w:val="5a5a5a"/>
      <w:spacing w:val="15"/>
    </w:rPr>
  </w:style>
  <w:style w:type="paragraph" w:styleId="style180">
    <w:name w:val="Quote"/>
    <w:basedOn w:val="style0"/>
    <w:next w:val="style0"/>
    <w:link w:val="style4140"/>
    <w:qFormat/>
    <w:uiPriority w:val="29"/>
    <w:pPr>
      <w:spacing w:before="200"/>
      <w:ind w:left="864" w:right="864"/>
      <w:jc w:val="center"/>
    </w:pPr>
    <w:rPr>
      <w:i/>
      <w:iCs/>
      <w:color w:val="404040"/>
    </w:rPr>
  </w:style>
  <w:style w:type="character" w:customStyle="1" w:styleId="style4154">
    <w:name w:val="اقتباس Char1"/>
    <w:basedOn w:val="style65"/>
    <w:next w:val="style4154"/>
    <w:uiPriority w:val="29"/>
    <w:rPr>
      <w:i/>
      <w:iCs/>
      <w:color w:val="404040"/>
    </w:rPr>
  </w:style>
  <w:style w:type="character" w:styleId="style261">
    <w:name w:val="Intense Emphasis"/>
    <w:basedOn w:val="style65"/>
    <w:next w:val="style261"/>
    <w:qFormat/>
    <w:uiPriority w:val="21"/>
    <w:rPr>
      <w:i/>
      <w:iCs/>
      <w:color w:val="4f81bd"/>
    </w:rPr>
  </w:style>
  <w:style w:type="paragraph" w:styleId="style181">
    <w:name w:val="Intense Quote"/>
    <w:basedOn w:val="style0"/>
    <w:next w:val="style0"/>
    <w:link w:val="style4143"/>
    <w:qFormat/>
    <w:uiPriority w:val="30"/>
    <w:pPr>
      <w:pBdr>
        <w:top w:val="single" w:sz="4" w:space="10" w:color="4f81bd"/>
        <w:bottom w:val="single" w:sz="4" w:space="10" w:color="4f81bd"/>
      </w:pBdr>
      <w:spacing w:before="360" w:after="360"/>
      <w:ind w:left="864" w:right="864"/>
      <w:jc w:val="center"/>
    </w:pPr>
    <w:rPr>
      <w:i/>
      <w:iCs/>
      <w:color w:val="2e74b5"/>
    </w:rPr>
  </w:style>
  <w:style w:type="character" w:customStyle="1" w:styleId="style4155">
    <w:name w:val="اقتباس مكثف Char1"/>
    <w:basedOn w:val="style65"/>
    <w:next w:val="style4155"/>
    <w:uiPriority w:val="30"/>
    <w:rPr>
      <w:i/>
      <w:iCs/>
      <w:color w:val="4f81bd"/>
    </w:rPr>
  </w:style>
  <w:style w:type="character" w:styleId="style263">
    <w:name w:val="Intense Reference"/>
    <w:basedOn w:val="style65"/>
    <w:next w:val="style263"/>
    <w:qFormat/>
    <w:uiPriority w:val="32"/>
    <w:rPr>
      <w:b/>
      <w:bCs/>
      <w:smallCaps/>
      <w:color w:val="4f81bd"/>
      <w:spacing w:val="5"/>
    </w:rPr>
  </w:style>
  <w:style w:type="table" w:customStyle="1" w:styleId="style4156">
    <w:name w:val="Grid Table 4 Accent 6"/>
    <w:basedOn w:val="style105"/>
    <w:next w:val="style4156"/>
    <w:uiPriority w:val="49"/>
    <w:pPr>
      <w:spacing w:after="0" w:lineRule="auto" w:line="240"/>
    </w:pPr>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pPr/>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pPr/>
      <w:rPr>
        <w:b/>
        <w:bCs/>
      </w:rPr>
      <w:tblPr/>
      <w:tcPr>
        <w:tcBorders>
          <w:top w:val="double" w:sz="4" w:space="0" w:color="f79646"/>
        </w:tcBorders>
      </w:tcPr>
    </w:tblStylePr>
    <w:tblStylePr w:type="band1Horz">
      <w:pPr/>
      <w:tblPr/>
      <w:tcPr>
        <w:tcBorders/>
        <w:shd w:val="clear" w:color="auto" w:fill="fde9d9"/>
      </w:tcPr>
    </w:tblStylePr>
    <w:tblStylePr w:type="firstCol">
      <w:pPr/>
      <w:rPr>
        <w:b/>
        <w:bCs/>
      </w:rPr>
      <w:tcPr>
        <w:tcBorders/>
      </w:tcPr>
    </w:tblStylePr>
    <w:tblStylePr w:type="lastCol">
      <w:pPr/>
      <w:rPr>
        <w:b/>
        <w:bCs/>
      </w:rPr>
      <w:tcPr>
        <w:tcBorders/>
      </w:tcPr>
    </w:tblStylePr>
    <w:tblStylePr w:type="band1Vert">
      <w:pPr/>
      <w:tblPr/>
      <w:tcPr>
        <w:tcBorders/>
        <w:shd w:val="clear" w:color="auto" w:fill="fde9d9"/>
      </w:tcPr>
    </w:tblStylePr>
    <w:tcPr>
      <w:tcBorders/>
    </w:tcPr>
  </w:style>
  <w:style w:type="numbering" w:customStyle="1" w:styleId="style4157">
    <w:name w:val="بلا قائمة3"/>
    <w:next w:val="style107"/>
    <w:uiPriority w:val="99"/>
    <w:pPr/>
  </w:style>
  <w:style w:type="table" w:customStyle="1" w:styleId="style4158">
    <w:name w:val="جدول شبكة 4 - تمييز 62"/>
    <w:basedOn w:val="style105"/>
    <w:next w:val="style4156"/>
    <w:uiPriority w:val="49"/>
    <w:pPr>
      <w:bidi/>
      <w:spacing w:after="0" w:lineRule="auto" w:line="240"/>
      <w:ind w:firstLine="284"/>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59">
    <w:name w:val="شبكة جدول5"/>
    <w:basedOn w:val="style105"/>
    <w:next w:val="style154"/>
    <w:uiPriority w:val="39"/>
    <w:pPr>
      <w:bidi/>
      <w:spacing w:after="0" w:lineRule="auto" w:line="240"/>
      <w:ind w:firstLine="284"/>
      <w:jc w:val="both"/>
    </w:pPr>
    <w:rPr>
      <w:rFonts w:ascii="Times New Roman" w:cs="Simplified Arabic" w:hAnsi="Times New Roman"/>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60">
    <w:name w:val="جدول شبكة 4 - تمييز 11"/>
    <w:basedOn w:val="style105"/>
    <w:next w:val="style4162"/>
    <w:uiPriority w:val="49"/>
    <w:pPr>
      <w:bidi/>
      <w:spacing w:after="0" w:lineRule="auto" w:line="240"/>
      <w:ind w:firstLine="284"/>
      <w:jc w:val="both"/>
    </w:pPr>
    <w:rPr>
      <w:rFonts w:ascii="Times New Roman" w:cs="Simplified Arabic" w:hAnsi="Times New Roman"/>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pPr/>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pPr/>
      <w:rPr>
        <w:b/>
        <w:bCs/>
      </w:rPr>
      <w:tblPr/>
      <w:tcPr>
        <w:tcBorders>
          <w:top w:val="double" w:sz="4" w:space="0" w:color="5b9bd5"/>
        </w:tcBorders>
      </w:tcPr>
    </w:tblStylePr>
    <w:tblStylePr w:type="band1Horz">
      <w:pPr/>
      <w:tblPr/>
      <w:tcPr>
        <w:tcBorders/>
        <w:shd w:val="clear" w:color="auto" w:fill="deeaf6"/>
      </w:tcPr>
    </w:tblStylePr>
    <w:tblStylePr w:type="firstCol">
      <w:pPr/>
      <w:rPr>
        <w:b/>
        <w:bCs/>
      </w:rPr>
      <w:tcPr>
        <w:tcBorders/>
      </w:tcPr>
    </w:tblStylePr>
    <w:tblStylePr w:type="lastCol">
      <w:pPr/>
      <w:rPr>
        <w:b/>
        <w:bCs/>
      </w:rPr>
      <w:tcPr>
        <w:tcBorders/>
      </w:tcPr>
    </w:tblStylePr>
    <w:tblStylePr w:type="band1Vert">
      <w:pPr/>
      <w:tblPr/>
      <w:tcPr>
        <w:tcBorders/>
        <w:shd w:val="clear" w:color="auto" w:fill="deeaf6"/>
      </w:tcPr>
    </w:tblStylePr>
    <w:tcPr>
      <w:tcBorders/>
    </w:tcPr>
  </w:style>
  <w:style w:type="character" w:customStyle="1" w:styleId="style4161">
    <w:name w:val="Unresolved Mention"/>
    <w:basedOn w:val="style65"/>
    <w:next w:val="style4161"/>
    <w:uiPriority w:val="99"/>
    <w:rPr>
      <w:color w:val="605e5c"/>
      <w:shd w:val="clear" w:color="auto" w:fill="e1dfdd"/>
    </w:rPr>
  </w:style>
  <w:style w:type="table" w:customStyle="1" w:styleId="style4162">
    <w:name w:val="Grid Table 4 Accent 1"/>
    <w:basedOn w:val="style105"/>
    <w:next w:val="style4162"/>
    <w:uiPriority w:val="49"/>
    <w:pPr>
      <w:spacing w:after="0" w:lineRule="auto" w:line="240"/>
    </w:pPr>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pPr/>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pPr/>
      <w:rPr>
        <w:b/>
        <w:bCs/>
      </w:rPr>
      <w:tblPr/>
      <w:tcPr>
        <w:tcBorders>
          <w:top w:val="double" w:sz="4" w:space="0" w:color="4f81bd"/>
        </w:tcBorders>
      </w:tcPr>
    </w:tblStylePr>
    <w:tblStylePr w:type="band1Horz">
      <w:pPr/>
      <w:tblPr/>
      <w:tcPr>
        <w:tcBorders/>
        <w:shd w:val="clear" w:color="auto" w:fill="dbe5f1"/>
      </w:tcPr>
    </w:tblStylePr>
    <w:tblStylePr w:type="firstCol">
      <w:pPr/>
      <w:rPr>
        <w:b/>
        <w:bCs/>
      </w:rPr>
      <w:tcPr>
        <w:tcBorders/>
      </w:tcPr>
    </w:tblStylePr>
    <w:tblStylePr w:type="lastCol">
      <w:pPr/>
      <w:rPr>
        <w:b/>
        <w:bCs/>
      </w:rPr>
      <w:tcPr>
        <w:tcBorders/>
      </w:tcPr>
    </w:tblStylePr>
    <w:tblStylePr w:type="band1Vert">
      <w:pPr/>
      <w:tblPr/>
      <w:tcPr>
        <w:tcBorders/>
        <w:shd w:val="clear" w:color="auto" w:fill="dbe5f1"/>
      </w:tcPr>
    </w:tblStylePr>
    <w:tcPr>
      <w:tcBorders/>
    </w:tcPr>
  </w:style>
  <w:style w:type="table" w:customStyle="1" w:styleId="style4163">
    <w:name w:val="Grid Table 4 Accent 2"/>
    <w:basedOn w:val="style105"/>
    <w:next w:val="style4163"/>
    <w:uiPriority w:val="49"/>
    <w:pPr>
      <w:spacing w:after="0" w:lineRule="auto" w:line="240"/>
    </w:pPr>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pPr/>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pPr/>
      <w:rPr>
        <w:b/>
        <w:bCs/>
      </w:rPr>
      <w:tblPr/>
      <w:tcPr>
        <w:tcBorders>
          <w:top w:val="double" w:sz="4" w:space="0" w:color="c0504d"/>
        </w:tcBorders>
      </w:tcPr>
    </w:tblStylePr>
    <w:tblStylePr w:type="band1Horz">
      <w:pPr/>
      <w:tblPr/>
      <w:tcPr>
        <w:tcBorders/>
        <w:shd w:val="clear" w:color="auto" w:fill="f2dbdb"/>
      </w:tcPr>
    </w:tblStylePr>
    <w:tblStylePr w:type="firstCol">
      <w:pPr/>
      <w:rPr>
        <w:b/>
        <w:bCs/>
      </w:rPr>
      <w:tcPr>
        <w:tcBorders/>
      </w:tcPr>
    </w:tblStylePr>
    <w:tblStylePr w:type="lastCol">
      <w:pPr/>
      <w:rPr>
        <w:b/>
        <w:bCs/>
      </w:rPr>
      <w:tcPr>
        <w:tcBorders/>
      </w:tcPr>
    </w:tblStylePr>
    <w:tblStylePr w:type="band1Vert">
      <w:pPr/>
      <w:tblPr/>
      <w:tcPr>
        <w:tcBorders/>
        <w:shd w:val="clear" w:color="auto" w:fill="f2dbdb"/>
      </w:tcPr>
    </w:tblStylePr>
    <w:tcPr>
      <w:tcBorders/>
    </w:tcPr>
  </w:style>
  <w:style w:type="numbering" w:customStyle="1" w:styleId="style4164">
    <w:name w:val="بلا قائمة4"/>
    <w:next w:val="style107"/>
    <w:uiPriority w:val="99"/>
    <w:pPr/>
  </w:style>
  <w:style w:type="table" w:customStyle="1" w:styleId="style4165">
    <w:name w:val="جدول شبكة 4 - تمييز 63"/>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numbering" w:customStyle="1" w:styleId="style4166">
    <w:name w:val="بلا قائمة5"/>
    <w:next w:val="style107"/>
    <w:uiPriority w:val="99"/>
    <w:pPr/>
  </w:style>
  <w:style w:type="table" w:customStyle="1" w:styleId="style4167">
    <w:name w:val="جدول شبكة 4 - تمييز 64"/>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numbering" w:customStyle="1" w:styleId="style4168">
    <w:name w:val="بلا قائمة6"/>
    <w:next w:val="style107"/>
    <w:uiPriority w:val="99"/>
    <w:pPr/>
  </w:style>
  <w:style w:type="table" w:customStyle="1" w:styleId="style4169">
    <w:name w:val="جدول شبكة 4 - تمييز 65"/>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numbering" w:customStyle="1" w:styleId="style4170">
    <w:name w:val="بلا قائمة7"/>
    <w:next w:val="style107"/>
    <w:uiPriority w:val="99"/>
    <w:pPr/>
  </w:style>
  <w:style w:type="table" w:customStyle="1" w:styleId="style4171">
    <w:name w:val="جدول شبكة 4 - تمييز 66"/>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72">
    <w:name w:val="Grid Table 4 Accent 3"/>
    <w:basedOn w:val="style105"/>
    <w:next w:val="style4172"/>
    <w:uiPriority w:val="49"/>
    <w:pPr>
      <w:spacing w:after="0" w:lineRule="auto" w:line="240"/>
    </w:pPr>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pPr/>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pPr/>
      <w:rPr>
        <w:b/>
        <w:bCs/>
      </w:rPr>
      <w:tblPr/>
      <w:tcPr>
        <w:tcBorders>
          <w:top w:val="double" w:sz="4" w:space="0" w:color="9bbb59"/>
        </w:tcBorders>
      </w:tcPr>
    </w:tblStylePr>
    <w:tblStylePr w:type="band1Horz">
      <w:pPr/>
      <w:tblPr/>
      <w:tcPr>
        <w:tcBorders/>
        <w:shd w:val="clear" w:color="auto" w:fill="eaf1dd"/>
      </w:tcPr>
    </w:tblStylePr>
    <w:tblStylePr w:type="firstCol">
      <w:pPr/>
      <w:rPr>
        <w:b/>
        <w:bCs/>
      </w:rPr>
      <w:tcPr>
        <w:tcBorders/>
      </w:tcPr>
    </w:tblStylePr>
    <w:tblStylePr w:type="lastCol">
      <w:pPr/>
      <w:rPr>
        <w:b/>
        <w:bCs/>
      </w:rPr>
      <w:tcPr>
        <w:tcBorders/>
      </w:tcPr>
    </w:tblStylePr>
    <w:tblStylePr w:type="band1Vert">
      <w:pPr/>
      <w:tblPr/>
      <w:tcPr>
        <w:tcBorders/>
        <w:shd w:val="clear" w:color="auto" w:fill="eaf1dd"/>
      </w:tcPr>
    </w:tblStylePr>
    <w:tcPr>
      <w:tcBorders/>
    </w:tcPr>
  </w:style>
  <w:style w:type="numbering" w:customStyle="1" w:styleId="style4173">
    <w:name w:val="بلا قائمة8"/>
    <w:next w:val="style107"/>
    <w:uiPriority w:val="99"/>
    <w:pPr/>
  </w:style>
  <w:style w:type="numbering" w:customStyle="1" w:styleId="style4174">
    <w:name w:val="بلا قائمة9"/>
    <w:next w:val="style107"/>
    <w:uiPriority w:val="99"/>
    <w:pPr/>
  </w:style>
  <w:style w:type="numbering" w:customStyle="1" w:styleId="style4175">
    <w:name w:val="بلا قائمة10"/>
    <w:next w:val="style107"/>
    <w:uiPriority w:val="99"/>
    <w:pPr/>
  </w:style>
  <w:style w:type="numbering" w:customStyle="1" w:styleId="style4176">
    <w:name w:val="بلا قائمة12"/>
    <w:next w:val="style107"/>
    <w:uiPriority w:val="99"/>
    <w:pPr/>
  </w:style>
  <w:style w:type="numbering" w:customStyle="1" w:styleId="style4177">
    <w:name w:val="بلا قائمة13"/>
    <w:next w:val="style107"/>
    <w:uiPriority w:val="99"/>
    <w:pPr/>
  </w:style>
  <w:style w:type="numbering" w:customStyle="1" w:styleId="style4178">
    <w:name w:val="بلا قائمة14"/>
    <w:next w:val="style107"/>
    <w:uiPriority w:val="99"/>
    <w:pPr/>
  </w:style>
  <w:style w:type="table" w:customStyle="1" w:styleId="style4179">
    <w:name w:val="Grid Table 4 Accent 5"/>
    <w:basedOn w:val="style105"/>
    <w:next w:val="style4179"/>
    <w:uiPriority w:val="49"/>
    <w:pPr>
      <w:spacing w:after="0" w:lineRule="auto" w:line="240"/>
    </w:pPr>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pPr/>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pPr/>
      <w:rPr>
        <w:b/>
        <w:bCs/>
      </w:rPr>
      <w:tblPr/>
      <w:tcPr>
        <w:tcBorders>
          <w:top w:val="double" w:sz="4" w:space="0" w:color="4bacc6"/>
        </w:tcBorders>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shd w:val="clear" w:color="auto" w:fill="daeef3"/>
      </w:tcPr>
    </w:tblStylePr>
    <w:tcPr>
      <w:tcBorders/>
    </w:tcPr>
  </w:style>
  <w:style w:type="numbering" w:customStyle="1" w:styleId="style4180">
    <w:name w:val="بلا قائمة15"/>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6749</Words>
  <Pages>40</Pages>
  <Characters>39381</Characters>
  <Application>WPS Office</Application>
  <DocSecurity>0</DocSecurity>
  <Paragraphs>347</Paragraphs>
  <ScaleCrop>false</ScaleCrop>
  <Company>Toshiba</Company>
  <LinksUpToDate>false</LinksUpToDate>
  <CharactersWithSpaces>45883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٢٠٢٦-٠٣-٠٨T١٨:٥٣:٣٥Z</dcterms:created>
  <dc:creator>PC</dc:creator>
  <lastModifiedBy>SM-N960U</lastModifiedBy>
  <lastPrinted>٢٠٢٥-١١-١١T٢١:٢٠:٠٠Z</lastPrinted>
  <dcterms:modified xsi:type="dcterms:W3CDTF">٢٠٢٦-٠٣-٠٨T١٨:٥٣:٣٥Z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60077aa1af694cd8a621ece51ec8085a</vt:lpwstr>
  </property>
</Properties>
</file>