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6834" w:w="11909" w:orient="portrait"/>
          <w:pgMar w:bottom="1440" w:top="1440" w:left="1440" w:right="1440" w:header="720" w:footer="720"/>
          <w:pgNumType w:start="1"/>
        </w:sectPr>
      </w:pPr>
      <w:bookmarkStart w:colFirst="0" w:colLast="0" w:name="_bjz2pd5q0bhj" w:id="0"/>
      <w:bookmarkEnd w:id="0"/>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Analyzing Soil Health Indicators for Agricultural…</w:t>
      </w:r>
      <w:r w:rsidDel="00000000" w:rsidR="00000000" w:rsidRPr="00000000">
        <w:rPr>
          <w:rtl w:val="0"/>
        </w:rPr>
      </w:r>
    </w:p>
    <w:p w:rsidR="00000000" w:rsidDel="00000000" w:rsidP="00000000" w:rsidRDefault="00000000" w:rsidRPr="00000000" w14:paraId="00000002">
      <w:pPr>
        <w:keepNext w:val="1"/>
        <w:keepLines w:val="1"/>
        <w:spacing w:after="156" w:line="265" w:lineRule="auto"/>
        <w:rPr>
          <w:rFonts w:ascii="Times New Roman" w:cs="Times New Roman" w:eastAsia="Times New Roman" w:hAnsi="Times New Roman"/>
          <w:b w:val="1"/>
          <w:bCs w:val="1"/>
          <w:sz w:val="40"/>
          <w:szCs w:val="40"/>
        </w:rPr>
      </w:pPr>
      <w:bookmarkStart w:colFirst="0" w:colLast="0" w:name="_ea64ms2snt75" w:id="1"/>
      <w:bookmarkEnd w:id="1"/>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-891283</wp:posOffset>
            </wp:positionV>
            <wp:extent cx="2938272" cy="2938272"/>
            <wp:effectExtent b="0" l="0" r="0" t="0"/>
            <wp:wrapNone/>
            <wp:docPr descr="D:\Midocean University\Logo and templates 2-2025\logo-midocean.png" id="1" name="image4.png"/>
            <a:graphic>
              <a:graphicData uri="http://schemas.openxmlformats.org/drawingml/2006/picture">
                <pic:pic>
                  <pic:nvPicPr>
                    <pic:cNvPr descr="D:\Midocean University\Logo and templates 2-2025\logo-midocean.png" id="0" name="image4.png"/>
                    <pic:cNvPicPr preferRelativeResize="0"/>
                  </pic:nvPicPr>
                  <pic:blipFill>
                    <a:blip r:embed="rId6"/>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3">
      <w:pPr>
        <w:keepNext w:val="1"/>
        <w:keepLines w:val="1"/>
        <w:spacing w:after="156" w:line="265" w:lineRule="auto"/>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4">
      <w:pPr>
        <w:keepNext w:val="1"/>
        <w:keepLines w:val="1"/>
        <w:spacing w:after="156" w:line="265" w:lineRule="auto"/>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5">
      <w:pPr>
        <w:spacing w:after="5" w:line="270" w:lineRule="auto"/>
        <w:ind w:left="447" w:hanging="10"/>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6">
      <w:pPr>
        <w:spacing w:after="5" w:line="270" w:lineRule="auto"/>
        <w:ind w:left="447" w:hanging="10"/>
        <w:jc w:val="center"/>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Analyzing Soil Health Indicators for Agricultural Sustainability Using Machine Learning</w:t>
      </w:r>
    </w:p>
    <w:p w:rsidR="00000000" w:rsidDel="00000000" w:rsidP="00000000" w:rsidRDefault="00000000" w:rsidRPr="00000000" w14:paraId="00000007">
      <w:pPr>
        <w:spacing w:after="376" w:line="249" w:lineRule="auto"/>
        <w:ind w:right="1366"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Prepared By</w:t>
      </w: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tl w:val="0"/>
        </w:rPr>
      </w:r>
    </w:p>
    <w:p w:rsidR="00000000" w:rsidDel="00000000" w:rsidP="00000000" w:rsidRDefault="00000000" w:rsidRPr="00000000" w14:paraId="00000008">
      <w:pPr>
        <w:spacing w:after="252" w:line="259"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Alaa Mohammed Jawish                  ID No.: 221002192</w:t>
      </w:r>
    </w:p>
    <w:p w:rsidR="00000000" w:rsidDel="00000000" w:rsidP="00000000" w:rsidRDefault="00000000" w:rsidRPr="00000000" w14:paraId="00000009">
      <w:pPr>
        <w:spacing w:after="252" w:line="259"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Khadija Ehab Sadeq</w:t>
        <w:tab/>
        <w:t xml:space="preserve">                         ID No.: 221002423</w:t>
      </w:r>
    </w:p>
    <w:p w:rsidR="00000000" w:rsidDel="00000000" w:rsidP="00000000" w:rsidRDefault="00000000" w:rsidRPr="00000000" w14:paraId="0000000A">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Submitted in fulfillment of the requirements for the degree Master of Science in Artificial Intelligence</w:t>
      </w:r>
    </w:p>
    <w:p w:rsidR="00000000" w:rsidDel="00000000" w:rsidP="00000000" w:rsidRDefault="00000000" w:rsidRPr="00000000" w14:paraId="0000000B">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At</w:t>
      </w:r>
    </w:p>
    <w:p w:rsidR="00000000" w:rsidDel="00000000" w:rsidP="00000000" w:rsidRDefault="00000000" w:rsidRPr="00000000" w14:paraId="0000000C">
      <w:pPr>
        <w:spacing w:line="360"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College of Informatics</w:t>
      </w:r>
    </w:p>
    <w:p w:rsidR="00000000" w:rsidDel="00000000" w:rsidP="00000000" w:rsidRDefault="00000000" w:rsidRPr="00000000" w14:paraId="0000000D">
      <w:pPr>
        <w:spacing w:line="360"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Midocean University</w:t>
      </w:r>
    </w:p>
    <w:p w:rsidR="00000000" w:rsidDel="00000000" w:rsidP="00000000" w:rsidRDefault="00000000" w:rsidRPr="00000000" w14:paraId="0000000E">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UAE</w:t>
      </w:r>
    </w:p>
    <w:p w:rsidR="00000000" w:rsidDel="00000000" w:rsidP="00000000" w:rsidRDefault="00000000" w:rsidRPr="00000000" w14:paraId="0000000F">
      <w:pPr>
        <w:spacing w:after="235" w:line="249" w:lineRule="auto"/>
        <w:ind w:right="8" w:firstLine="4"/>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Supervisor Name: Dr. Mohamed Eassa</w:t>
      </w:r>
    </w:p>
    <w:p w:rsidR="00000000" w:rsidDel="00000000" w:rsidP="00000000" w:rsidRDefault="00000000" w:rsidRPr="00000000" w14:paraId="00000010">
      <w:pPr>
        <w:spacing w:after="235" w:line="249" w:lineRule="auto"/>
        <w:ind w:right="8" w:firstLine="4"/>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College of Informatics, Midocean University, Comoros</w:t>
      </w:r>
    </w:p>
    <w:p w:rsidR="00000000" w:rsidDel="00000000" w:rsidP="00000000" w:rsidRDefault="00000000" w:rsidRPr="00000000" w14:paraId="00000011">
      <w:pPr>
        <w:spacing w:after="235" w:line="249" w:lineRule="auto"/>
        <w:ind w:right="8" w:firstLine="4"/>
        <w:jc w:val="center"/>
        <w:rPr>
          <w:rFonts w:ascii="Aptos" w:cs="Aptos" w:eastAsia="Aptos" w:hAnsi="Aptos"/>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12">
      <w:pPr>
        <w:spacing w:after="235" w:line="249" w:lineRule="auto"/>
        <w:ind w:right="8" w:firstLine="4"/>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3">
      <w:pPr>
        <w:tabs>
          <w:tab w:val="left" w:leader="none" w:pos="4752"/>
        </w:tabs>
        <w:spacing w:after="235" w:line="249" w:lineRule="auto"/>
        <w:ind w:right="1367" w:firstLine="4"/>
        <w:rPr>
          <w:rFonts w:ascii="Times New Roman" w:cs="Times New Roman" w:eastAsia="Times New Roman" w:hAnsi="Times New Roman"/>
          <w:sz w:val="32"/>
          <w:szCs w:val="32"/>
        </w:rPr>
      </w:pPr>
      <w:hyperlink r:id="rId7">
        <w:r w:rsidDel="00000000" w:rsidR="00000000" w:rsidRPr="00000000">
          <w:rPr>
            <w:rFonts w:ascii="Times New Roman" w:cs="Times New Roman" w:eastAsia="Times New Roman" w:hAnsi="Times New Roman"/>
            <w:color w:val="467886"/>
            <w:sz w:val="32"/>
            <w:szCs w:val="32"/>
            <w:u w:val="single"/>
            <w:rtl w:val="0"/>
          </w:rPr>
          <w:t xml:space="preserve">Alaa0emad@gmail.com</w:t>
        </w:r>
      </w:hyperlink>
      <w:r w:rsidDel="00000000" w:rsidR="00000000" w:rsidRPr="00000000">
        <w:rPr>
          <w:rFonts w:ascii="Times New Roman" w:cs="Times New Roman" w:eastAsia="Times New Roman" w:hAnsi="Times New Roman"/>
          <w:sz w:val="32"/>
          <w:szCs w:val="32"/>
          <w:rtl w:val="0"/>
        </w:rPr>
        <w:t xml:space="preserve">                </w:t>
      </w:r>
      <w:hyperlink r:id="rId8">
        <w:r w:rsidDel="00000000" w:rsidR="00000000" w:rsidRPr="00000000">
          <w:rPr>
            <w:rFonts w:ascii="Times New Roman" w:cs="Times New Roman" w:eastAsia="Times New Roman" w:hAnsi="Times New Roman"/>
            <w:color w:val="1155cc"/>
            <w:sz w:val="32"/>
            <w:szCs w:val="32"/>
            <w:u w:val="single"/>
            <w:rtl w:val="0"/>
          </w:rPr>
          <w:t xml:space="preserve"> kad2005.ias@gmail.com</w:t>
        </w:r>
      </w:hyperlink>
      <w:r w:rsidDel="00000000" w:rsidR="00000000" w:rsidRPr="00000000">
        <w:rPr>
          <w:rtl w:val="0"/>
        </w:rPr>
      </w:r>
    </w:p>
    <w:p w:rsidR="00000000" w:rsidDel="00000000" w:rsidP="00000000" w:rsidRDefault="00000000" w:rsidRPr="00000000" w14:paraId="00000014">
      <w:pPr>
        <w:tabs>
          <w:tab w:val="left" w:leader="none" w:pos="4752"/>
        </w:tabs>
        <w:spacing w:after="235" w:line="249" w:lineRule="auto"/>
        <w:ind w:right="1367" w:firstLine="4"/>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ab/>
      </w:r>
    </w:p>
    <w:p w:rsidR="00000000" w:rsidDel="00000000" w:rsidP="00000000" w:rsidRDefault="00000000" w:rsidRPr="00000000" w14:paraId="00000015">
      <w:pPr>
        <w:rPr/>
      </w:pPr>
      <w:r w:rsidDel="00000000" w:rsidR="00000000" w:rsidRPr="00000000">
        <w:br w:type="page"/>
      </w:r>
      <w:r w:rsidDel="00000000" w:rsidR="00000000" w:rsidRPr="00000000">
        <w:rPr>
          <w:rtl w:val="0"/>
        </w:rPr>
      </w:r>
    </w:p>
    <w:p w:rsidR="00000000" w:rsidDel="00000000" w:rsidP="00000000" w:rsidRDefault="00000000" w:rsidRPr="00000000" w14:paraId="00000016">
      <w:pPr>
        <w:spacing w:after="80" w:before="360" w:line="259" w:lineRule="auto"/>
        <w:jc w:val="both"/>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Acknowledgements</w:t>
      </w:r>
    </w:p>
    <w:p w:rsidR="00000000" w:rsidDel="00000000" w:rsidP="00000000" w:rsidRDefault="00000000" w:rsidRPr="00000000" w14:paraId="00000017">
      <w:pPr>
        <w:spacing w:after="5" w:line="270" w:lineRule="auto"/>
        <w:ind w:left="447" w:hanging="1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would like to thank our supervisor, Dr. Mohamed Essa, for his continuous guidance and valuable feedback throughout this research. His expertise in both artificial intelligence and Soil health studies has greatly influenced the direction of this work. His comments challenged us to think more critically and approach the research from a scientific perspective rather than a purely technical one.</w:t>
      </w:r>
    </w:p>
    <w:p w:rsidR="00000000" w:rsidDel="00000000" w:rsidP="00000000" w:rsidRDefault="00000000" w:rsidRPr="00000000" w14:paraId="00000019">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are also thankful to the faculty members at the College of Informatics, Midocean University, for providing a supportive academic environment that inspired independent thinking and research development.</w:t>
      </w:r>
    </w:p>
    <w:p w:rsidR="00000000" w:rsidDel="00000000" w:rsidP="00000000" w:rsidRDefault="00000000" w:rsidRPr="00000000" w14:paraId="0000001B">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we would like to express our appreciation to our families for their patience, encouragement, and support during this journey.</w:t>
      </w:r>
    </w:p>
    <w:p w:rsidR="00000000" w:rsidDel="00000000" w:rsidP="00000000" w:rsidRDefault="00000000" w:rsidRPr="00000000" w14:paraId="0000001D">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spacing w:line="259" w:lineRule="auto"/>
        <w:jc w:val="both"/>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spacing w:after="80" w:before="360" w:line="259" w:lineRule="auto"/>
        <w:jc w:val="both"/>
        <w:rPr>
          <w:rFonts w:ascii="Times New Roman" w:cs="Times New Roman" w:eastAsia="Times New Roman" w:hAnsi="Times New Roman"/>
          <w:b w:val="1"/>
          <w:bCs w:val="1"/>
        </w:rPr>
      </w:pPr>
      <w:bookmarkStart w:colFirst="0" w:colLast="0" w:name="_2ygkk4stwovw" w:id="2"/>
      <w:bookmarkEnd w:id="2"/>
      <w:r w:rsidDel="00000000" w:rsidR="00000000" w:rsidRPr="00000000">
        <w:rPr>
          <w:rFonts w:ascii="Times New Roman" w:cs="Times New Roman" w:eastAsia="Times New Roman" w:hAnsi="Times New Roman"/>
          <w:b w:val="1"/>
          <w:bCs w:val="1"/>
          <w:rtl w:val="0"/>
        </w:rPr>
        <w:t xml:space="preserve">Abstract</w:t>
      </w:r>
    </w:p>
    <w:p w:rsidR="00000000" w:rsidDel="00000000" w:rsidP="00000000" w:rsidRDefault="00000000" w:rsidRPr="00000000" w14:paraId="000000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Due to the rising need for food and the developing problems brought on by climate change and the depletion of natural resources, agricultural sustainability has emerged as a global issue. In order to sustain agricultural productivity, soil health is crucial because it promotes plant growth, nutrient availability, water retention, and ecosystem stability. Traditional techniques for evaluating soil health are frequently costly, time-consuming, and challenging to consistently implement over broad agricultural regions. In addition,  agricultural systems produce a growing volume of data that cannot be effectively analysed using traditional methods as digital technologies continue to advance. Because of this, machine learning has emerged as a useful tool for evaluating complicated soil data and assisting with more trustworthy agricultural decision-making. This study aims to analyze multiple soil health indicators using machine learning techniques in order to identify the most influential indicators related to agricultural sustainability and provide data-driven support for sustainable soil management.</w:t>
      </w:r>
      <w:r w:rsidDel="00000000" w:rsidR="00000000" w:rsidRPr="00000000">
        <w:br w:type="page"/>
      </w:r>
      <w:r w:rsidDel="00000000" w:rsidR="00000000" w:rsidRPr="00000000">
        <w:rPr>
          <w:rtl w:val="0"/>
        </w:rPr>
      </w:r>
    </w:p>
    <w:p w:rsidR="00000000" w:rsidDel="00000000" w:rsidP="00000000" w:rsidRDefault="00000000" w:rsidRPr="00000000" w14:paraId="0000002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spacing w:after="240" w:before="240" w:lineRule="auto"/>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Contents</w:t>
      </w:r>
    </w:p>
    <w:p w:rsidR="00000000" w:rsidDel="00000000" w:rsidP="00000000" w:rsidRDefault="00000000" w:rsidRPr="00000000" w14:paraId="0000002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Acknowledgements</w:t>
        <w:tab/>
        <w:t xml:space="preserve">     …………………………………………          1</w:t>
      </w:r>
    </w:p>
    <w:p w:rsidR="00000000" w:rsidDel="00000000" w:rsidP="00000000" w:rsidRDefault="00000000" w:rsidRPr="00000000" w14:paraId="0000002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Abstract</w:t>
        <w:tab/>
        <w:t xml:space="preserve">                          …………………………………………           2</w:t>
      </w:r>
    </w:p>
    <w:p w:rsidR="00000000" w:rsidDel="00000000" w:rsidP="00000000" w:rsidRDefault="00000000" w:rsidRPr="00000000" w14:paraId="0000002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1: Introduction</w:t>
        <w:tab/>
        <w:t xml:space="preserve">      …………………………………………          4</w:t>
      </w:r>
    </w:p>
    <w:p w:rsidR="00000000" w:rsidDel="00000000" w:rsidP="00000000" w:rsidRDefault="00000000" w:rsidRPr="00000000" w14:paraId="0000002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Overview                         …………………………………………          4</w:t>
      </w:r>
    </w:p>
    <w:p w:rsidR="00000000" w:rsidDel="00000000" w:rsidP="00000000" w:rsidRDefault="00000000" w:rsidRPr="00000000" w14:paraId="0000002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Problem Definition</w:t>
        <w:tab/>
        <w:t xml:space="preserve">     …………………………………………          5</w:t>
      </w:r>
    </w:p>
    <w:p w:rsidR="00000000" w:rsidDel="00000000" w:rsidP="00000000" w:rsidRDefault="00000000" w:rsidRPr="00000000" w14:paraId="0000002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Thesis Objectives</w:t>
        <w:tab/>
        <w:t xml:space="preserve">     …………………………………………          6  </w:t>
      </w:r>
    </w:p>
    <w:p w:rsidR="00000000" w:rsidDel="00000000" w:rsidP="00000000" w:rsidRDefault="00000000" w:rsidRPr="00000000" w14:paraId="000000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 Thesis Contribution       …………………………………………           7 </w:t>
        <w:tab/>
      </w:r>
    </w:p>
    <w:p w:rsidR="00000000" w:rsidDel="00000000" w:rsidP="00000000" w:rsidRDefault="00000000" w:rsidRPr="00000000" w14:paraId="000000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 Thesis Organization</w:t>
        <w:tab/>
        <w:t xml:space="preserve">     …………………………………………          7</w:t>
      </w:r>
    </w:p>
    <w:p w:rsidR="00000000" w:rsidDel="00000000" w:rsidP="00000000" w:rsidRDefault="00000000" w:rsidRPr="00000000" w14:paraId="0000002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2: Background and Related Work  …………………………           8</w:t>
      </w:r>
    </w:p>
    <w:p w:rsidR="00000000" w:rsidDel="00000000" w:rsidP="00000000" w:rsidRDefault="00000000" w:rsidRPr="00000000" w14:paraId="000000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 Introduction</w:t>
        <w:tab/>
        <w:t xml:space="preserve">               …………………………………………          8</w:t>
      </w:r>
    </w:p>
    <w:p w:rsidR="00000000" w:rsidDel="00000000" w:rsidP="00000000" w:rsidRDefault="00000000" w:rsidRPr="00000000" w14:paraId="000000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 Background</w:t>
        <w:tab/>
        <w:t xml:space="preserve">               …………………………………………          9</w:t>
      </w:r>
    </w:p>
    <w:p w:rsidR="00000000" w:rsidDel="00000000" w:rsidP="00000000" w:rsidRDefault="00000000" w:rsidRPr="00000000" w14:paraId="000000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 Related work</w:t>
        <w:tab/>
        <w:t xml:space="preserve">               …………………………………………          10</w:t>
      </w:r>
    </w:p>
    <w:p w:rsidR="00000000" w:rsidDel="00000000" w:rsidP="00000000" w:rsidRDefault="00000000" w:rsidRPr="00000000" w14:paraId="000000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 Related Work Summary …………………………………………          13</w:t>
      </w:r>
    </w:p>
    <w:p w:rsidR="00000000" w:rsidDel="00000000" w:rsidP="00000000" w:rsidRDefault="00000000" w:rsidRPr="00000000" w14:paraId="0000003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References</w:t>
        <w:tab/>
        <w:t xml:space="preserve">                         …………………………………………          15</w:t>
      </w:r>
    </w:p>
    <w:p w:rsidR="00000000" w:rsidDel="00000000" w:rsidP="00000000" w:rsidRDefault="00000000" w:rsidRPr="00000000" w14:paraId="0000003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7">
      <w:pPr>
        <w:spacing w:after="240" w:before="240" w:lineRule="auto"/>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Chapter 1: Introduction</w:t>
      </w:r>
    </w:p>
    <w:p w:rsidR="00000000" w:rsidDel="00000000" w:rsidP="00000000" w:rsidRDefault="00000000" w:rsidRPr="00000000" w14:paraId="00000038">
      <w:pPr>
        <w:spacing w:after="240" w:before="24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1.1Overview</w:t>
      </w:r>
    </w:p>
    <w:p w:rsidR="00000000" w:rsidDel="00000000" w:rsidP="00000000" w:rsidRDefault="00000000" w:rsidRPr="00000000" w14:paraId="0000003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need for agricultural sustainability has grown to a significant issue globally as food demand has risen and climate change and natural resource depletion have become a concern. Soil health is one of the most crucial aspects to ensure the productivity of agriculture, as it affects various processes such as crop growth, nutrient availability, water retention and ecosystem stability. Hence soil health is a key ingredient of sustainable agriculture over the years. With growing demands for sustainable agriculture, the need for ongoing soil monitoring and soil management has become even more critical over the past few years[1].</w:t>
      </w:r>
    </w:p>
    <w:p w:rsidR="00000000" w:rsidDel="00000000" w:rsidP="00000000" w:rsidRDefault="00000000" w:rsidRPr="00000000" w14:paraId="0000003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the capacity of soil to sustain plants, animals and humans, and function in an environmentally healthy way as a living biota[2]. Commonly used measures of soil health include: soil moisture, pH, organic carbon, nutrients, electrical conductivity, microbial activity and soil structure[1]. These indicators give information of the state of soils and their capacity to support agriculture[2].</w:t>
      </w:r>
    </w:p>
    <w:p w:rsidR="00000000" w:rsidDel="00000000" w:rsidP="00000000" w:rsidRDefault="00000000" w:rsidRPr="00000000" w14:paraId="0000003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assessment is often done traditionally using field observations and laboratory testing methods. These have the advantage of being accurate but they are time consuming, expensive and hard to apply to large agricultural areas on a continuous basis[1]. In addition, sensor use, remote sensing and precision agriculture systems have led to tremendous amounts of agricultural data that need to be analyzed and interpreted effectively. Such data can be very difficult to analyse using traditional approaches and can delay timely agricultural decisions[3].</w:t>
      </w:r>
    </w:p>
    <w:p w:rsidR="00000000" w:rsidDel="00000000" w:rsidP="00000000" w:rsidRDefault="00000000" w:rsidRPr="00000000" w14:paraId="0000003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advent of Artificial Intelligence (AI) and Machine Learning (ML) has opened up new possibilities for soil analysis and agricultural management[3]. Machine learning algorithms can be used to analyze extensive agricultural data, uncover intricate connections between soil markers, and make precise soil condition predictions[1]. Models like Random Forest, Support Vector Machines, and Neural Networks have demonstrated potential success in soil data analysis and in decision-making processes related to agriculture[3].</w:t>
      </w:r>
    </w:p>
    <w:p w:rsidR="00000000" w:rsidDel="00000000" w:rsidP="00000000" w:rsidRDefault="00000000" w:rsidRPr="00000000" w14:paraId="0000004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Although soil science has made significant strides towards using machine learning to benefit agriculture, much of the existing literature is limited to specific soil characteristics, including soil fertility, soil moisture, or soil texture[1]. There is relatively little focus on the holistic examination of many soil health indicators and how they all contribute to agricultural sustainability[1][3]. Furthermore, the relative weightage of various soil indicators is difficult to be determined because of the complexity of soils and the interaction between the various physical, chemical and biotic properties of soil[2].</w:t>
      </w:r>
    </w:p>
    <w:p w:rsidR="00000000" w:rsidDel="00000000" w:rsidP="00000000" w:rsidRDefault="00000000" w:rsidRPr="00000000" w14:paraId="0000004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aims to examine the relationships between the various soil health indicators, determine the most significant indicators and facilitate sustainable agricultural management practices by applying machine learning analysis to soil health indicators.</w:t>
      </w:r>
    </w:p>
    <w:p w:rsidR="00000000" w:rsidDel="00000000" w:rsidP="00000000" w:rsidRDefault="00000000" w:rsidRPr="00000000" w14:paraId="0000004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6">
      <w:pPr>
        <w:spacing w:after="240" w:before="24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1.2 Problem Definition</w:t>
      </w:r>
    </w:p>
    <w:p w:rsidR="00000000" w:rsidDel="00000000" w:rsidP="00000000" w:rsidRDefault="00000000" w:rsidRPr="00000000" w14:paraId="0000004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evaluation is critical for sustainable farming in order to keep the productivity of agriculture[2]. The traditional way of analyzing the health of soils has been to use laboratory analysis and field measurements of various physical, chemical and biological measurements. While important, these methods also are time-consuming, expensive, and hard to apply on a continuing basis over large agricultural areas[1].</w:t>
      </w:r>
    </w:p>
    <w:p w:rsidR="00000000" w:rsidDel="00000000" w:rsidP="00000000" w:rsidRDefault="00000000" w:rsidRPr="00000000" w14:paraId="0000004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also impacted by several indicator factors working together with soil moisture, pH, organic matter, nutrient availability and microbial activity[2]. All of these interactions are complex, which makes it difficult to accurately monitor soil conditions using traditional analytical methods[1]. With the growing development of precision agriculture, sensor technologies and remote sensing systems, there is an increasing volume of soil data with the need for more efficient and intelligent analysis[1][3].</w:t>
      </w:r>
    </w:p>
    <w:p w:rsidR="00000000" w:rsidDel="00000000" w:rsidP="00000000" w:rsidRDefault="00000000" w:rsidRPr="00000000" w14:paraId="0000004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Although several studies have been performed on the applications of machine learning in agriculture, most of them have been developed to address a single soil property and not for the simultaneous evaluation of several soil health indicators. In addition, it is difficult to identify what are the most influential indicators that can contribute to agricultural sustainability[1][3][4].</w:t>
      </w:r>
    </w:p>
    <w:p w:rsidR="00000000" w:rsidDel="00000000" w:rsidP="00000000" w:rsidRDefault="00000000" w:rsidRPr="00000000" w14:paraId="0000004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rsidR="00000000" w:rsidDel="00000000" w:rsidP="00000000" w:rsidRDefault="00000000" w:rsidRPr="00000000" w14:paraId="0000004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1">
      <w:pPr>
        <w:spacing w:after="80" w:before="160" w:line="259" w:lineRule="auto"/>
        <w:jc w:val="both"/>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1.3 Thesis Objectives</w:t>
      </w:r>
    </w:p>
    <w:p w:rsidR="00000000" w:rsidDel="00000000" w:rsidP="00000000" w:rsidRDefault="00000000" w:rsidRPr="00000000" w14:paraId="0000005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aims to analyze soil health indicators using machine learning techniques and support agricultural sustainability through improved soil management practices.</w:t>
      </w:r>
    </w:p>
    <w:p w:rsidR="00000000" w:rsidDel="00000000" w:rsidP="00000000" w:rsidRDefault="00000000" w:rsidRPr="00000000" w14:paraId="00000053">
      <w:pPr>
        <w:numPr>
          <w:ilvl w:val="1"/>
          <w:numId w:val="3"/>
        </w:numPr>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objectives of this study are:</w:t>
      </w:r>
    </w:p>
    <w:p w:rsidR="00000000" w:rsidDel="00000000" w:rsidP="00000000" w:rsidRDefault="00000000" w:rsidRPr="00000000" w14:paraId="00000054">
      <w:pPr>
        <w:numPr>
          <w:ilvl w:val="0"/>
          <w:numId w:val="3"/>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identify and investigate the key soil health indicators associated with agricultural sustainability.</w:t>
      </w:r>
    </w:p>
    <w:p w:rsidR="00000000" w:rsidDel="00000000" w:rsidP="00000000" w:rsidRDefault="00000000" w:rsidRPr="00000000" w14:paraId="00000055">
      <w:pPr>
        <w:numPr>
          <w:ilvl w:val="0"/>
          <w:numId w:val="3"/>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collect, preprocess, and analyze soil data obtained from available datasets.</w:t>
      </w:r>
    </w:p>
    <w:p w:rsidR="00000000" w:rsidDel="00000000" w:rsidP="00000000" w:rsidRDefault="00000000" w:rsidRPr="00000000" w14:paraId="00000056">
      <w:pPr>
        <w:numPr>
          <w:ilvl w:val="0"/>
          <w:numId w:val="3"/>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apply machine learning techniques to analyze the relationships among soil health indicators.</w:t>
      </w:r>
    </w:p>
    <w:p w:rsidR="00000000" w:rsidDel="00000000" w:rsidP="00000000" w:rsidRDefault="00000000" w:rsidRPr="00000000" w14:paraId="00000057">
      <w:pPr>
        <w:numPr>
          <w:ilvl w:val="0"/>
          <w:numId w:val="3"/>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identify the most influential soil health indicators affecting agricultural sustainability.</w:t>
      </w:r>
    </w:p>
    <w:p w:rsidR="00000000" w:rsidDel="00000000" w:rsidP="00000000" w:rsidRDefault="00000000" w:rsidRPr="00000000" w14:paraId="00000058">
      <w:pPr>
        <w:numPr>
          <w:ilvl w:val="0"/>
          <w:numId w:val="3"/>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evaluate and compare the performance of different machine learning models for soil health analysis.</w:t>
      </w:r>
    </w:p>
    <w:p w:rsidR="00000000" w:rsidDel="00000000" w:rsidP="00000000" w:rsidRDefault="00000000" w:rsidRPr="00000000" w14:paraId="00000059">
      <w:pPr>
        <w:numPr>
          <w:ilvl w:val="0"/>
          <w:numId w:val="3"/>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provide data-driven insights that support sustainable agricultural decision-making and soil management practices.</w:t>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after="80" w:before="160" w:line="259" w:lineRule="auto"/>
        <w:jc w:val="both"/>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1.4 Thesis Contribution</w:t>
      </w:r>
    </w:p>
    <w:p w:rsidR="00000000" w:rsidDel="00000000" w:rsidP="00000000" w:rsidRDefault="00000000" w:rsidRPr="00000000" w14:paraId="0000005E">
      <w:pPr>
        <w:spacing w:after="16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thesis is expected to contribute to the fields of sustainable agriculture and artificial intelligence through the following:</w:t>
      </w:r>
    </w:p>
    <w:p w:rsidR="00000000" w:rsidDel="00000000" w:rsidP="00000000" w:rsidRDefault="00000000" w:rsidRPr="00000000" w14:paraId="0000005F">
      <w:pPr>
        <w:numPr>
          <w:ilvl w:val="0"/>
          <w:numId w:val="4"/>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Developing a machine learning-based framework for analyzing multiple soil health indicators.</w:t>
      </w:r>
    </w:p>
    <w:p w:rsidR="00000000" w:rsidDel="00000000" w:rsidP="00000000" w:rsidRDefault="00000000" w:rsidRPr="00000000" w14:paraId="00000060">
      <w:pPr>
        <w:numPr>
          <w:ilvl w:val="0"/>
          <w:numId w:val="4"/>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Identifying the relative importance of different soil health indicators and their impact on agricultural sustainability.</w:t>
      </w:r>
    </w:p>
    <w:p w:rsidR="00000000" w:rsidDel="00000000" w:rsidP="00000000" w:rsidRDefault="00000000" w:rsidRPr="00000000" w14:paraId="00000061">
      <w:pPr>
        <w:numPr>
          <w:ilvl w:val="0"/>
          <w:numId w:val="4"/>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Providing a comparative evaluation of machine learning techniques used for soil health analysis.</w:t>
      </w:r>
    </w:p>
    <w:p w:rsidR="00000000" w:rsidDel="00000000" w:rsidP="00000000" w:rsidRDefault="00000000" w:rsidRPr="00000000" w14:paraId="00000062">
      <w:pPr>
        <w:numPr>
          <w:ilvl w:val="0"/>
          <w:numId w:val="4"/>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Supporting farmers and agricultural decision-makers through data-driven recommendations for sustainable soil management.</w:t>
      </w:r>
    </w:p>
    <w:p w:rsidR="00000000" w:rsidDel="00000000" w:rsidP="00000000" w:rsidRDefault="00000000" w:rsidRPr="00000000" w14:paraId="00000063">
      <w:pPr>
        <w:numPr>
          <w:ilvl w:val="0"/>
          <w:numId w:val="4"/>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Contributing to the growing application of artificial intelligence in precision agriculture and environmental sustainability.</w:t>
      </w:r>
    </w:p>
    <w:p w:rsidR="00000000" w:rsidDel="00000000" w:rsidP="00000000" w:rsidRDefault="00000000" w:rsidRPr="00000000" w14:paraId="00000064">
      <w:pPr>
        <w:spacing w:line="259" w:lineRule="auto"/>
        <w:ind w:left="797" w:firstLine="0"/>
        <w:jc w:val="both"/>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65">
      <w:pPr>
        <w:spacing w:line="259" w:lineRule="auto"/>
        <w:ind w:left="797" w:firstLine="0"/>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66">
      <w:pPr>
        <w:spacing w:after="80" w:before="160" w:line="259" w:lineRule="auto"/>
        <w:ind w:left="360" w:firstLine="0"/>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1.5 Thesis Organization</w:t>
      </w:r>
    </w:p>
    <w:p w:rsidR="00000000" w:rsidDel="00000000" w:rsidP="00000000" w:rsidRDefault="00000000" w:rsidRPr="00000000" w14:paraId="00000067">
      <w:pPr>
        <w:tabs>
          <w:tab w:val="left" w:leader="none" w:pos="567"/>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The rest of this thesis is organized as follows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8">
      <w:pPr>
        <w:spacing w:line="360" w:lineRule="auto"/>
        <w:ind w:left="36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bCs w:val="1"/>
          <w:sz w:val="32"/>
          <w:szCs w:val="32"/>
          <w:rtl w:val="0"/>
        </w:rPr>
        <w:t xml:space="preserve">Chapter 2</w:t>
      </w:r>
      <w:r w:rsidDel="00000000" w:rsidR="00000000" w:rsidRPr="00000000">
        <w:rPr>
          <w:rFonts w:ascii="Times New Roman" w:cs="Times New Roman" w:eastAsia="Times New Roman" w:hAnsi="Times New Roman"/>
          <w:sz w:val="26"/>
          <w:szCs w:val="26"/>
          <w:rtl w:val="0"/>
        </w:rPr>
        <w:t xml:space="preserve"> discusses the theoretical background and relevant research areas.</w:t>
      </w:r>
      <w:r w:rsidDel="00000000" w:rsidR="00000000" w:rsidRPr="00000000">
        <w:rPr>
          <w:rtl w:val="0"/>
        </w:rPr>
      </w:r>
    </w:p>
    <w:p w:rsidR="00000000" w:rsidDel="00000000" w:rsidP="00000000" w:rsidRDefault="00000000" w:rsidRPr="00000000" w14:paraId="00000069">
      <w:pPr>
        <w:spacing w:line="360" w:lineRule="auto"/>
        <w:ind w:left="36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bCs w:val="1"/>
          <w:sz w:val="32"/>
          <w:szCs w:val="32"/>
          <w:rtl w:val="0"/>
        </w:rPr>
        <w:t xml:space="preserve">Chapter 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presents the proposed methodology.</w:t>
      </w:r>
      <w:r w:rsidDel="00000000" w:rsidR="00000000" w:rsidRPr="00000000">
        <w:rPr>
          <w:rtl w:val="0"/>
        </w:rPr>
      </w:r>
    </w:p>
    <w:p w:rsidR="00000000" w:rsidDel="00000000" w:rsidP="00000000" w:rsidRDefault="00000000" w:rsidRPr="00000000" w14:paraId="0000006A">
      <w:pPr>
        <w:spacing w:line="360" w:lineRule="auto"/>
        <w:ind w:left="360" w:firstLine="0"/>
        <w:rPr>
          <w:rFonts w:ascii="Aptos" w:cs="Aptos" w:eastAsia="Aptos" w:hAnsi="Aptos"/>
          <w:sz w:val="28"/>
          <w:szCs w:val="28"/>
        </w:rPr>
      </w:pPr>
      <w:r w:rsidDel="00000000" w:rsidR="00000000" w:rsidRPr="00000000">
        <w:rPr>
          <w:rFonts w:ascii="Times New Roman" w:cs="Times New Roman" w:eastAsia="Times New Roman" w:hAnsi="Times New Roman"/>
          <w:b w:val="1"/>
          <w:bCs w:val="1"/>
          <w:sz w:val="32"/>
          <w:szCs w:val="32"/>
          <w:rtl w:val="0"/>
        </w:rPr>
        <w:t xml:space="preserve">Chapter 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analyzes the experimental results.</w:t>
      </w:r>
      <w:r w:rsidDel="00000000" w:rsidR="00000000" w:rsidRPr="00000000">
        <w:rPr>
          <w:rtl w:val="0"/>
        </w:rPr>
      </w:r>
    </w:p>
    <w:p w:rsidR="00000000" w:rsidDel="00000000" w:rsidP="00000000" w:rsidRDefault="00000000" w:rsidRPr="00000000" w14:paraId="0000006B">
      <w:pPr>
        <w:spacing w:line="36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32"/>
          <w:szCs w:val="32"/>
          <w:rtl w:val="0"/>
        </w:rPr>
        <w:t xml:space="preserve">Chapter 5</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concludes the study and suggests directions for future work.</w:t>
      </w:r>
      <w:r w:rsidDel="00000000" w:rsidR="00000000" w:rsidRPr="00000000">
        <w:rPr>
          <w:rtl w:val="0"/>
        </w:rPr>
      </w:r>
    </w:p>
    <w:p w:rsidR="00000000" w:rsidDel="00000000" w:rsidP="00000000" w:rsidRDefault="00000000" w:rsidRPr="00000000" w14:paraId="0000006C">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b w:val="1"/>
          <w:bCs w:val="1"/>
          <w:sz w:val="36"/>
          <w:szCs w:val="36"/>
        </w:rPr>
      </w:pPr>
      <w:bookmarkStart w:colFirst="0" w:colLast="0" w:name="_2th8qtawhn2x" w:id="3"/>
      <w:bookmarkEnd w:id="3"/>
      <w:r w:rsidDel="00000000" w:rsidR="00000000" w:rsidRPr="00000000">
        <w:rPr>
          <w:rFonts w:ascii="Times New Roman" w:cs="Times New Roman" w:eastAsia="Times New Roman" w:hAnsi="Times New Roman"/>
          <w:b w:val="1"/>
          <w:bCs w:val="1"/>
          <w:sz w:val="36"/>
          <w:szCs w:val="36"/>
          <w:rtl w:val="0"/>
        </w:rPr>
        <w:t xml:space="preserve">Chapter 2: Background and Related Work </w:t>
      </w:r>
    </w:p>
    <w:p w:rsidR="00000000" w:rsidDel="00000000" w:rsidP="00000000" w:rsidRDefault="00000000" w:rsidRPr="00000000" w14:paraId="00000075">
      <w:pPr>
        <w:spacing w:line="360" w:lineRule="auto"/>
        <w:jc w:val="both"/>
        <w:rPr>
          <w:rFonts w:ascii="Aptos" w:cs="Aptos" w:eastAsia="Aptos" w:hAnsi="Aptos"/>
          <w:b w:val="1"/>
          <w:bCs w:val="1"/>
          <w:sz w:val="28"/>
          <w:szCs w:val="28"/>
        </w:rPr>
      </w:pPr>
      <w:bookmarkStart w:colFirst="0" w:colLast="0" w:name="_kms0sayhjchv" w:id="4"/>
      <w:bookmarkEnd w:id="4"/>
      <w:r w:rsidDel="00000000" w:rsidR="00000000" w:rsidRPr="00000000">
        <w:rPr>
          <w:rFonts w:ascii="Times New Roman" w:cs="Times New Roman" w:eastAsia="Times New Roman" w:hAnsi="Times New Roman"/>
          <w:b w:val="1"/>
          <w:bCs w:val="1"/>
          <w:sz w:val="32"/>
          <w:szCs w:val="32"/>
          <w:rtl w:val="0"/>
        </w:rPr>
        <w:t xml:space="preserve">2.1 Introduction</w:t>
      </w:r>
      <w:r w:rsidDel="00000000" w:rsidR="00000000" w:rsidRPr="00000000">
        <w:rPr>
          <w:rtl w:val="0"/>
        </w:rPr>
      </w:r>
    </w:p>
    <w:p w:rsidR="00000000" w:rsidDel="00000000" w:rsidP="00000000" w:rsidRDefault="00000000" w:rsidRPr="00000000" w14:paraId="00000076">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section presents a brief introduction and background information of previous studies about Soil health assessment and machine learning applications in agriculture sustainability. In this chapter we will show some of the most important concepts of soil health, soil health indicators, and agriculture sustainability. In addition to the machine learning methods that have been used for soil analysis and agriculture decision-making.</w:t>
      </w:r>
    </w:p>
    <w:p w:rsidR="00000000" w:rsidDel="00000000" w:rsidP="00000000" w:rsidRDefault="00000000" w:rsidRPr="00000000" w14:paraId="00000077">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8">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fertility management is considered one of the most important factors for maintaining sustainable agricultural production. It helps the farmers to maintain the ability of the soil to provide the appropriate amount of nutrients to the plants when it is needed. Machine learning techniques have been applied for soil analysis recently. These techniques can process large amounts of agricultural data and help in making decisions related to soil and crop management [6].</w:t>
      </w:r>
    </w:p>
    <w:p w:rsidR="00000000" w:rsidDel="00000000" w:rsidP="00000000" w:rsidRDefault="00000000" w:rsidRPr="00000000" w14:paraId="00000079">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A">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However, many existing studies focus on some specific soil properties such as soil fertility, soil moisture, or nutrient prediction. In addition, different machine algorithms have been used with different datasets and evaluation methods, making it difficult to find the best approaches for soil health assessment. </w:t>
      </w:r>
    </w:p>
    <w:p w:rsidR="00000000" w:rsidDel="00000000" w:rsidP="00000000" w:rsidRDefault="00000000" w:rsidRPr="00000000" w14:paraId="0000007B">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C">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Therefore, this chapter discusses the background concepts of soil health, agricultural sustainability, and machine learning techniques that are used in agriculture. In addition, it reviews   previous work in detail in terms of methodologies, datasets used, and evaluation techniques in order to identify their strengths, limitations, and potential research gaps related to soil health analysis. </w:t>
      </w:r>
    </w:p>
    <w:p w:rsidR="00000000" w:rsidDel="00000000" w:rsidP="00000000" w:rsidRDefault="00000000" w:rsidRPr="00000000" w14:paraId="0000007D">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E">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7F">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0">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1">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2">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3">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4">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5">
      <w:pPr>
        <w:spacing w:line="360"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86">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7">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8">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9">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A">
      <w:pPr>
        <w:spacing w:line="259" w:lineRule="auto"/>
        <w:jc w:val="both"/>
        <w:rPr>
          <w:rFonts w:ascii="Aptos" w:cs="Aptos" w:eastAsia="Aptos" w:hAnsi="Aptos"/>
          <w:b w:val="1"/>
          <w:bCs w:val="1"/>
          <w:sz w:val="28"/>
          <w:szCs w:val="28"/>
        </w:rPr>
      </w:pPr>
      <w:bookmarkStart w:colFirst="0" w:colLast="0" w:name="_knhyiox06qw9" w:id="5"/>
      <w:bookmarkEnd w:id="5"/>
      <w:r w:rsidDel="00000000" w:rsidR="00000000" w:rsidRPr="00000000">
        <w:rPr>
          <w:rFonts w:ascii="Times New Roman" w:cs="Times New Roman" w:eastAsia="Times New Roman" w:hAnsi="Times New Roman"/>
          <w:b w:val="1"/>
          <w:bCs w:val="1"/>
          <w:sz w:val="32"/>
          <w:szCs w:val="32"/>
          <w:rtl w:val="0"/>
        </w:rPr>
        <w:t xml:space="preserve">2.2 Background</w:t>
      </w:r>
      <w:r w:rsidDel="00000000" w:rsidR="00000000" w:rsidRPr="00000000">
        <w:rPr>
          <w:rtl w:val="0"/>
        </w:rPr>
      </w:r>
    </w:p>
    <w:p w:rsidR="00000000" w:rsidDel="00000000" w:rsidP="00000000" w:rsidRDefault="00000000" w:rsidRPr="00000000" w14:paraId="0000008B">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C">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plays a significant role in supporting plants growth, maintains environmental quality, and improves sustainable agriculture production. Healthy soil improves crop productivity, nutrient cycling, water availability, and ecosystem stability. Overall, soil health is important not just for crops and food production but also for protecting the environment and helping mitigate climate change.</w:t>
      </w:r>
    </w:p>
    <w:p w:rsidR="00000000" w:rsidDel="00000000" w:rsidP="00000000" w:rsidRDefault="00000000" w:rsidRPr="00000000" w14:paraId="0000008D">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8E">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functions of healthy soil are critical for sustaining agriculture systems and protecting the environment. It provides plants with essential nutrients, improves water filtration and storage, promotes biological activity, and helps maintain a stable soil structure [2].</w:t>
      </w:r>
    </w:p>
    <w:p w:rsidR="00000000" w:rsidDel="00000000" w:rsidP="00000000" w:rsidRDefault="00000000" w:rsidRPr="00000000" w14:paraId="0000008F">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0">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influenced by many physical, chemical, and biological factors. Physical properties include soil structure, soil texture, and water holding capacity. The chemical properties include soil pH, potential pollutants, organic carbon, nutrient availability, and electrical conductivity. Biological properties also play an important role in maintaining soil functions. Examples of biological properties include microbial biomass and microbial activity. Based on this there is no single indicator that can fully describe soil health.  For this reason, soil health assessment usually depends on evaluating a combination of different indicators to provide a more comprehensive assessment [2].</w:t>
      </w:r>
    </w:p>
    <w:p w:rsidR="00000000" w:rsidDel="00000000" w:rsidP="00000000" w:rsidRDefault="00000000" w:rsidRPr="00000000" w14:paraId="00000091">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2">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evaluated using a set of indicators including the physical, chemical, and biological condition of the soil, which are used to provide information about the soil ability to support plants growth and maintain ecosystem services. Different indicators are combined to provide accurate assessment of soil condition [2].</w:t>
      </w:r>
    </w:p>
    <w:p w:rsidR="00000000" w:rsidDel="00000000" w:rsidP="00000000" w:rsidRDefault="00000000" w:rsidRPr="00000000" w14:paraId="00000093">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4">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Sustainable agriculture aims to meet the growing demand for food while protecting natural resources. It focuses on improving agricultural productivity through the efficient use of soil and other resources without compromising the needs of future generations. Sustainable agriculture now has progressively adopted advanced technologies. These technologies include precision agriculture, remote sensing, and the internet of things (IOT), to improve farm management and support informed decision making [3].  </w:t>
      </w:r>
    </w:p>
    <w:p w:rsidR="00000000" w:rsidDel="00000000" w:rsidP="00000000" w:rsidRDefault="00000000" w:rsidRPr="00000000" w14:paraId="00000095">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management of agricultural systems has been changed because of the rapid development of digital technologies. Modern farming generates large amounts of data from sensors, drones, satellites, and other smart devices. Traditional methods are no longer sufficient for analyzing these data. Thus, machine learning has emerged as an effective approach for processing agriculture data, identifying hidden patterns, and supporting accurate and timely decision making in sustainable agriculture [3].</w:t>
      </w:r>
    </w:p>
    <w:p w:rsidR="00000000" w:rsidDel="00000000" w:rsidP="00000000" w:rsidRDefault="00000000" w:rsidRPr="00000000" w14:paraId="00000096">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7">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Several machine learning algorithms have been applied in agricultural research to analyze complex datasets and improve prediction accuracy. These algorithms examples are Decision Tree, Random Forest, Support Vector Machine, multilayer perceptron (MLP) neural networks, Extreme Gradient Boosting (XGBoost), and Artificial Neural Networks (ANN). These algorithms have been used in different agricultural applications, such as soil analysis, crop yield prediction, disease detection, and precision farming. These algorithms have the ability to analyze large datasets and identify complex relationships, making them valuable tools for supporting sustainable agriculture management [3]. In addition, the combination of ML with the IoT is revolutionizing smart agriculture. In recent years, researchers have investigated the use of these technologies to automate agricultural operations, such as monitoring soil conditions, weather, irrigation management, and pest control[3].</w:t>
      </w:r>
    </w:p>
    <w:p w:rsidR="00000000" w:rsidDel="00000000" w:rsidP="00000000" w:rsidRDefault="00000000" w:rsidRPr="00000000" w14:paraId="00000098">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9">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2.2.1 Soil Health Indicators</w:t>
      </w:r>
      <w:r w:rsidDel="00000000" w:rsidR="00000000" w:rsidRPr="00000000">
        <w:rPr>
          <w:rtl w:val="0"/>
        </w:rPr>
      </w:r>
    </w:p>
    <w:p w:rsidR="00000000" w:rsidDel="00000000" w:rsidP="00000000" w:rsidRDefault="00000000" w:rsidRPr="00000000" w14:paraId="0000009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indicators are measurable soil properties The indicators used to evaluate the condition of soil and help evaluate its ability to support plant growth, maintain environmental quality. These indicators provide valuable information about the physical, chemical, and biological characteristics of soil. To assess soil condition, a combination of different indicators is used. [2]</w:t>
      </w:r>
    </w:p>
    <w:p w:rsidR="00000000" w:rsidDel="00000000" w:rsidP="00000000" w:rsidRDefault="00000000" w:rsidRPr="00000000" w14:paraId="0000009C">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2.2.2 Physical Indicators</w:t>
      </w:r>
      <w:r w:rsidDel="00000000" w:rsidR="00000000" w:rsidRPr="00000000">
        <w:rPr>
          <w:rtl w:val="0"/>
        </w:rPr>
      </w:r>
    </w:p>
    <w:p w:rsidR="00000000" w:rsidDel="00000000" w:rsidP="00000000" w:rsidRDefault="00000000" w:rsidRPr="00000000" w14:paraId="0000009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Physical indicators describe the physical condition of soil such as soil moisture, soil texture, bulk density, and soil structure. These indicators influence water movement, root development, soil aeration, and resistance to erosion. [2]</w:t>
      </w:r>
    </w:p>
    <w:p w:rsidR="00000000" w:rsidDel="00000000" w:rsidP="00000000" w:rsidRDefault="00000000" w:rsidRPr="00000000" w14:paraId="000000A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Soil Moisture. </w:t>
      </w:r>
      <w:r w:rsidDel="00000000" w:rsidR="00000000" w:rsidRPr="00000000">
        <w:rPr>
          <w:rFonts w:ascii="Times New Roman" w:cs="Times New Roman" w:eastAsia="Times New Roman" w:hAnsi="Times New Roman"/>
          <w:sz w:val="28"/>
          <w:szCs w:val="28"/>
          <w:rtl w:val="0"/>
        </w:rPr>
        <w:t xml:space="preserve">Soil moisture refers to the amount of water stored in the soil. Its directly affects seed germination,nutrient transport, root development, and crop productivity.[2]</w:t>
      </w:r>
    </w:p>
    <w:p w:rsidR="00000000" w:rsidDel="00000000" w:rsidP="00000000" w:rsidRDefault="00000000" w:rsidRPr="00000000" w14:paraId="000000A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Soil Texture.</w:t>
      </w:r>
      <w:r w:rsidDel="00000000" w:rsidR="00000000" w:rsidRPr="00000000">
        <w:rPr>
          <w:rFonts w:ascii="Times New Roman" w:cs="Times New Roman" w:eastAsia="Times New Roman" w:hAnsi="Times New Roman"/>
          <w:sz w:val="28"/>
          <w:szCs w:val="28"/>
          <w:rtl w:val="0"/>
        </w:rPr>
        <w:t xml:space="preserve"> Soil texture describesThe organization of soil particles and the spaces that exist between them. [1], [2]</w:t>
      </w:r>
    </w:p>
    <w:p w:rsidR="00000000" w:rsidDel="00000000" w:rsidP="00000000" w:rsidRDefault="00000000" w:rsidRPr="00000000" w14:paraId="000000A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3- Bulk Density</w:t>
      </w:r>
      <w:r w:rsidDel="00000000" w:rsidR="00000000" w:rsidRPr="00000000">
        <w:rPr>
          <w:rFonts w:ascii="Times New Roman" w:cs="Times New Roman" w:eastAsia="Times New Roman" w:hAnsi="Times New Roman"/>
          <w:sz w:val="28"/>
          <w:szCs w:val="28"/>
          <w:rtl w:val="0"/>
        </w:rPr>
        <w:t xml:space="preserve">. Bulk density is defined as the mass of dry soil per unit volume which used to evaluate soil compaction, which affects root penetration, water infiltration, and air movement within the soil.[2]</w:t>
      </w:r>
    </w:p>
    <w:p w:rsidR="00000000" w:rsidDel="00000000" w:rsidP="00000000" w:rsidRDefault="00000000" w:rsidRPr="00000000" w14:paraId="000000A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4- Soil Structure</w:t>
      </w:r>
      <w:r w:rsidDel="00000000" w:rsidR="00000000" w:rsidRPr="00000000">
        <w:rPr>
          <w:rFonts w:ascii="Times New Roman" w:cs="Times New Roman" w:eastAsia="Times New Roman" w:hAnsi="Times New Roman"/>
          <w:sz w:val="28"/>
          <w:szCs w:val="28"/>
          <w:rtl w:val="0"/>
        </w:rPr>
        <w:t xml:space="preserve">.Soil structure refers to the arrangement of soil particles into aggregates that improves water infiltration, aeration, root penetration, and resistance to erosion.[2]</w:t>
      </w:r>
    </w:p>
    <w:p w:rsidR="00000000" w:rsidDel="00000000" w:rsidP="00000000" w:rsidRDefault="00000000" w:rsidRPr="00000000" w14:paraId="000000A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2.2.3 Chemical Indicator</w:t>
      </w:r>
      <w:r w:rsidDel="00000000" w:rsidR="00000000" w:rsidRPr="00000000">
        <w:rPr>
          <w:rFonts w:ascii="Times New Roman" w:cs="Times New Roman" w:eastAsia="Times New Roman" w:hAnsi="Times New Roman"/>
          <w:sz w:val="28"/>
          <w:szCs w:val="28"/>
          <w:rtl w:val="0"/>
        </w:rPr>
        <w:t xml:space="preserve">s</w:t>
      </w:r>
    </w:p>
    <w:p w:rsidR="00000000" w:rsidDel="00000000" w:rsidP="00000000" w:rsidRDefault="00000000" w:rsidRPr="00000000" w14:paraId="000000A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Chemical indicators describe the chemical composition of soil and provide information about its fertility and nutrient availability.These indicators such as soil pH, soil organic carbon, nitrogen, phosphorus, potassium, and electrical conductivity (EC)  influence plant growth, and microbial activity, influence plant growth, and microbial activity.[1][2]</w:t>
      </w:r>
    </w:p>
    <w:p w:rsidR="00000000" w:rsidDel="00000000" w:rsidP="00000000" w:rsidRDefault="00000000" w:rsidRPr="00000000" w14:paraId="000000A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Soil pH</w:t>
      </w:r>
      <w:r w:rsidDel="00000000" w:rsidR="00000000" w:rsidRPr="00000000">
        <w:rPr>
          <w:rFonts w:ascii="Times New Roman" w:cs="Times New Roman" w:eastAsia="Times New Roman" w:hAnsi="Times New Roman"/>
          <w:sz w:val="28"/>
          <w:szCs w:val="28"/>
          <w:rtl w:val="0"/>
        </w:rPr>
        <w:t xml:space="preserve"> . Soil pH measures the acidity or alkalinity of soil.Extreme pH values can reduce nutrient uptake and negatively influence crop productivity. [2]</w:t>
      </w:r>
    </w:p>
    <w:p w:rsidR="00000000" w:rsidDel="00000000" w:rsidP="00000000" w:rsidRDefault="00000000" w:rsidRPr="00000000" w14:paraId="000000A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Soil Organic Carbon (SOC)</w:t>
      </w:r>
      <w:r w:rsidDel="00000000" w:rsidR="00000000" w:rsidRPr="00000000">
        <w:rPr>
          <w:rFonts w:ascii="Times New Roman" w:cs="Times New Roman" w:eastAsia="Times New Roman" w:hAnsi="Times New Roman"/>
          <w:sz w:val="28"/>
          <w:szCs w:val="28"/>
          <w:rtl w:val="0"/>
        </w:rPr>
        <w:t xml:space="preserve">. Soil organic carbon (SOC) represents the amount of organic carbon stored in the soil  it is essential in the global carbon cycle and climate change.[2]</w:t>
      </w:r>
    </w:p>
    <w:p w:rsidR="00000000" w:rsidDel="00000000" w:rsidP="00000000" w:rsidRDefault="00000000" w:rsidRPr="00000000" w14:paraId="000000A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3- Nitrogen (N).</w:t>
      </w:r>
      <w:r w:rsidDel="00000000" w:rsidR="00000000" w:rsidRPr="00000000">
        <w:rPr>
          <w:rFonts w:ascii="Times New Roman" w:cs="Times New Roman" w:eastAsia="Times New Roman" w:hAnsi="Times New Roman"/>
          <w:sz w:val="28"/>
          <w:szCs w:val="28"/>
          <w:rtl w:val="0"/>
        </w:rPr>
        <w:t xml:space="preserve"> Nitrogen is an essential nutrient it plays a key role in protein synthesis and photosynthesis.Insufficient nitrogen levels can reduce crop yield.[2]</w:t>
      </w:r>
    </w:p>
    <w:p w:rsidR="00000000" w:rsidDel="00000000" w:rsidP="00000000" w:rsidRDefault="00000000" w:rsidRPr="00000000" w14:paraId="000000A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4- Phosphorus (P).</w:t>
      </w:r>
      <w:r w:rsidDel="00000000" w:rsidR="00000000" w:rsidRPr="00000000">
        <w:rPr>
          <w:rFonts w:ascii="Times New Roman" w:cs="Times New Roman" w:eastAsia="Times New Roman" w:hAnsi="Times New Roman"/>
          <w:sz w:val="28"/>
          <w:szCs w:val="28"/>
          <w:rtl w:val="0"/>
        </w:rPr>
        <w:t xml:space="preserve"> Phosphorus is an essential nutrient that supports root development, energy transfer, and flowering.[2]</w:t>
      </w:r>
    </w:p>
    <w:p w:rsidR="00000000" w:rsidDel="00000000" w:rsidP="00000000" w:rsidRDefault="00000000" w:rsidRPr="00000000" w14:paraId="000000A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5- Potassium (K).</w:t>
      </w:r>
      <w:r w:rsidDel="00000000" w:rsidR="00000000" w:rsidRPr="00000000">
        <w:rPr>
          <w:rFonts w:ascii="Times New Roman" w:cs="Times New Roman" w:eastAsia="Times New Roman" w:hAnsi="Times New Roman"/>
          <w:sz w:val="28"/>
          <w:szCs w:val="28"/>
          <w:rtl w:val="0"/>
        </w:rPr>
        <w:t xml:space="preserve"> Potassium is an essential nutrient that regulates several processes in plants, including water balance, enzyme activation, and resistance to environmental stress.[2]</w:t>
      </w:r>
    </w:p>
    <w:p w:rsidR="00000000" w:rsidDel="00000000" w:rsidP="00000000" w:rsidRDefault="00000000" w:rsidRPr="00000000" w14:paraId="000000A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6- Electrical Conductivity (EC).</w:t>
      </w:r>
      <w:r w:rsidDel="00000000" w:rsidR="00000000" w:rsidRPr="00000000">
        <w:rPr>
          <w:rFonts w:ascii="Times New Roman" w:cs="Times New Roman" w:eastAsia="Times New Roman" w:hAnsi="Times New Roman"/>
          <w:sz w:val="28"/>
          <w:szCs w:val="28"/>
          <w:rtl w:val="0"/>
        </w:rPr>
        <w:t xml:space="preserve"> Electrical conductivity (EC) measures the concentration of soluble salts in the soil and is used to assess soil salinity which can affect the volume of water uptake by plants.[2]</w:t>
      </w:r>
    </w:p>
    <w:p w:rsidR="00000000" w:rsidDel="00000000" w:rsidP="00000000" w:rsidRDefault="00000000" w:rsidRPr="00000000" w14:paraId="000000B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2.2.4 Biological</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32"/>
          <w:szCs w:val="32"/>
          <w:rtl w:val="0"/>
        </w:rPr>
        <w:t xml:space="preserve">Indicators</w:t>
      </w:r>
      <w:r w:rsidDel="00000000" w:rsidR="00000000" w:rsidRPr="00000000">
        <w:rPr>
          <w:rtl w:val="0"/>
        </w:rPr>
      </w:r>
    </w:p>
    <w:p w:rsidR="00000000" w:rsidDel="00000000" w:rsidP="00000000" w:rsidRDefault="00000000" w:rsidRPr="00000000" w14:paraId="000000B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Biological indicators evaluate the living components and provide information about microbial activity.Common biological indicators include soil organic matter, microbial activity, and soil respiration. [1], [2].</w:t>
      </w:r>
    </w:p>
    <w:p w:rsidR="00000000" w:rsidDel="00000000" w:rsidP="00000000" w:rsidRDefault="00000000" w:rsidRPr="00000000" w14:paraId="000000B3">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Soil Organic Matter (SOM)</w:t>
      </w:r>
      <w:r w:rsidDel="00000000" w:rsidR="00000000" w:rsidRPr="00000000">
        <w:rPr>
          <w:rFonts w:ascii="Times New Roman" w:cs="Times New Roman" w:eastAsia="Times New Roman" w:hAnsi="Times New Roman"/>
          <w:sz w:val="28"/>
          <w:szCs w:val="28"/>
          <w:rtl w:val="0"/>
        </w:rPr>
        <w:t xml:space="preserve">. Soil organic matter consists of decomposed plant and animal residues present in the soil and it improves soil structure.</w:t>
      </w:r>
    </w:p>
    <w:p w:rsidR="00000000" w:rsidDel="00000000" w:rsidP="00000000" w:rsidRDefault="00000000" w:rsidRPr="00000000" w14:paraId="000000B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Microbial Activity</w:t>
      </w:r>
      <w:r w:rsidDel="00000000" w:rsidR="00000000" w:rsidRPr="00000000">
        <w:rPr>
          <w:rFonts w:ascii="Times New Roman" w:cs="Times New Roman" w:eastAsia="Times New Roman" w:hAnsi="Times New Roman"/>
          <w:sz w:val="28"/>
          <w:szCs w:val="28"/>
          <w:rtl w:val="0"/>
        </w:rPr>
        <w:t xml:space="preserve">. Microbial activity refers to the activity of microorganisms such as bacteria and fungi in the soil high microbial activity mean healthy soil.[2]</w:t>
      </w:r>
    </w:p>
    <w:p w:rsidR="00000000" w:rsidDel="00000000" w:rsidP="00000000" w:rsidRDefault="00000000" w:rsidRPr="00000000" w14:paraId="000000B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3- Soil Respiration .</w:t>
      </w:r>
      <w:r w:rsidDel="00000000" w:rsidR="00000000" w:rsidRPr="00000000">
        <w:rPr>
          <w:rFonts w:ascii="Times New Roman" w:cs="Times New Roman" w:eastAsia="Times New Roman" w:hAnsi="Times New Roman"/>
          <w:sz w:val="28"/>
          <w:szCs w:val="28"/>
          <w:rtl w:val="0"/>
        </w:rPr>
        <w:t xml:space="preserve"> Soil respiration measures the amount of carbon dioxide released by soil microorganisms during the decomposition of organic matter.</w:t>
      </w:r>
    </w:p>
    <w:p w:rsidR="00000000" w:rsidDel="00000000" w:rsidP="00000000" w:rsidRDefault="00000000" w:rsidRPr="00000000" w14:paraId="000000B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2.2.5 Machine Learning Algorithms</w:t>
      </w:r>
      <w:r w:rsidDel="00000000" w:rsidR="00000000" w:rsidRPr="00000000">
        <w:rPr>
          <w:rtl w:val="0"/>
        </w:rPr>
      </w:r>
    </w:p>
    <w:p w:rsidR="00000000" w:rsidDel="00000000" w:rsidP="00000000" w:rsidRDefault="00000000" w:rsidRPr="00000000" w14:paraId="000000B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The management of agricultural systems has been changed because of the rapid development of digital technologies. Modern farming generates large amounts of data from sensors, drones, satellites, and other smart devices. Traditional methods are no longer sufficient for analyzing these data. Thus, machine learning has emerged as an effective approach for processing agriculture data, identifying hidden patterns, and supporting accurate and timely decision making in sustainable agriculture [3].</w:t>
      </w:r>
    </w:p>
    <w:p w:rsidR="00000000" w:rsidDel="00000000" w:rsidP="00000000" w:rsidRDefault="00000000" w:rsidRPr="00000000" w14:paraId="000000B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B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Several machine learning (ML) algorithms have been applied in agricultural research to analyze complex datasets and improve prediction accuracy. These algorithms examples are Decision Tree, Random Forest, Support Vector Machine, multilayer perceptron (MLP) neural networks, Extreme Gradient Boosting (XGBoost), and Artificial Neural Networks (ANN).</w:t>
      </w:r>
    </w:p>
    <w:p w:rsidR="00000000" w:rsidDel="00000000" w:rsidP="00000000" w:rsidRDefault="00000000" w:rsidRPr="00000000" w14:paraId="000000B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These algorithms have been used in different agricultural applications, such as soil analysis, crop yield prediction, disease detection, and precision farming. These algorithms have the ability to analyze large datasets and identify complex relationships, making them valuable tools for supporting sustainable agriculture management [3]. In addition, the combination of ML with the IoT is revolutionizing smart agriculture. In recent years, researchers have investigated the use of these technologies to automate agricultural operations, such as monitoring soil conditions, weather, irrigation management, and pest control [3].</w:t>
      </w:r>
    </w:p>
    <w:p w:rsidR="00000000" w:rsidDel="00000000" w:rsidP="00000000" w:rsidRDefault="00000000" w:rsidRPr="00000000" w14:paraId="000000B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Random Forest (RF)</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C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an ensemble learning algorithm that constructs multiple decision trees and combines their predictions to improve classification and regression performance. It is robust to noise, reduces overfitting, and can effectively handle large datasets with many input variables. Mathematically the prediction for regression tasks is obtained by averaging the predictions from all individual trees in the forest: </w:t>
      </w:r>
    </w:p>
    <w:p w:rsidR="00000000" w:rsidDel="00000000" w:rsidP="00000000" w:rsidRDefault="00000000" w:rsidRPr="00000000" w14:paraId="000000C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m:oMath>
        <m:acc>
          <m:accPr>
            <m:chr m:val="̂"/>
            <m:ctrlPr>
              <w:rPr>
                <w:rFonts w:ascii="Times New Roman" w:cs="Times New Roman" w:eastAsia="Times New Roman" w:hAnsi="Times New Roman"/>
                <w:sz w:val="28"/>
                <w:szCs w:val="28"/>
              </w:rPr>
            </m:ctrlPr>
          </m:accPr>
          <m:e>
            <m:r>
              <w:rPr>
                <w:rFonts w:ascii="Times New Roman" w:cs="Times New Roman" w:eastAsia="Times New Roman" w:hAnsi="Times New Roman"/>
                <w:sz w:val="28"/>
                <w:szCs w:val="28"/>
              </w:rPr>
              <m:t xml:space="preserve">y</m:t>
            </m:r>
          </m:e>
        </m:acc>
        <m:r>
          <w:rPr>
            <w:rFonts w:ascii="Times New Roman" w:cs="Times New Roman" w:eastAsia="Times New Roman" w:hAnsi="Times New Roman"/>
            <w:sz w:val="28"/>
            <w:szCs w:val="28"/>
          </w:rPr>
          <m:t xml:space="preserve">=</m:t>
        </m:r>
        <m:f>
          <m:fPr>
            <m:ctrlPr>
              <w:rPr>
                <w:rFonts w:ascii="Times New Roman" w:cs="Times New Roman" w:eastAsia="Times New Roman" w:hAnsi="Times New Roman"/>
                <w:sz w:val="28"/>
                <w:szCs w:val="28"/>
              </w:rPr>
            </m:ctrlPr>
          </m:fPr>
          <m:num>
            <m:r>
              <w:rPr>
                <w:rFonts w:ascii="Times New Roman" w:cs="Times New Roman" w:eastAsia="Times New Roman" w:hAnsi="Times New Roman"/>
                <w:sz w:val="28"/>
                <w:szCs w:val="28"/>
              </w:rPr>
              <m:t xml:space="preserve">1</m:t>
            </m:r>
          </m:num>
          <m:den>
            <m:r>
              <w:rPr>
                <w:rFonts w:ascii="Times New Roman" w:cs="Times New Roman" w:eastAsia="Times New Roman" w:hAnsi="Times New Roman"/>
                <w:sz w:val="28"/>
                <w:szCs w:val="28"/>
              </w:rPr>
              <m:t xml:space="preserve">B</m:t>
            </m:r>
          </m:den>
        </m:f>
        <m:sSub>
          <m:sSubPr>
            <m:ctrlPr>
              <w:rPr>
                <w:rFonts w:ascii="Times New Roman" w:cs="Times New Roman" w:eastAsia="Times New Roman" w:hAnsi="Times New Roman"/>
                <w:sz w:val="28"/>
                <w:szCs w:val="28"/>
              </w:rPr>
            </m:ctrlPr>
          </m:sSubPr>
          <m:e>
            <m:nary>
              <m:naryPr>
                <m:chr m:val="∑"/>
                <m:ctrlPr>
                  <w:rPr>
                    <w:rFonts w:ascii="Times New Roman" w:cs="Times New Roman" w:eastAsia="Times New Roman" w:hAnsi="Times New Roman"/>
                    <w:sz w:val="28"/>
                    <w:szCs w:val="28"/>
                  </w:rPr>
                </m:ctrlPr>
              </m:naryPr>
              <m:sub>
                <m:r>
                  <w:rPr>
                    <w:rFonts w:ascii="Times New Roman" w:cs="Times New Roman" w:eastAsia="Times New Roman" w:hAnsi="Times New Roman"/>
                    <w:sz w:val="28"/>
                    <w:szCs w:val="28"/>
                  </w:rPr>
                  <m:t xml:space="preserve">b=1</m:t>
                </m:r>
              </m:sub>
              <m:sup>
                <m:r>
                  <w:rPr>
                    <w:rFonts w:ascii="Times New Roman" w:cs="Times New Roman" w:eastAsia="Times New Roman" w:hAnsi="Times New Roman"/>
                    <w:sz w:val="28"/>
                    <w:szCs w:val="28"/>
                  </w:rPr>
                  <m:t xml:space="preserve">B</m:t>
                </m:r>
              </m:sup>
            </m:nary>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f</m:t>
                </m:r>
              </m:e>
              <m:sub>
                <m:r>
                  <w:rPr>
                    <w:rFonts w:ascii="Times New Roman" w:cs="Times New Roman" w:eastAsia="Times New Roman" w:hAnsi="Times New Roman"/>
                    <w:sz w:val="28"/>
                    <w:szCs w:val="28"/>
                  </w:rPr>
                  <m:t xml:space="preserve">b</m:t>
                </m:r>
              </m:sub>
            </m:sSub>
            <m:r>
              <w:rPr>
                <w:rFonts w:ascii="Times New Roman" w:cs="Times New Roman" w:eastAsia="Times New Roman" w:hAnsi="Times New Roman"/>
                <w:sz w:val="28"/>
                <w:szCs w:val="28"/>
              </w:rPr>
              <m:t xml:space="preserve">(x)</m:t>
            </m:r>
          </m:e>
          <m:sub/>
        </m:sSub>
        <m:r>
          <w:rPr>
            <w:rFonts w:ascii="Times New Roman" w:cs="Times New Roman" w:eastAsia="Times New Roman" w:hAnsi="Times New Roman"/>
            <w:sz w:val="28"/>
            <w:szCs w:val="28"/>
          </w:rPr>
          <m:t xml:space="preserve"> </m:t>
        </m:r>
      </m:oMath>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C3">
      <w:pPr>
        <w:jc w:val="both"/>
        <w:rPr>
          <w:i w:val="1"/>
          <w:iCs w:val="1"/>
          <w:sz w:val="28"/>
          <w:szCs w:val="28"/>
        </w:rPr>
      </w:pPr>
      <w:r w:rsidDel="00000000" w:rsidR="00000000" w:rsidRPr="00000000">
        <w:rPr>
          <w:rFonts w:ascii="Times New Roman" w:cs="Times New Roman" w:eastAsia="Times New Roman" w:hAnsi="Times New Roman"/>
          <w:sz w:val="28"/>
          <w:szCs w:val="28"/>
          <w:rtl w:val="0"/>
        </w:rPr>
        <w:t xml:space="preserve">where </w:t>
      </w:r>
      <m:oMath>
        <m:r>
          <w:rPr>
            <w:rFonts w:ascii="Times New Roman" w:cs="Times New Roman" w:eastAsia="Times New Roman" w:hAnsi="Times New Roman"/>
            <w:sz w:val="28"/>
            <w:szCs w:val="28"/>
          </w:rPr>
          <m:t xml:space="preserve">B</m:t>
        </m:r>
      </m:oMath>
      <w:r w:rsidDel="00000000" w:rsidR="00000000" w:rsidRPr="00000000">
        <w:rPr>
          <w:rFonts w:ascii="Times New Roman" w:cs="Times New Roman" w:eastAsia="Times New Roman" w:hAnsi="Times New Roman"/>
          <w:sz w:val="28"/>
          <w:szCs w:val="28"/>
          <w:rtl w:val="0"/>
        </w:rPr>
        <w:t xml:space="preserve"> is the total number of trees, and </w:t>
      </w:r>
      <m:oMath>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f</m:t>
            </m:r>
          </m:e>
          <m:sub>
            <m:r>
              <w:rPr>
                <w:rFonts w:ascii="Times New Roman" w:cs="Times New Roman" w:eastAsia="Times New Roman" w:hAnsi="Times New Roman"/>
                <w:sz w:val="28"/>
                <w:szCs w:val="28"/>
              </w:rPr>
              <m:t xml:space="preserve">b</m:t>
            </m:r>
          </m:sub>
        </m:sSub>
        <m:r>
          <w:rPr>
            <w:rFonts w:ascii="Times New Roman" w:cs="Times New Roman" w:eastAsia="Times New Roman" w:hAnsi="Times New Roman"/>
            <w:sz w:val="28"/>
            <w:szCs w:val="28"/>
          </w:rPr>
          <m:t xml:space="preserve">(x)</m:t>
        </m:r>
      </m:oMath>
      <w:r w:rsidDel="00000000" w:rsidR="00000000" w:rsidRPr="00000000">
        <w:rPr>
          <w:rFonts w:ascii="Times New Roman" w:cs="Times New Roman" w:eastAsia="Times New Roman" w:hAnsi="Times New Roman"/>
          <w:sz w:val="28"/>
          <w:szCs w:val="28"/>
          <w:rtl w:val="0"/>
        </w:rPr>
        <w:t xml:space="preserve"> represents the prediction of the  </w:t>
      </w:r>
      <m:oMath>
        <m:r>
          <w:rPr>
            <w:rFonts w:ascii="Times New Roman" w:cs="Times New Roman" w:eastAsia="Times New Roman" w:hAnsi="Times New Roman"/>
            <w:sz w:val="28"/>
            <w:szCs w:val="28"/>
          </w:rPr>
          <m:t xml:space="preserve">b</m:t>
        </m:r>
      </m:oMath>
      <w:r w:rsidDel="00000000" w:rsidR="00000000" w:rsidRPr="00000000">
        <w:rPr>
          <w:rFonts w:ascii="Times New Roman" w:cs="Times New Roman" w:eastAsia="Times New Roman" w:hAnsi="Times New Roman"/>
          <w:sz w:val="28"/>
          <w:szCs w:val="28"/>
          <w:rtl w:val="0"/>
        </w:rPr>
        <w:t xml:space="preserve">-th decision tree. </w:t>
      </w:r>
      <w:r w:rsidDel="00000000" w:rsidR="00000000" w:rsidRPr="00000000">
        <w:rPr>
          <w:rtl w:val="0"/>
        </w:rPr>
      </w:r>
    </w:p>
    <w:p w:rsidR="00000000" w:rsidDel="00000000" w:rsidP="00000000" w:rsidRDefault="00000000" w:rsidRPr="00000000" w14:paraId="000000C4">
      <w:pPr>
        <w:jc w:val="both"/>
        <w:rPr>
          <w:i w:val="1"/>
          <w:iCs w:val="1"/>
          <w:sz w:val="28"/>
          <w:szCs w:val="28"/>
        </w:rPr>
      </w:pPr>
      <w:r w:rsidDel="00000000" w:rsidR="00000000" w:rsidRPr="00000000">
        <w:rPr>
          <w:i w:val="1"/>
          <w:iCs w:val="1"/>
          <w:sz w:val="28"/>
          <w:szCs w:val="28"/>
          <w:rtl w:val="0"/>
        </w:rPr>
        <w:t xml:space="preserve">      </w:t>
      </w:r>
      <w:r w:rsidDel="00000000" w:rsidR="00000000" w:rsidRPr="00000000">
        <w:rPr>
          <w:i w:val="1"/>
          <w:iCs w:val="1"/>
          <w:sz w:val="28"/>
          <w:szCs w:val="28"/>
        </w:rPr>
        <w:drawing>
          <wp:inline distB="114300" distT="114300" distL="114300" distR="114300">
            <wp:extent cx="3125210" cy="2476500"/>
            <wp:effectExtent b="0" l="0" r="0" t="0"/>
            <wp:docPr id="3"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3125210" cy="2476500"/>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jc w:val="both"/>
        <w:rPr>
          <w:i w:val="1"/>
          <w:iCs w:val="1"/>
          <w:sz w:val="28"/>
          <w:szCs w:val="28"/>
        </w:rPr>
      </w:pPr>
      <w:r w:rsidDel="00000000" w:rsidR="00000000" w:rsidRPr="00000000">
        <w:rPr>
          <w:rtl w:val="0"/>
        </w:rPr>
      </w:r>
    </w:p>
    <w:p w:rsidR="00000000" w:rsidDel="00000000" w:rsidP="00000000" w:rsidRDefault="00000000" w:rsidRPr="00000000" w14:paraId="000000C6">
      <w:pPr>
        <w:jc w:val="both"/>
        <w:rPr>
          <w:i w:val="1"/>
          <w:iCs w:val="1"/>
          <w:sz w:val="28"/>
          <w:szCs w:val="28"/>
        </w:rPr>
      </w:pPr>
      <w:r w:rsidDel="00000000" w:rsidR="00000000" w:rsidRPr="00000000">
        <w:rPr>
          <w:rtl w:val="0"/>
        </w:rPr>
      </w:r>
    </w:p>
    <w:p w:rsidR="00000000" w:rsidDel="00000000" w:rsidP="00000000" w:rsidRDefault="00000000" w:rsidRPr="00000000" w14:paraId="000000C7">
      <w:pPr>
        <w:jc w:val="both"/>
        <w:rPr>
          <w:i w:val="1"/>
          <w:iCs w:val="1"/>
          <w:sz w:val="28"/>
          <w:szCs w:val="28"/>
        </w:rPr>
      </w:pPr>
      <w:r w:rsidDel="00000000" w:rsidR="00000000" w:rsidRPr="00000000">
        <w:rPr>
          <w:rtl w:val="0"/>
        </w:rPr>
      </w:r>
    </w:p>
    <w:p w:rsidR="00000000" w:rsidDel="00000000" w:rsidP="00000000" w:rsidRDefault="00000000" w:rsidRPr="00000000" w14:paraId="000000C8">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C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Support Vector Machine (SVM)</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C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 supervised machine learning algorithm used for both classification and regression tasks. It identifies an optimal decision boundary that separates different classes while maximizing the margin between them. The objective function for a linear SVM aims to minimize the weights while considering a penalty for misclassified points: </w:t>
      </w:r>
    </w:p>
    <w:p w:rsidR="00000000" w:rsidDel="00000000" w:rsidP="00000000" w:rsidRDefault="00000000" w:rsidRPr="00000000" w14:paraId="000000C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m:oMath>
        <m:r>
          <w:rPr>
            <w:rFonts w:ascii="Times New Roman" w:cs="Times New Roman" w:eastAsia="Times New Roman" w:hAnsi="Times New Roman"/>
            <w:sz w:val="28"/>
            <w:szCs w:val="28"/>
          </w:rPr>
          <m:t xml:space="preserve">mi</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n</m:t>
            </m:r>
          </m:e>
          <m:sub>
            <m:r>
              <w:rPr>
                <w:rFonts w:ascii="Times New Roman" w:cs="Times New Roman" w:eastAsia="Times New Roman" w:hAnsi="Times New Roman"/>
                <w:sz w:val="28"/>
                <w:szCs w:val="28"/>
              </w:rPr>
              <m:t xml:space="preserve">w,b,</m:t>
            </m:r>
            <m:r>
              <w:rPr>
                <w:rFonts w:ascii="Times New Roman" w:cs="Times New Roman" w:eastAsia="Times New Roman" w:hAnsi="Times New Roman"/>
                <w:sz w:val="28"/>
                <w:szCs w:val="28"/>
              </w:rPr>
              <m:t>ξ</m:t>
            </m:r>
          </m:sub>
        </m:sSub>
        <m:r>
          <w:rPr>
            <w:rFonts w:ascii="Times New Roman" w:cs="Times New Roman" w:eastAsia="Times New Roman" w:hAnsi="Times New Roman"/>
            <w:sz w:val="28"/>
            <w:szCs w:val="28"/>
          </w:rPr>
          <m:t xml:space="preserve">(</m:t>
        </m:r>
        <m:f>
          <m:fPr>
            <m:ctrlPr>
              <w:rPr>
                <w:rFonts w:ascii="Times New Roman" w:cs="Times New Roman" w:eastAsia="Times New Roman" w:hAnsi="Times New Roman"/>
                <w:sz w:val="28"/>
                <w:szCs w:val="28"/>
              </w:rPr>
            </m:ctrlPr>
          </m:fPr>
          <m:num>
            <m:r>
              <w:rPr>
                <w:rFonts w:ascii="Times New Roman" w:cs="Times New Roman" w:eastAsia="Times New Roman" w:hAnsi="Times New Roman"/>
                <w:sz w:val="28"/>
                <w:szCs w:val="28"/>
              </w:rPr>
              <m:t xml:space="preserve">1</m:t>
            </m:r>
          </m:num>
          <m:den>
            <m:r>
              <w:rPr>
                <w:rFonts w:ascii="Times New Roman" w:cs="Times New Roman" w:eastAsia="Times New Roman" w:hAnsi="Times New Roman"/>
                <w:sz w:val="28"/>
                <w:szCs w:val="28"/>
              </w:rPr>
              <m:t xml:space="preserve">2</m:t>
            </m:r>
          </m:den>
        </m:f>
        <m:r>
          <w:rPr>
            <w:rFonts w:ascii="Times New Roman" w:cs="Times New Roman" w:eastAsia="Times New Roman" w:hAnsi="Times New Roman"/>
            <w:sz w:val="28"/>
            <w:szCs w:val="28"/>
          </w:rPr>
          <m:t>∥</m:t>
        </m:r>
        <m:r>
          <w:rPr>
            <w:rFonts w:ascii="Times New Roman" w:cs="Times New Roman" w:eastAsia="Times New Roman" w:hAnsi="Times New Roman"/>
            <w:sz w:val="28"/>
            <w:szCs w:val="28"/>
          </w:rPr>
          <m:t xml:space="preserve">w</m:t>
        </m:r>
        <m:sSup>
          <m:sSupPr>
            <m:ctrlPr>
              <w:rPr>
                <w:rFonts w:ascii="Times New Roman" w:cs="Times New Roman" w:eastAsia="Times New Roman" w:hAnsi="Times New Roman"/>
                <w:sz w:val="28"/>
                <w:szCs w:val="28"/>
              </w:rPr>
            </m:ctrlPr>
          </m:sSupPr>
          <m:e>
            <m:r>
              <w:rPr>
                <w:rFonts w:ascii="Times New Roman" w:cs="Times New Roman" w:eastAsia="Times New Roman" w:hAnsi="Times New Roman"/>
                <w:sz w:val="28"/>
                <w:szCs w:val="28"/>
              </w:rPr>
              <m:t>∥</m:t>
            </m:r>
          </m:e>
          <m:sup>
            <m:r>
              <w:rPr>
                <w:rFonts w:ascii="Times New Roman" w:cs="Times New Roman" w:eastAsia="Times New Roman" w:hAnsi="Times New Roman"/>
                <w:sz w:val="28"/>
                <w:szCs w:val="28"/>
              </w:rPr>
              <m:t xml:space="preserve">2</m:t>
            </m:r>
          </m:sup>
        </m:sSup>
        <m:r>
          <w:rPr>
            <w:rFonts w:ascii="Times New Roman" w:cs="Times New Roman" w:eastAsia="Times New Roman" w:hAnsi="Times New Roman"/>
            <w:sz w:val="28"/>
            <w:szCs w:val="28"/>
          </w:rPr>
          <m:t xml:space="preserve">+C</m:t>
        </m:r>
        <m:nary>
          <m:naryPr>
            <m:chr m:val="∑"/>
            <m:ctrlPr>
              <w:rPr>
                <w:rFonts w:ascii="Times New Roman" w:cs="Times New Roman" w:eastAsia="Times New Roman" w:hAnsi="Times New Roman"/>
                <w:sz w:val="28"/>
                <w:szCs w:val="28"/>
              </w:rPr>
            </m:ctrlPr>
          </m:naryPr>
          <m:sub>
            <m:r>
              <w:rPr>
                <w:rFonts w:ascii="Times New Roman" w:cs="Times New Roman" w:eastAsia="Times New Roman" w:hAnsi="Times New Roman"/>
                <w:sz w:val="28"/>
                <w:szCs w:val="28"/>
              </w:rPr>
              <m:t xml:space="preserve">i=1</m:t>
            </m:r>
          </m:sub>
          <m:sup>
            <m:r>
              <w:rPr>
                <w:rFonts w:ascii="Times New Roman" w:cs="Times New Roman" w:eastAsia="Times New Roman" w:hAnsi="Times New Roman"/>
                <w:sz w:val="28"/>
                <w:szCs w:val="28"/>
              </w:rPr>
              <m:t xml:space="preserve">n</m:t>
            </m:r>
          </m:sup>
        </m:nary>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ξ</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m:t>
        </m:r>
      </m:oMath>
      <w:r w:rsidDel="00000000" w:rsidR="00000000" w:rsidRPr="00000000">
        <w:rPr>
          <w:rtl w:val="0"/>
        </w:rPr>
      </w:r>
    </w:p>
    <w:p w:rsidR="00000000" w:rsidDel="00000000" w:rsidP="00000000" w:rsidRDefault="00000000" w:rsidRPr="00000000" w14:paraId="000000C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E">
      <w:pPr>
        <w:jc w:val="both"/>
        <w:rPr>
          <w:i w:val="1"/>
          <w:iCs w:val="1"/>
          <w:sz w:val="28"/>
          <w:szCs w:val="28"/>
        </w:rPr>
      </w:pPr>
      <w:r w:rsidDel="00000000" w:rsidR="00000000" w:rsidRPr="00000000">
        <w:rPr>
          <w:rFonts w:ascii="Times New Roman" w:cs="Times New Roman" w:eastAsia="Times New Roman" w:hAnsi="Times New Roman"/>
          <w:sz w:val="28"/>
          <w:szCs w:val="28"/>
          <w:rtl w:val="0"/>
        </w:rPr>
        <w:t xml:space="preserve">subject to the constraints</w:t>
      </w:r>
      <m:oMath>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y</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(w</m:t>
        </m:r>
        <m:r>
          <w:rPr>
            <w:rFonts w:ascii="Times New Roman" w:cs="Times New Roman" w:eastAsia="Times New Roman" w:hAnsi="Times New Roman"/>
            <w:sz w:val="28"/>
            <w:szCs w:val="28"/>
          </w:rPr>
          <m:t>⋅</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x</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+b)</m:t>
        </m:r>
        <m:r>
          <w:rPr>
            <w:rFonts w:ascii="Times New Roman" w:cs="Times New Roman" w:eastAsia="Times New Roman" w:hAnsi="Times New Roman"/>
            <w:sz w:val="28"/>
            <w:szCs w:val="28"/>
          </w:rPr>
          <m:t>≥</m:t>
        </m:r>
        <m:r>
          <w:rPr>
            <w:rFonts w:ascii="Times New Roman" w:cs="Times New Roman" w:eastAsia="Times New Roman" w:hAnsi="Times New Roman"/>
            <w:sz w:val="28"/>
            <w:szCs w:val="28"/>
          </w:rPr>
          <m:t xml:space="preserve">1-</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ξ</m:t>
            </m:r>
          </m:e>
          <m:sub>
            <m:r>
              <w:rPr>
                <w:rFonts w:ascii="Times New Roman" w:cs="Times New Roman" w:eastAsia="Times New Roman" w:hAnsi="Times New Roman"/>
                <w:sz w:val="28"/>
                <w:szCs w:val="28"/>
              </w:rPr>
              <m:t xml:space="preserve">i</m:t>
            </m:r>
          </m:sub>
        </m:sSub>
      </m:oMath>
      <w:r w:rsidDel="00000000" w:rsidR="00000000" w:rsidRPr="00000000">
        <w:rPr>
          <w:rFonts w:ascii="Times New Roman" w:cs="Times New Roman" w:eastAsia="Times New Roman" w:hAnsi="Times New Roman"/>
          <w:sz w:val="28"/>
          <w:szCs w:val="28"/>
          <w:rtl w:val="0"/>
        </w:rPr>
        <w:t xml:space="preserve"> and </w:t>
      </w:r>
      <m:oMath>
        <m:sSub>
          <m:sSubPr>
            <m:ctrlPr>
              <w:rPr>
                <w:rFonts w:ascii="Times New Roman" w:cs="Times New Roman" w:eastAsia="Times New Roman" w:hAnsi="Times New Roman"/>
                <w:sz w:val="28"/>
                <w:szCs w:val="28"/>
              </w:rPr>
            </m:ctrlPr>
          </m:sSubPr>
          <m:e>
            <m:r>
              <m:t>ξ</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m:t>
        </m:r>
        <m:r>
          <w:rPr>
            <w:rFonts w:ascii="Times New Roman" w:cs="Times New Roman" w:eastAsia="Times New Roman" w:hAnsi="Times New Roman"/>
            <w:sz w:val="28"/>
            <w:szCs w:val="28"/>
          </w:rPr>
          <m:t xml:space="preserve">0</m:t>
        </m:r>
      </m:oMath>
      <w:r w:rsidDel="00000000" w:rsidR="00000000" w:rsidRPr="00000000">
        <w:rPr>
          <w:rFonts w:ascii="Times New Roman" w:cs="Times New Roman" w:eastAsia="Times New Roman" w:hAnsi="Times New Roman"/>
          <w:sz w:val="28"/>
          <w:szCs w:val="28"/>
          <w:rtl w:val="0"/>
        </w:rPr>
        <w:t xml:space="preserve">, where </w:t>
      </w:r>
      <m:oMath>
        <m:r>
          <w:rPr>
            <w:rFonts w:ascii="Times New Roman" w:cs="Times New Roman" w:eastAsia="Times New Roman" w:hAnsi="Times New Roman"/>
            <w:sz w:val="28"/>
            <w:szCs w:val="28"/>
          </w:rPr>
          <m:t xml:space="preserve">w</m:t>
        </m:r>
      </m:oMath>
      <w:r w:rsidDel="00000000" w:rsidR="00000000" w:rsidRPr="00000000">
        <w:rPr>
          <w:rFonts w:ascii="Times New Roman" w:cs="Times New Roman" w:eastAsia="Times New Roman" w:hAnsi="Times New Roman"/>
          <w:sz w:val="28"/>
          <w:szCs w:val="28"/>
          <w:rtl w:val="0"/>
        </w:rPr>
        <w:t xml:space="preserve">represents the weight vector, </w:t>
      </w:r>
      <m:oMath>
        <m:r>
          <w:rPr>
            <w:rFonts w:ascii="Times New Roman" w:cs="Times New Roman" w:eastAsia="Times New Roman" w:hAnsi="Times New Roman"/>
            <w:sz w:val="28"/>
            <w:szCs w:val="28"/>
          </w:rPr>
          <m:t xml:space="preserve">c</m:t>
        </m:r>
      </m:oMath>
      <w:r w:rsidDel="00000000" w:rsidR="00000000" w:rsidRPr="00000000">
        <w:rPr>
          <w:rFonts w:ascii="Times New Roman" w:cs="Times New Roman" w:eastAsia="Times New Roman" w:hAnsi="Times New Roman"/>
          <w:sz w:val="28"/>
          <w:szCs w:val="28"/>
          <w:rtl w:val="0"/>
        </w:rPr>
        <w:t xml:space="preserve"> is the regularization parameter, and </w:t>
      </w:r>
      <m:oMath>
        <m:sSub>
          <m:sSubPr>
            <m:ctrlPr>
              <w:rPr>
                <w:rFonts w:ascii="Times New Roman" w:cs="Times New Roman" w:eastAsia="Times New Roman" w:hAnsi="Times New Roman"/>
                <w:sz w:val="28"/>
                <w:szCs w:val="28"/>
              </w:rPr>
            </m:ctrlPr>
          </m:sSubPr>
          <m:e>
            <m:r>
              <m:t>ξ</m:t>
            </m:r>
          </m:e>
          <m:sub>
            <m:r>
              <w:rPr>
                <w:rFonts w:ascii="Times New Roman" w:cs="Times New Roman" w:eastAsia="Times New Roman" w:hAnsi="Times New Roman"/>
                <w:sz w:val="28"/>
                <w:szCs w:val="28"/>
              </w:rPr>
              <m:t xml:space="preserve">i</m:t>
            </m:r>
          </m:sub>
        </m:sSub>
      </m:oMath>
      <w:r w:rsidDel="00000000" w:rsidR="00000000" w:rsidRPr="00000000">
        <w:rPr>
          <w:rFonts w:ascii="Times New Roman" w:cs="Times New Roman" w:eastAsia="Times New Roman" w:hAnsi="Times New Roman"/>
          <w:sz w:val="28"/>
          <w:szCs w:val="28"/>
          <w:rtl w:val="0"/>
        </w:rPr>
        <w:t xml:space="preserve"> represents the slack variables for margin violations. </w:t>
      </w:r>
      <w:r w:rsidDel="00000000" w:rsidR="00000000" w:rsidRPr="00000000">
        <w:rPr>
          <w:rtl w:val="0"/>
        </w:rPr>
      </w:r>
    </w:p>
    <w:p w:rsidR="00000000" w:rsidDel="00000000" w:rsidP="00000000" w:rsidRDefault="00000000" w:rsidRPr="00000000" w14:paraId="000000CF">
      <w:pPr>
        <w:jc w:val="both"/>
        <w:rPr>
          <w:i w:val="1"/>
          <w:iCs w:val="1"/>
          <w:sz w:val="28"/>
          <w:szCs w:val="28"/>
        </w:rPr>
      </w:pPr>
      <w:r w:rsidDel="00000000" w:rsidR="00000000" w:rsidRPr="00000000">
        <w:rPr>
          <w:i w:val="1"/>
          <w:iCs w:val="1"/>
          <w:sz w:val="28"/>
          <w:szCs w:val="28"/>
        </w:rPr>
        <w:drawing>
          <wp:inline distB="114300" distT="114300" distL="114300" distR="114300">
            <wp:extent cx="4021476" cy="2678757"/>
            <wp:effectExtent b="0" l="0" r="0" t="0"/>
            <wp:docPr id="4"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4021476" cy="2678757"/>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jc w:val="both"/>
        <w:rPr>
          <w:i w:val="1"/>
          <w:iCs w:val="1"/>
          <w:sz w:val="28"/>
          <w:szCs w:val="28"/>
        </w:rPr>
      </w:pPr>
      <w:r w:rsidDel="00000000" w:rsidR="00000000" w:rsidRPr="00000000">
        <w:rPr>
          <w:rtl w:val="0"/>
        </w:rPr>
      </w:r>
    </w:p>
    <w:p w:rsidR="00000000" w:rsidDel="00000000" w:rsidP="00000000" w:rsidRDefault="00000000" w:rsidRPr="00000000" w14:paraId="000000D1">
      <w:pPr>
        <w:jc w:val="both"/>
        <w:rPr>
          <w:i w:val="1"/>
          <w:iCs w:val="1"/>
          <w:sz w:val="28"/>
          <w:szCs w:val="28"/>
        </w:rPr>
      </w:pPr>
      <w:r w:rsidDel="00000000" w:rsidR="00000000" w:rsidRPr="00000000">
        <w:rPr>
          <w:rtl w:val="0"/>
        </w:rPr>
      </w:r>
    </w:p>
    <w:p w:rsidR="00000000" w:rsidDel="00000000" w:rsidP="00000000" w:rsidRDefault="00000000" w:rsidRPr="00000000" w14:paraId="000000D2">
      <w:pPr>
        <w:jc w:val="both"/>
        <w:rPr>
          <w:i w:val="1"/>
          <w:iCs w:val="1"/>
          <w:sz w:val="28"/>
          <w:szCs w:val="28"/>
        </w:rPr>
      </w:pPr>
      <w:r w:rsidDel="00000000" w:rsidR="00000000" w:rsidRPr="00000000">
        <w:rPr>
          <w:rtl w:val="0"/>
        </w:rPr>
      </w:r>
    </w:p>
    <w:p w:rsidR="00000000" w:rsidDel="00000000" w:rsidP="00000000" w:rsidRDefault="00000000" w:rsidRPr="00000000" w14:paraId="000000D3">
      <w:pPr>
        <w:jc w:val="both"/>
        <w:rPr>
          <w:i w:val="1"/>
          <w:iCs w:val="1"/>
          <w:sz w:val="28"/>
          <w:szCs w:val="28"/>
        </w:rPr>
      </w:pPr>
      <w:r w:rsidDel="00000000" w:rsidR="00000000" w:rsidRPr="00000000">
        <w:rPr>
          <w:rtl w:val="0"/>
        </w:rPr>
      </w:r>
    </w:p>
    <w:p w:rsidR="00000000" w:rsidDel="00000000" w:rsidP="00000000" w:rsidRDefault="00000000" w:rsidRPr="00000000" w14:paraId="000000D4">
      <w:pPr>
        <w:jc w:val="both"/>
        <w:rPr>
          <w:i w:val="1"/>
          <w:iCs w:val="1"/>
          <w:sz w:val="28"/>
          <w:szCs w:val="28"/>
        </w:rPr>
      </w:pPr>
      <w:r w:rsidDel="00000000" w:rsidR="00000000" w:rsidRPr="00000000">
        <w:rPr>
          <w:rtl w:val="0"/>
        </w:rPr>
      </w:r>
    </w:p>
    <w:p w:rsidR="00000000" w:rsidDel="00000000" w:rsidP="00000000" w:rsidRDefault="00000000" w:rsidRPr="00000000" w14:paraId="000000D5">
      <w:pPr>
        <w:jc w:val="both"/>
        <w:rPr>
          <w:i w:val="1"/>
          <w:iCs w:val="1"/>
          <w:sz w:val="28"/>
          <w:szCs w:val="28"/>
        </w:rPr>
      </w:pPr>
      <w:r w:rsidDel="00000000" w:rsidR="00000000" w:rsidRPr="00000000">
        <w:rPr>
          <w:rtl w:val="0"/>
        </w:rPr>
      </w:r>
    </w:p>
    <w:p w:rsidR="00000000" w:rsidDel="00000000" w:rsidP="00000000" w:rsidRDefault="00000000" w:rsidRPr="00000000" w14:paraId="000000D6">
      <w:pPr>
        <w:jc w:val="both"/>
        <w:rPr>
          <w:i w:val="1"/>
          <w:iCs w:val="1"/>
          <w:sz w:val="28"/>
          <w:szCs w:val="28"/>
        </w:rPr>
      </w:pPr>
      <w:r w:rsidDel="00000000" w:rsidR="00000000" w:rsidRPr="00000000">
        <w:rPr>
          <w:rtl w:val="0"/>
        </w:rPr>
      </w:r>
    </w:p>
    <w:p w:rsidR="00000000" w:rsidDel="00000000" w:rsidP="00000000" w:rsidRDefault="00000000" w:rsidRPr="00000000" w14:paraId="000000D7">
      <w:pPr>
        <w:jc w:val="both"/>
        <w:rPr>
          <w:i w:val="1"/>
          <w:iCs w:val="1"/>
          <w:sz w:val="28"/>
          <w:szCs w:val="28"/>
        </w:rPr>
      </w:pPr>
      <w:r w:rsidDel="00000000" w:rsidR="00000000" w:rsidRPr="00000000">
        <w:rPr>
          <w:rtl w:val="0"/>
        </w:rPr>
      </w:r>
    </w:p>
    <w:p w:rsidR="00000000" w:rsidDel="00000000" w:rsidP="00000000" w:rsidRDefault="00000000" w:rsidRPr="00000000" w14:paraId="000000D8">
      <w:pPr>
        <w:jc w:val="both"/>
        <w:rPr>
          <w:i w:val="1"/>
          <w:iCs w:val="1"/>
          <w:sz w:val="28"/>
          <w:szCs w:val="28"/>
        </w:rPr>
      </w:pPr>
      <w:r w:rsidDel="00000000" w:rsidR="00000000" w:rsidRPr="00000000">
        <w:rPr>
          <w:rtl w:val="0"/>
        </w:rPr>
      </w:r>
    </w:p>
    <w:p w:rsidR="00000000" w:rsidDel="00000000" w:rsidP="00000000" w:rsidRDefault="00000000" w:rsidRPr="00000000" w14:paraId="000000D9">
      <w:pPr>
        <w:jc w:val="both"/>
        <w:rPr>
          <w:i w:val="1"/>
          <w:iCs w:val="1"/>
          <w:sz w:val="28"/>
          <w:szCs w:val="28"/>
        </w:rPr>
      </w:pPr>
      <w:r w:rsidDel="00000000" w:rsidR="00000000" w:rsidRPr="00000000">
        <w:rPr>
          <w:rtl w:val="0"/>
        </w:rPr>
      </w:r>
    </w:p>
    <w:p w:rsidR="00000000" w:rsidDel="00000000" w:rsidP="00000000" w:rsidRDefault="00000000" w:rsidRPr="00000000" w14:paraId="000000DA">
      <w:pPr>
        <w:jc w:val="both"/>
        <w:rPr>
          <w:i w:val="1"/>
          <w:iCs w:val="1"/>
          <w:sz w:val="28"/>
          <w:szCs w:val="28"/>
        </w:rPr>
      </w:pPr>
      <w:r w:rsidDel="00000000" w:rsidR="00000000" w:rsidRPr="00000000">
        <w:rPr>
          <w:rtl w:val="0"/>
        </w:rPr>
      </w:r>
    </w:p>
    <w:p w:rsidR="00000000" w:rsidDel="00000000" w:rsidP="00000000" w:rsidRDefault="00000000" w:rsidRPr="00000000" w14:paraId="000000DB">
      <w:pPr>
        <w:jc w:val="both"/>
        <w:rPr>
          <w:i w:val="1"/>
          <w:iCs w:val="1"/>
          <w:sz w:val="28"/>
          <w:szCs w:val="28"/>
        </w:rPr>
      </w:pPr>
      <w:r w:rsidDel="00000000" w:rsidR="00000000" w:rsidRPr="00000000">
        <w:rPr>
          <w:rtl w:val="0"/>
        </w:rPr>
      </w:r>
    </w:p>
    <w:p w:rsidR="00000000" w:rsidDel="00000000" w:rsidP="00000000" w:rsidRDefault="00000000" w:rsidRPr="00000000" w14:paraId="000000DC">
      <w:pPr>
        <w:jc w:val="both"/>
        <w:rPr>
          <w:i w:val="1"/>
          <w:iCs w:val="1"/>
          <w:sz w:val="28"/>
          <w:szCs w:val="28"/>
        </w:rPr>
      </w:pPr>
      <w:r w:rsidDel="00000000" w:rsidR="00000000" w:rsidRPr="00000000">
        <w:rPr>
          <w:rtl w:val="0"/>
        </w:rPr>
      </w:r>
    </w:p>
    <w:p w:rsidR="00000000" w:rsidDel="00000000" w:rsidP="00000000" w:rsidRDefault="00000000" w:rsidRPr="00000000" w14:paraId="000000DD">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3. Decision Tree (DT). </w:t>
      </w:r>
    </w:p>
    <w:p w:rsidR="00000000" w:rsidDel="00000000" w:rsidP="00000000" w:rsidRDefault="00000000" w:rsidRPr="00000000" w14:paraId="000000D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 supervised learning algorithm that represents decisions as a tree-like structure based on a sequence of decision rules. It is simple to interpret, requires minimal data preparation, and is commonly used for soil classification and prediction tasks. [4] For classification tasks the optimal splits in the tree are often determined by minimizing the Gini Impurity calculated as: </w:t>
      </w:r>
    </w:p>
    <w:p w:rsidR="00000000" w:rsidDel="00000000" w:rsidP="00000000" w:rsidRDefault="00000000" w:rsidRPr="00000000" w14:paraId="000000D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m:oMath>
        <m:r>
          <w:rPr>
            <w:rFonts w:ascii="Times New Roman" w:cs="Times New Roman" w:eastAsia="Times New Roman" w:hAnsi="Times New Roman"/>
            <w:sz w:val="28"/>
            <w:szCs w:val="28"/>
          </w:rPr>
          <m:t xml:space="preserve">Gini=1-</m:t>
        </m:r>
        <m:nary>
          <m:naryPr>
            <m:chr m:val="∑"/>
            <m:ctrlPr>
              <w:rPr>
                <w:rFonts w:ascii="Times New Roman" w:cs="Times New Roman" w:eastAsia="Times New Roman" w:hAnsi="Times New Roman"/>
                <w:sz w:val="28"/>
                <w:szCs w:val="28"/>
              </w:rPr>
            </m:ctrlPr>
          </m:naryPr>
          <m:sub>
            <m:r>
              <w:rPr>
                <w:rFonts w:ascii="Times New Roman" w:cs="Times New Roman" w:eastAsia="Times New Roman" w:hAnsi="Times New Roman"/>
                <w:sz w:val="28"/>
                <w:szCs w:val="28"/>
              </w:rPr>
              <m:t xml:space="preserve">i=1</m:t>
            </m:r>
          </m:sub>
          <m:sup>
            <m:r>
              <w:rPr>
                <w:rFonts w:ascii="Times New Roman" w:cs="Times New Roman" w:eastAsia="Times New Roman" w:hAnsi="Times New Roman"/>
                <w:sz w:val="28"/>
                <w:szCs w:val="28"/>
              </w:rPr>
              <m:t xml:space="preserve">c</m:t>
            </m:r>
          </m:sup>
        </m:nary>
        <m:r>
          <w:rPr>
            <w:rFonts w:ascii="Times New Roman" w:cs="Times New Roman" w:eastAsia="Times New Roman" w:hAnsi="Times New Roman"/>
            <w:sz w:val="28"/>
            <w:szCs w:val="28"/>
          </w:rPr>
          <m:t xml:space="preserve">(</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p</m:t>
            </m:r>
          </m:e>
          <m:sub>
            <m:r>
              <w:rPr>
                <w:rFonts w:ascii="Times New Roman" w:cs="Times New Roman" w:eastAsia="Times New Roman" w:hAnsi="Times New Roman"/>
                <w:sz w:val="28"/>
                <w:szCs w:val="28"/>
              </w:rPr>
              <m:t xml:space="preserve">i</m:t>
            </m:r>
          </m:sub>
        </m:sSub>
        <m:sSup>
          <m:sSupPr>
            <m:ctrlPr>
              <w:rPr>
                <w:rFonts w:ascii="Times New Roman" w:cs="Times New Roman" w:eastAsia="Times New Roman" w:hAnsi="Times New Roman"/>
                <w:sz w:val="28"/>
                <w:szCs w:val="28"/>
              </w:rPr>
            </m:ctrlPr>
          </m:sSupPr>
          <m:e>
            <m:r>
              <w:rPr>
                <w:rFonts w:ascii="Times New Roman" w:cs="Times New Roman" w:eastAsia="Times New Roman" w:hAnsi="Times New Roman"/>
                <w:sz w:val="28"/>
                <w:szCs w:val="28"/>
              </w:rPr>
              <m:t xml:space="preserve">)</m:t>
            </m:r>
          </m:e>
          <m:sup>
            <m:r>
              <w:rPr>
                <w:rFonts w:ascii="Times New Roman" w:cs="Times New Roman" w:eastAsia="Times New Roman" w:hAnsi="Times New Roman"/>
                <w:sz w:val="28"/>
                <w:szCs w:val="28"/>
              </w:rPr>
              <m:t xml:space="preserve">2</m:t>
            </m:r>
          </m:sup>
        </m:sSup>
      </m:oMath>
      <w:r w:rsidDel="00000000" w:rsidR="00000000" w:rsidRPr="00000000">
        <w:rPr>
          <w:rtl w:val="0"/>
        </w:rPr>
      </w:r>
    </w:p>
    <w:p w:rsidR="00000000" w:rsidDel="00000000" w:rsidP="00000000" w:rsidRDefault="00000000" w:rsidRPr="00000000" w14:paraId="000000E1">
      <w:pPr>
        <w:jc w:val="both"/>
        <w:rPr>
          <w:i w:val="1"/>
          <w:iCs w:val="1"/>
          <w:sz w:val="28"/>
          <w:szCs w:val="28"/>
        </w:rPr>
      </w:pPr>
      <w:r w:rsidDel="00000000" w:rsidR="00000000" w:rsidRPr="00000000">
        <w:rPr>
          <w:rFonts w:ascii="Times New Roman" w:cs="Times New Roman" w:eastAsia="Times New Roman" w:hAnsi="Times New Roman"/>
          <w:sz w:val="28"/>
          <w:szCs w:val="28"/>
          <w:rtl w:val="0"/>
        </w:rPr>
        <w:t xml:space="preserve">where </w:t>
      </w:r>
      <m:oMath>
        <m:r>
          <w:rPr>
            <w:rFonts w:ascii="Times New Roman" w:cs="Times New Roman" w:eastAsia="Times New Roman" w:hAnsi="Times New Roman"/>
            <w:sz w:val="28"/>
            <w:szCs w:val="28"/>
          </w:rPr>
          <m:t xml:space="preserve">c</m:t>
        </m:r>
      </m:oMath>
      <w:r w:rsidDel="00000000" w:rsidR="00000000" w:rsidRPr="00000000">
        <w:rPr>
          <w:rFonts w:ascii="Times New Roman" w:cs="Times New Roman" w:eastAsia="Times New Roman" w:hAnsi="Times New Roman"/>
          <w:sz w:val="28"/>
          <w:szCs w:val="28"/>
          <w:rtl w:val="0"/>
        </w:rPr>
        <w:t xml:space="preserve"> is the total number of classes and</w:t>
      </w:r>
      <m:oMath>
        <m:r>
          <w:rPr>
            <w:rFonts w:ascii="Times New Roman" w:cs="Times New Roman" w:eastAsia="Times New Roman" w:hAnsi="Times New Roman"/>
            <w:sz w:val="28"/>
            <w:szCs w:val="28"/>
          </w:rPr>
          <m:t xml:space="preserve"> </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p</m:t>
            </m:r>
          </m:e>
          <m:sub>
            <m:r>
              <w:rPr>
                <w:rFonts w:ascii="Times New Roman" w:cs="Times New Roman" w:eastAsia="Times New Roman" w:hAnsi="Times New Roman"/>
                <w:sz w:val="28"/>
                <w:szCs w:val="28"/>
              </w:rPr>
              <m:t xml:space="preserve">i</m:t>
            </m:r>
          </m:sub>
        </m:sSub>
      </m:oMath>
      <w:r w:rsidDel="00000000" w:rsidR="00000000" w:rsidRPr="00000000">
        <w:rPr>
          <w:rFonts w:ascii="Times New Roman" w:cs="Times New Roman" w:eastAsia="Times New Roman" w:hAnsi="Times New Roman"/>
          <w:sz w:val="28"/>
          <w:szCs w:val="28"/>
          <w:rtl w:val="0"/>
        </w:rPr>
        <w:t xml:space="preserve"> is the probability of an item belonging to class </w:t>
      </w:r>
      <m:oMath>
        <m:r>
          <w:rPr>
            <w:rFonts w:ascii="Times New Roman" w:cs="Times New Roman" w:eastAsia="Times New Roman" w:hAnsi="Times New Roman"/>
            <w:sz w:val="28"/>
            <w:szCs w:val="28"/>
          </w:rPr>
          <m:t xml:space="preserve">i</m:t>
        </m:r>
      </m:oMath>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E2">
      <w:pPr>
        <w:jc w:val="both"/>
        <w:rPr>
          <w:i w:val="1"/>
          <w:iCs w:val="1"/>
          <w:sz w:val="28"/>
          <w:szCs w:val="28"/>
        </w:rPr>
      </w:pPr>
      <w:r w:rsidDel="00000000" w:rsidR="00000000" w:rsidRPr="00000000">
        <w:rPr>
          <w:i w:val="1"/>
          <w:iCs w:val="1"/>
          <w:sz w:val="28"/>
          <w:szCs w:val="28"/>
        </w:rPr>
        <w:drawing>
          <wp:inline distB="114300" distT="114300" distL="114300" distR="114300">
            <wp:extent cx="6381750" cy="3588133"/>
            <wp:effectExtent b="0" l="0" r="0" t="0"/>
            <wp:docPr id="2"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6381750" cy="3588133"/>
                    </a:xfrm>
                    <a:prstGeom prst="rect"/>
                    <a:ln/>
                  </pic:spPr>
                </pic:pic>
              </a:graphicData>
            </a:graphic>
          </wp:inline>
        </w:drawing>
      </w:r>
      <w:r w:rsidDel="00000000" w:rsidR="00000000" w:rsidRPr="00000000">
        <w:rPr>
          <w:rtl w:val="0"/>
        </w:rPr>
      </w:r>
    </w:p>
    <w:p w:rsidR="00000000" w:rsidDel="00000000" w:rsidP="00000000" w:rsidRDefault="00000000" w:rsidRPr="00000000" w14:paraId="000000E3">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4">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5">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6">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7">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8">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9">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A">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B">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C">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4. Artificial Neural Network (ANN). </w:t>
      </w:r>
    </w:p>
    <w:p w:rsidR="00000000" w:rsidDel="00000000" w:rsidP="00000000" w:rsidRDefault="00000000" w:rsidRPr="00000000" w14:paraId="000000E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 computational model inspired by the structure of the human brain. It consists of interconnected neurons organized into input, hidden, and output layers. ANN is capable of learning complex nonlinear relationships. [3], [4] The output of a single neuron within a layer is computed by applying an activation function to the weighted sum of its inputs:   </w:t>
      </w:r>
    </w:p>
    <w:p w:rsidR="00000000" w:rsidDel="00000000" w:rsidP="00000000" w:rsidRDefault="00000000" w:rsidRPr="00000000" w14:paraId="000000E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m:oMath>
        <m:r>
          <w:rPr>
            <w:rFonts w:ascii="Times New Roman" w:cs="Times New Roman" w:eastAsia="Times New Roman" w:hAnsi="Times New Roman"/>
            <w:sz w:val="28"/>
            <w:szCs w:val="28"/>
          </w:rPr>
          <m:t xml:space="preserve">y=f(</m:t>
        </m:r>
        <m:nary>
          <m:naryPr>
            <m:chr m:val="∑"/>
            <m:ctrlPr>
              <w:rPr>
                <w:rFonts w:ascii="Times New Roman" w:cs="Times New Roman" w:eastAsia="Times New Roman" w:hAnsi="Times New Roman"/>
                <w:sz w:val="28"/>
                <w:szCs w:val="28"/>
              </w:rPr>
            </m:ctrlPr>
          </m:naryPr>
          <m:sub>
            <m:r>
              <w:rPr>
                <w:rFonts w:ascii="Times New Roman" w:cs="Times New Roman" w:eastAsia="Times New Roman" w:hAnsi="Times New Roman"/>
                <w:sz w:val="28"/>
                <w:szCs w:val="28"/>
              </w:rPr>
              <m:t xml:space="preserve">i=1</m:t>
            </m:r>
          </m:sub>
          <m:sup>
            <m:r>
              <w:rPr>
                <w:rFonts w:ascii="Times New Roman" w:cs="Times New Roman" w:eastAsia="Times New Roman" w:hAnsi="Times New Roman"/>
                <w:sz w:val="28"/>
                <w:szCs w:val="28"/>
              </w:rPr>
              <m:t xml:space="preserve">n</m:t>
            </m:r>
          </m:sup>
        </m:nary>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w</m:t>
            </m:r>
          </m:e>
          <m:sub>
            <m:r>
              <w:rPr>
                <w:rFonts w:ascii="Times New Roman" w:cs="Times New Roman" w:eastAsia="Times New Roman" w:hAnsi="Times New Roman"/>
                <w:sz w:val="28"/>
                <w:szCs w:val="28"/>
              </w:rPr>
              <m:t xml:space="preserve">i</m:t>
            </m:r>
          </m:sub>
        </m:sSub>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x</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+b )</m:t>
        </m:r>
      </m:oMath>
      <w:r w:rsidDel="00000000" w:rsidR="00000000" w:rsidRPr="00000000">
        <w:rPr>
          <w:rtl w:val="0"/>
        </w:rPr>
      </w:r>
    </w:p>
    <w:p w:rsidR="00000000" w:rsidDel="00000000" w:rsidP="00000000" w:rsidRDefault="00000000" w:rsidRPr="00000000" w14:paraId="000000F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1">
      <w:pPr>
        <w:jc w:val="both"/>
        <w:rPr>
          <w:i w:val="1"/>
          <w:iCs w:val="1"/>
          <w:sz w:val="28"/>
          <w:szCs w:val="28"/>
        </w:rPr>
      </w:pPr>
      <w:r w:rsidDel="00000000" w:rsidR="00000000" w:rsidRPr="00000000">
        <w:rPr>
          <w:rFonts w:ascii="Times New Roman" w:cs="Times New Roman" w:eastAsia="Times New Roman" w:hAnsi="Times New Roman"/>
          <w:sz w:val="28"/>
          <w:szCs w:val="28"/>
          <w:rtl w:val="0"/>
        </w:rPr>
        <w:t xml:space="preserve">where </w:t>
      </w:r>
      <m:oMath>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x</m:t>
            </m:r>
          </m:e>
          <m:sub>
            <m:r>
              <w:rPr>
                <w:rFonts w:ascii="Times New Roman" w:cs="Times New Roman" w:eastAsia="Times New Roman" w:hAnsi="Times New Roman"/>
                <w:sz w:val="28"/>
                <w:szCs w:val="28"/>
              </w:rPr>
              <m:t xml:space="preserve">i</m:t>
            </m:r>
          </m:sub>
        </m:sSub>
      </m:oMath>
      <w:r w:rsidDel="00000000" w:rsidR="00000000" w:rsidRPr="00000000">
        <w:rPr>
          <w:rFonts w:ascii="Times New Roman" w:cs="Times New Roman" w:eastAsia="Times New Roman" w:hAnsi="Times New Roman"/>
          <w:sz w:val="28"/>
          <w:szCs w:val="28"/>
          <w:rtl w:val="0"/>
        </w:rPr>
        <w:t xml:space="preserve"> represents the input features </w:t>
      </w:r>
      <m:oMath>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w</m:t>
            </m:r>
          </m:e>
          <m:sub>
            <m:r>
              <w:rPr>
                <w:rFonts w:ascii="Times New Roman" w:cs="Times New Roman" w:eastAsia="Times New Roman" w:hAnsi="Times New Roman"/>
                <w:sz w:val="28"/>
                <w:szCs w:val="28"/>
              </w:rPr>
              <m:t xml:space="preserve">i</m:t>
            </m:r>
          </m:sub>
        </m:sSub>
      </m:oMath>
      <w:r w:rsidDel="00000000" w:rsidR="00000000" w:rsidRPr="00000000">
        <w:rPr>
          <w:rFonts w:ascii="Times New Roman" w:cs="Times New Roman" w:eastAsia="Times New Roman" w:hAnsi="Times New Roman"/>
          <w:sz w:val="28"/>
          <w:szCs w:val="28"/>
          <w:rtl w:val="0"/>
        </w:rPr>
        <w:t xml:space="preserve"> denotes the corresponding weights, </w:t>
      </w:r>
      <m:oMath>
        <m:r>
          <w:rPr>
            <w:rFonts w:ascii="Times New Roman" w:cs="Times New Roman" w:eastAsia="Times New Roman" w:hAnsi="Times New Roman"/>
            <w:sz w:val="28"/>
            <w:szCs w:val="28"/>
          </w:rPr>
          <m:t xml:space="preserve">b</m:t>
        </m:r>
      </m:oMath>
      <w:r w:rsidDel="00000000" w:rsidR="00000000" w:rsidRPr="00000000">
        <w:rPr>
          <w:rFonts w:ascii="Times New Roman" w:cs="Times New Roman" w:eastAsia="Times New Roman" w:hAnsi="Times New Roman"/>
          <w:sz w:val="28"/>
          <w:szCs w:val="28"/>
          <w:rtl w:val="0"/>
        </w:rPr>
        <w:t xml:space="preserve"> is the bias term, and </w:t>
      </w:r>
      <m:oMath>
        <m:r>
          <w:rPr>
            <w:rFonts w:ascii="Times New Roman" w:cs="Times New Roman" w:eastAsia="Times New Roman" w:hAnsi="Times New Roman"/>
            <w:sz w:val="28"/>
            <w:szCs w:val="28"/>
          </w:rPr>
          <m:t xml:space="preserve">f</m:t>
        </m:r>
      </m:oMath>
      <w:r w:rsidDel="00000000" w:rsidR="00000000" w:rsidRPr="00000000">
        <w:rPr>
          <w:rFonts w:ascii="Times New Roman" w:cs="Times New Roman" w:eastAsia="Times New Roman" w:hAnsi="Times New Roman"/>
          <w:sz w:val="28"/>
          <w:szCs w:val="28"/>
          <w:rtl w:val="0"/>
        </w:rPr>
        <w:t xml:space="preserve"> is the activation function (such as ReLU or Sigmoid). </w:t>
      </w:r>
      <w:r w:rsidDel="00000000" w:rsidR="00000000" w:rsidRPr="00000000">
        <w:rPr>
          <w:rtl w:val="0"/>
        </w:rPr>
      </w:r>
    </w:p>
    <w:p w:rsidR="00000000" w:rsidDel="00000000" w:rsidP="00000000" w:rsidRDefault="00000000" w:rsidRPr="00000000" w14:paraId="000000F2">
      <w:pPr>
        <w:jc w:val="both"/>
        <w:rPr>
          <w:i w:val="1"/>
          <w:iCs w:val="1"/>
          <w:sz w:val="28"/>
          <w:szCs w:val="28"/>
        </w:rPr>
      </w:pPr>
      <w:r w:rsidDel="00000000" w:rsidR="00000000" w:rsidRPr="00000000">
        <w:rPr>
          <w:i w:val="1"/>
          <w:iCs w:val="1"/>
          <w:sz w:val="28"/>
          <w:szCs w:val="28"/>
        </w:rPr>
        <w:drawing>
          <wp:inline distB="114300" distT="114300" distL="114300" distR="114300">
            <wp:extent cx="4714875" cy="3695700"/>
            <wp:effectExtent b="0" l="0" r="0" t="0"/>
            <wp:docPr id="5" name="image2.png"/>
            <a:graphic>
              <a:graphicData uri="http://schemas.openxmlformats.org/drawingml/2006/picture">
                <pic:pic>
                  <pic:nvPicPr>
                    <pic:cNvPr id="0" name="image2.png"/>
                    <pic:cNvPicPr preferRelativeResize="0"/>
                  </pic:nvPicPr>
                  <pic:blipFill>
                    <a:blip r:embed="rId12"/>
                    <a:srcRect b="0" l="0" r="3883" t="0"/>
                    <a:stretch>
                      <a:fillRect/>
                    </a:stretch>
                  </pic:blipFill>
                  <pic:spPr>
                    <a:xfrm>
                      <a:off x="0" y="0"/>
                      <a:ext cx="4714875" cy="3695700"/>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5. Deep Neural Network (DNN).</w:t>
      </w:r>
    </w:p>
    <w:p w:rsidR="00000000" w:rsidDel="00000000" w:rsidP="00000000" w:rsidRDefault="00000000" w:rsidRPr="00000000" w14:paraId="000000F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an advanced form of ANN that contains multiple hidden layers, allowing it to learn more complex patterns from large datasets.</w:t>
      </w:r>
    </w:p>
    <w:p w:rsidR="00000000" w:rsidDel="00000000" w:rsidP="00000000" w:rsidRDefault="00000000" w:rsidRPr="00000000" w14:paraId="000000F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6">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6. Extreme Learning Machine (ELM).</w:t>
      </w:r>
    </w:p>
    <w:p w:rsidR="00000000" w:rsidDel="00000000" w:rsidP="00000000" w:rsidRDefault="00000000" w:rsidRPr="00000000" w14:paraId="000000F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 feedforward neural network designed to achieve fast training while maintaining high prediction accuracy.</w:t>
      </w:r>
    </w:p>
    <w:p w:rsidR="00000000" w:rsidDel="00000000" w:rsidP="00000000" w:rsidRDefault="00000000" w:rsidRPr="00000000" w14:paraId="000000F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9">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7. Gradient Boosting Machine (GBM).</w:t>
      </w:r>
    </w:p>
    <w:p w:rsidR="00000000" w:rsidDel="00000000" w:rsidP="00000000" w:rsidRDefault="00000000" w:rsidRPr="00000000" w14:paraId="000000F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an ensemble learning technique that builds predictive models sequentially by minimizing the errors of previous models. It is widely used for classification and regression problems.</w:t>
      </w:r>
    </w:p>
    <w:p w:rsidR="00000000" w:rsidDel="00000000" w:rsidP="00000000" w:rsidRDefault="00000000" w:rsidRPr="00000000" w14:paraId="000000F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C">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8. XGBoost .</w:t>
      </w:r>
    </w:p>
    <w:p w:rsidR="00000000" w:rsidDel="00000000" w:rsidP="00000000" w:rsidRDefault="00000000" w:rsidRPr="00000000" w14:paraId="000000F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an optimized implementation of gradient boosting that provides high computational efficiency and predictive accuracy. It incorporates regularization techniques to reduce overfitting.</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0">
      <w:pPr>
        <w:spacing w:after="240" w:line="276"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2.2.6 Evaluation Metrics</w:t>
      </w:r>
    </w:p>
    <w:p w:rsidR="00000000" w:rsidDel="00000000" w:rsidP="00000000" w:rsidRDefault="00000000" w:rsidRPr="00000000" w14:paraId="00000101">
      <w:pPr>
        <w:spacing w:after="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accurately assess the performance and prediction capabilities of the implemented machine learning models, specific evaluation metrics will be utilized. These mathematical metrics provide a comprehensive understanding of the error margins and the precision of the model predictions:</w:t>
      </w:r>
    </w:p>
    <w:p w:rsidR="00000000" w:rsidDel="00000000" w:rsidP="00000000" w:rsidRDefault="00000000" w:rsidRPr="00000000" w14:paraId="00000102">
      <w:pPr>
        <w:numPr>
          <w:ilvl w:val="0"/>
          <w:numId w:val="1"/>
        </w:numPr>
        <w:spacing w:after="240" w:line="276" w:lineRule="auto"/>
        <w:ind w:left="720" w:hanging="360"/>
        <w:rPr>
          <w:sz w:val="28"/>
          <w:szCs w:val="28"/>
        </w:rPr>
      </w:pPr>
      <w:r w:rsidDel="00000000" w:rsidR="00000000" w:rsidRPr="00000000">
        <w:rPr>
          <w:rFonts w:ascii="Times New Roman" w:cs="Times New Roman" w:eastAsia="Times New Roman" w:hAnsi="Times New Roman"/>
          <w:b w:val="1"/>
          <w:bCs w:val="1"/>
          <w:sz w:val="28"/>
          <w:szCs w:val="28"/>
          <w:rtl w:val="0"/>
        </w:rPr>
        <w:t xml:space="preserve">Coefficient of Determination (</w:t>
      </w:r>
      <m:oMath>
        <m:sSup>
          <m:sSupPr>
            <m:ctrlPr>
              <w:rPr>
                <w:rFonts w:ascii="Times New Roman" w:cs="Times New Roman" w:eastAsia="Times New Roman" w:hAnsi="Times New Roman"/>
                <w:b w:val="1"/>
                <w:bCs w:val="1"/>
                <w:sz w:val="28"/>
                <w:szCs w:val="28"/>
              </w:rPr>
            </m:ctrlPr>
          </m:sSupPr>
          <m:e>
            <m:r>
              <w:rPr>
                <w:rFonts w:ascii="Times New Roman" w:cs="Times New Roman" w:eastAsia="Times New Roman" w:hAnsi="Times New Roman"/>
                <w:b w:val="1"/>
                <w:bCs w:val="1"/>
                <w:sz w:val="28"/>
                <w:szCs w:val="28"/>
              </w:rPr>
              <m:t xml:space="preserve">R</m:t>
            </m:r>
          </m:e>
          <m:sup>
            <m:r>
              <w:rPr>
                <w:rFonts w:ascii="Times New Roman" w:cs="Times New Roman" w:eastAsia="Times New Roman" w:hAnsi="Times New Roman"/>
                <w:b w:val="1"/>
                <w:bCs w:val="1"/>
                <w:sz w:val="28"/>
                <w:szCs w:val="28"/>
              </w:rPr>
              <m:t xml:space="preserve">2</m:t>
            </m:r>
          </m:sup>
        </m:sSup>
      </m:oMath>
      <w:r w:rsidDel="00000000" w:rsidR="00000000" w:rsidRPr="00000000">
        <w:rPr>
          <w:rFonts w:ascii="Times New Roman" w:cs="Times New Roman" w:eastAsia="Times New Roman" w:hAnsi="Times New Roman"/>
          <w:b w:val="1"/>
          <w:bCs w:val="1"/>
          <w:sz w:val="28"/>
          <w:szCs w:val="28"/>
          <w:rtl w:val="0"/>
        </w:rPr>
        <w:t xml:space="preserve">)</w:t>
      </w:r>
      <w:r w:rsidDel="00000000" w:rsidR="00000000" w:rsidRPr="00000000">
        <w:rPr>
          <w:rFonts w:ascii="Times New Roman" w:cs="Times New Roman" w:eastAsia="Times New Roman" w:hAnsi="Times New Roman"/>
          <w:sz w:val="28"/>
          <w:szCs w:val="28"/>
          <w:rtl w:val="0"/>
        </w:rPr>
        <w:t xml:space="preserve">: Evaluates how well the model predicts the variance of the target variable. A higher </w:t>
      </w:r>
      <m:oMath>
        <m:sSup>
          <m:sSupPr>
            <m:ctrlPr>
              <w:rPr>
                <w:rFonts w:ascii="Times New Roman" w:cs="Times New Roman" w:eastAsia="Times New Roman" w:hAnsi="Times New Roman"/>
                <w:sz w:val="28"/>
                <w:szCs w:val="28"/>
              </w:rPr>
            </m:ctrlPr>
          </m:sSupPr>
          <m:e>
            <m:r>
              <w:rPr>
                <w:rFonts w:ascii="Times New Roman" w:cs="Times New Roman" w:eastAsia="Times New Roman" w:hAnsi="Times New Roman"/>
                <w:sz w:val="28"/>
                <w:szCs w:val="28"/>
              </w:rPr>
              <m:t xml:space="preserve">R</m:t>
            </m:r>
          </m:e>
          <m:sup>
            <m:r>
              <w:rPr>
                <w:rFonts w:ascii="Times New Roman" w:cs="Times New Roman" w:eastAsia="Times New Roman" w:hAnsi="Times New Roman"/>
                <w:sz w:val="28"/>
                <w:szCs w:val="28"/>
              </w:rPr>
              <m:t xml:space="preserve">2</m:t>
            </m:r>
          </m:sup>
        </m:sSup>
      </m:oMath>
      <w:r w:rsidDel="00000000" w:rsidR="00000000" w:rsidRPr="00000000">
        <w:rPr>
          <w:rFonts w:ascii="Times New Roman" w:cs="Times New Roman" w:eastAsia="Times New Roman" w:hAnsi="Times New Roman"/>
          <w:sz w:val="28"/>
          <w:szCs w:val="28"/>
          <w:rtl w:val="0"/>
        </w:rPr>
        <w:t xml:space="preserve"> indicates a better fit.</w:t>
      </w:r>
    </w:p>
    <w:p w:rsidR="00000000" w:rsidDel="00000000" w:rsidP="00000000" w:rsidRDefault="00000000" w:rsidRPr="00000000" w14:paraId="00000103">
      <w:pPr>
        <w:spacing w:after="240" w:line="276" w:lineRule="auto"/>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m:oMath>
        <m:sSup>
          <m:sSupPr>
            <m:ctrlPr>
              <w:rPr>
                <w:rFonts w:ascii="Times New Roman" w:cs="Times New Roman" w:eastAsia="Times New Roman" w:hAnsi="Times New Roman"/>
                <w:sz w:val="28"/>
                <w:szCs w:val="28"/>
              </w:rPr>
            </m:ctrlPr>
          </m:sSupPr>
          <m:e>
            <m:r>
              <w:rPr>
                <w:rFonts w:ascii="Times New Roman" w:cs="Times New Roman" w:eastAsia="Times New Roman" w:hAnsi="Times New Roman"/>
                <w:sz w:val="28"/>
                <w:szCs w:val="28"/>
              </w:rPr>
              <m:t xml:space="preserve">R</m:t>
            </m:r>
          </m:e>
          <m:sup>
            <m:r>
              <w:rPr>
                <w:rFonts w:ascii="Times New Roman" w:cs="Times New Roman" w:eastAsia="Times New Roman" w:hAnsi="Times New Roman"/>
                <w:sz w:val="28"/>
                <w:szCs w:val="28"/>
              </w:rPr>
              <m:t xml:space="preserve">2</m:t>
            </m:r>
          </m:sup>
        </m:sSup>
        <m:r>
          <w:rPr>
            <w:rFonts w:ascii="Times New Roman" w:cs="Times New Roman" w:eastAsia="Times New Roman" w:hAnsi="Times New Roman"/>
            <w:sz w:val="28"/>
            <w:szCs w:val="28"/>
          </w:rPr>
          <m:t xml:space="preserve">=1-</m:t>
        </m:r>
        <m:f>
          <m:fPr>
            <m:ctrlPr>
              <w:rPr>
                <w:rFonts w:ascii="Times New Roman" w:cs="Times New Roman" w:eastAsia="Times New Roman" w:hAnsi="Times New Roman"/>
                <w:sz w:val="28"/>
                <w:szCs w:val="28"/>
              </w:rPr>
            </m:ctrlPr>
          </m:fPr>
          <m:num>
            <m:nary>
              <m:naryPr>
                <m:chr m:val="∑"/>
                <m:ctrlPr>
                  <w:rPr>
                    <w:rFonts w:ascii="Times New Roman" w:cs="Times New Roman" w:eastAsia="Times New Roman" w:hAnsi="Times New Roman"/>
                    <w:sz w:val="28"/>
                    <w:szCs w:val="28"/>
                  </w:rPr>
                </m:ctrlPr>
              </m:naryPr>
              <m:sub>
                <m:r>
                  <w:rPr>
                    <w:rFonts w:ascii="Times New Roman" w:cs="Times New Roman" w:eastAsia="Times New Roman" w:hAnsi="Times New Roman"/>
                    <w:sz w:val="28"/>
                    <w:szCs w:val="28"/>
                  </w:rPr>
                  <m:t xml:space="preserve">i=1</m:t>
                </m:r>
              </m:sub>
              <m:sup>
                <m:r>
                  <w:rPr>
                    <w:rFonts w:ascii="Times New Roman" w:cs="Times New Roman" w:eastAsia="Times New Roman" w:hAnsi="Times New Roman"/>
                    <w:sz w:val="28"/>
                    <w:szCs w:val="28"/>
                  </w:rPr>
                  <m:t xml:space="preserve">n</m:t>
                </m:r>
              </m:sup>
            </m:nary>
            <m:r>
              <w:rPr>
                <w:rFonts w:ascii="Times New Roman" w:cs="Times New Roman" w:eastAsia="Times New Roman" w:hAnsi="Times New Roman"/>
                <w:sz w:val="28"/>
                <w:szCs w:val="28"/>
              </w:rPr>
              <m:t xml:space="preserve">(</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y</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m:t>
            </m:r>
            <m:acc>
              <m:accPr>
                <m:chr m:val="̂"/>
                <m:ctrlPr>
                  <w:rPr>
                    <w:rFonts w:ascii="Times New Roman" w:cs="Times New Roman" w:eastAsia="Times New Roman" w:hAnsi="Times New Roman"/>
                    <w:sz w:val="28"/>
                    <w:szCs w:val="28"/>
                  </w:rPr>
                </m:ctrlPr>
              </m:accPr>
              <m:e>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y</m:t>
                    </m:r>
                  </m:e>
                  <m:sub>
                    <m:r>
                      <w:rPr>
                        <w:rFonts w:ascii="Times New Roman" w:cs="Times New Roman" w:eastAsia="Times New Roman" w:hAnsi="Times New Roman"/>
                        <w:sz w:val="28"/>
                        <w:szCs w:val="28"/>
                      </w:rPr>
                      <m:t xml:space="preserve">i</m:t>
                    </m:r>
                  </m:sub>
                </m:sSub>
              </m:e>
            </m:acc>
            <m:sSup>
              <m:sSupPr>
                <m:ctrlPr>
                  <w:rPr>
                    <w:rFonts w:ascii="Times New Roman" w:cs="Times New Roman" w:eastAsia="Times New Roman" w:hAnsi="Times New Roman"/>
                    <w:sz w:val="28"/>
                    <w:szCs w:val="28"/>
                  </w:rPr>
                </m:ctrlPr>
              </m:sSupPr>
              <m:e>
                <m:r>
                  <w:rPr>
                    <w:rFonts w:ascii="Times New Roman" w:cs="Times New Roman" w:eastAsia="Times New Roman" w:hAnsi="Times New Roman"/>
                    <w:sz w:val="28"/>
                    <w:szCs w:val="28"/>
                  </w:rPr>
                  <m:t xml:space="preserve">)</m:t>
                </m:r>
              </m:e>
              <m:sup>
                <m:r>
                  <w:rPr>
                    <w:rFonts w:ascii="Times New Roman" w:cs="Times New Roman" w:eastAsia="Times New Roman" w:hAnsi="Times New Roman"/>
                    <w:sz w:val="28"/>
                    <w:szCs w:val="28"/>
                  </w:rPr>
                  <m:t xml:space="preserve">2</m:t>
                </m:r>
              </m:sup>
            </m:sSup>
          </m:num>
          <m:den>
            <m:nary>
              <m:naryPr>
                <m:chr m:val="∑"/>
                <m:ctrlPr>
                  <w:rPr>
                    <w:rFonts w:ascii="Times New Roman" w:cs="Times New Roman" w:eastAsia="Times New Roman" w:hAnsi="Times New Roman"/>
                    <w:sz w:val="28"/>
                    <w:szCs w:val="28"/>
                  </w:rPr>
                </m:ctrlPr>
              </m:naryPr>
              <m:sub>
                <m:r>
                  <w:rPr>
                    <w:rFonts w:ascii="Times New Roman" w:cs="Times New Roman" w:eastAsia="Times New Roman" w:hAnsi="Times New Roman"/>
                    <w:sz w:val="28"/>
                    <w:szCs w:val="28"/>
                  </w:rPr>
                  <m:t xml:space="preserve">i=1</m:t>
                </m:r>
              </m:sub>
              <m:sup>
                <m:r>
                  <w:rPr>
                    <w:rFonts w:ascii="Times New Roman" w:cs="Times New Roman" w:eastAsia="Times New Roman" w:hAnsi="Times New Roman"/>
                    <w:sz w:val="28"/>
                    <w:szCs w:val="28"/>
                  </w:rPr>
                  <m:t xml:space="preserve">n</m:t>
                </m:r>
              </m:sup>
            </m:nary>
            <m:r>
              <w:rPr>
                <w:rFonts w:ascii="Times New Roman" w:cs="Times New Roman" w:eastAsia="Times New Roman" w:hAnsi="Times New Roman"/>
                <w:sz w:val="28"/>
                <w:szCs w:val="28"/>
              </w:rPr>
              <m:t xml:space="preserve">(</m:t>
            </m:r>
            <m:sSub>
              <m:sSubPr>
                <m:ctrlPr>
                  <w:rPr>
                    <w:rFonts w:ascii="Times New Roman" w:cs="Times New Roman" w:eastAsia="Times New Roman" w:hAnsi="Times New Roman"/>
                    <w:sz w:val="28"/>
                    <w:szCs w:val="28"/>
                  </w:rPr>
                </m:ctrlPr>
              </m:sSubPr>
              <m:e>
                <m:r>
                  <w:rPr>
                    <w:rFonts w:ascii="Times New Roman" w:cs="Times New Roman" w:eastAsia="Times New Roman" w:hAnsi="Times New Roman"/>
                    <w:sz w:val="28"/>
                    <w:szCs w:val="28"/>
                  </w:rPr>
                  <m:t xml:space="preserve">y</m:t>
                </m:r>
              </m:e>
              <m:sub>
                <m:r>
                  <w:rPr>
                    <w:rFonts w:ascii="Times New Roman" w:cs="Times New Roman" w:eastAsia="Times New Roman" w:hAnsi="Times New Roman"/>
                    <w:sz w:val="28"/>
                    <w:szCs w:val="28"/>
                  </w:rPr>
                  <m:t xml:space="preserve">i</m:t>
                </m:r>
              </m:sub>
            </m:sSub>
            <m:r>
              <w:rPr>
                <w:rFonts w:ascii="Times New Roman" w:cs="Times New Roman" w:eastAsia="Times New Roman" w:hAnsi="Times New Roman"/>
                <w:sz w:val="28"/>
                <w:szCs w:val="28"/>
              </w:rPr>
              <m:t xml:space="preserve">-</m:t>
            </m:r>
            <m:acc>
              <m:accPr>
                <m:chr m:val="̄"/>
                <m:ctrlPr>
                  <w:rPr>
                    <w:rFonts w:ascii="Times New Roman" w:cs="Times New Roman" w:eastAsia="Times New Roman" w:hAnsi="Times New Roman"/>
                    <w:sz w:val="28"/>
                    <w:szCs w:val="28"/>
                  </w:rPr>
                </m:ctrlPr>
              </m:accPr>
              <m:e>
                <m:r>
                  <w:rPr>
                    <w:rFonts w:ascii="Times New Roman" w:cs="Times New Roman" w:eastAsia="Times New Roman" w:hAnsi="Times New Roman"/>
                    <w:sz w:val="28"/>
                    <w:szCs w:val="28"/>
                  </w:rPr>
                  <m:t xml:space="preserve">y</m:t>
                </m:r>
              </m:e>
            </m:acc>
            <m:sSup>
              <m:sSupPr>
                <m:ctrlPr>
                  <w:rPr>
                    <w:rFonts w:ascii="Times New Roman" w:cs="Times New Roman" w:eastAsia="Times New Roman" w:hAnsi="Times New Roman"/>
                    <w:sz w:val="28"/>
                    <w:szCs w:val="28"/>
                  </w:rPr>
                </m:ctrlPr>
              </m:sSupPr>
              <m:e>
                <m:r>
                  <w:rPr>
                    <w:rFonts w:ascii="Times New Roman" w:cs="Times New Roman" w:eastAsia="Times New Roman" w:hAnsi="Times New Roman"/>
                    <w:sz w:val="28"/>
                    <w:szCs w:val="28"/>
                  </w:rPr>
                  <m:t xml:space="preserve">)</m:t>
                </m:r>
              </m:e>
              <m:sup>
                <m:r>
                  <w:rPr>
                    <w:rFonts w:ascii="Times New Roman" w:cs="Times New Roman" w:eastAsia="Times New Roman" w:hAnsi="Times New Roman"/>
                    <w:sz w:val="28"/>
                    <w:szCs w:val="28"/>
                  </w:rPr>
                  <m:t xml:space="preserve">2</m:t>
                </m:r>
              </m:sup>
            </m:sSup>
          </m:den>
        </m:f>
      </m:oMath>
      <w:r w:rsidDel="00000000" w:rsidR="00000000" w:rsidRPr="00000000">
        <w:rPr>
          <w:rtl w:val="0"/>
        </w:rPr>
      </w:r>
    </w:p>
    <w:p w:rsidR="00000000" w:rsidDel="00000000" w:rsidP="00000000" w:rsidRDefault="00000000" w:rsidRPr="00000000" w14:paraId="00000104">
      <w:pPr>
        <w:spacing w:after="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Root Mean Square Error (RMSE)</w:t>
      </w:r>
      <w:r w:rsidDel="00000000" w:rsidR="00000000" w:rsidRPr="00000000">
        <w:rPr>
          <w:rFonts w:ascii="Times New Roman" w:cs="Times New Roman" w:eastAsia="Times New Roman" w:hAnsi="Times New Roman"/>
          <w:sz w:val="28"/>
          <w:szCs w:val="28"/>
          <w:rtl w:val="0"/>
        </w:rPr>
        <w:t xml:space="preserve">: Measures the square root of the average of the squared differences between the predicted and actual values. It is highly sensitive to large errors.</w:t>
      </w:r>
    </w:p>
    <w:p w:rsidR="00000000" w:rsidDel="00000000" w:rsidP="00000000" w:rsidRDefault="00000000" w:rsidRPr="00000000" w14:paraId="00000105">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06">
      <w:pPr>
        <w:spacing w:line="259" w:lineRule="auto"/>
        <w:jc w:val="both"/>
        <w:rPr>
          <w:rFonts w:ascii="Aptos" w:cs="Aptos" w:eastAsia="Aptos" w:hAnsi="Aptos"/>
          <w:sz w:val="28"/>
          <w:szCs w:val="28"/>
        </w:rPr>
      </w:pPr>
      <w:r w:rsidDel="00000000" w:rsidR="00000000" w:rsidRPr="00000000">
        <w:rPr>
          <w:rFonts w:ascii="Aptos" w:cs="Aptos" w:eastAsia="Aptos" w:hAnsi="Aptos"/>
          <w:sz w:val="28"/>
          <w:szCs w:val="28"/>
          <w:rtl w:val="0"/>
        </w:rPr>
        <w:t xml:space="preserve">                                    </w:t>
      </w:r>
      <m:oMath>
        <m:r>
          <w:rPr>
            <w:rFonts w:ascii="Aptos" w:cs="Aptos" w:eastAsia="Aptos" w:hAnsi="Aptos"/>
            <w:sz w:val="28"/>
            <w:szCs w:val="28"/>
          </w:rPr>
          <m:t xml:space="preserve">RSME=</m:t>
        </m:r>
        <m:rad>
          <m:radPr>
            <m:degHide m:val="1"/>
            <m:ctrlPr>
              <w:rPr>
                <w:rFonts w:ascii="Aptos" w:cs="Aptos" w:eastAsia="Aptos" w:hAnsi="Aptos"/>
                <w:sz w:val="28"/>
                <w:szCs w:val="28"/>
              </w:rPr>
            </m:ctrlPr>
          </m:radPr>
          <m:e>
            <m:f>
              <m:fPr>
                <m:ctrlPr>
                  <w:rPr>
                    <w:rFonts w:ascii="Aptos" w:cs="Aptos" w:eastAsia="Aptos" w:hAnsi="Aptos"/>
                    <w:sz w:val="28"/>
                    <w:szCs w:val="28"/>
                  </w:rPr>
                </m:ctrlPr>
              </m:fPr>
              <m:num>
                <m:r>
                  <w:rPr>
                    <w:rFonts w:ascii="Aptos" w:cs="Aptos" w:eastAsia="Aptos" w:hAnsi="Aptos"/>
                    <w:sz w:val="28"/>
                    <w:szCs w:val="28"/>
                  </w:rPr>
                  <m:t xml:space="preserve">1</m:t>
                </m:r>
              </m:num>
              <m:den>
                <m:r>
                  <w:rPr>
                    <w:rFonts w:ascii="Aptos" w:cs="Aptos" w:eastAsia="Aptos" w:hAnsi="Aptos"/>
                    <w:sz w:val="28"/>
                    <w:szCs w:val="28"/>
                  </w:rPr>
                  <m:t xml:space="preserve">n</m:t>
                </m:r>
              </m:den>
            </m:f>
            <m:nary>
              <m:naryPr>
                <m:chr m:val="∑"/>
                <m:ctrlPr>
                  <w:rPr>
                    <w:rFonts w:ascii="Aptos" w:cs="Aptos" w:eastAsia="Aptos" w:hAnsi="Aptos"/>
                    <w:sz w:val="28"/>
                    <w:szCs w:val="28"/>
                  </w:rPr>
                </m:ctrlPr>
              </m:naryPr>
              <m:sub>
                <m:r>
                  <w:rPr>
                    <w:rFonts w:ascii="Aptos" w:cs="Aptos" w:eastAsia="Aptos" w:hAnsi="Aptos"/>
                    <w:sz w:val="28"/>
                    <w:szCs w:val="28"/>
                  </w:rPr>
                  <m:t xml:space="preserve">i=1</m:t>
                </m:r>
              </m:sub>
              <m:sup>
                <m:r>
                  <w:rPr>
                    <w:rFonts w:ascii="Aptos" w:cs="Aptos" w:eastAsia="Aptos" w:hAnsi="Aptos"/>
                    <w:sz w:val="28"/>
                    <w:szCs w:val="28"/>
                  </w:rPr>
                  <m:t xml:space="preserve">n</m:t>
                </m:r>
              </m:sup>
            </m:nary>
            <m:r>
              <w:rPr>
                <w:rFonts w:ascii="Aptos" w:cs="Aptos" w:eastAsia="Aptos" w:hAnsi="Aptos"/>
                <w:sz w:val="28"/>
                <w:szCs w:val="28"/>
              </w:rPr>
              <m:t xml:space="preserve">(</m:t>
            </m:r>
            <m:sSub>
              <m:sSubPr>
                <m:ctrlPr>
                  <w:rPr>
                    <w:rFonts w:ascii="Aptos" w:cs="Aptos" w:eastAsia="Aptos" w:hAnsi="Aptos"/>
                    <w:sz w:val="28"/>
                    <w:szCs w:val="28"/>
                  </w:rPr>
                </m:ctrlPr>
              </m:sSubPr>
              <m:e>
                <m:r>
                  <w:rPr>
                    <w:rFonts w:ascii="Aptos" w:cs="Aptos" w:eastAsia="Aptos" w:hAnsi="Aptos"/>
                    <w:sz w:val="28"/>
                    <w:szCs w:val="28"/>
                  </w:rPr>
                  <m:t xml:space="preserve">y</m:t>
                </m:r>
              </m:e>
              <m:sub>
                <m:r>
                  <w:rPr>
                    <w:rFonts w:ascii="Aptos" w:cs="Aptos" w:eastAsia="Aptos" w:hAnsi="Aptos"/>
                    <w:sz w:val="28"/>
                    <w:szCs w:val="28"/>
                  </w:rPr>
                  <m:t xml:space="preserve">i</m:t>
                </m:r>
              </m:sub>
            </m:sSub>
            <m:r>
              <w:rPr>
                <w:rFonts w:ascii="Aptos" w:cs="Aptos" w:eastAsia="Aptos" w:hAnsi="Aptos"/>
                <w:sz w:val="28"/>
                <w:szCs w:val="28"/>
              </w:rPr>
              <m:t xml:space="preserve">-</m:t>
            </m:r>
            <m:acc>
              <m:accPr>
                <m:chr m:val="̂"/>
                <m:ctrlPr>
                  <w:rPr>
                    <w:rFonts w:ascii="Aptos" w:cs="Aptos" w:eastAsia="Aptos" w:hAnsi="Aptos"/>
                    <w:sz w:val="28"/>
                    <w:szCs w:val="28"/>
                  </w:rPr>
                </m:ctrlPr>
              </m:accPr>
              <m:e>
                <m:sSub>
                  <m:sSubPr>
                    <m:ctrlPr>
                      <w:rPr>
                        <w:rFonts w:ascii="Aptos" w:cs="Aptos" w:eastAsia="Aptos" w:hAnsi="Aptos"/>
                        <w:sz w:val="28"/>
                        <w:szCs w:val="28"/>
                      </w:rPr>
                    </m:ctrlPr>
                  </m:sSubPr>
                  <m:e>
                    <m:r>
                      <w:rPr>
                        <w:rFonts w:ascii="Aptos" w:cs="Aptos" w:eastAsia="Aptos" w:hAnsi="Aptos"/>
                        <w:sz w:val="28"/>
                        <w:szCs w:val="28"/>
                      </w:rPr>
                      <m:t xml:space="preserve">y</m:t>
                    </m:r>
                  </m:e>
                  <m:sub>
                    <m:r>
                      <w:rPr>
                        <w:rFonts w:ascii="Aptos" w:cs="Aptos" w:eastAsia="Aptos" w:hAnsi="Aptos"/>
                        <w:sz w:val="28"/>
                        <w:szCs w:val="28"/>
                      </w:rPr>
                      <m:t xml:space="preserve">i</m:t>
                    </m:r>
                  </m:sub>
                </m:sSub>
              </m:e>
            </m:acc>
            <m:sSup>
              <m:sSupPr>
                <m:ctrlPr>
                  <w:rPr>
                    <w:rFonts w:ascii="Aptos" w:cs="Aptos" w:eastAsia="Aptos" w:hAnsi="Aptos"/>
                    <w:sz w:val="28"/>
                    <w:szCs w:val="28"/>
                  </w:rPr>
                </m:ctrlPr>
              </m:sSupPr>
              <m:e>
                <m:r>
                  <w:rPr>
                    <w:rFonts w:ascii="Aptos" w:cs="Aptos" w:eastAsia="Aptos" w:hAnsi="Aptos"/>
                    <w:sz w:val="28"/>
                    <w:szCs w:val="28"/>
                  </w:rPr>
                  <m:t xml:space="preserve">)</m:t>
                </m:r>
              </m:e>
              <m:sup>
                <m:r>
                  <w:rPr>
                    <w:rFonts w:ascii="Aptos" w:cs="Aptos" w:eastAsia="Aptos" w:hAnsi="Aptos"/>
                    <w:sz w:val="28"/>
                    <w:szCs w:val="28"/>
                  </w:rPr>
                  <m:t xml:space="preserve">2</m:t>
                </m:r>
              </m:sup>
            </m:sSup>
          </m:e>
        </m:rad>
      </m:oMath>
      <w:r w:rsidDel="00000000" w:rsidR="00000000" w:rsidRPr="00000000">
        <w:rPr>
          <w:rtl w:val="0"/>
        </w:rPr>
      </w:r>
    </w:p>
    <w:p w:rsidR="00000000" w:rsidDel="00000000" w:rsidP="00000000" w:rsidRDefault="00000000" w:rsidRPr="00000000" w14:paraId="00000107">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08">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09">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0A">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0B">
      <w:pPr>
        <w:spacing w:after="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Mean Absolute Error (MAE)</w:t>
      </w:r>
      <w:r w:rsidDel="00000000" w:rsidR="00000000" w:rsidRPr="00000000">
        <w:rPr>
          <w:rFonts w:ascii="Times New Roman" w:cs="Times New Roman" w:eastAsia="Times New Roman" w:hAnsi="Times New Roman"/>
          <w:sz w:val="28"/>
          <w:szCs w:val="28"/>
          <w:rtl w:val="0"/>
        </w:rPr>
        <w:t xml:space="preserve">: Measures the average of the absolute differences between the predicted values and the actual values, providing a linear assessment of the average error.</w:t>
      </w:r>
    </w:p>
    <w:p w:rsidR="00000000" w:rsidDel="00000000" w:rsidP="00000000" w:rsidRDefault="00000000" w:rsidRPr="00000000" w14:paraId="0000010C">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0D">
      <w:pPr>
        <w:spacing w:line="259" w:lineRule="auto"/>
        <w:jc w:val="both"/>
        <w:rPr>
          <w:rFonts w:ascii="Aptos" w:cs="Aptos" w:eastAsia="Aptos" w:hAnsi="Aptos"/>
          <w:sz w:val="28"/>
          <w:szCs w:val="28"/>
        </w:rPr>
      </w:pPr>
      <w:r w:rsidDel="00000000" w:rsidR="00000000" w:rsidRPr="00000000">
        <w:rPr>
          <w:rFonts w:ascii="Aptos" w:cs="Aptos" w:eastAsia="Aptos" w:hAnsi="Aptos"/>
          <w:sz w:val="28"/>
          <w:szCs w:val="28"/>
          <w:rtl w:val="0"/>
        </w:rPr>
        <w:t xml:space="preserve">                                </w:t>
      </w:r>
      <m:oMath>
        <m:r>
          <w:rPr>
            <w:rFonts w:ascii="Aptos" w:cs="Aptos" w:eastAsia="Aptos" w:hAnsi="Aptos"/>
            <w:sz w:val="28"/>
            <w:szCs w:val="28"/>
          </w:rPr>
          <m:t xml:space="preserve">MAE=</m:t>
        </m:r>
        <m:f>
          <m:fPr>
            <m:ctrlPr>
              <w:rPr>
                <w:rFonts w:ascii="Aptos" w:cs="Aptos" w:eastAsia="Aptos" w:hAnsi="Aptos"/>
                <w:sz w:val="28"/>
                <w:szCs w:val="28"/>
              </w:rPr>
            </m:ctrlPr>
          </m:fPr>
          <m:num>
            <m:r>
              <w:rPr>
                <w:rFonts w:ascii="Aptos" w:cs="Aptos" w:eastAsia="Aptos" w:hAnsi="Aptos"/>
                <w:sz w:val="28"/>
                <w:szCs w:val="28"/>
              </w:rPr>
              <m:t xml:space="preserve">1</m:t>
            </m:r>
          </m:num>
          <m:den>
            <m:r>
              <w:rPr>
                <w:rFonts w:ascii="Aptos" w:cs="Aptos" w:eastAsia="Aptos" w:hAnsi="Aptos"/>
                <w:sz w:val="28"/>
                <w:szCs w:val="28"/>
              </w:rPr>
              <m:t xml:space="preserve">n</m:t>
            </m:r>
          </m:den>
        </m:f>
        <m:nary>
          <m:naryPr>
            <m:chr m:val="∑"/>
            <m:ctrlPr>
              <w:rPr>
                <w:rFonts w:ascii="Aptos" w:cs="Aptos" w:eastAsia="Aptos" w:hAnsi="Aptos"/>
                <w:sz w:val="28"/>
                <w:szCs w:val="28"/>
              </w:rPr>
            </m:ctrlPr>
          </m:naryPr>
          <m:sub>
            <m:r>
              <w:rPr>
                <w:rFonts w:ascii="Aptos" w:cs="Aptos" w:eastAsia="Aptos" w:hAnsi="Aptos"/>
                <w:sz w:val="28"/>
                <w:szCs w:val="28"/>
              </w:rPr>
              <m:t xml:space="preserve">i=1</m:t>
            </m:r>
          </m:sub>
          <m:sup>
            <m:r>
              <w:rPr>
                <w:rFonts w:ascii="Aptos" w:cs="Aptos" w:eastAsia="Aptos" w:hAnsi="Aptos"/>
                <w:sz w:val="28"/>
                <w:szCs w:val="28"/>
              </w:rPr>
              <m:t xml:space="preserve">n</m:t>
            </m:r>
          </m:sup>
        </m:nary>
        <m:r>
          <w:rPr>
            <w:rFonts w:ascii="Aptos" w:cs="Aptos" w:eastAsia="Aptos" w:hAnsi="Aptos"/>
            <w:sz w:val="28"/>
            <w:szCs w:val="28"/>
          </w:rPr>
          <m:t xml:space="preserve"> |</m:t>
        </m:r>
        <m:sSub>
          <m:sSubPr>
            <m:ctrlPr>
              <w:rPr>
                <w:rFonts w:ascii="Aptos" w:cs="Aptos" w:eastAsia="Aptos" w:hAnsi="Aptos"/>
                <w:sz w:val="28"/>
                <w:szCs w:val="28"/>
              </w:rPr>
            </m:ctrlPr>
          </m:sSubPr>
          <m:e>
            <m:r>
              <w:rPr>
                <w:rFonts w:ascii="Aptos" w:cs="Aptos" w:eastAsia="Aptos" w:hAnsi="Aptos"/>
                <w:sz w:val="28"/>
                <w:szCs w:val="28"/>
              </w:rPr>
              <m:t xml:space="preserve">y</m:t>
            </m:r>
          </m:e>
          <m:sub>
            <m:r>
              <w:rPr>
                <w:rFonts w:ascii="Aptos" w:cs="Aptos" w:eastAsia="Aptos" w:hAnsi="Aptos"/>
                <w:sz w:val="28"/>
                <w:szCs w:val="28"/>
              </w:rPr>
              <m:t xml:space="preserve">i</m:t>
            </m:r>
          </m:sub>
        </m:sSub>
        <m:r>
          <w:rPr>
            <w:rFonts w:ascii="Aptos" w:cs="Aptos" w:eastAsia="Aptos" w:hAnsi="Aptos"/>
            <w:sz w:val="28"/>
            <w:szCs w:val="28"/>
          </w:rPr>
          <m:t xml:space="preserve">-</m:t>
        </m:r>
        <m:acc>
          <m:accPr>
            <m:chr m:val="̂"/>
            <m:ctrlPr>
              <w:rPr>
                <w:rFonts w:ascii="Aptos" w:cs="Aptos" w:eastAsia="Aptos" w:hAnsi="Aptos"/>
                <w:sz w:val="28"/>
                <w:szCs w:val="28"/>
              </w:rPr>
            </m:ctrlPr>
          </m:accPr>
          <m:e>
            <m:sSub>
              <m:sSubPr>
                <m:ctrlPr>
                  <w:rPr>
                    <w:rFonts w:ascii="Aptos" w:cs="Aptos" w:eastAsia="Aptos" w:hAnsi="Aptos"/>
                    <w:sz w:val="28"/>
                    <w:szCs w:val="28"/>
                  </w:rPr>
                </m:ctrlPr>
              </m:sSubPr>
              <m:e>
                <m:r>
                  <w:rPr>
                    <w:rFonts w:ascii="Aptos" w:cs="Aptos" w:eastAsia="Aptos" w:hAnsi="Aptos"/>
                    <w:sz w:val="28"/>
                    <w:szCs w:val="28"/>
                  </w:rPr>
                  <m:t xml:space="preserve">y</m:t>
                </m:r>
              </m:e>
              <m:sub>
                <m:r>
                  <w:rPr>
                    <w:rFonts w:ascii="Aptos" w:cs="Aptos" w:eastAsia="Aptos" w:hAnsi="Aptos"/>
                    <w:sz w:val="28"/>
                    <w:szCs w:val="28"/>
                  </w:rPr>
                  <m:t xml:space="preserve">i</m:t>
                </m:r>
              </m:sub>
            </m:sSub>
          </m:e>
        </m:acc>
        <m:r>
          <w:rPr>
            <w:rFonts w:ascii="Aptos" w:cs="Aptos" w:eastAsia="Aptos" w:hAnsi="Aptos"/>
            <w:sz w:val="28"/>
            <w:szCs w:val="28"/>
          </w:rPr>
          <m:t xml:space="preserve">|</m:t>
        </m:r>
      </m:oMath>
      <w:r w:rsidDel="00000000" w:rsidR="00000000" w:rsidRPr="00000000">
        <w:rPr>
          <w:rtl w:val="0"/>
        </w:rPr>
      </w:r>
    </w:p>
    <w:p w:rsidR="00000000" w:rsidDel="00000000" w:rsidP="00000000" w:rsidRDefault="00000000" w:rsidRPr="00000000" w14:paraId="0000010E">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0F">
      <w:pPr>
        <w:spacing w:line="259" w:lineRule="auto"/>
        <w:jc w:val="both"/>
        <w:rPr>
          <w:rFonts w:ascii="Aptos" w:cs="Aptos" w:eastAsia="Aptos" w:hAnsi="Aptos"/>
          <w:sz w:val="28"/>
          <w:szCs w:val="28"/>
        </w:rPr>
      </w:pPr>
      <w:bookmarkStart w:colFirst="0" w:colLast="0" w:name="_yjtse8mfx8l" w:id="6"/>
      <w:bookmarkEnd w:id="6"/>
      <w:r w:rsidDel="00000000" w:rsidR="00000000" w:rsidRPr="00000000">
        <w:rPr>
          <w:rFonts w:ascii="Times New Roman" w:cs="Times New Roman" w:eastAsia="Times New Roman" w:hAnsi="Times New Roman"/>
          <w:b w:val="1"/>
          <w:bCs w:val="1"/>
          <w:sz w:val="32"/>
          <w:szCs w:val="32"/>
          <w:rtl w:val="0"/>
        </w:rPr>
        <w:t xml:space="preserve">2.3 Related work</w:t>
      </w:r>
      <w:r w:rsidDel="00000000" w:rsidR="00000000" w:rsidRPr="00000000">
        <w:rPr>
          <w:rtl w:val="0"/>
        </w:rPr>
      </w:r>
    </w:p>
    <w:p w:rsidR="00000000" w:rsidDel="00000000" w:rsidP="00000000" w:rsidRDefault="00000000" w:rsidRPr="00000000" w14:paraId="00000110">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Several studies have applied machine learning techniques in agriculture and soil health analysis. These studies focused on different soil properties. While the results were promising, most of these studies focused on specific soil parameters rather than analyzing multiple soil health indicators together. This makes it important to review these studies to understand the existing research gap and current research trends.  </w:t>
      </w:r>
    </w:p>
    <w:p w:rsidR="00000000" w:rsidDel="00000000" w:rsidP="00000000" w:rsidRDefault="00000000" w:rsidRPr="00000000" w14:paraId="00000111">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2">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Chandra et al. (2023) discussed the implementation of an explainable AI (XAI) model for soil fertility prediction by using Random Forest classification. In this study the LUCAS 2018 Topsoil dataset was used. It used several soil parameters such as pH, organic carbon, nitrogen, electrical conductivity, phosphorus, and potassium.  The study combined k- Means clustering, Random Forest, and SHAP to explain the result. The result showed an accuracy of 97.02%, which shows the effectiveness of the explainable machine learning for soil fertility assessment. However, this study focused on soil fertility prediction only, and did not analyze multiple soil health indicators[7].</w:t>
      </w:r>
    </w:p>
    <w:p w:rsidR="00000000" w:rsidDel="00000000" w:rsidP="00000000" w:rsidRDefault="00000000" w:rsidRPr="00000000" w14:paraId="00000113">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4">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5">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Saberioon et al. (2024) focused on Enhancing soil organic carbon prediction by using deep learning techniques. The study used 11441 samples  collected from LUCAS Soil Database. The study compared several models, including One-Dimensional Convolutional Neural Network (1DCNN), Fully Connected Neural Network (FCNN), Stacked AutoEncoder (SAE), and Random Forest (RF) model was implemented  for comparison. The results showed that the SAE-1DCNN model achieved the best prediction performance with an R² value of 0.784 and an RMSE of 3.94. However, the study focused only on predicting Soil Organic Carbon (SOC) and did not  analyze multiple soil health indicators affecting agricultural sustainability.[8]</w:t>
      </w:r>
    </w:p>
    <w:p w:rsidR="00000000" w:rsidDel="00000000" w:rsidP="00000000" w:rsidRDefault="00000000" w:rsidRPr="00000000" w14:paraId="00000116">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7">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8">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9">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Omondiagbe et al. (2023) proposed an automated deep learning model for soil texture prediction. The study used Deep Convolutional Neural Networks (CNNs) with Adapted Population-Based Training (Adapted-PBT) and Bayesian Optimization to improve model performance. LUCAS Soil Library and the Kellogg Soil Survey Laboratory (KSSL) Used as a dataset. The result showed that the PBT model achieved the best prediction performance, with model efficiency coefficient (MEC) values of 0.90 for clay, 0.81 for sand, and 0.78 for silt. However, The study focused on predicting soil texture properties (sand, silt, and clay) and did not investigate other soil health indicators or their relationships.[9]</w:t>
      </w:r>
    </w:p>
    <w:p w:rsidR="00000000" w:rsidDel="00000000" w:rsidP="00000000" w:rsidRDefault="00000000" w:rsidRPr="00000000" w14:paraId="0000011A">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B">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C">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D">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E">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Zhai et al. (2024) focused on simultaneously predicting multiple soil properties by a partially shared multi-task learning model (PS-MTL-LUCAS). The study employed a multi-task deep learning architecture combined with SHapley Additive exPlanations (SHAP) to improve prediction performance and interpret important spectral features. LUCAS Topsoil Dataset (2009) was used to predict seven soil properties, including pH, nitrogen (N), phosphorus (P), potassium (K), cation exchange capacity (CEC), organic carbon (OC), and calcium carbonate (CaCO₃). The results showed high prediction performance, achieving R² values of 0.945, 0.936, 0.413, 0.624, 0.837, 0.952, and 0.956 for pH, N, P, K, CEC, OC, and CaCO₃, respectively. However, the model was evaluated only on the LUCAS Topsoil Dataset using Vis–NIR spectroscopy data, and did not evaluate other soil datasets or under real field conditions.[10]</w:t>
      </w:r>
    </w:p>
    <w:p w:rsidR="00000000" w:rsidDel="00000000" w:rsidP="00000000" w:rsidRDefault="00000000" w:rsidRPr="00000000" w14:paraId="0000011F">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0">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1">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Piccoli et al. (2023) proposed an adaptive deep neural architecture for the prediction of multiple soil characteristics from the analysis of hyperspectral signatures. The study used the LUCAS soil dataset and a simulated PRISMA hyperspectral dataset to evaluate the model. The model relies on a flexible neural architecture able to automatically adapt to the spectral library during analysis and allows for backtracking the spectral bands that most contribute to the prediction of a given variable. The results showed that the model achieves an overall R² of ~ 0.75. In detail, R² values exceeding 0.90 for pH and CaCO₃, while organic carbon, nitrogen, clay, sand, silt, and cation exchange capacity achieved R² values between 0.70 and 0.89. However, the study relied mainly on hyperspectral information and did not include additional environmental or management factors.[11]</w:t>
      </w:r>
    </w:p>
    <w:p w:rsidR="00000000" w:rsidDel="00000000" w:rsidP="00000000" w:rsidRDefault="00000000" w:rsidRPr="00000000" w14:paraId="00000122">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3">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Liu and Ma (2024) focused on predicting soil field capacity (FC) and permanent wilting point (PWP) based on parameters obtained from the WoSIS database. The study used artificial neural network (ANN) and gene-expression programming (GEP) algorithms to predict the soil hydraulic properties . The results showed that the ANN model achieved the best performance for PWP prediction with a normalized root mean square error (NRMSE) of 19.9%, while the GEP model performed best for FC prediction with an NRMSE of 29.9%. In addition, the mean absolute error (MAE) was reduced by 51.54% for the FC and 56.38% for the PWP by the ANN model, compared with the conventional linear models. However, the study focused only on soil hydraulic properties and did not analyze multiple soil health indicators that affect agricultural sustainability. [12]</w:t>
      </w:r>
    </w:p>
    <w:p w:rsidR="00000000" w:rsidDel="00000000" w:rsidP="00000000" w:rsidRDefault="00000000" w:rsidRPr="00000000" w14:paraId="00000124">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5">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Liu et al. (2023) investigated the prediction of Soil Organic Carbon (SOC) by using the Visible and Near Infrared Diffuse Reflectance Spectroscopy (Vis-NIR DRS) tool. The study used the LUCAS EU-wide Topsoil Database for comparing several prediction approaches, including Global Partial Least Squares Regression (PLSR), Local PLSR, k-means clustering with PLSR, and hierarchical clustering with PLSR. The results showed that the best results were obtained for the local PLSR approach with R2 = 0.75, root mean squared error of prediction (RMSEP) = 13.38 g/kg and ratio of performance to interquartile range (RPIQ) = 2.846, but the algorithm running time was 30.05 s. Similar results were obtained for the k-means clustering method with R2 = 0.75, RMSEP = 14.61 g/kg and RPIQ = 2.844, at only 4.52 s. However, the study focused only on Soil Organic Carbon prediction while the proposed research aims to analyze multiple soil health indicators to better understand their contribution to sustainable agriculture. [13] </w:t>
      </w:r>
    </w:p>
    <w:p w:rsidR="00000000" w:rsidDel="00000000" w:rsidP="00000000" w:rsidRDefault="00000000" w:rsidRPr="00000000" w14:paraId="00000126">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7">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Ghahremani et al. (2026) introduced a high-resolution (30 m) CONUS SIC map using machine learning (ML) models trained on the ISRIC World Soil Information Service (WoSIS) database together with climate and land surface variables. Two machine learning models, Random Forest Regression (RFR) and Random Forest Classification (RFC), were employed to predict Soil Inorganic Carbon (SIC) distribution. The results showed that the Random Forest Regression model achieved the best performance with an RMSE of 15 kg/m², while the Random Forest Classification model achieved a classification accuracy of 0.56. The study  also identifies soil pH as the most influential predictor in the formation of these carbon-rich soils. However, the study focused on mapping soil inorganic carbon while the proposed research aims to analyze multiple soil health indicators to better understand their contribution to sustainable agriculture.[14] </w:t>
      </w:r>
    </w:p>
    <w:p w:rsidR="00000000" w:rsidDel="00000000" w:rsidP="00000000" w:rsidRDefault="00000000" w:rsidRPr="00000000" w14:paraId="00000128">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9">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Ramcharan et al. (2017) described a method to develop a soil bulk density pedotransfer function (PTF) using the Random Forest. The study used 45,818 soil horizons extracted  from the publicly available National Cooperative Soil Survey (NCSS) Soil Characterization Database in the United States.  The data included surficial materials and hierarchical ecosystem land classifications. The results of a five-fold cross-validation showed that the model root mean squared prediction error (RMSPE) was 0.13 g cm–3 in average, while the mean prediction error (MPE) was –0.001 g cm–3.  In addition, the PTF were used with soil organic carbon (SOC) stocks to fill in data gaps for volumetric assessments. However, The study focused on predicting soil bulk density only and did not analyze multiple soil health indicators or evaluate their relationships. [15] </w:t>
      </w:r>
    </w:p>
    <w:p w:rsidR="00000000" w:rsidDel="00000000" w:rsidP="00000000" w:rsidRDefault="00000000" w:rsidRPr="00000000" w14:paraId="0000012A">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B">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Sun et al. (2026) proposed a self-supervised multi-fidelity learning framework for predicting multiple soil properties from spectral information. The study used the data that sourced from the USDA Natural Resources Conservation Service National Soil Survey Center Kellogg Soil Survey Laboratory (USDA-NRCS-NSSC-KSSL) database, a paired NIR–MIR dataset, and the North American Proficiency Testing (NAPT) dataset. The proposed framework combined Self-Supervised Learning (SSL) with a Multi-Layer Perceptron (MLP) and compared its performance with Partial Least Squares Regression (PLSR) and conventional MLP models. The results showed that the MIR-SSL-MLP model achieved the best performance for most soil properties, obtaining R² values of 0.95 for total carbon, 0.91 for total nitrogen, 0.93 for estimated organic carbon, and 0.79 for pH. However, the proposed framework relied mainly on soil spectral datasets and did not integrate environmental or remote sensing variables for soil health assessment. [16] </w:t>
      </w:r>
    </w:p>
    <w:p w:rsidR="00000000" w:rsidDel="00000000" w:rsidP="00000000" w:rsidRDefault="00000000" w:rsidRPr="00000000" w14:paraId="0000012C">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D">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E">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Rahmani et al. (2022) developed digital maps of soil organic matter (SOM) and cation exchange capacity (CEC) using LiDAR-derived terrain attributes and compare the prediction accuracy of SOM and CEC maps created by universal kriging, Cubist, and random forest with Soil Survey Geographic (SSURGO) database. All models performed similarly for both SOM and CEC. With R² values ranging from 0.44 to 0.45 for SOM and from 0.39 to 0.44 for CEC. However, the study focused on mapping two soil properties within a local study area and did not investigate multiple soil health indicators or employ large-scale global soil datasets relevant to agricultural sustainability.[17]</w:t>
      </w:r>
    </w:p>
    <w:p w:rsidR="00000000" w:rsidDel="00000000" w:rsidP="00000000" w:rsidRDefault="00000000" w:rsidRPr="00000000" w14:paraId="0000012F">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0">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Nauman et al. (2024) developed predictive digital soil property maps for the conterminous United States using a Random Forest-based digital soil mapping framework with hybrid training sets. The study integrated publicly available datasets, including the National Cooperative Soil Survey (NCSS) Soil Characterization Database, the Soil Survey Geographic Database (SSURGO), and the National Soil Information System (NASIS), to generate 100 m resolution maps for 20 soil properties, including various textural fractions, physical parameters, chemical parameters, carbon, and depth to restrictions. A hybrid training strategy helped increase training data by roughly 10-fold over previous similar studies.  Model performance varied considerably across properties, depths, training data types, and validation approaches. The developed models achieved generally strong prediction performance, with R² values ranging between 0.5 and 0.7 under cross-validation. However, the study focused on digital soil mapping for the United States and did not investigate the relationships among multiple soil health indicators for agricultural sustainability.[18]</w:t>
      </w:r>
    </w:p>
    <w:p w:rsidR="00000000" w:rsidDel="00000000" w:rsidP="00000000" w:rsidRDefault="00000000" w:rsidRPr="00000000" w14:paraId="00000131">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2">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Kassai et al. (2025) developed pedotransfer functions (PTFs) to compute the particle size distribution from the soil properties. The study utilized the publicly available NATASA database, which contains 1,372 soil profiles, while the Hungarian Detailed Soil Hydrophysical Database, comprising 3,970 soil profiles, was used to train and evaluate the prediction models by using the random forest method. The Random Forest Kriging (RFK) was used to generate high-resolution digital soil maps for sand, silt, and clay fractions. The results showed that the R2 values of the PTFs are 0.69 for clay, 0.58 for silt, and 0.74 for sand content. In addition, the RFK models achieved R² values ranging from 0.19 to 0.67 for clay, 0.49 to 0.62 for silt, and 0.69 to 0.74 for sand. However, the study focused on soil texture mapping rather than analyzing multiple soil health indicators affecting agricultural sustainability.[19]</w:t>
      </w:r>
    </w:p>
    <w:p w:rsidR="00000000" w:rsidDel="00000000" w:rsidP="00000000" w:rsidRDefault="00000000" w:rsidRPr="00000000" w14:paraId="00000133">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4">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5">
      <w:pPr>
        <w:spacing w:line="276" w:lineRule="auto"/>
        <w:jc w:val="both"/>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Khatun et al. (2026) explored the use of spectroscopy integrated with machine learning as a non-destructive and efficient alternative to predict soil organic carbon (SOC) based on mid-infrared spectroscopy (MIR) data within the spectral range of 600–4000 cm−1. The study utilized the publicly available Open Soil Spectral Library (OSSL), which integrates soil spectral data from several international databases, including KSSL, LUCAS, RaCA, AfSIS, and ICRAF–ISRIC. Partial Least Squares Regression (PLSR) and Random Forest (RF) models were developed to predict SOC from MIR spectral data, while SHAP (Shapley Additive Explanations) was employed to interpret the contribution of individual spectral wavelengths. The  RF model was optimized through hyperparameter tuning using the Grid-Search method. The  RF model achieved the best performance with a coefficient of determination (R2P) value of 0.98 and a root mean square error (RMSEP) of 1.45%. However, the study focused on predicting soil organic carbon from spectral information while  the proposed search focuses on using Machine Learning Algorithms to analyze multiple soil health indicators and identifying the  most effective factors in agricultural sustainability.[20]</w:t>
      </w:r>
      <w:r w:rsidDel="00000000" w:rsidR="00000000" w:rsidRPr="00000000">
        <w:rPr>
          <w:rtl w:val="0"/>
        </w:rPr>
      </w:r>
    </w:p>
    <w:p w:rsidR="00000000" w:rsidDel="00000000" w:rsidP="00000000" w:rsidRDefault="00000000" w:rsidRPr="00000000" w14:paraId="00000136">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7">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Aouabed et al. (2026) focused on estimating the composition of bacterial and fungal communities at the functional and taxonomic scales by analyzing the data from two publicly available soil microbiome datasets: (1) Data collected by Averill et al., and (2) Data extracted from the NEON database using traditional machine learning and deep learning models. Several machine learning models, including Random Forest (RF), Gradient Boosting (GB), k-Nearest Neighbors (k-NN), Support Vector Regression (SVR), Ridge Regression, Lasso Regression, and Multilayer Perceptron (MLP), were evaluated and compared. The experimental results showed that traditional machine learning models generally outperformed the deep learning model across most prediction tasks, particularly when training data were limited.The best overall results obtained include the value of the coefficient of determination R^2=0.57 at the phylum taxonomic level, provided by the Gradient boosting model for the bacterial dataset, while value of R^2=0.45 at the functional group level, provided by both the Random forest and Gradient boosting models for the fungal dataset. However, the study focused on predicting soil microbiome composition as a biological indicator of soil health, whereas the proposed research analyzes multiple physical and chemical soil health indicators to identify the most influential factors affecting agricultural sustainability.[21]</w:t>
      </w:r>
    </w:p>
    <w:p w:rsidR="00000000" w:rsidDel="00000000" w:rsidP="00000000" w:rsidRDefault="00000000" w:rsidRPr="00000000" w14:paraId="00000138">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9">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A">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Sarangi et al. (2024) developed a machine learning model for soil fertility assessment. The model was based on soil properties like N, P, K, Ph, nutrient level, moisture levels, temp, rainfall, and topography. The study used  a publicly available dataset from Kaggle. The objective of the study was to classify soil into fertile or non-fertile. Four machine learning classifiers are used to determine the best classifier based on the performance metrics including Logistic Regression (LR), K-Nearest Neighbors (KNN), Naive Bayes (NB), and Decision Tree (DT). The results showed that the Decision Tree classifier achieved the highest accuracy of 89%, while Logistic Regression and KNN achieved approximately 90% performance in some evaluation metrics. However, the study focused on binary soil fertility classification and did not analyze multiple soil health indicators or identify the most influential factors affecting agricultural sustainability.[22]</w:t>
      </w:r>
    </w:p>
    <w:p w:rsidR="00000000" w:rsidDel="00000000" w:rsidP="00000000" w:rsidRDefault="00000000" w:rsidRPr="00000000" w14:paraId="0000013B">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C">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D">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Badshah et al. (2024) proposed two robust machine learning models for classification and regression based on two different datasets. The first was a crop recommendation dataset obtained from Kaggle, which included various input attributes such as soil pH, temperature, humidity, and nutrient levels. Several machine learning classification algorithms were evaluated, including Extra Tree Classifier (ETC), Logistic Regression (LR), Decision Tree (DT), Random Forest (RF), K-Nearest Neighbor (KNN), Gaussian Naive Bayes (GNB), and Support Vector Machine (SVM). The results showed that the Random Forest (RF) model achieved the best classification performance with an accuracy of 99.7% with precision, recall, F1 score, and confusion matrix by using K-fold cross-validation , Explainable AI (XAI) and feature engineering. The second was obtained from World Bank and Food and Agriculture Organization (FAO) dataset, used for wheat production and forecast the yield using machine learning regression models. The result showed that hyper parameter tuning with K-fold cross-validation, Support Vector Regressor (SVR) achieved best performance with an accuracy of 99.9% with R2 Score.In addition, Explainable AI techniques, including Feature Importance and LIME, were applied to interpret model predictions. However, the study focused mainly on crop recommendation and yield prediction, where soil parameters were used as input features, while the proposed research focuses on analyzing multiple soil health indicators and identifying the most influential factors affecting agricultural sustainability using machine learning techniques.</w:t>
      </w:r>
    </w:p>
    <w:p w:rsidR="00000000" w:rsidDel="00000000" w:rsidP="00000000" w:rsidRDefault="00000000" w:rsidRPr="00000000" w14:paraId="0000013E">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F">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0">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1">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Venkatanaresh and Kullayamma (2024) proposed a novel deep learning (DL) technique, Concurrent Excited Gated Recurrent Unit (CEGRU), for automatic crop recommendation based on soil, fertilizer, and climatic conditions. The study used  publicly available Kaggle datasets and real-time collected Maharashtra datasets. To improve the model performance, the Hunter–Prey Optimization (HPO) algorithm was employed for parameter tuning. The proposed method was evaluated using several performance metrics, including accuracy, kappa, positive predictive value (PPV), recall, sensitivity, RMSE, and time complexity. The result showed that the overall accuracy of 99.2% and 99.3%, PPV of 97.5% and 98.3%, kappa of 95.7% and 96.6%, RMSE of 1.05 and 1.50, the time complexity of 105 s are obtained for both Maharashtra and Kaggle datasets respectively. However, the study focused on recommending suitable crops based on soil, fertilizer, and climatic conditions, while the proposed research focuses on analyzing multiple soil health indicators.</w:t>
      </w:r>
    </w:p>
    <w:p w:rsidR="00000000" w:rsidDel="00000000" w:rsidP="00000000" w:rsidRDefault="00000000" w:rsidRPr="00000000" w14:paraId="00000142">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3">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4">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5">
      <w:pPr>
        <w:spacing w:line="276" w:lineRule="auto"/>
        <w:rPr>
          <w:sz w:val="24"/>
          <w:szCs w:val="24"/>
        </w:rPr>
      </w:pPr>
      <w:r w:rsidDel="00000000" w:rsidR="00000000" w:rsidRPr="00000000">
        <w:rPr>
          <w:rtl w:val="0"/>
        </w:rPr>
      </w:r>
    </w:p>
    <w:p w:rsidR="00000000" w:rsidDel="00000000" w:rsidP="00000000" w:rsidRDefault="00000000" w:rsidRPr="00000000" w14:paraId="00000146">
      <w:pPr>
        <w:spacing w:line="276" w:lineRule="auto"/>
        <w:rPr>
          <w:sz w:val="24"/>
          <w:szCs w:val="24"/>
        </w:rPr>
      </w:pPr>
      <w:r w:rsidDel="00000000" w:rsidR="00000000" w:rsidRPr="00000000">
        <w:rPr>
          <w:rtl w:val="0"/>
        </w:rPr>
      </w:r>
    </w:p>
    <w:p w:rsidR="00000000" w:rsidDel="00000000" w:rsidP="00000000" w:rsidRDefault="00000000" w:rsidRPr="00000000" w14:paraId="00000147">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8">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49">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4A">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4B">
      <w:pPr>
        <w:spacing w:line="259" w:lineRule="auto"/>
        <w:jc w:val="both"/>
        <w:rPr>
          <w:rFonts w:ascii="Aptos" w:cs="Aptos" w:eastAsia="Aptos" w:hAnsi="Aptos"/>
          <w:b w:val="1"/>
          <w:bCs w:val="1"/>
          <w:sz w:val="28"/>
          <w:szCs w:val="28"/>
        </w:rPr>
      </w:pPr>
      <w:bookmarkStart w:colFirst="0" w:colLast="0" w:name="_abbpqn7tltin" w:id="7"/>
      <w:bookmarkEnd w:id="7"/>
      <w:r w:rsidDel="00000000" w:rsidR="00000000" w:rsidRPr="00000000">
        <w:rPr>
          <w:rFonts w:ascii="Times New Roman" w:cs="Times New Roman" w:eastAsia="Times New Roman" w:hAnsi="Times New Roman"/>
          <w:b w:val="1"/>
          <w:bCs w:val="1"/>
          <w:sz w:val="32"/>
          <w:szCs w:val="32"/>
          <w:rtl w:val="0"/>
        </w:rPr>
        <w:t xml:space="preserve">2.4 Related Work Summary </w:t>
      </w:r>
      <w:r w:rsidDel="00000000" w:rsidR="00000000" w:rsidRPr="00000000">
        <w:rPr>
          <w:rtl w:val="0"/>
        </w:rPr>
      </w:r>
    </w:p>
    <w:p w:rsidR="00000000" w:rsidDel="00000000" w:rsidP="00000000" w:rsidRDefault="00000000" w:rsidRPr="00000000" w14:paraId="0000014C">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4D">
      <w:pPr>
        <w:spacing w:line="259" w:lineRule="auto"/>
        <w:jc w:val="both"/>
        <w:rPr>
          <w:rFonts w:ascii="Aptos" w:cs="Aptos" w:eastAsia="Aptos" w:hAnsi="Aptos"/>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14E">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4F">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50">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51">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52">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53">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54">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55">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56">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57">
      <w:pPr>
        <w:spacing w:line="259" w:lineRule="auto"/>
        <w:jc w:val="both"/>
        <w:rPr>
          <w:rFonts w:ascii="Aptos" w:cs="Aptos" w:eastAsia="Aptos" w:hAnsi="Aptos"/>
          <w:b w:val="1"/>
          <w:bCs w:val="1"/>
          <w:sz w:val="28"/>
          <w:szCs w:val="28"/>
        </w:rPr>
      </w:pPr>
      <w:r w:rsidDel="00000000" w:rsidR="00000000" w:rsidRPr="00000000">
        <w:rPr>
          <w:rtl w:val="0"/>
        </w:rPr>
      </w:r>
    </w:p>
    <w:tbl>
      <w:tblPr>
        <w:tblStyle w:val="Table1"/>
        <w:tblW w:w="10170.0" w:type="dxa"/>
        <w:jc w:val="left"/>
        <w:tblBorders>
          <w:top w:color="92cddc" w:space="0" w:sz="4" w:val="single"/>
          <w:left w:color="92cddc" w:space="0" w:sz="4" w:val="single"/>
          <w:bottom w:color="92cddc" w:space="0" w:sz="4" w:val="single"/>
          <w:right w:color="92cddc" w:space="0" w:sz="4" w:val="single"/>
          <w:insideH w:color="92cddc" w:space="0" w:sz="4" w:val="single"/>
          <w:insideV w:color="92cddc" w:space="0" w:sz="4" w:val="single"/>
        </w:tblBorders>
        <w:tblLayout w:type="fixed"/>
        <w:tblLook w:val="04A0"/>
      </w:tblPr>
      <w:tblGrid>
        <w:gridCol w:w="570"/>
        <w:gridCol w:w="1350"/>
        <w:gridCol w:w="825"/>
        <w:gridCol w:w="1755"/>
        <w:gridCol w:w="1410"/>
        <w:gridCol w:w="1200"/>
        <w:gridCol w:w="3060"/>
        <w:tblGridChange w:id="0">
          <w:tblGrid>
            <w:gridCol w:w="570"/>
            <w:gridCol w:w="1350"/>
            <w:gridCol w:w="825"/>
            <w:gridCol w:w="1755"/>
            <w:gridCol w:w="1410"/>
            <w:gridCol w:w="1200"/>
            <w:gridCol w:w="3060"/>
          </w:tblGrid>
        </w:tblGridChange>
      </w:tblGrid>
      <w:tr>
        <w:trPr>
          <w:cantSplit w:val="0"/>
          <w:trHeight w:val="552" w:hRule="atLeast"/>
          <w:tblHeader w:val="0"/>
        </w:trPr>
        <w:tc>
          <w:tcPr/>
          <w:p w:rsidR="00000000" w:rsidDel="00000000" w:rsidP="00000000" w:rsidRDefault="00000000" w:rsidRPr="00000000" w14:paraId="00000158">
            <w:pPr>
              <w:spacing w:line="259" w:lineRule="auto"/>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Ref</w:t>
            </w:r>
          </w:p>
        </w:tc>
        <w:tc>
          <w:tcPr/>
          <w:p w:rsidR="00000000" w:rsidDel="00000000" w:rsidP="00000000" w:rsidRDefault="00000000" w:rsidRPr="00000000" w14:paraId="00000159">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Author</w:t>
            </w:r>
          </w:p>
        </w:tc>
        <w:tc>
          <w:tcPr/>
          <w:p w:rsidR="00000000" w:rsidDel="00000000" w:rsidP="00000000" w:rsidRDefault="00000000" w:rsidRPr="00000000" w14:paraId="0000015A">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Year</w:t>
            </w:r>
          </w:p>
        </w:tc>
        <w:tc>
          <w:tcPr/>
          <w:p w:rsidR="00000000" w:rsidDel="00000000" w:rsidP="00000000" w:rsidRDefault="00000000" w:rsidRPr="00000000" w14:paraId="0000015B">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Technique Used</w:t>
            </w:r>
          </w:p>
        </w:tc>
        <w:tc>
          <w:tcPr/>
          <w:p w:rsidR="00000000" w:rsidDel="00000000" w:rsidP="00000000" w:rsidRDefault="00000000" w:rsidRPr="00000000" w14:paraId="0000015C">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Accuracy</w:t>
            </w:r>
          </w:p>
        </w:tc>
        <w:tc>
          <w:tcPr/>
          <w:p w:rsidR="00000000" w:rsidDel="00000000" w:rsidP="00000000" w:rsidRDefault="00000000" w:rsidRPr="00000000" w14:paraId="0000015D">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Dataset</w:t>
            </w:r>
          </w:p>
        </w:tc>
        <w:tc>
          <w:tcPr/>
          <w:p w:rsidR="00000000" w:rsidDel="00000000" w:rsidP="00000000" w:rsidRDefault="00000000" w:rsidRPr="00000000" w14:paraId="0000015E">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Comparison with This Research</w:t>
            </w:r>
          </w:p>
        </w:tc>
      </w:tr>
      <w:tr>
        <w:trPr>
          <w:cantSplit w:val="0"/>
          <w:trHeight w:val="1104" w:hRule="atLeast"/>
          <w:tblHeader w:val="0"/>
        </w:trPr>
        <w:tc>
          <w:tcPr/>
          <w:p w:rsidR="00000000" w:rsidDel="00000000" w:rsidP="00000000" w:rsidRDefault="00000000" w:rsidRPr="00000000" w14:paraId="0000015F">
            <w:pPr>
              <w:spacing w:line="259" w:lineRule="auto"/>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[7]</w:t>
            </w:r>
          </w:p>
        </w:tc>
        <w:tc>
          <w:tcPr/>
          <w:p w:rsidR="00000000" w:rsidDel="00000000" w:rsidP="00000000" w:rsidRDefault="00000000" w:rsidRPr="00000000" w14:paraId="0000016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Chandra et al.</w:t>
            </w:r>
          </w:p>
        </w:tc>
        <w:tc>
          <w:tcPr/>
          <w:p w:rsidR="00000000" w:rsidDel="00000000" w:rsidP="00000000" w:rsidRDefault="00000000" w:rsidRPr="00000000" w14:paraId="00000161">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w:t>
            </w:r>
          </w:p>
        </w:tc>
        <w:tc>
          <w:tcPr/>
          <w:p w:rsidR="00000000" w:rsidDel="00000000" w:rsidP="00000000" w:rsidRDefault="00000000" w:rsidRPr="00000000" w14:paraId="0000016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k-means clustering</w:t>
            </w:r>
          </w:p>
          <w:p w:rsidR="00000000" w:rsidDel="00000000" w:rsidP="00000000" w:rsidRDefault="00000000" w:rsidRPr="00000000" w14:paraId="00000163">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 classifier, Shap</w:t>
            </w:r>
          </w:p>
        </w:tc>
        <w:tc>
          <w:tcPr/>
          <w:p w:rsidR="00000000" w:rsidDel="00000000" w:rsidP="00000000" w:rsidRDefault="00000000" w:rsidRPr="00000000" w14:paraId="00000164">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~97%</w:t>
            </w:r>
          </w:p>
        </w:tc>
        <w:tc>
          <w:tcPr/>
          <w:p w:rsidR="00000000" w:rsidDel="00000000" w:rsidP="00000000" w:rsidRDefault="00000000" w:rsidRPr="00000000" w14:paraId="0000016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LUCAS 2018 topsoil dataset</w:t>
            </w:r>
          </w:p>
        </w:tc>
        <w:tc>
          <w:tcPr/>
          <w:p w:rsidR="00000000" w:rsidDel="00000000" w:rsidP="00000000" w:rsidRDefault="00000000" w:rsidRPr="00000000" w14:paraId="0000016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fertility prediction</w:t>
            </w:r>
          </w:p>
        </w:tc>
      </w:tr>
      <w:tr>
        <w:trPr>
          <w:cantSplit w:val="0"/>
          <w:trHeight w:val="552" w:hRule="atLeast"/>
          <w:tblHeader w:val="0"/>
        </w:trPr>
        <w:tc>
          <w:tcPr/>
          <w:p w:rsidR="00000000" w:rsidDel="00000000" w:rsidP="00000000" w:rsidRDefault="00000000" w:rsidRPr="00000000" w14:paraId="00000167">
            <w:pPr>
              <w:spacing w:line="259" w:lineRule="auto"/>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[8]</w:t>
            </w:r>
          </w:p>
        </w:tc>
        <w:tc>
          <w:tcPr/>
          <w:p w:rsidR="00000000" w:rsidDel="00000000" w:rsidP="00000000" w:rsidRDefault="00000000" w:rsidRPr="00000000" w14:paraId="0000016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Saberioon et al.</w:t>
            </w:r>
          </w:p>
        </w:tc>
        <w:tc>
          <w:tcPr/>
          <w:p w:rsidR="00000000" w:rsidDel="00000000" w:rsidP="00000000" w:rsidRDefault="00000000" w:rsidRPr="00000000" w14:paraId="00000169">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16A">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1DCNN</w:t>
            </w:r>
          </w:p>
          <w:p w:rsidR="00000000" w:rsidDel="00000000" w:rsidP="00000000" w:rsidRDefault="00000000" w:rsidRPr="00000000" w14:paraId="0000016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FCNN</w:t>
            </w:r>
          </w:p>
          <w:p w:rsidR="00000000" w:rsidDel="00000000" w:rsidP="00000000" w:rsidRDefault="00000000" w:rsidRPr="00000000" w14:paraId="0000016C">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SAE</w:t>
            </w:r>
          </w:p>
          <w:p w:rsidR="00000000" w:rsidDel="00000000" w:rsidP="00000000" w:rsidRDefault="00000000" w:rsidRPr="00000000" w14:paraId="0000016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RF</w:t>
            </w:r>
          </w:p>
          <w:p w:rsidR="00000000" w:rsidDel="00000000" w:rsidP="00000000" w:rsidRDefault="00000000" w:rsidRPr="00000000" w14:paraId="0000016E">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6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SAE-1DCNN model achieved the best performance with an R²  of 0.784 and an RMSE of 3.94.</w:t>
            </w:r>
          </w:p>
        </w:tc>
        <w:tc>
          <w:tcPr/>
          <w:p w:rsidR="00000000" w:rsidDel="00000000" w:rsidP="00000000" w:rsidRDefault="00000000" w:rsidRPr="00000000" w14:paraId="0000017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11441 samples  collected from LUCAS Soil Database</w:t>
            </w:r>
          </w:p>
        </w:tc>
        <w:tc>
          <w:tcPr/>
          <w:p w:rsidR="00000000" w:rsidDel="00000000" w:rsidP="00000000" w:rsidRDefault="00000000" w:rsidRPr="00000000" w14:paraId="00000171">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predicting Soil Organic Carbon (SOC)</w:t>
            </w:r>
          </w:p>
        </w:tc>
      </w:tr>
      <w:tr>
        <w:trPr>
          <w:cantSplit w:val="0"/>
          <w:trHeight w:val="828" w:hRule="atLeast"/>
          <w:tblHeader w:val="0"/>
        </w:trPr>
        <w:tc>
          <w:tcPr/>
          <w:p w:rsidR="00000000" w:rsidDel="00000000" w:rsidP="00000000" w:rsidRDefault="00000000" w:rsidRPr="00000000" w14:paraId="00000172">
            <w:pPr>
              <w:spacing w:line="259" w:lineRule="auto"/>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w:t>
            </w:r>
          </w:p>
        </w:tc>
        <w:tc>
          <w:tcPr/>
          <w:p w:rsidR="00000000" w:rsidDel="00000000" w:rsidP="00000000" w:rsidRDefault="00000000" w:rsidRPr="00000000" w14:paraId="00000173">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Omondiagbe et al.</w:t>
            </w:r>
          </w:p>
        </w:tc>
        <w:tc>
          <w:tcPr/>
          <w:p w:rsidR="00000000" w:rsidDel="00000000" w:rsidP="00000000" w:rsidRDefault="00000000" w:rsidRPr="00000000" w14:paraId="00000174">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 </w:t>
            </w:r>
          </w:p>
        </w:tc>
        <w:tc>
          <w:tcPr/>
          <w:p w:rsidR="00000000" w:rsidDel="00000000" w:rsidP="00000000" w:rsidRDefault="00000000" w:rsidRPr="00000000" w14:paraId="0000017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(Adapted-PBT)</w:t>
            </w:r>
          </w:p>
          <w:p w:rsidR="00000000" w:rsidDel="00000000" w:rsidP="00000000" w:rsidRDefault="00000000" w:rsidRPr="00000000" w14:paraId="0000017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Bayesian Optimization</w:t>
            </w:r>
          </w:p>
          <w:p w:rsidR="00000000" w:rsidDel="00000000" w:rsidP="00000000" w:rsidRDefault="00000000" w:rsidRPr="00000000" w14:paraId="0000017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(CNN)</w:t>
            </w:r>
          </w:p>
          <w:p w:rsidR="00000000" w:rsidDel="00000000" w:rsidP="00000000" w:rsidRDefault="00000000" w:rsidRPr="00000000" w14:paraId="0000017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w:t>
            </w:r>
          </w:p>
        </w:tc>
        <w:tc>
          <w:tcPr/>
          <w:p w:rsidR="00000000" w:rsidDel="00000000" w:rsidP="00000000" w:rsidRDefault="00000000" w:rsidRPr="00000000" w14:paraId="00000179">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PBT</w:t>
            </w:r>
          </w:p>
          <w:p w:rsidR="00000000" w:rsidDel="00000000" w:rsidP="00000000" w:rsidRDefault="00000000" w:rsidRPr="00000000" w14:paraId="0000017A">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best prediction</w:t>
            </w:r>
          </w:p>
          <w:p w:rsidR="00000000" w:rsidDel="00000000" w:rsidP="00000000" w:rsidRDefault="00000000" w:rsidRPr="00000000" w14:paraId="0000017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with</w:t>
            </w:r>
          </w:p>
          <w:p w:rsidR="00000000" w:rsidDel="00000000" w:rsidP="00000000" w:rsidRDefault="00000000" w:rsidRPr="00000000" w14:paraId="0000017C">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(MEC)</w:t>
            </w:r>
          </w:p>
          <w:p w:rsidR="00000000" w:rsidDel="00000000" w:rsidP="00000000" w:rsidRDefault="00000000" w:rsidRPr="00000000" w14:paraId="0000017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 0.90 for clay,</w:t>
            </w:r>
          </w:p>
          <w:p w:rsidR="00000000" w:rsidDel="00000000" w:rsidP="00000000" w:rsidRDefault="00000000" w:rsidRPr="00000000" w14:paraId="0000017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0.81 for sand, and 0.78 for silt.</w:t>
            </w:r>
          </w:p>
          <w:p w:rsidR="00000000" w:rsidDel="00000000" w:rsidP="00000000" w:rsidRDefault="00000000" w:rsidRPr="00000000" w14:paraId="0000017F">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8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LUCAS</w:t>
            </w:r>
          </w:p>
          <w:p w:rsidR="00000000" w:rsidDel="00000000" w:rsidP="00000000" w:rsidRDefault="00000000" w:rsidRPr="00000000" w14:paraId="00000181">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and</w:t>
            </w:r>
          </w:p>
          <w:p w:rsidR="00000000" w:rsidDel="00000000" w:rsidP="00000000" w:rsidRDefault="00000000" w:rsidRPr="00000000" w14:paraId="0000018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KSSL</w:t>
            </w:r>
          </w:p>
          <w:p w:rsidR="00000000" w:rsidDel="00000000" w:rsidP="00000000" w:rsidRDefault="00000000" w:rsidRPr="00000000" w14:paraId="00000183">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84">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predicting soil texture properties (sand, silt, and clay)</w:t>
            </w:r>
          </w:p>
        </w:tc>
      </w:tr>
      <w:tr>
        <w:trPr>
          <w:cantSplit w:val="0"/>
          <w:trHeight w:val="828" w:hRule="atLeast"/>
          <w:tblHeader w:val="0"/>
        </w:trPr>
        <w:tc>
          <w:tcPr/>
          <w:p w:rsidR="00000000" w:rsidDel="00000000" w:rsidP="00000000" w:rsidRDefault="00000000" w:rsidRPr="00000000" w14:paraId="00000185">
            <w:pPr>
              <w:spacing w:line="259" w:lineRule="auto"/>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w:t>
            </w:r>
          </w:p>
        </w:tc>
        <w:tc>
          <w:tcPr/>
          <w:p w:rsidR="00000000" w:rsidDel="00000000" w:rsidP="00000000" w:rsidRDefault="00000000" w:rsidRPr="00000000" w14:paraId="0000018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Zhai et al.</w:t>
            </w:r>
          </w:p>
        </w:tc>
        <w:tc>
          <w:tcPr/>
          <w:p w:rsidR="00000000" w:rsidDel="00000000" w:rsidP="00000000" w:rsidRDefault="00000000" w:rsidRPr="00000000" w14:paraId="0000018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18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PS-MTL-LUCAS</w:t>
            </w:r>
          </w:p>
          <w:p w:rsidR="00000000" w:rsidDel="00000000" w:rsidP="00000000" w:rsidRDefault="00000000" w:rsidRPr="00000000" w14:paraId="00000189">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SHAP</w:t>
            </w:r>
          </w:p>
          <w:p w:rsidR="00000000" w:rsidDel="00000000" w:rsidP="00000000" w:rsidRDefault="00000000" w:rsidRPr="00000000" w14:paraId="0000018A">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8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achieving R² values of 0.945, 0.936, 0.413, 0.624, 0.837, 0.952, and 0.956 for pH, N, P, K, CEC, OC, and CaCO₃, respectively.</w:t>
            </w:r>
          </w:p>
        </w:tc>
        <w:tc>
          <w:tcPr/>
          <w:p w:rsidR="00000000" w:rsidDel="00000000" w:rsidP="00000000" w:rsidRDefault="00000000" w:rsidRPr="00000000" w14:paraId="0000018C">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LUCAS Topsoil Dataset (2009)</w:t>
            </w:r>
          </w:p>
        </w:tc>
        <w:tc>
          <w:tcPr/>
          <w:p w:rsidR="00000000" w:rsidDel="00000000" w:rsidP="00000000" w:rsidRDefault="00000000" w:rsidRPr="00000000" w14:paraId="0000018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only on the LUCAS Topsoil Dataset using Vis–NIR spectroscopy data </w:t>
            </w:r>
          </w:p>
        </w:tc>
      </w:tr>
      <w:tr>
        <w:trPr>
          <w:cantSplit w:val="0"/>
          <w:trHeight w:val="828" w:hRule="atLeast"/>
          <w:tblHeader w:val="0"/>
        </w:trPr>
        <w:tc>
          <w:tcPr/>
          <w:p w:rsidR="00000000" w:rsidDel="00000000" w:rsidP="00000000" w:rsidRDefault="00000000" w:rsidRPr="00000000" w14:paraId="0000018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[11]</w:t>
            </w:r>
          </w:p>
        </w:tc>
        <w:tc>
          <w:tcPr/>
          <w:p w:rsidR="00000000" w:rsidDel="00000000" w:rsidP="00000000" w:rsidRDefault="00000000" w:rsidRPr="00000000" w14:paraId="0000018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Piccoli et al.</w:t>
            </w:r>
          </w:p>
        </w:tc>
        <w:tc>
          <w:tcPr/>
          <w:p w:rsidR="00000000" w:rsidDel="00000000" w:rsidP="00000000" w:rsidRDefault="00000000" w:rsidRPr="00000000" w14:paraId="0000019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w:t>
            </w:r>
          </w:p>
        </w:tc>
        <w:tc>
          <w:tcPr/>
          <w:p w:rsidR="00000000" w:rsidDel="00000000" w:rsidP="00000000" w:rsidRDefault="00000000" w:rsidRPr="00000000" w14:paraId="00000191">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Adaptive Deep Convolutional Neural Network.</w:t>
            </w:r>
          </w:p>
          <w:p w:rsidR="00000000" w:rsidDel="00000000" w:rsidP="00000000" w:rsidRDefault="00000000" w:rsidRPr="00000000" w14:paraId="0000019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Neural Architecture Search (NAS).</w:t>
            </w:r>
          </w:p>
          <w:p w:rsidR="00000000" w:rsidDel="00000000" w:rsidP="00000000" w:rsidRDefault="00000000" w:rsidRPr="00000000" w14:paraId="00000193">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94">
            <w:pPr>
              <w:spacing w:line="259" w:lineRule="auto"/>
              <w:rPr>
                <w:rFonts w:ascii="Times New Roman" w:cs="Times New Roman" w:eastAsia="Times New Roman" w:hAnsi="Times New Roman"/>
                <w:b w:val="1"/>
                <w:bCs w:val="1"/>
                <w:sz w:val="20"/>
                <w:szCs w:val="20"/>
              </w:rPr>
            </w:pPr>
            <w:r w:rsidDel="00000000" w:rsidR="00000000" w:rsidRPr="00000000">
              <w:rPr>
                <w:rFonts w:ascii="Gungsuh" w:cs="Gungsuh" w:eastAsia="Gungsuh" w:hAnsi="Gungsuh"/>
                <w:b w:val="1"/>
                <w:bCs w:val="1"/>
                <w:sz w:val="20"/>
                <w:szCs w:val="20"/>
                <w:rtl w:val="0"/>
              </w:rPr>
              <w:t xml:space="preserve">Overall R² ≈ 0.75.</w:t>
            </w:r>
            <w:r w:rsidDel="00000000" w:rsidR="00000000" w:rsidRPr="00000000">
              <w:rPr>
                <w:rtl w:val="0"/>
              </w:rPr>
            </w:r>
          </w:p>
        </w:tc>
        <w:tc>
          <w:tcPr/>
          <w:p w:rsidR="00000000" w:rsidDel="00000000" w:rsidP="00000000" w:rsidRDefault="00000000" w:rsidRPr="00000000" w14:paraId="0000019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LUCAS dataset.</w:t>
            </w:r>
          </w:p>
          <w:p w:rsidR="00000000" w:rsidDel="00000000" w:rsidP="00000000" w:rsidRDefault="00000000" w:rsidRPr="00000000" w14:paraId="0000019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PRISMA simulated dataset.</w:t>
            </w:r>
          </w:p>
          <w:p w:rsidR="00000000" w:rsidDel="00000000" w:rsidP="00000000" w:rsidRDefault="00000000" w:rsidRPr="00000000" w14:paraId="00000197">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9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relied mainly on hyperspectral information and did not include additional environmental or management factors.</w:t>
            </w:r>
          </w:p>
        </w:tc>
      </w:tr>
      <w:tr>
        <w:trPr>
          <w:cantSplit w:val="0"/>
          <w:trHeight w:val="828" w:hRule="atLeast"/>
          <w:tblHeader w:val="0"/>
        </w:trPr>
        <w:tc>
          <w:tcPr/>
          <w:p w:rsidR="00000000" w:rsidDel="00000000" w:rsidP="00000000" w:rsidRDefault="00000000" w:rsidRPr="00000000" w14:paraId="0000019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[12]</w:t>
            </w:r>
          </w:p>
        </w:tc>
        <w:tc>
          <w:tcPr/>
          <w:p w:rsidR="00000000" w:rsidDel="00000000" w:rsidP="00000000" w:rsidRDefault="00000000" w:rsidRPr="00000000" w14:paraId="0000019A">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Liu and Ma</w:t>
            </w:r>
            <w:r w:rsidDel="00000000" w:rsidR="00000000" w:rsidRPr="00000000">
              <w:rPr>
                <w:rtl w:val="0"/>
              </w:rPr>
            </w:r>
          </w:p>
        </w:tc>
        <w:tc>
          <w:tcPr/>
          <w:p w:rsidR="00000000" w:rsidDel="00000000" w:rsidP="00000000" w:rsidRDefault="00000000" w:rsidRPr="00000000" w14:paraId="0000019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19C">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Artificial Neural Network (ANN)</w:t>
            </w:r>
          </w:p>
          <w:p w:rsidR="00000000" w:rsidDel="00000000" w:rsidP="00000000" w:rsidRDefault="00000000" w:rsidRPr="00000000" w14:paraId="0000019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Gene Expression Programming (GEP)</w:t>
            </w:r>
          </w:p>
          <w:p w:rsidR="00000000" w:rsidDel="00000000" w:rsidP="00000000" w:rsidRDefault="00000000" w:rsidRPr="00000000" w14:paraId="0000019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Linear Regression for comparison</w:t>
            </w:r>
          </w:p>
        </w:tc>
        <w:tc>
          <w:tcPr/>
          <w:p w:rsidR="00000000" w:rsidDel="00000000" w:rsidP="00000000" w:rsidRDefault="00000000" w:rsidRPr="00000000" w14:paraId="0000019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ANN model achieved the best for PWP </w:t>
            </w:r>
          </w:p>
          <w:p w:rsidR="00000000" w:rsidDel="00000000" w:rsidP="00000000" w:rsidRDefault="00000000" w:rsidRPr="00000000" w14:paraId="000001A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with NRMSE</w:t>
            </w:r>
          </w:p>
          <w:p w:rsidR="00000000" w:rsidDel="00000000" w:rsidP="00000000" w:rsidRDefault="00000000" w:rsidRPr="00000000" w14:paraId="000001A1">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of 19.9%</w:t>
            </w:r>
          </w:p>
          <w:p w:rsidR="00000000" w:rsidDel="00000000" w:rsidP="00000000" w:rsidRDefault="00000000" w:rsidRPr="00000000" w14:paraId="000001A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while GEP</w:t>
            </w:r>
          </w:p>
          <w:p w:rsidR="00000000" w:rsidDel="00000000" w:rsidP="00000000" w:rsidRDefault="00000000" w:rsidRPr="00000000" w14:paraId="000001A3">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with an NRMSE of 29.9%</w:t>
            </w:r>
          </w:p>
          <w:p w:rsidR="00000000" w:rsidDel="00000000" w:rsidP="00000000" w:rsidRDefault="00000000" w:rsidRPr="00000000" w14:paraId="000001A4">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A5">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WoSIS database.</w:t>
            </w:r>
            <w:r w:rsidDel="00000000" w:rsidR="00000000" w:rsidRPr="00000000">
              <w:rPr>
                <w:rtl w:val="0"/>
              </w:rPr>
            </w:r>
          </w:p>
        </w:tc>
        <w:tc>
          <w:tcPr/>
          <w:p w:rsidR="00000000" w:rsidDel="00000000" w:rsidP="00000000" w:rsidRDefault="00000000" w:rsidRPr="00000000" w14:paraId="000001A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only on soil hydraulic properties</w:t>
            </w:r>
          </w:p>
        </w:tc>
      </w:tr>
      <w:tr>
        <w:trPr>
          <w:cantSplit w:val="0"/>
          <w:trHeight w:val="552" w:hRule="atLeast"/>
          <w:tblHeader w:val="0"/>
        </w:trPr>
        <w:tc>
          <w:tcPr/>
          <w:p w:rsidR="00000000" w:rsidDel="00000000" w:rsidP="00000000" w:rsidRDefault="00000000" w:rsidRPr="00000000" w14:paraId="000001A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w:t>
            </w:r>
          </w:p>
        </w:tc>
        <w:tc>
          <w:tcPr/>
          <w:p w:rsidR="00000000" w:rsidDel="00000000" w:rsidP="00000000" w:rsidRDefault="00000000" w:rsidRPr="00000000" w14:paraId="000001A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Liu et al.</w:t>
            </w:r>
          </w:p>
        </w:tc>
        <w:tc>
          <w:tcPr/>
          <w:p w:rsidR="00000000" w:rsidDel="00000000" w:rsidP="00000000" w:rsidRDefault="00000000" w:rsidRPr="00000000" w14:paraId="000001A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w:t>
            </w:r>
          </w:p>
        </w:tc>
        <w:tc>
          <w:tcPr/>
          <w:p w:rsidR="00000000" w:rsidDel="00000000" w:rsidP="00000000" w:rsidRDefault="00000000" w:rsidRPr="00000000" w14:paraId="000001AA">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Global PLSR</w:t>
            </w:r>
          </w:p>
          <w:p w:rsidR="00000000" w:rsidDel="00000000" w:rsidP="00000000" w:rsidRDefault="00000000" w:rsidRPr="00000000" w14:paraId="000001AB">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Local PLSR</w:t>
            </w:r>
          </w:p>
          <w:p w:rsidR="00000000" w:rsidDel="00000000" w:rsidP="00000000" w:rsidRDefault="00000000" w:rsidRPr="00000000" w14:paraId="000001AC">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k-means clustering + PLSR</w:t>
            </w:r>
          </w:p>
          <w:p w:rsidR="00000000" w:rsidDel="00000000" w:rsidP="00000000" w:rsidRDefault="00000000" w:rsidRPr="00000000" w14:paraId="000001AD">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Hierarchical clustering + PLSR</w:t>
            </w:r>
          </w:p>
          <w:p w:rsidR="00000000" w:rsidDel="00000000" w:rsidP="00000000" w:rsidRDefault="00000000" w:rsidRPr="00000000" w14:paraId="000001AE">
            <w:pPr>
              <w:spacing w:line="276" w:lineRule="auto"/>
              <w:jc w:val="both"/>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1AF">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best results </w:t>
            </w:r>
          </w:p>
          <w:p w:rsidR="00000000" w:rsidDel="00000000" w:rsidP="00000000" w:rsidRDefault="00000000" w:rsidRPr="00000000" w14:paraId="000001B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 local PLSR</w:t>
            </w:r>
          </w:p>
          <w:p w:rsidR="00000000" w:rsidDel="00000000" w:rsidP="00000000" w:rsidRDefault="00000000" w:rsidRPr="00000000" w14:paraId="000001B1">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with R2 = 0.75,</w:t>
            </w:r>
          </w:p>
          <w:p w:rsidR="00000000" w:rsidDel="00000000" w:rsidP="00000000" w:rsidRDefault="00000000" w:rsidRPr="00000000" w14:paraId="000001B2">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(RMSEP) = 13.38 g/kg</w:t>
            </w:r>
          </w:p>
          <w:p w:rsidR="00000000" w:rsidDel="00000000" w:rsidP="00000000" w:rsidRDefault="00000000" w:rsidRPr="00000000" w14:paraId="000001B3">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RPIQ) = 2.846</w:t>
            </w:r>
          </w:p>
          <w:p w:rsidR="00000000" w:rsidDel="00000000" w:rsidP="00000000" w:rsidRDefault="00000000" w:rsidRPr="00000000" w14:paraId="000001B4">
            <w:pPr>
              <w:spacing w:line="276" w:lineRule="auto"/>
              <w:jc w:val="both"/>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1B5">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LUCAS EU-wide Topsoil Database</w:t>
            </w:r>
            <w:r w:rsidDel="00000000" w:rsidR="00000000" w:rsidRPr="00000000">
              <w:rPr>
                <w:rtl w:val="0"/>
              </w:rPr>
            </w:r>
          </w:p>
        </w:tc>
        <w:tc>
          <w:tcPr/>
          <w:p w:rsidR="00000000" w:rsidDel="00000000" w:rsidP="00000000" w:rsidRDefault="00000000" w:rsidRPr="00000000" w14:paraId="000001B6">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focused only on Soil Organic Carbon prediction</w:t>
            </w:r>
            <w:r w:rsidDel="00000000" w:rsidR="00000000" w:rsidRPr="00000000">
              <w:rPr>
                <w:rtl w:val="0"/>
              </w:rPr>
            </w:r>
          </w:p>
        </w:tc>
      </w:tr>
      <w:tr>
        <w:trPr>
          <w:cantSplit w:val="0"/>
          <w:trHeight w:val="828" w:hRule="atLeast"/>
          <w:tblHeader w:val="0"/>
        </w:trPr>
        <w:tc>
          <w:tcPr/>
          <w:p w:rsidR="00000000" w:rsidDel="00000000" w:rsidP="00000000" w:rsidRDefault="00000000" w:rsidRPr="00000000" w14:paraId="000001B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w:t>
            </w:r>
          </w:p>
        </w:tc>
        <w:tc>
          <w:tcPr/>
          <w:p w:rsidR="00000000" w:rsidDel="00000000" w:rsidP="00000000" w:rsidRDefault="00000000" w:rsidRPr="00000000" w14:paraId="000001B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Ghahremani et al.</w:t>
            </w:r>
          </w:p>
        </w:tc>
        <w:tc>
          <w:tcPr/>
          <w:p w:rsidR="00000000" w:rsidDel="00000000" w:rsidP="00000000" w:rsidRDefault="00000000" w:rsidRPr="00000000" w14:paraId="000001B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2026</w:t>
            </w:r>
          </w:p>
        </w:tc>
        <w:tc>
          <w:tcPr/>
          <w:p w:rsidR="00000000" w:rsidDel="00000000" w:rsidP="00000000" w:rsidRDefault="00000000" w:rsidRPr="00000000" w14:paraId="000001BA">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RFR</w:t>
            </w:r>
          </w:p>
          <w:p w:rsidR="00000000" w:rsidDel="00000000" w:rsidP="00000000" w:rsidRDefault="00000000" w:rsidRPr="00000000" w14:paraId="000001BB">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RFC</w:t>
            </w:r>
          </w:p>
          <w:p w:rsidR="00000000" w:rsidDel="00000000" w:rsidP="00000000" w:rsidRDefault="00000000" w:rsidRPr="00000000" w14:paraId="000001BC">
            <w:pPr>
              <w:spacing w:line="276" w:lineRule="auto"/>
              <w:jc w:val="both"/>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1BD">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RFR with an RMSE of 15 kg/m², while RFC accuracy of 0.56.</w:t>
            </w:r>
          </w:p>
          <w:p w:rsidR="00000000" w:rsidDel="00000000" w:rsidP="00000000" w:rsidRDefault="00000000" w:rsidRPr="00000000" w14:paraId="000001BE">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F">
            <w:pPr>
              <w:spacing w:line="276" w:lineRule="auto"/>
              <w:jc w:val="both"/>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1C0">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ISRIC World Soil Information Service (WoSIS) database</w:t>
            </w:r>
            <w:r w:rsidDel="00000000" w:rsidR="00000000" w:rsidRPr="00000000">
              <w:rPr>
                <w:rtl w:val="0"/>
              </w:rPr>
            </w:r>
          </w:p>
        </w:tc>
        <w:tc>
          <w:tcPr/>
          <w:p w:rsidR="00000000" w:rsidDel="00000000" w:rsidP="00000000" w:rsidRDefault="00000000" w:rsidRPr="00000000" w14:paraId="000001C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mapping soil inorganic carbon</w:t>
            </w:r>
          </w:p>
        </w:tc>
      </w:tr>
      <w:tr>
        <w:trPr>
          <w:cantSplit w:val="0"/>
          <w:trHeight w:val="828" w:hRule="atLeast"/>
          <w:tblHeader w:val="0"/>
        </w:trPr>
        <w:tc>
          <w:tcPr/>
          <w:p w:rsidR="00000000" w:rsidDel="00000000" w:rsidP="00000000" w:rsidRDefault="00000000" w:rsidRPr="00000000" w14:paraId="000001C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[15]</w:t>
            </w:r>
          </w:p>
        </w:tc>
        <w:tc>
          <w:tcPr/>
          <w:p w:rsidR="00000000" w:rsidDel="00000000" w:rsidP="00000000" w:rsidRDefault="00000000" w:rsidRPr="00000000" w14:paraId="000001C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Ramcharan et al.</w:t>
            </w:r>
          </w:p>
        </w:tc>
        <w:tc>
          <w:tcPr/>
          <w:p w:rsidR="00000000" w:rsidDel="00000000" w:rsidP="00000000" w:rsidRDefault="00000000" w:rsidRPr="00000000" w14:paraId="000001C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2017</w:t>
            </w:r>
          </w:p>
        </w:tc>
        <w:tc>
          <w:tcPr/>
          <w:p w:rsidR="00000000" w:rsidDel="00000000" w:rsidP="00000000" w:rsidRDefault="00000000" w:rsidRPr="00000000" w14:paraId="000001C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w:t>
            </w:r>
          </w:p>
        </w:tc>
        <w:tc>
          <w:tcPr/>
          <w:p w:rsidR="00000000" w:rsidDel="00000000" w:rsidP="00000000" w:rsidRDefault="00000000" w:rsidRPr="00000000" w14:paraId="000001C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RMSPE was 0.13 g cm–3 in average</w:t>
            </w:r>
          </w:p>
          <w:p w:rsidR="00000000" w:rsidDel="00000000" w:rsidP="00000000" w:rsidRDefault="00000000" w:rsidRPr="00000000" w14:paraId="000001C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MPE was –0.001 gcm–3.</w:t>
            </w:r>
          </w:p>
          <w:p w:rsidR="00000000" w:rsidDel="00000000" w:rsidP="00000000" w:rsidRDefault="00000000" w:rsidRPr="00000000" w14:paraId="000001C8">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1C9">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CA">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45,818 soil</w:t>
            </w:r>
          </w:p>
          <w:p w:rsidR="00000000" w:rsidDel="00000000" w:rsidP="00000000" w:rsidRDefault="00000000" w:rsidRPr="00000000" w14:paraId="000001CB">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(NCSS</w:t>
            </w:r>
          </w:p>
          <w:p w:rsidR="00000000" w:rsidDel="00000000" w:rsidP="00000000" w:rsidRDefault="00000000" w:rsidRPr="00000000" w14:paraId="000001CC">
            <w:pPr>
              <w:spacing w:line="276" w:lineRule="auto"/>
              <w:jc w:val="both"/>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1C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 predicting soil bulk density only</w:t>
            </w:r>
          </w:p>
        </w:tc>
      </w:tr>
      <w:tr>
        <w:trPr>
          <w:cantSplit w:val="0"/>
          <w:trHeight w:val="552" w:hRule="atLeast"/>
          <w:tblHeader w:val="0"/>
        </w:trPr>
        <w:tc>
          <w:tcPr/>
          <w:p w:rsidR="00000000" w:rsidDel="00000000" w:rsidP="00000000" w:rsidRDefault="00000000" w:rsidRPr="00000000" w14:paraId="000001C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[16]</w:t>
            </w:r>
          </w:p>
        </w:tc>
        <w:tc>
          <w:tcPr/>
          <w:p w:rsidR="00000000" w:rsidDel="00000000" w:rsidP="00000000" w:rsidRDefault="00000000" w:rsidRPr="00000000" w14:paraId="000001C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Sun et al.</w:t>
            </w:r>
          </w:p>
        </w:tc>
        <w:tc>
          <w:tcPr/>
          <w:p w:rsidR="00000000" w:rsidDel="00000000" w:rsidP="00000000" w:rsidRDefault="00000000" w:rsidRPr="00000000" w14:paraId="000001D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2026</w:t>
            </w:r>
          </w:p>
        </w:tc>
        <w:tc>
          <w:tcPr/>
          <w:p w:rsidR="00000000" w:rsidDel="00000000" w:rsidP="00000000" w:rsidRDefault="00000000" w:rsidRPr="00000000" w14:paraId="000001D1">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SSL, MLP</w:t>
            </w:r>
          </w:p>
          <w:p w:rsidR="00000000" w:rsidDel="00000000" w:rsidP="00000000" w:rsidRDefault="00000000" w:rsidRPr="00000000" w14:paraId="000001D2">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compared</w:t>
            </w:r>
          </w:p>
          <w:p w:rsidR="00000000" w:rsidDel="00000000" w:rsidP="00000000" w:rsidRDefault="00000000" w:rsidRPr="00000000" w14:paraId="000001D3">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performance with</w:t>
            </w:r>
          </w:p>
          <w:p w:rsidR="00000000" w:rsidDel="00000000" w:rsidP="00000000" w:rsidRDefault="00000000" w:rsidRPr="00000000" w14:paraId="000001D4">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PLSR</w:t>
            </w:r>
          </w:p>
          <w:p w:rsidR="00000000" w:rsidDel="00000000" w:rsidP="00000000" w:rsidRDefault="00000000" w:rsidRPr="00000000" w14:paraId="000001D5">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conventional MLP models.</w:t>
            </w:r>
          </w:p>
          <w:p w:rsidR="00000000" w:rsidDel="00000000" w:rsidP="00000000" w:rsidRDefault="00000000" w:rsidRPr="00000000" w14:paraId="000001D6">
            <w:pPr>
              <w:spacing w:line="276" w:lineRule="auto"/>
              <w:jc w:val="both"/>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1D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MIR-SSL-MLP model</w:t>
            </w:r>
          </w:p>
          <w:p w:rsidR="00000000" w:rsidDel="00000000" w:rsidP="00000000" w:rsidRDefault="00000000" w:rsidRPr="00000000" w14:paraId="000001D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best performance</w:t>
            </w:r>
          </w:p>
          <w:p w:rsidR="00000000" w:rsidDel="00000000" w:rsidP="00000000" w:rsidRDefault="00000000" w:rsidRPr="00000000" w14:paraId="000001D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R² of</w:t>
            </w:r>
          </w:p>
          <w:p w:rsidR="00000000" w:rsidDel="00000000" w:rsidP="00000000" w:rsidRDefault="00000000" w:rsidRPr="00000000" w14:paraId="000001D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0.95 carbon,</w:t>
            </w:r>
          </w:p>
          <w:p w:rsidR="00000000" w:rsidDel="00000000" w:rsidP="00000000" w:rsidRDefault="00000000" w:rsidRPr="00000000" w14:paraId="000001D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0.91 nitrogen,</w:t>
            </w:r>
          </w:p>
          <w:p w:rsidR="00000000" w:rsidDel="00000000" w:rsidP="00000000" w:rsidRDefault="00000000" w:rsidRPr="00000000" w14:paraId="000001D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0.93 organic carbon,</w:t>
            </w:r>
          </w:p>
          <w:p w:rsidR="00000000" w:rsidDel="00000000" w:rsidP="00000000" w:rsidRDefault="00000000" w:rsidRPr="00000000" w14:paraId="000001D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0.79 for pH</w:t>
            </w:r>
          </w:p>
          <w:p w:rsidR="00000000" w:rsidDel="00000000" w:rsidP="00000000" w:rsidRDefault="00000000" w:rsidRPr="00000000" w14:paraId="000001DE">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DF">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(USDA-NRCS-NSSC-KSSL) database</w:t>
            </w:r>
          </w:p>
          <w:p w:rsidR="00000000" w:rsidDel="00000000" w:rsidP="00000000" w:rsidRDefault="00000000" w:rsidRPr="00000000" w14:paraId="000001E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Testing (NAPT) dataset.</w:t>
            </w:r>
          </w:p>
          <w:p w:rsidR="00000000" w:rsidDel="00000000" w:rsidP="00000000" w:rsidRDefault="00000000" w:rsidRPr="00000000" w14:paraId="000001E1">
            <w:pPr>
              <w:spacing w:line="276" w:lineRule="auto"/>
              <w:jc w:val="both"/>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1E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relied mainly on soil spectral datasets and did not integrate environmental or remote sensing variables for soil health assessment.</w:t>
            </w:r>
          </w:p>
        </w:tc>
      </w:tr>
      <w:tr>
        <w:trPr>
          <w:cantSplit w:val="0"/>
          <w:trHeight w:val="552" w:hRule="atLeast"/>
          <w:tblHeader w:val="0"/>
        </w:trPr>
        <w:tc>
          <w:tcPr/>
          <w:p w:rsidR="00000000" w:rsidDel="00000000" w:rsidP="00000000" w:rsidRDefault="00000000" w:rsidRPr="00000000" w14:paraId="000001E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[17]</w:t>
            </w:r>
          </w:p>
        </w:tc>
        <w:tc>
          <w:tcPr/>
          <w:p w:rsidR="00000000" w:rsidDel="00000000" w:rsidP="00000000" w:rsidRDefault="00000000" w:rsidRPr="00000000" w14:paraId="000001E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Rahmani et al.</w:t>
            </w:r>
          </w:p>
        </w:tc>
        <w:tc>
          <w:tcPr/>
          <w:p w:rsidR="00000000" w:rsidDel="00000000" w:rsidP="00000000" w:rsidRDefault="00000000" w:rsidRPr="00000000" w14:paraId="000001E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2022</w:t>
            </w:r>
          </w:p>
        </w:tc>
        <w:tc>
          <w:tcPr/>
          <w:p w:rsidR="00000000" w:rsidDel="00000000" w:rsidP="00000000" w:rsidRDefault="00000000" w:rsidRPr="00000000" w14:paraId="000001E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 (RF), Cubist,</w:t>
            </w:r>
          </w:p>
          <w:p w:rsidR="00000000" w:rsidDel="00000000" w:rsidP="00000000" w:rsidRDefault="00000000" w:rsidRPr="00000000" w14:paraId="000001E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Universal Kriging (UK)</w:t>
            </w:r>
          </w:p>
          <w:p w:rsidR="00000000" w:rsidDel="00000000" w:rsidP="00000000" w:rsidRDefault="00000000" w:rsidRPr="00000000" w14:paraId="000001E8">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E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SOM</w:t>
            </w:r>
          </w:p>
          <w:p w:rsidR="00000000" w:rsidDel="00000000" w:rsidP="00000000" w:rsidRDefault="00000000" w:rsidRPr="00000000" w14:paraId="000001E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from 0.44 to 0.45,</w:t>
            </w:r>
          </w:p>
          <w:p w:rsidR="00000000" w:rsidDel="00000000" w:rsidP="00000000" w:rsidRDefault="00000000" w:rsidRPr="00000000" w14:paraId="000001E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CEC</w:t>
            </w:r>
          </w:p>
          <w:p w:rsidR="00000000" w:rsidDel="00000000" w:rsidP="00000000" w:rsidRDefault="00000000" w:rsidRPr="00000000" w14:paraId="000001E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from 0.39 to 0.44</w:t>
            </w:r>
          </w:p>
          <w:p w:rsidR="00000000" w:rsidDel="00000000" w:rsidP="00000000" w:rsidRDefault="00000000" w:rsidRPr="00000000" w14:paraId="000001ED">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E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(SSURGO)</w:t>
            </w:r>
          </w:p>
        </w:tc>
        <w:tc>
          <w:tcPr/>
          <w:p w:rsidR="00000000" w:rsidDel="00000000" w:rsidP="00000000" w:rsidRDefault="00000000" w:rsidRPr="00000000" w14:paraId="000001E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mapping two soil properties within a local study area and did not investigate multiple soil health indicators</w:t>
            </w:r>
          </w:p>
        </w:tc>
      </w:tr>
      <w:tr>
        <w:trPr>
          <w:cantSplit w:val="0"/>
          <w:trHeight w:val="552" w:hRule="atLeast"/>
          <w:tblHeader w:val="0"/>
        </w:trPr>
        <w:tc>
          <w:tcPr/>
          <w:p w:rsidR="00000000" w:rsidDel="00000000" w:rsidP="00000000" w:rsidRDefault="00000000" w:rsidRPr="00000000" w14:paraId="000001F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[18]</w:t>
            </w:r>
          </w:p>
        </w:tc>
        <w:tc>
          <w:tcPr/>
          <w:p w:rsidR="00000000" w:rsidDel="00000000" w:rsidP="00000000" w:rsidRDefault="00000000" w:rsidRPr="00000000" w14:paraId="000001F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Nauman et al.</w:t>
            </w:r>
          </w:p>
        </w:tc>
        <w:tc>
          <w:tcPr/>
          <w:p w:rsidR="00000000" w:rsidDel="00000000" w:rsidP="00000000" w:rsidRDefault="00000000" w:rsidRPr="00000000" w14:paraId="000001F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1F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w:t>
            </w:r>
          </w:p>
        </w:tc>
        <w:tc>
          <w:tcPr/>
          <w:p w:rsidR="00000000" w:rsidDel="00000000" w:rsidP="00000000" w:rsidRDefault="00000000" w:rsidRPr="00000000" w14:paraId="000001F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R²</w:t>
            </w:r>
          </w:p>
          <w:p w:rsidR="00000000" w:rsidDel="00000000" w:rsidP="00000000" w:rsidRDefault="00000000" w:rsidRPr="00000000" w14:paraId="000001F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between</w:t>
            </w:r>
          </w:p>
          <w:p w:rsidR="00000000" w:rsidDel="00000000" w:rsidP="00000000" w:rsidRDefault="00000000" w:rsidRPr="00000000" w14:paraId="000001F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0.5 and</w:t>
            </w:r>
          </w:p>
          <w:p w:rsidR="00000000" w:rsidDel="00000000" w:rsidP="00000000" w:rsidRDefault="00000000" w:rsidRPr="00000000" w14:paraId="000001F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0.7 under cross-validation.</w:t>
            </w:r>
          </w:p>
        </w:tc>
        <w:tc>
          <w:tcPr/>
          <w:p w:rsidR="00000000" w:rsidDel="00000000" w:rsidP="00000000" w:rsidRDefault="00000000" w:rsidRPr="00000000" w14:paraId="000001F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NCSS </w:t>
            </w:r>
          </w:p>
          <w:p w:rsidR="00000000" w:rsidDel="00000000" w:rsidP="00000000" w:rsidRDefault="00000000" w:rsidRPr="00000000" w14:paraId="000001F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SSURGO / gSSURGO</w:t>
            </w:r>
          </w:p>
          <w:p w:rsidR="00000000" w:rsidDel="00000000" w:rsidP="00000000" w:rsidRDefault="00000000" w:rsidRPr="00000000" w14:paraId="000001F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NASIS</w:t>
            </w:r>
          </w:p>
          <w:p w:rsidR="00000000" w:rsidDel="00000000" w:rsidP="00000000" w:rsidRDefault="00000000" w:rsidRPr="00000000" w14:paraId="000001FB">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F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only on digital soil mapping for the United States and did not investigate the relationships among multiple soil health indicators</w:t>
            </w:r>
          </w:p>
        </w:tc>
      </w:tr>
      <w:tr>
        <w:trPr>
          <w:cantSplit w:val="0"/>
          <w:trHeight w:val="2400" w:hRule="atLeast"/>
          <w:tblHeader w:val="0"/>
        </w:trPr>
        <w:tc>
          <w:tcPr/>
          <w:p w:rsidR="00000000" w:rsidDel="00000000" w:rsidP="00000000" w:rsidRDefault="00000000" w:rsidRPr="00000000" w14:paraId="000001F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[19]</w:t>
            </w:r>
          </w:p>
        </w:tc>
        <w:tc>
          <w:tcPr/>
          <w:p w:rsidR="00000000" w:rsidDel="00000000" w:rsidP="00000000" w:rsidRDefault="00000000" w:rsidRPr="00000000" w14:paraId="000001F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Kassai et al.</w:t>
            </w:r>
          </w:p>
        </w:tc>
        <w:tc>
          <w:tcPr/>
          <w:p w:rsidR="00000000" w:rsidDel="00000000" w:rsidP="00000000" w:rsidRDefault="00000000" w:rsidRPr="00000000" w14:paraId="000001F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2025</w:t>
            </w:r>
          </w:p>
        </w:tc>
        <w:tc>
          <w:tcPr/>
          <w:p w:rsidR="00000000" w:rsidDel="00000000" w:rsidP="00000000" w:rsidRDefault="00000000" w:rsidRPr="00000000" w14:paraId="0000020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w:t>
            </w:r>
          </w:p>
          <w:p w:rsidR="00000000" w:rsidDel="00000000" w:rsidP="00000000" w:rsidRDefault="00000000" w:rsidRPr="00000000" w14:paraId="0000020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 Kriging (RFK)</w:t>
            </w:r>
          </w:p>
        </w:tc>
        <w:tc>
          <w:tcPr/>
          <w:p w:rsidR="00000000" w:rsidDel="00000000" w:rsidP="00000000" w:rsidRDefault="00000000" w:rsidRPr="00000000" w14:paraId="0000020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PTF R²</w:t>
            </w:r>
          </w:p>
          <w:p w:rsidR="00000000" w:rsidDel="00000000" w:rsidP="00000000" w:rsidRDefault="00000000" w:rsidRPr="00000000" w14:paraId="0000020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Clay = 0.69</w:t>
            </w:r>
          </w:p>
          <w:p w:rsidR="00000000" w:rsidDel="00000000" w:rsidP="00000000" w:rsidRDefault="00000000" w:rsidRPr="00000000" w14:paraId="0000020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Silt = 0.58</w:t>
            </w:r>
          </w:p>
          <w:p w:rsidR="00000000" w:rsidDel="00000000" w:rsidP="00000000" w:rsidRDefault="00000000" w:rsidRPr="00000000" w14:paraId="0000020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Sand = 0.74,</w:t>
            </w:r>
          </w:p>
          <w:p w:rsidR="00000000" w:rsidDel="00000000" w:rsidP="00000000" w:rsidRDefault="00000000" w:rsidRPr="00000000" w14:paraId="0000020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RFK R²</w:t>
            </w:r>
          </w:p>
          <w:p w:rsidR="00000000" w:rsidDel="00000000" w:rsidP="00000000" w:rsidRDefault="00000000" w:rsidRPr="00000000" w14:paraId="0000020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Clay0.19–0.67</w:t>
            </w:r>
          </w:p>
          <w:p w:rsidR="00000000" w:rsidDel="00000000" w:rsidP="00000000" w:rsidRDefault="00000000" w:rsidRPr="00000000" w14:paraId="0000020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Silt 0.49–0.62</w:t>
            </w:r>
          </w:p>
          <w:p w:rsidR="00000000" w:rsidDel="00000000" w:rsidP="00000000" w:rsidRDefault="00000000" w:rsidRPr="00000000" w14:paraId="0000020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Sand0.69–0.74</w:t>
            </w:r>
          </w:p>
          <w:p w:rsidR="00000000" w:rsidDel="00000000" w:rsidP="00000000" w:rsidRDefault="00000000" w:rsidRPr="00000000" w14:paraId="0000020A">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0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NATASA database</w:t>
            </w:r>
          </w:p>
          <w:p w:rsidR="00000000" w:rsidDel="00000000" w:rsidP="00000000" w:rsidRDefault="00000000" w:rsidRPr="00000000" w14:paraId="0000020C">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0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only on soil texture mapping rather than analyzing multiple soil health indicators</w:t>
            </w:r>
          </w:p>
        </w:tc>
      </w:tr>
      <w:tr>
        <w:trPr>
          <w:cantSplit w:val="0"/>
          <w:trHeight w:val="2400" w:hRule="atLeast"/>
          <w:tblHeader w:val="0"/>
        </w:trPr>
        <w:tc>
          <w:tcPr/>
          <w:p w:rsidR="00000000" w:rsidDel="00000000" w:rsidP="00000000" w:rsidRDefault="00000000" w:rsidRPr="00000000" w14:paraId="0000020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w:t>
            </w:r>
          </w:p>
        </w:tc>
        <w:tc>
          <w:tcPr/>
          <w:p w:rsidR="00000000" w:rsidDel="00000000" w:rsidP="00000000" w:rsidRDefault="00000000" w:rsidRPr="00000000" w14:paraId="0000020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Khatun et al.</w:t>
            </w:r>
          </w:p>
        </w:tc>
        <w:tc>
          <w:tcPr/>
          <w:p w:rsidR="00000000" w:rsidDel="00000000" w:rsidP="00000000" w:rsidRDefault="00000000" w:rsidRPr="00000000" w14:paraId="0000021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2026</w:t>
            </w:r>
          </w:p>
        </w:tc>
        <w:tc>
          <w:tcPr/>
          <w:p w:rsidR="00000000" w:rsidDel="00000000" w:rsidP="00000000" w:rsidRDefault="00000000" w:rsidRPr="00000000" w14:paraId="0000021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PLSR</w:t>
            </w:r>
          </w:p>
          <w:p w:rsidR="00000000" w:rsidDel="00000000" w:rsidP="00000000" w:rsidRDefault="00000000" w:rsidRPr="00000000" w14:paraId="0000021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RF</w:t>
            </w:r>
          </w:p>
          <w:p w:rsidR="00000000" w:rsidDel="00000000" w:rsidP="00000000" w:rsidRDefault="00000000" w:rsidRPr="00000000" w14:paraId="0000021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SHAP</w:t>
            </w:r>
          </w:p>
          <w:p w:rsidR="00000000" w:rsidDel="00000000" w:rsidP="00000000" w:rsidRDefault="00000000" w:rsidRPr="00000000" w14:paraId="00000214">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1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R² = 0.98</w:t>
            </w:r>
          </w:p>
          <w:p w:rsidR="00000000" w:rsidDel="00000000" w:rsidP="00000000" w:rsidRDefault="00000000" w:rsidRPr="00000000" w14:paraId="0000021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RMSEP = 1.45%</w:t>
            </w:r>
          </w:p>
          <w:p w:rsidR="00000000" w:rsidDel="00000000" w:rsidP="00000000" w:rsidRDefault="00000000" w:rsidRPr="00000000" w14:paraId="00000217">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1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(OSSL)</w:t>
            </w:r>
          </w:p>
          <w:p w:rsidR="00000000" w:rsidDel="00000000" w:rsidP="00000000" w:rsidRDefault="00000000" w:rsidRPr="00000000" w14:paraId="0000021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including KSSL, LUCAS, RaCA, AfSIS, and ICRAF–ISRIC</w:t>
            </w:r>
          </w:p>
          <w:p w:rsidR="00000000" w:rsidDel="00000000" w:rsidP="00000000" w:rsidRDefault="00000000" w:rsidRPr="00000000" w14:paraId="0000021A">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1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study only focused on predicting soil organic carbon from spectral information</w:t>
            </w:r>
          </w:p>
        </w:tc>
      </w:tr>
      <w:tr>
        <w:trPr>
          <w:cantSplit w:val="0"/>
          <w:trHeight w:val="2400" w:hRule="atLeast"/>
          <w:tblHeader w:val="0"/>
        </w:trPr>
        <w:tc>
          <w:tcPr/>
          <w:p w:rsidR="00000000" w:rsidDel="00000000" w:rsidP="00000000" w:rsidRDefault="00000000" w:rsidRPr="00000000" w14:paraId="0000021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[21]</w:t>
            </w:r>
          </w:p>
        </w:tc>
        <w:tc>
          <w:tcPr/>
          <w:p w:rsidR="00000000" w:rsidDel="00000000" w:rsidP="00000000" w:rsidRDefault="00000000" w:rsidRPr="00000000" w14:paraId="0000021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Aouabed et al.</w:t>
            </w:r>
          </w:p>
        </w:tc>
        <w:tc>
          <w:tcPr/>
          <w:p w:rsidR="00000000" w:rsidDel="00000000" w:rsidP="00000000" w:rsidRDefault="00000000" w:rsidRPr="00000000" w14:paraId="0000021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2026</w:t>
            </w:r>
          </w:p>
        </w:tc>
        <w:tc>
          <w:tcPr/>
          <w:p w:rsidR="00000000" w:rsidDel="00000000" w:rsidP="00000000" w:rsidRDefault="00000000" w:rsidRPr="00000000" w14:paraId="0000021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 (RF)</w:t>
            </w:r>
          </w:p>
          <w:p w:rsidR="00000000" w:rsidDel="00000000" w:rsidP="00000000" w:rsidRDefault="00000000" w:rsidRPr="00000000" w14:paraId="0000022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Gradient Boosting (GB)</w:t>
            </w:r>
          </w:p>
          <w:p w:rsidR="00000000" w:rsidDel="00000000" w:rsidP="00000000" w:rsidRDefault="00000000" w:rsidRPr="00000000" w14:paraId="0000022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k-Nearest Neighbors (k-NN)</w:t>
            </w:r>
          </w:p>
          <w:p w:rsidR="00000000" w:rsidDel="00000000" w:rsidP="00000000" w:rsidRDefault="00000000" w:rsidRPr="00000000" w14:paraId="0000022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Support Vector Regression (SVR)</w:t>
            </w:r>
          </w:p>
          <w:p w:rsidR="00000000" w:rsidDel="00000000" w:rsidP="00000000" w:rsidRDefault="00000000" w:rsidRPr="00000000" w14:paraId="0000022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Ridge Regression</w:t>
            </w:r>
          </w:p>
          <w:p w:rsidR="00000000" w:rsidDel="00000000" w:rsidP="00000000" w:rsidRDefault="00000000" w:rsidRPr="00000000" w14:paraId="0000022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Lasso Regression</w:t>
            </w:r>
          </w:p>
          <w:p w:rsidR="00000000" w:rsidDel="00000000" w:rsidP="00000000" w:rsidRDefault="00000000" w:rsidRPr="00000000" w14:paraId="0000022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Multilayer Perceptron (MLP) Regressor</w:t>
            </w:r>
          </w:p>
        </w:tc>
        <w:tc>
          <w:tcPr/>
          <w:p w:rsidR="00000000" w:rsidDel="00000000" w:rsidP="00000000" w:rsidRDefault="00000000" w:rsidRPr="00000000" w14:paraId="0000022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The best overall</w:t>
            </w:r>
          </w:p>
          <w:p w:rsidR="00000000" w:rsidDel="00000000" w:rsidP="00000000" w:rsidRDefault="00000000" w:rsidRPr="00000000" w14:paraId="0000022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R^2=0.57 at the phylum taxonomic level by (GB)</w:t>
            </w:r>
          </w:p>
        </w:tc>
        <w:tc>
          <w:tcPr/>
          <w:p w:rsidR="00000000" w:rsidDel="00000000" w:rsidP="00000000" w:rsidRDefault="00000000" w:rsidRPr="00000000" w14:paraId="0000022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Averill et al. Dataset</w:t>
            </w:r>
          </w:p>
          <w:p w:rsidR="00000000" w:rsidDel="00000000" w:rsidP="00000000" w:rsidRDefault="00000000" w:rsidRPr="00000000" w14:paraId="00000229">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2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NEON Dataset</w:t>
            </w:r>
          </w:p>
        </w:tc>
        <w:tc>
          <w:tcPr/>
          <w:p w:rsidR="00000000" w:rsidDel="00000000" w:rsidP="00000000" w:rsidRDefault="00000000" w:rsidRPr="00000000" w14:paraId="0000022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study  only focused on predicting soil microbiome composition</w:t>
            </w:r>
          </w:p>
        </w:tc>
      </w:tr>
      <w:tr>
        <w:trPr>
          <w:cantSplit w:val="0"/>
          <w:trHeight w:val="2400" w:hRule="atLeast"/>
          <w:tblHeader w:val="0"/>
        </w:trPr>
        <w:tc>
          <w:tcPr/>
          <w:p w:rsidR="00000000" w:rsidDel="00000000" w:rsidP="00000000" w:rsidRDefault="00000000" w:rsidRPr="00000000" w14:paraId="0000022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[22]</w:t>
            </w:r>
          </w:p>
        </w:tc>
        <w:tc>
          <w:tcPr/>
          <w:p w:rsidR="00000000" w:rsidDel="00000000" w:rsidP="00000000" w:rsidRDefault="00000000" w:rsidRPr="00000000" w14:paraId="0000022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Sarangi et al.</w:t>
            </w:r>
          </w:p>
        </w:tc>
        <w:tc>
          <w:tcPr/>
          <w:p w:rsidR="00000000" w:rsidDel="00000000" w:rsidP="00000000" w:rsidRDefault="00000000" w:rsidRPr="00000000" w14:paraId="0000022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22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Logistic Regression (LR), K-Nearest Neighbors (KNN), Naive Bayes (NB), Decision Tree (DT). </w:t>
            </w:r>
          </w:p>
        </w:tc>
        <w:tc>
          <w:tcPr/>
          <w:p w:rsidR="00000000" w:rsidDel="00000000" w:rsidP="00000000" w:rsidRDefault="00000000" w:rsidRPr="00000000" w14:paraId="0000023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the DT best accuracy of 89%</w:t>
            </w:r>
          </w:p>
        </w:tc>
        <w:tc>
          <w:tcPr/>
          <w:p w:rsidR="00000000" w:rsidDel="00000000" w:rsidP="00000000" w:rsidRDefault="00000000" w:rsidRPr="00000000" w14:paraId="00000231">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Kaggel</w:t>
            </w:r>
          </w:p>
        </w:tc>
        <w:tc>
          <w:tcPr/>
          <w:p w:rsidR="00000000" w:rsidDel="00000000" w:rsidP="00000000" w:rsidRDefault="00000000" w:rsidRPr="00000000" w14:paraId="0000023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 binary soil fertility classification</w:t>
            </w:r>
          </w:p>
        </w:tc>
      </w:tr>
      <w:tr>
        <w:trPr>
          <w:cantSplit w:val="0"/>
          <w:trHeight w:val="2400" w:hRule="atLeast"/>
          <w:tblHeader w:val="0"/>
        </w:trPr>
        <w:tc>
          <w:tcPr/>
          <w:p w:rsidR="00000000" w:rsidDel="00000000" w:rsidP="00000000" w:rsidRDefault="00000000" w:rsidRPr="00000000" w14:paraId="0000023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[23]</w:t>
            </w:r>
          </w:p>
        </w:tc>
        <w:tc>
          <w:tcPr/>
          <w:p w:rsidR="00000000" w:rsidDel="00000000" w:rsidP="00000000" w:rsidRDefault="00000000" w:rsidRPr="00000000" w14:paraId="0000023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Badshah et al</w:t>
            </w:r>
          </w:p>
        </w:tc>
        <w:tc>
          <w:tcPr/>
          <w:p w:rsidR="00000000" w:rsidDel="00000000" w:rsidP="00000000" w:rsidRDefault="00000000" w:rsidRPr="00000000" w14:paraId="0000023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23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Extra Tree Classifier (ETC), Logistic Regression (LR), Decision Tree (DT), Random Forest (RF), K-Nearest Neighbor (KNN), Gaussian Naive Bayes (GNB), and Support Vector Machine (SVM).</w:t>
            </w:r>
          </w:p>
        </w:tc>
        <w:tc>
          <w:tcPr/>
          <w:p w:rsidR="00000000" w:rsidDel="00000000" w:rsidP="00000000" w:rsidRDefault="00000000" w:rsidRPr="00000000" w14:paraId="0000023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best performance by Random Forest with an accuracy of 99.7% using K-fold cross-validation.</w:t>
            </w:r>
          </w:p>
        </w:tc>
        <w:tc>
          <w:tcPr/>
          <w:p w:rsidR="00000000" w:rsidDel="00000000" w:rsidP="00000000" w:rsidRDefault="00000000" w:rsidRPr="00000000" w14:paraId="0000023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crop recommendation dataset obtained from Kaggle,</w:t>
            </w:r>
          </w:p>
          <w:p w:rsidR="00000000" w:rsidDel="00000000" w:rsidP="00000000" w:rsidRDefault="00000000" w:rsidRPr="00000000" w14:paraId="00000239">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23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FAO</w:t>
            </w:r>
          </w:p>
        </w:tc>
        <w:tc>
          <w:tcPr/>
          <w:p w:rsidR="00000000" w:rsidDel="00000000" w:rsidP="00000000" w:rsidRDefault="00000000" w:rsidRPr="00000000" w14:paraId="0000023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study focused mainly on crop recommendation and yield prediction</w:t>
            </w:r>
          </w:p>
        </w:tc>
      </w:tr>
      <w:tr>
        <w:trPr>
          <w:cantSplit w:val="0"/>
          <w:trHeight w:val="2400" w:hRule="atLeast"/>
          <w:tblHeader w:val="0"/>
        </w:trPr>
        <w:tc>
          <w:tcPr/>
          <w:p w:rsidR="00000000" w:rsidDel="00000000" w:rsidP="00000000" w:rsidRDefault="00000000" w:rsidRPr="00000000" w14:paraId="0000023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[24]</w:t>
            </w:r>
          </w:p>
        </w:tc>
        <w:tc>
          <w:tcPr/>
          <w:p w:rsidR="00000000" w:rsidDel="00000000" w:rsidP="00000000" w:rsidRDefault="00000000" w:rsidRPr="00000000" w14:paraId="0000023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Venkatanaresh and Kullayamma</w:t>
            </w:r>
          </w:p>
        </w:tc>
        <w:tc>
          <w:tcPr/>
          <w:p w:rsidR="00000000" w:rsidDel="00000000" w:rsidP="00000000" w:rsidRDefault="00000000" w:rsidRPr="00000000" w14:paraId="0000023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23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CEGRU</w:t>
            </w:r>
          </w:p>
          <w:p w:rsidR="00000000" w:rsidDel="00000000" w:rsidP="00000000" w:rsidRDefault="00000000" w:rsidRPr="00000000" w14:paraId="0000024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HPO</w:t>
            </w:r>
          </w:p>
          <w:p w:rsidR="00000000" w:rsidDel="00000000" w:rsidP="00000000" w:rsidRDefault="00000000" w:rsidRPr="00000000" w14:paraId="00000241">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24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accuracies of 99.2% and 99.3%</w:t>
            </w:r>
          </w:p>
        </w:tc>
        <w:tc>
          <w:tcPr/>
          <w:p w:rsidR="00000000" w:rsidDel="00000000" w:rsidP="00000000" w:rsidRDefault="00000000" w:rsidRPr="00000000" w14:paraId="0000024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Kaggle + Maharashtra</w:t>
            </w:r>
          </w:p>
        </w:tc>
        <w:tc>
          <w:tcPr/>
          <w:p w:rsidR="00000000" w:rsidDel="00000000" w:rsidP="00000000" w:rsidRDefault="00000000" w:rsidRPr="00000000" w14:paraId="0000024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only on recommending suitable crops based on soil, fertilizer</w:t>
            </w:r>
          </w:p>
        </w:tc>
      </w:tr>
    </w:tbl>
    <w:p w:rsidR="00000000" w:rsidDel="00000000" w:rsidP="00000000" w:rsidRDefault="00000000" w:rsidRPr="00000000" w14:paraId="00000245">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246">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247">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248">
      <w:pPr>
        <w:pStyle w:val="Heading1"/>
        <w:spacing w:after="80" w:before="360" w:line="259" w:lineRule="auto"/>
        <w:jc w:val="both"/>
        <w:rPr>
          <w:rFonts w:ascii="Play" w:cs="Play" w:eastAsia="Play" w:hAnsi="Play"/>
          <w:b w:val="1"/>
          <w:bCs w:val="1"/>
          <w:sz w:val="32"/>
          <w:szCs w:val="32"/>
        </w:rPr>
      </w:pPr>
      <w:bookmarkStart w:colFirst="0" w:colLast="0" w:name="_991sthgx4yqg" w:id="8"/>
      <w:bookmarkEnd w:id="8"/>
      <w:r w:rsidDel="00000000" w:rsidR="00000000" w:rsidRPr="00000000">
        <w:rPr>
          <w:rFonts w:ascii="Times New Roman" w:cs="Times New Roman" w:eastAsia="Times New Roman" w:hAnsi="Times New Roman"/>
          <w:b w:val="1"/>
          <w:bCs w:val="1"/>
          <w:sz w:val="36"/>
          <w:szCs w:val="36"/>
          <w:rtl w:val="0"/>
        </w:rPr>
        <w:t xml:space="preserve">References</w:t>
      </w:r>
      <w:r w:rsidDel="00000000" w:rsidR="00000000" w:rsidRPr="00000000">
        <w:rPr>
          <w:rtl w:val="0"/>
        </w:rPr>
      </w:r>
    </w:p>
    <w:p w:rsidR="00000000" w:rsidDel="00000000" w:rsidP="00000000" w:rsidRDefault="00000000" w:rsidRPr="00000000" w14:paraId="00000249">
      <w:pPr>
        <w:numPr>
          <w:ilvl w:val="0"/>
          <w:numId w:val="2"/>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 Freddy A. Diaz-Gonzalez, Jose Vuelvas, Carlos A. Correa b, Victoria E. Vallejo c, D. Patino " Machine learning and remote sensing techniques applied to estimate soil indicators – Review" 2021 </w:t>
      </w:r>
    </w:p>
    <w:p w:rsidR="00000000" w:rsidDel="00000000" w:rsidP="00000000" w:rsidRDefault="00000000" w:rsidRPr="00000000" w14:paraId="0000024A">
      <w:pPr>
        <w:spacing w:after="160" w:line="259" w:lineRule="auto"/>
        <w:ind w:left="720" w:firstLine="0"/>
        <w:rPr>
          <w:rFonts w:ascii="Aptos" w:cs="Aptos" w:eastAsia="Aptos" w:hAnsi="Aptos"/>
        </w:rPr>
      </w:pPr>
      <w:hyperlink r:id="rId13">
        <w:r w:rsidDel="00000000" w:rsidR="00000000" w:rsidRPr="00000000">
          <w:rPr>
            <w:rFonts w:ascii="Aptos" w:cs="Aptos" w:eastAsia="Aptos" w:hAnsi="Aptos"/>
            <w:color w:val="1155cc"/>
            <w:u w:val="single"/>
            <w:rtl w:val="0"/>
          </w:rPr>
          <w:t xml:space="preserve">https://doi.org/10.1016/j.ecolind.2021.108517</w:t>
        </w:r>
      </w:hyperlink>
      <w:r w:rsidDel="00000000" w:rsidR="00000000" w:rsidRPr="00000000">
        <w:rPr>
          <w:rtl w:val="0"/>
        </w:rPr>
      </w:r>
    </w:p>
    <w:p w:rsidR="00000000" w:rsidDel="00000000" w:rsidP="00000000" w:rsidRDefault="00000000" w:rsidRPr="00000000" w14:paraId="0000024B">
      <w:pPr>
        <w:numPr>
          <w:ilvl w:val="0"/>
          <w:numId w:val="2"/>
        </w:numPr>
        <w:spacing w:after="160" w:line="259" w:lineRule="auto"/>
        <w:ind w:left="720" w:hanging="360"/>
        <w:rPr>
          <w:rFonts w:ascii="Aptos" w:cs="Aptos" w:eastAsia="Aptos" w:hAnsi="Aptos"/>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ptos" w:cs="Aptos" w:eastAsia="Aptos" w:hAnsi="Aptos"/>
          <w:rtl w:val="0"/>
        </w:rPr>
        <w:t xml:space="preserve">Denis-Constantin Topa, Sorin Căpsună, Anca-Elena Calistru and Costică Ailincăi" Sustainable Practices for Enhancing Soil Health and Crop Quality in Modern Agriculture: A Review"2025</w:t>
      </w:r>
      <w:hyperlink r:id="rId14">
        <w:r w:rsidDel="00000000" w:rsidR="00000000" w:rsidRPr="00000000">
          <w:rPr>
            <w:rFonts w:ascii="Aptos" w:cs="Aptos" w:eastAsia="Aptos" w:hAnsi="Aptos"/>
            <w:rtl w:val="0"/>
          </w:rPr>
          <w:t xml:space="preserve"> </w:t>
        </w:r>
      </w:hyperlink>
      <w:r w:rsidDel="00000000" w:rsidR="00000000" w:rsidRPr="00000000">
        <w:rPr>
          <w:rtl w:val="0"/>
        </w:rPr>
      </w:r>
    </w:p>
    <w:p w:rsidR="00000000" w:rsidDel="00000000" w:rsidP="00000000" w:rsidRDefault="00000000" w:rsidRPr="00000000" w14:paraId="0000024C">
      <w:pPr>
        <w:spacing w:after="160" w:line="259" w:lineRule="auto"/>
        <w:ind w:left="720" w:firstLine="0"/>
        <w:rPr>
          <w:rFonts w:ascii="Aptos" w:cs="Aptos" w:eastAsia="Aptos" w:hAnsi="Aptos"/>
        </w:rPr>
      </w:pPr>
      <w:hyperlink r:id="rId15">
        <w:r w:rsidDel="00000000" w:rsidR="00000000" w:rsidRPr="00000000">
          <w:rPr>
            <w:rFonts w:ascii="Aptos" w:cs="Aptos" w:eastAsia="Aptos" w:hAnsi="Aptos"/>
            <w:b w:val="1"/>
            <w:bCs w:val="1"/>
            <w:color w:val="1155cc"/>
            <w:u w:val="single"/>
            <w:rtl w:val="0"/>
          </w:rPr>
          <w:t xml:space="preserve">https://doi.org/10.3390/agriculture15090998</w:t>
        </w:r>
      </w:hyperlink>
      <w:r w:rsidDel="00000000" w:rsidR="00000000" w:rsidRPr="00000000">
        <w:rPr>
          <w:rtl w:val="0"/>
        </w:rPr>
      </w:r>
    </w:p>
    <w:p w:rsidR="00000000" w:rsidDel="00000000" w:rsidP="00000000" w:rsidRDefault="00000000" w:rsidRPr="00000000" w14:paraId="0000024D">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24E">
      <w:pPr>
        <w:numPr>
          <w:ilvl w:val="0"/>
          <w:numId w:val="2"/>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 </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ptos" w:cs="Aptos" w:eastAsia="Aptos" w:hAnsi="Aptos"/>
          <w:rtl w:val="0"/>
        </w:rPr>
        <w:t xml:space="preserve">Juan Botero-Valencia, Vanessa García-Pineda ,Erick Reyes-Vera , Mateo Mejia-Herrera  , Alejandro Valencia-Arias, Ruber Hernández-García, and  Jackeline Valencia" Machine Learning in Sustainable Agriculture: Systematic Review and Research Perspectives"2025</w:t>
      </w:r>
      <w:hyperlink r:id="rId16">
        <w:r w:rsidDel="00000000" w:rsidR="00000000" w:rsidRPr="00000000">
          <w:rPr>
            <w:rFonts w:ascii="Aptos" w:cs="Aptos" w:eastAsia="Aptos" w:hAnsi="Aptos"/>
            <w:rtl w:val="0"/>
          </w:rPr>
          <w:t xml:space="preserve"> </w:t>
        </w:r>
      </w:hyperlink>
      <w:r w:rsidDel="00000000" w:rsidR="00000000" w:rsidRPr="00000000">
        <w:rPr>
          <w:rtl w:val="0"/>
        </w:rPr>
      </w:r>
    </w:p>
    <w:p w:rsidR="00000000" w:rsidDel="00000000" w:rsidP="00000000" w:rsidRDefault="00000000" w:rsidRPr="00000000" w14:paraId="0000024F">
      <w:pPr>
        <w:spacing w:after="160" w:line="259" w:lineRule="auto"/>
        <w:ind w:left="720" w:firstLine="0"/>
        <w:rPr>
          <w:rFonts w:ascii="Aptos" w:cs="Aptos" w:eastAsia="Aptos" w:hAnsi="Aptos"/>
        </w:rPr>
      </w:pPr>
      <w:hyperlink r:id="rId17">
        <w:r w:rsidDel="00000000" w:rsidR="00000000" w:rsidRPr="00000000">
          <w:rPr>
            <w:rFonts w:ascii="Aptos" w:cs="Aptos" w:eastAsia="Aptos" w:hAnsi="Aptos"/>
            <w:b w:val="1"/>
            <w:bCs w:val="1"/>
            <w:color w:val="1155cc"/>
            <w:u w:val="single"/>
            <w:rtl w:val="0"/>
          </w:rPr>
          <w:t xml:space="preserve">https://doi.org/10.3390/agriculture15040377</w:t>
        </w:r>
      </w:hyperlink>
      <w:r w:rsidDel="00000000" w:rsidR="00000000" w:rsidRPr="00000000">
        <w:rPr>
          <w:rtl w:val="0"/>
        </w:rPr>
      </w:r>
    </w:p>
    <w:p w:rsidR="00000000" w:rsidDel="00000000" w:rsidP="00000000" w:rsidRDefault="00000000" w:rsidRPr="00000000" w14:paraId="00000250">
      <w:pPr>
        <w:spacing w:after="160" w:line="259"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251">
      <w:pPr>
        <w:numPr>
          <w:ilvl w:val="0"/>
          <w:numId w:val="2"/>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Sanjay Motia, and SRN Reddy,  “Exploration of machine learning methods for prediction and assessment of soil properties for agricultural soil management: a quantitative evaluation”2021 </w:t>
      </w:r>
    </w:p>
    <w:p w:rsidR="00000000" w:rsidDel="00000000" w:rsidP="00000000" w:rsidRDefault="00000000" w:rsidRPr="00000000" w14:paraId="00000252">
      <w:pPr>
        <w:spacing w:after="160" w:line="259" w:lineRule="auto"/>
        <w:ind w:left="720" w:firstLine="0"/>
        <w:rPr>
          <w:rFonts w:ascii="Aptos" w:cs="Aptos" w:eastAsia="Aptos" w:hAnsi="Aptos"/>
        </w:rPr>
      </w:pPr>
      <w:hyperlink r:id="rId18">
        <w:r w:rsidDel="00000000" w:rsidR="00000000" w:rsidRPr="00000000">
          <w:rPr>
            <w:rFonts w:ascii="Aptos" w:cs="Aptos" w:eastAsia="Aptos" w:hAnsi="Aptos"/>
            <w:color w:val="1155cc"/>
            <w:u w:val="single"/>
            <w:rtl w:val="0"/>
          </w:rPr>
          <w:t xml:space="preserve">https://doi.org/10.1088/1742-6596/1950/1/012037</w:t>
        </w:r>
      </w:hyperlink>
      <w:r w:rsidDel="00000000" w:rsidR="00000000" w:rsidRPr="00000000">
        <w:rPr>
          <w:rtl w:val="0"/>
        </w:rPr>
      </w:r>
    </w:p>
    <w:p w:rsidR="00000000" w:rsidDel="00000000" w:rsidP="00000000" w:rsidRDefault="00000000" w:rsidRPr="00000000" w14:paraId="00000253">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254">
      <w:pPr>
        <w:numPr>
          <w:ilvl w:val="0"/>
          <w:numId w:val="2"/>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 Muhammad Awais, Syed Muhammad Zaigham Abbas Naqvi, Hao Zhang, Linze Li, Wei Zhang, Fuad A. Awwad, Emad A. A. Ismail, M. Ijaz Khan, Vijaya Raghavan and Jiandong Hu*" AI and machine learning for soil analysis: an assessment of sustainable agricultural practices"2023 </w:t>
      </w:r>
    </w:p>
    <w:p w:rsidR="00000000" w:rsidDel="00000000" w:rsidP="00000000" w:rsidRDefault="00000000" w:rsidRPr="00000000" w14:paraId="00000255">
      <w:pPr>
        <w:spacing w:after="160" w:line="259" w:lineRule="auto"/>
        <w:ind w:left="720" w:firstLine="0"/>
        <w:rPr>
          <w:rFonts w:ascii="Aptos" w:cs="Aptos" w:eastAsia="Aptos" w:hAnsi="Aptos"/>
        </w:rPr>
      </w:pPr>
      <w:hyperlink r:id="rId19">
        <w:r w:rsidDel="00000000" w:rsidR="00000000" w:rsidRPr="00000000">
          <w:rPr>
            <w:rFonts w:ascii="Aptos" w:cs="Aptos" w:eastAsia="Aptos" w:hAnsi="Aptos"/>
            <w:color w:val="0000ff"/>
            <w:u w:val="single"/>
            <w:rtl w:val="0"/>
          </w:rPr>
          <w:t xml:space="preserve">https://doi.org/10.1186/s40643-023-00710-y</w:t>
        </w:r>
      </w:hyperlink>
      <w:r w:rsidDel="00000000" w:rsidR="00000000" w:rsidRPr="00000000">
        <w:rPr>
          <w:rtl w:val="0"/>
        </w:rPr>
      </w:r>
    </w:p>
    <w:p w:rsidR="00000000" w:rsidDel="00000000" w:rsidP="00000000" w:rsidRDefault="00000000" w:rsidRPr="00000000" w14:paraId="00000256">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257">
      <w:pPr>
        <w:numPr>
          <w:ilvl w:val="0"/>
          <w:numId w:val="2"/>
        </w:numPr>
        <w:spacing w:line="259" w:lineRule="auto"/>
        <w:ind w:left="720" w:hanging="360"/>
        <w:rPr>
          <w:rFonts w:ascii="Aptos" w:cs="Aptos" w:eastAsia="Aptos" w:hAnsi="Aptos"/>
        </w:rPr>
      </w:pPr>
      <w:r w:rsidDel="00000000" w:rsidR="00000000" w:rsidRPr="00000000">
        <w:rPr>
          <w:rFonts w:ascii="Aptos" w:cs="Aptos" w:eastAsia="Aptos" w:hAnsi="Aptos"/>
          <w:rtl w:val="0"/>
        </w:rPr>
        <w:t xml:space="preserve"> T. Blesslin Sheeba,1 L. D. Vijay Anand, Gunaselvi Manohar, Saravana Selvan, Bazil Wilfred, K. Muthukumar, S. Padmavathy, P. Ramesh Kumar,and Belete Tessema Asfaw " Machine Learning Algorithm for Soil Analysis and Classification of Micronutrients in IoT-Enabled Automated Farms"2022</w:t>
      </w:r>
    </w:p>
    <w:p w:rsidR="00000000" w:rsidDel="00000000" w:rsidP="00000000" w:rsidRDefault="00000000" w:rsidRPr="00000000" w14:paraId="00000258">
      <w:pPr>
        <w:spacing w:line="259" w:lineRule="auto"/>
        <w:ind w:left="720" w:firstLine="0"/>
        <w:rPr>
          <w:rFonts w:ascii="Aptos" w:cs="Aptos" w:eastAsia="Aptos" w:hAnsi="Aptos"/>
        </w:rPr>
      </w:pPr>
      <w:r w:rsidDel="00000000" w:rsidR="00000000" w:rsidRPr="00000000">
        <w:rPr>
          <w:rFonts w:ascii="Aptos" w:cs="Aptos" w:eastAsia="Aptos" w:hAnsi="Aptos"/>
          <w:rtl w:val="0"/>
        </w:rPr>
        <w:t xml:space="preserve"> </w:t>
      </w:r>
      <w:hyperlink r:id="rId20">
        <w:r w:rsidDel="00000000" w:rsidR="00000000" w:rsidRPr="00000000">
          <w:rPr>
            <w:rFonts w:ascii="Aptos" w:cs="Aptos" w:eastAsia="Aptos" w:hAnsi="Aptos"/>
            <w:color w:val="0000ff"/>
            <w:u w:val="single"/>
            <w:rtl w:val="0"/>
          </w:rPr>
          <w:t xml:space="preserve">https://doi.org/10.1155/2022/5343965</w:t>
        </w:r>
      </w:hyperlink>
      <w:r w:rsidDel="00000000" w:rsidR="00000000" w:rsidRPr="00000000">
        <w:rPr>
          <w:rtl w:val="0"/>
        </w:rPr>
      </w:r>
    </w:p>
    <w:p w:rsidR="00000000" w:rsidDel="00000000" w:rsidP="00000000" w:rsidRDefault="00000000" w:rsidRPr="00000000" w14:paraId="00000259">
      <w:pPr>
        <w:spacing w:line="259" w:lineRule="auto"/>
        <w:rPr>
          <w:rFonts w:ascii="Aptos" w:cs="Aptos" w:eastAsia="Aptos" w:hAnsi="Aptos"/>
        </w:rPr>
      </w:pPr>
      <w:r w:rsidDel="00000000" w:rsidR="00000000" w:rsidRPr="00000000">
        <w:rPr>
          <w:rtl w:val="0"/>
        </w:rPr>
      </w:r>
    </w:p>
    <w:p w:rsidR="00000000" w:rsidDel="00000000" w:rsidP="00000000" w:rsidRDefault="00000000" w:rsidRPr="00000000" w14:paraId="0000025A">
      <w:pPr>
        <w:spacing w:line="259" w:lineRule="auto"/>
        <w:rPr>
          <w:rFonts w:ascii="Aptos" w:cs="Aptos" w:eastAsia="Aptos" w:hAnsi="Aptos"/>
        </w:rPr>
      </w:pPr>
      <w:r w:rsidDel="00000000" w:rsidR="00000000" w:rsidRPr="00000000">
        <w:rPr>
          <w:rtl w:val="0"/>
        </w:rPr>
      </w:r>
    </w:p>
    <w:p w:rsidR="00000000" w:rsidDel="00000000" w:rsidP="00000000" w:rsidRDefault="00000000" w:rsidRPr="00000000" w14:paraId="0000025B">
      <w:pPr>
        <w:numPr>
          <w:ilvl w:val="0"/>
          <w:numId w:val="2"/>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HARSHIV CHANDRA , PRANAV M. PAWAR ELAKKIYA R., TAMIZHARASAN P S, RAJA MUTHALAGU AND ALAVIKUNHU PANTHAKKAN ”Explainable AI for Soil Fertility Prediction” 2023</w:t>
      </w:r>
    </w:p>
    <w:p w:rsidR="00000000" w:rsidDel="00000000" w:rsidP="00000000" w:rsidRDefault="00000000" w:rsidRPr="00000000" w14:paraId="0000025C">
      <w:pPr>
        <w:spacing w:after="160" w:line="259" w:lineRule="auto"/>
        <w:ind w:left="720" w:firstLine="0"/>
        <w:rPr>
          <w:rFonts w:ascii="Aptos" w:cs="Aptos" w:eastAsia="Aptos" w:hAnsi="Aptos"/>
        </w:rPr>
      </w:pPr>
      <w:hyperlink r:id="rId21">
        <w:r w:rsidDel="00000000" w:rsidR="00000000" w:rsidRPr="00000000">
          <w:rPr>
            <w:rFonts w:ascii="Aptos" w:cs="Aptos" w:eastAsia="Aptos" w:hAnsi="Aptos"/>
            <w:color w:val="1155cc"/>
            <w:u w:val="single"/>
            <w:rtl w:val="0"/>
          </w:rPr>
          <w:t xml:space="preserve">https://doi.org/10.1109/ACCESS.2023.3311827</w:t>
        </w:r>
      </w:hyperlink>
      <w:r w:rsidDel="00000000" w:rsidR="00000000" w:rsidRPr="00000000">
        <w:rPr>
          <w:rtl w:val="0"/>
        </w:rPr>
      </w:r>
    </w:p>
    <w:p w:rsidR="00000000" w:rsidDel="00000000" w:rsidP="00000000" w:rsidRDefault="00000000" w:rsidRPr="00000000" w14:paraId="0000025D">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25E">
      <w:pPr>
        <w:numPr>
          <w:ilvl w:val="0"/>
          <w:numId w:val="2"/>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Mohammadmehdi Saberioon, Asa Gholizadeh, Ali Ghaznavi, Sabine Chabrillat, Vahid Khosravi “Enhancing soil organic carbon prediction of LUCAS soil database using deep learning and deep feature selection”2024 </w:t>
      </w:r>
    </w:p>
    <w:p w:rsidR="00000000" w:rsidDel="00000000" w:rsidP="00000000" w:rsidRDefault="00000000" w:rsidRPr="00000000" w14:paraId="0000025F">
      <w:pPr>
        <w:spacing w:after="160" w:line="259" w:lineRule="auto"/>
        <w:ind w:left="720" w:firstLine="0"/>
        <w:rPr>
          <w:rFonts w:ascii="Aptos" w:cs="Aptos" w:eastAsia="Aptos" w:hAnsi="Aptos"/>
        </w:rPr>
      </w:pPr>
      <w:hyperlink r:id="rId22">
        <w:r w:rsidDel="00000000" w:rsidR="00000000" w:rsidRPr="00000000">
          <w:rPr>
            <w:rFonts w:ascii="Aptos" w:cs="Aptos" w:eastAsia="Aptos" w:hAnsi="Aptos"/>
            <w:color w:val="1155cc"/>
            <w:u w:val="single"/>
            <w:rtl w:val="0"/>
          </w:rPr>
          <w:t xml:space="preserve">https://doi.org/10.1016/j.compag.2024.109494</w:t>
        </w:r>
      </w:hyperlink>
      <w:r w:rsidDel="00000000" w:rsidR="00000000" w:rsidRPr="00000000">
        <w:rPr>
          <w:rtl w:val="0"/>
        </w:rPr>
      </w:r>
    </w:p>
    <w:p w:rsidR="00000000" w:rsidDel="00000000" w:rsidP="00000000" w:rsidRDefault="00000000" w:rsidRPr="00000000" w14:paraId="00000260">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261">
      <w:pPr>
        <w:numPr>
          <w:ilvl w:val="0"/>
          <w:numId w:val="2"/>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Osayande Pascal Omondiagbe, Linda Lilburne, Sherlock A. Licorish , Stephen G. MacDonell.”Soil texture prediction with automated deep convolutional neural networks and population-based learning” 2023</w:t>
      </w:r>
    </w:p>
    <w:p w:rsidR="00000000" w:rsidDel="00000000" w:rsidP="00000000" w:rsidRDefault="00000000" w:rsidRPr="00000000" w14:paraId="00000262">
      <w:pPr>
        <w:spacing w:after="160" w:line="259" w:lineRule="auto"/>
        <w:ind w:left="720" w:firstLine="0"/>
        <w:rPr>
          <w:rFonts w:ascii="Aptos" w:cs="Aptos" w:eastAsia="Aptos" w:hAnsi="Aptos"/>
        </w:rPr>
      </w:pPr>
      <w:r w:rsidDel="00000000" w:rsidR="00000000" w:rsidRPr="00000000">
        <w:rPr>
          <w:rFonts w:ascii="Aptos" w:cs="Aptos" w:eastAsia="Aptos" w:hAnsi="Aptos"/>
          <w:rtl w:val="0"/>
        </w:rPr>
        <w:t xml:space="preserve"> </w:t>
      </w:r>
      <w:hyperlink r:id="rId23">
        <w:r w:rsidDel="00000000" w:rsidR="00000000" w:rsidRPr="00000000">
          <w:rPr>
            <w:rFonts w:ascii="Aptos" w:cs="Aptos" w:eastAsia="Aptos" w:hAnsi="Aptos"/>
            <w:color w:val="1155cc"/>
            <w:u w:val="single"/>
            <w:rtl w:val="0"/>
          </w:rPr>
          <w:t xml:space="preserve">https://doi.org/10.1016/j.geoderma.2023.116521</w:t>
        </w:r>
      </w:hyperlink>
      <w:r w:rsidDel="00000000" w:rsidR="00000000" w:rsidRPr="00000000">
        <w:rPr>
          <w:rtl w:val="0"/>
        </w:rPr>
      </w:r>
    </w:p>
    <w:p w:rsidR="00000000" w:rsidDel="00000000" w:rsidP="00000000" w:rsidRDefault="00000000" w:rsidRPr="00000000" w14:paraId="00000263">
      <w:pPr>
        <w:spacing w:after="160" w:line="259"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264">
      <w:pPr>
        <w:numPr>
          <w:ilvl w:val="0"/>
          <w:numId w:val="2"/>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Zhaoyu Zhai, Fuji Chen, Hongfeng Yu, Jun Hu, Xinfei Zhou, Huanliang Xu. ”PS-MTL-LUCAS: A partially shared multi-task learning model for simultaneously predicting multiple soil properties” 2024 </w:t>
      </w:r>
    </w:p>
    <w:p w:rsidR="00000000" w:rsidDel="00000000" w:rsidP="00000000" w:rsidRDefault="00000000" w:rsidRPr="00000000" w14:paraId="00000265">
      <w:pPr>
        <w:spacing w:after="160" w:line="259" w:lineRule="auto"/>
        <w:ind w:left="720" w:firstLine="0"/>
        <w:rPr>
          <w:rFonts w:ascii="Aptos" w:cs="Aptos" w:eastAsia="Aptos" w:hAnsi="Aptos"/>
        </w:rPr>
      </w:pPr>
      <w:hyperlink r:id="rId24">
        <w:r w:rsidDel="00000000" w:rsidR="00000000" w:rsidRPr="00000000">
          <w:rPr>
            <w:rFonts w:ascii="Aptos" w:cs="Aptos" w:eastAsia="Aptos" w:hAnsi="Aptos"/>
            <w:color w:val="1155cc"/>
            <w:u w:val="single"/>
            <w:rtl w:val="0"/>
          </w:rPr>
          <w:t xml:space="preserve">https://doi.org/10.1016/j.ecoinf.2024.102784</w:t>
        </w:r>
      </w:hyperlink>
      <w:r w:rsidDel="00000000" w:rsidR="00000000" w:rsidRPr="00000000">
        <w:rPr>
          <w:rtl w:val="0"/>
        </w:rPr>
      </w:r>
    </w:p>
    <w:p w:rsidR="00000000" w:rsidDel="00000000" w:rsidP="00000000" w:rsidRDefault="00000000" w:rsidRPr="00000000" w14:paraId="00000266">
      <w:pPr>
        <w:spacing w:after="160" w:line="259"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267">
      <w:pPr>
        <w:numPr>
          <w:ilvl w:val="0"/>
          <w:numId w:val="2"/>
        </w:numPr>
        <w:ind w:left="720" w:hanging="360"/>
        <w:rPr>
          <w:rFonts w:ascii="Aptos" w:cs="Aptos" w:eastAsia="Aptos" w:hAnsi="Aptos"/>
        </w:rPr>
      </w:pPr>
      <w:r w:rsidDel="00000000" w:rsidR="00000000" w:rsidRPr="00000000">
        <w:rPr>
          <w:rtl w:val="0"/>
        </w:rPr>
        <w:t xml:space="preserve">Flavio Piccoli, Micol Rossini, Roberto Colombo, Raimondo Schettini, Paolo Napoletano “A deep scalable neural architecture for soil properties estimation from spectral information” 2023</w:t>
      </w:r>
      <w:r w:rsidDel="00000000" w:rsidR="00000000" w:rsidRPr="00000000">
        <w:rPr>
          <w:rtl w:val="0"/>
        </w:rPr>
      </w:r>
    </w:p>
    <w:p w:rsidR="00000000" w:rsidDel="00000000" w:rsidP="00000000" w:rsidRDefault="00000000" w:rsidRPr="00000000" w14:paraId="00000268">
      <w:pPr>
        <w:ind w:left="720" w:firstLine="0"/>
        <w:rPr/>
      </w:pPr>
      <w:r w:rsidDel="00000000" w:rsidR="00000000" w:rsidRPr="00000000">
        <w:rPr>
          <w:rtl w:val="0"/>
        </w:rPr>
        <w:t xml:space="preserve"> </w:t>
      </w:r>
      <w:hyperlink r:id="rId25">
        <w:r w:rsidDel="00000000" w:rsidR="00000000" w:rsidRPr="00000000">
          <w:rPr>
            <w:color w:val="1155cc"/>
            <w:u w:val="single"/>
            <w:rtl w:val="0"/>
          </w:rPr>
          <w:t xml:space="preserve">https://doi.org/10.1016/j.cageo.2023.105433</w:t>
        </w:r>
      </w:hyperlink>
      <w:r w:rsidDel="00000000" w:rsidR="00000000" w:rsidRPr="00000000">
        <w:rPr>
          <w:rtl w:val="0"/>
        </w:rPr>
      </w:r>
    </w:p>
    <w:p w:rsidR="00000000" w:rsidDel="00000000" w:rsidP="00000000" w:rsidRDefault="00000000" w:rsidRPr="00000000" w14:paraId="00000269">
      <w:pPr>
        <w:ind w:left="720" w:firstLine="0"/>
        <w:rPr/>
      </w:pPr>
      <w:r w:rsidDel="00000000" w:rsidR="00000000" w:rsidRPr="00000000">
        <w:rPr>
          <w:rtl w:val="0"/>
        </w:rPr>
      </w:r>
    </w:p>
    <w:p w:rsidR="00000000" w:rsidDel="00000000" w:rsidP="00000000" w:rsidRDefault="00000000" w:rsidRPr="00000000" w14:paraId="0000026A">
      <w:pPr>
        <w:numPr>
          <w:ilvl w:val="0"/>
          <w:numId w:val="2"/>
        </w:numPr>
        <w:ind w:left="720" w:hanging="360"/>
        <w:rPr/>
      </w:pPr>
      <w:r w:rsidDel="00000000" w:rsidR="00000000" w:rsidRPr="00000000">
        <w:rPr>
          <w:rtl w:val="0"/>
        </w:rPr>
        <w:t xml:space="preserve">Liwei Liu and Xingmao Ma”Prediction of Soil Field Capacity and Permanent Wilting Point Using Accessible Parameters by Machine Learning” 2024</w:t>
      </w:r>
    </w:p>
    <w:p w:rsidR="00000000" w:rsidDel="00000000" w:rsidP="00000000" w:rsidRDefault="00000000" w:rsidRPr="00000000" w14:paraId="0000026B">
      <w:pPr>
        <w:ind w:left="720" w:firstLine="0"/>
        <w:rPr/>
      </w:pPr>
      <w:hyperlink r:id="rId26">
        <w:r w:rsidDel="00000000" w:rsidR="00000000" w:rsidRPr="00000000">
          <w:rPr>
            <w:color w:val="1155cc"/>
            <w:u w:val="single"/>
            <w:rtl w:val="0"/>
          </w:rPr>
          <w:t xml:space="preserve">https://doi.org/10.3390/agriengineering6030151</w:t>
        </w:r>
      </w:hyperlink>
      <w:r w:rsidDel="00000000" w:rsidR="00000000" w:rsidRPr="00000000">
        <w:rPr>
          <w:rtl w:val="0"/>
        </w:rPr>
      </w:r>
    </w:p>
    <w:p w:rsidR="00000000" w:rsidDel="00000000" w:rsidP="00000000" w:rsidRDefault="00000000" w:rsidRPr="00000000" w14:paraId="0000026C">
      <w:pPr>
        <w:ind w:left="720" w:firstLine="0"/>
        <w:rPr/>
      </w:pPr>
      <w:r w:rsidDel="00000000" w:rsidR="00000000" w:rsidRPr="00000000">
        <w:rPr>
          <w:rtl w:val="0"/>
        </w:rPr>
      </w:r>
    </w:p>
    <w:p w:rsidR="00000000" w:rsidDel="00000000" w:rsidP="00000000" w:rsidRDefault="00000000" w:rsidRPr="00000000" w14:paraId="0000026D">
      <w:pPr>
        <w:numPr>
          <w:ilvl w:val="0"/>
          <w:numId w:val="2"/>
        </w:numPr>
        <w:ind w:left="720" w:hanging="360"/>
        <w:rPr/>
      </w:pPr>
      <w:r w:rsidDel="00000000" w:rsidR="00000000" w:rsidRPr="00000000">
        <w:rPr>
          <w:rtl w:val="0"/>
        </w:rPr>
        <w:t xml:space="preserve">Baoyang Liu, Baofeng Guo, Renxiong Zhuo, Fan Dai, Haoyu Chi “Prediction of the soil organic carbon in the LUCAS soil database based on spectral clustering” 2023 </w:t>
      </w:r>
    </w:p>
    <w:p w:rsidR="00000000" w:rsidDel="00000000" w:rsidP="00000000" w:rsidRDefault="00000000" w:rsidRPr="00000000" w14:paraId="0000026E">
      <w:pPr>
        <w:ind w:left="720" w:firstLine="0"/>
        <w:rPr/>
      </w:pPr>
      <w:hyperlink r:id="rId27">
        <w:r w:rsidDel="00000000" w:rsidR="00000000" w:rsidRPr="00000000">
          <w:rPr>
            <w:color w:val="1155cc"/>
            <w:u w:val="single"/>
            <w:rtl w:val="0"/>
          </w:rPr>
          <w:t xml:space="preserve">https://doi.org/10.17221/97/2022-SWR</w:t>
        </w:r>
      </w:hyperlink>
      <w:r w:rsidDel="00000000" w:rsidR="00000000" w:rsidRPr="00000000">
        <w:rPr>
          <w:rtl w:val="0"/>
        </w:rPr>
      </w:r>
    </w:p>
    <w:p w:rsidR="00000000" w:rsidDel="00000000" w:rsidP="00000000" w:rsidRDefault="00000000" w:rsidRPr="00000000" w14:paraId="0000026F">
      <w:pPr>
        <w:ind w:left="720" w:firstLine="0"/>
        <w:rPr/>
      </w:pPr>
      <w:r w:rsidDel="00000000" w:rsidR="00000000" w:rsidRPr="00000000">
        <w:rPr>
          <w:rtl w:val="0"/>
        </w:rPr>
      </w:r>
    </w:p>
    <w:p w:rsidR="00000000" w:rsidDel="00000000" w:rsidP="00000000" w:rsidRDefault="00000000" w:rsidRPr="00000000" w14:paraId="00000270">
      <w:pPr>
        <w:numPr>
          <w:ilvl w:val="0"/>
          <w:numId w:val="2"/>
        </w:numPr>
        <w:ind w:left="720" w:hanging="360"/>
        <w:rPr/>
      </w:pPr>
      <w:r w:rsidDel="00000000" w:rsidR="00000000" w:rsidRPr="00000000">
        <w:rPr>
          <w:rtl w:val="0"/>
        </w:rPr>
        <w:t xml:space="preserve">Zahra Ghahremani, David Huber, Arash Modaresi Rad, Mike J. Johnson, Jennifer Pierce “A Machine Learning-Based High-Resolution Inventory of Soil Inorganic Carbon Across the Contiguous United States” 2026</w:t>
      </w:r>
    </w:p>
    <w:p w:rsidR="00000000" w:rsidDel="00000000" w:rsidP="00000000" w:rsidRDefault="00000000" w:rsidRPr="00000000" w14:paraId="00000271">
      <w:pPr>
        <w:ind w:left="720" w:firstLine="0"/>
        <w:rPr/>
      </w:pPr>
      <w:r w:rsidDel="00000000" w:rsidR="00000000" w:rsidRPr="00000000">
        <w:rPr>
          <w:rtl w:val="0"/>
        </w:rPr>
        <w:t xml:space="preserve"> </w:t>
      </w:r>
      <w:hyperlink r:id="rId28">
        <w:r w:rsidDel="00000000" w:rsidR="00000000" w:rsidRPr="00000000">
          <w:rPr>
            <w:color w:val="1155cc"/>
            <w:u w:val="single"/>
            <w:rtl w:val="0"/>
          </w:rPr>
          <w:t xml:space="preserve">https://doi.org/10.1029/2025GL120355</w:t>
        </w:r>
      </w:hyperlink>
      <w:r w:rsidDel="00000000" w:rsidR="00000000" w:rsidRPr="00000000">
        <w:rPr>
          <w:rtl w:val="0"/>
        </w:rPr>
      </w:r>
    </w:p>
    <w:p w:rsidR="00000000" w:rsidDel="00000000" w:rsidP="00000000" w:rsidRDefault="00000000" w:rsidRPr="00000000" w14:paraId="00000272">
      <w:pPr>
        <w:ind w:left="720" w:firstLine="0"/>
        <w:rPr/>
      </w:pPr>
      <w:r w:rsidDel="00000000" w:rsidR="00000000" w:rsidRPr="00000000">
        <w:rPr>
          <w:rtl w:val="0"/>
        </w:rPr>
      </w:r>
    </w:p>
    <w:p w:rsidR="00000000" w:rsidDel="00000000" w:rsidP="00000000" w:rsidRDefault="00000000" w:rsidRPr="00000000" w14:paraId="00000273">
      <w:pPr>
        <w:numPr>
          <w:ilvl w:val="0"/>
          <w:numId w:val="2"/>
        </w:numPr>
        <w:ind w:left="720" w:hanging="360"/>
        <w:rPr/>
      </w:pPr>
      <w:r w:rsidDel="00000000" w:rsidR="00000000" w:rsidRPr="00000000">
        <w:rPr>
          <w:rtl w:val="0"/>
        </w:rPr>
        <w:t xml:space="preserve">Amanda Ramcharan, Tomislav Hengl, Dylan Beaudette, Skye Wills “A Soil Bulk Density Pedotransfer Function Based on Machine Learning: A Case Study with the NCSS Soil Characterization Database” 2017</w:t>
      </w:r>
    </w:p>
    <w:p w:rsidR="00000000" w:rsidDel="00000000" w:rsidP="00000000" w:rsidRDefault="00000000" w:rsidRPr="00000000" w14:paraId="00000274">
      <w:pPr>
        <w:ind w:left="720" w:firstLine="0"/>
        <w:rPr/>
      </w:pPr>
      <w:hyperlink r:id="rId29">
        <w:r w:rsidDel="00000000" w:rsidR="00000000" w:rsidRPr="00000000">
          <w:rPr>
            <w:color w:val="1155cc"/>
            <w:u w:val="single"/>
            <w:rtl w:val="0"/>
          </w:rPr>
          <w:t xml:space="preserve">https://doi.org/10.2136/sssaj2016.12.0421</w:t>
        </w:r>
      </w:hyperlink>
      <w:r w:rsidDel="00000000" w:rsidR="00000000" w:rsidRPr="00000000">
        <w:rPr>
          <w:rtl w:val="0"/>
        </w:rPr>
      </w:r>
    </w:p>
    <w:p w:rsidR="00000000" w:rsidDel="00000000" w:rsidP="00000000" w:rsidRDefault="00000000" w:rsidRPr="00000000" w14:paraId="00000275">
      <w:pPr>
        <w:ind w:left="720" w:firstLine="0"/>
        <w:rPr/>
      </w:pPr>
      <w:r w:rsidDel="00000000" w:rsidR="00000000" w:rsidRPr="00000000">
        <w:rPr>
          <w:rtl w:val="0"/>
        </w:rPr>
      </w:r>
    </w:p>
    <w:p w:rsidR="00000000" w:rsidDel="00000000" w:rsidP="00000000" w:rsidRDefault="00000000" w:rsidRPr="00000000" w14:paraId="00000276">
      <w:pPr>
        <w:ind w:left="720" w:firstLine="0"/>
        <w:rPr/>
      </w:pPr>
      <w:r w:rsidDel="00000000" w:rsidR="00000000" w:rsidRPr="00000000">
        <w:rPr>
          <w:rtl w:val="0"/>
        </w:rPr>
      </w:r>
    </w:p>
    <w:p w:rsidR="00000000" w:rsidDel="00000000" w:rsidP="00000000" w:rsidRDefault="00000000" w:rsidRPr="00000000" w14:paraId="00000277">
      <w:pPr>
        <w:numPr>
          <w:ilvl w:val="0"/>
          <w:numId w:val="2"/>
        </w:numPr>
        <w:ind w:left="720" w:hanging="360"/>
        <w:rPr/>
      </w:pPr>
      <w:r w:rsidDel="00000000" w:rsidR="00000000" w:rsidRPr="00000000">
        <w:rPr>
          <w:rtl w:val="0"/>
        </w:rPr>
        <w:t xml:space="preserve">Luning Sun, José L. Safanelli, Jonathan Sanderman, </w:t>
      </w:r>
    </w:p>
    <w:p w:rsidR="00000000" w:rsidDel="00000000" w:rsidP="00000000" w:rsidRDefault="00000000" w:rsidRPr="00000000" w14:paraId="00000278">
      <w:pPr>
        <w:ind w:left="720" w:firstLine="0"/>
        <w:rPr/>
      </w:pPr>
      <w:r w:rsidDel="00000000" w:rsidR="00000000" w:rsidRPr="00000000">
        <w:rPr>
          <w:rtl w:val="0"/>
        </w:rPr>
        <w:t xml:space="preserve">Katerina Georgiou, Colby Brungard, Kanchan Grover, Bryan G. Hopkins, Shusen Liu, Peer-Timo Bremer “Self-supervised and multi-fidelity learning for extended predictive soil spectroscopy” 2026</w:t>
      </w:r>
    </w:p>
    <w:p w:rsidR="00000000" w:rsidDel="00000000" w:rsidP="00000000" w:rsidRDefault="00000000" w:rsidRPr="00000000" w14:paraId="00000279">
      <w:pPr>
        <w:ind w:left="720" w:firstLine="0"/>
        <w:rPr/>
      </w:pPr>
      <w:hyperlink r:id="rId30">
        <w:r w:rsidDel="00000000" w:rsidR="00000000" w:rsidRPr="00000000">
          <w:rPr>
            <w:color w:val="1155cc"/>
            <w:u w:val="single"/>
            <w:rtl w:val="0"/>
          </w:rPr>
          <w:t xml:space="preserve">https://doi.org/10.1016/j.geoderma.2026.117764</w:t>
        </w:r>
      </w:hyperlink>
      <w:r w:rsidDel="00000000" w:rsidR="00000000" w:rsidRPr="00000000">
        <w:rPr>
          <w:rtl w:val="0"/>
        </w:rPr>
      </w:r>
    </w:p>
    <w:p w:rsidR="00000000" w:rsidDel="00000000" w:rsidP="00000000" w:rsidRDefault="00000000" w:rsidRPr="00000000" w14:paraId="0000027A">
      <w:pPr>
        <w:ind w:left="720" w:firstLine="0"/>
        <w:rPr/>
      </w:pPr>
      <w:r w:rsidDel="00000000" w:rsidR="00000000" w:rsidRPr="00000000">
        <w:rPr>
          <w:rtl w:val="0"/>
        </w:rPr>
      </w:r>
    </w:p>
    <w:p w:rsidR="00000000" w:rsidDel="00000000" w:rsidP="00000000" w:rsidRDefault="00000000" w:rsidRPr="00000000" w14:paraId="0000027B">
      <w:pPr>
        <w:ind w:left="720" w:firstLine="0"/>
        <w:rPr/>
      </w:pPr>
      <w:r w:rsidDel="00000000" w:rsidR="00000000" w:rsidRPr="00000000">
        <w:rPr>
          <w:rtl w:val="0"/>
        </w:rPr>
      </w:r>
    </w:p>
    <w:p w:rsidR="00000000" w:rsidDel="00000000" w:rsidP="00000000" w:rsidRDefault="00000000" w:rsidRPr="00000000" w14:paraId="0000027C">
      <w:pPr>
        <w:numPr>
          <w:ilvl w:val="0"/>
          <w:numId w:val="2"/>
        </w:numPr>
        <w:ind w:left="720" w:hanging="360"/>
        <w:rPr/>
      </w:pPr>
      <w:r w:rsidDel="00000000" w:rsidR="00000000" w:rsidRPr="00000000">
        <w:rPr>
          <w:rtl w:val="0"/>
        </w:rPr>
        <w:t xml:space="preserve">Shams R. Rahmani, Jason P. Ackerson, Darrell Schulze, Kabindra Adhikari and Zamir Libohova “Digital Mapping of Soil Organic Matter and Cation Exchange Capacity in a Low Relief Landscape Using LiDAR Data” 2022</w:t>
      </w:r>
    </w:p>
    <w:p w:rsidR="00000000" w:rsidDel="00000000" w:rsidP="00000000" w:rsidRDefault="00000000" w:rsidRPr="00000000" w14:paraId="0000027D">
      <w:pPr>
        <w:ind w:left="720" w:firstLine="0"/>
        <w:rPr/>
      </w:pPr>
      <w:hyperlink r:id="rId31">
        <w:r w:rsidDel="00000000" w:rsidR="00000000" w:rsidRPr="00000000">
          <w:rPr>
            <w:color w:val="1155cc"/>
            <w:u w:val="single"/>
            <w:rtl w:val="0"/>
          </w:rPr>
          <w:t xml:space="preserve">https://doi.org/10.3390/agronomy12061338</w:t>
        </w:r>
      </w:hyperlink>
      <w:r w:rsidDel="00000000" w:rsidR="00000000" w:rsidRPr="00000000">
        <w:rPr>
          <w:rtl w:val="0"/>
        </w:rPr>
      </w:r>
    </w:p>
    <w:p w:rsidR="00000000" w:rsidDel="00000000" w:rsidP="00000000" w:rsidRDefault="00000000" w:rsidRPr="00000000" w14:paraId="0000027E">
      <w:pPr>
        <w:ind w:left="720" w:firstLine="0"/>
        <w:rPr/>
      </w:pPr>
      <w:r w:rsidDel="00000000" w:rsidR="00000000" w:rsidRPr="00000000">
        <w:rPr>
          <w:rtl w:val="0"/>
        </w:rPr>
      </w:r>
    </w:p>
    <w:p w:rsidR="00000000" w:rsidDel="00000000" w:rsidP="00000000" w:rsidRDefault="00000000" w:rsidRPr="00000000" w14:paraId="0000027F">
      <w:pPr>
        <w:numPr>
          <w:ilvl w:val="0"/>
          <w:numId w:val="2"/>
        </w:numPr>
        <w:ind w:left="720" w:hanging="360"/>
        <w:rPr/>
      </w:pPr>
      <w:r w:rsidDel="00000000" w:rsidR="00000000" w:rsidRPr="00000000">
        <w:rPr>
          <w:rtl w:val="0"/>
        </w:rPr>
        <w:t xml:space="preserve">Travis W. Nauman, Suzann Kienast-Brown, Stephen M. Roecker, Colby Brungard, David White, Jessica Philippe, James A. Thompson “Soil landscapes of the United States (SOLUS): Developing predictive soil property maps of the conterminous United States using hybrid training sets” 2024</w:t>
      </w:r>
    </w:p>
    <w:p w:rsidR="00000000" w:rsidDel="00000000" w:rsidP="00000000" w:rsidRDefault="00000000" w:rsidRPr="00000000" w14:paraId="00000280">
      <w:pPr>
        <w:ind w:left="720" w:firstLine="0"/>
        <w:rPr/>
      </w:pPr>
      <w:hyperlink r:id="rId32">
        <w:r w:rsidDel="00000000" w:rsidR="00000000" w:rsidRPr="00000000">
          <w:rPr>
            <w:color w:val="1155cc"/>
            <w:u w:val="single"/>
            <w:rtl w:val="0"/>
          </w:rPr>
          <w:t xml:space="preserve">https://doi.org/10.1002/saj2.20769</w:t>
        </w:r>
      </w:hyperlink>
      <w:r w:rsidDel="00000000" w:rsidR="00000000" w:rsidRPr="00000000">
        <w:rPr>
          <w:rtl w:val="0"/>
        </w:rPr>
      </w:r>
    </w:p>
    <w:p w:rsidR="00000000" w:rsidDel="00000000" w:rsidP="00000000" w:rsidRDefault="00000000" w:rsidRPr="00000000" w14:paraId="00000281">
      <w:pPr>
        <w:ind w:left="720" w:firstLine="0"/>
        <w:rPr/>
      </w:pPr>
      <w:r w:rsidDel="00000000" w:rsidR="00000000" w:rsidRPr="00000000">
        <w:rPr>
          <w:rtl w:val="0"/>
        </w:rPr>
      </w:r>
    </w:p>
    <w:p w:rsidR="00000000" w:rsidDel="00000000" w:rsidP="00000000" w:rsidRDefault="00000000" w:rsidRPr="00000000" w14:paraId="00000282">
      <w:pPr>
        <w:numPr>
          <w:ilvl w:val="0"/>
          <w:numId w:val="2"/>
        </w:numPr>
        <w:ind w:left="720" w:hanging="360"/>
        <w:rPr/>
      </w:pPr>
      <w:r w:rsidDel="00000000" w:rsidR="00000000" w:rsidRPr="00000000">
        <w:rPr>
          <w:rtl w:val="0"/>
        </w:rPr>
        <w:t xml:space="preserve">Piroska Kassai, Mihály Kocsis, Gábor Szatmári, András Makó, János Mészáros, Annamária Laborczi, Zoltán Magyar, Katalin Takács, László Pásztor, Brigitta Szabó “Large-scale mapping of soil particle size distribution using legacy data and machine learning-based pedotransfer functions” 2025</w:t>
      </w:r>
    </w:p>
    <w:p w:rsidR="00000000" w:rsidDel="00000000" w:rsidP="00000000" w:rsidRDefault="00000000" w:rsidRPr="00000000" w14:paraId="00000283">
      <w:pPr>
        <w:ind w:left="720" w:firstLine="0"/>
        <w:rPr/>
      </w:pPr>
      <w:hyperlink r:id="rId33">
        <w:r w:rsidDel="00000000" w:rsidR="00000000" w:rsidRPr="00000000">
          <w:rPr>
            <w:color w:val="1155cc"/>
            <w:u w:val="single"/>
            <w:rtl w:val="0"/>
          </w:rPr>
          <w:t xml:space="preserve">https://doi.org/10.1016/j.geoderma.2025.117178</w:t>
        </w:r>
      </w:hyperlink>
      <w:r w:rsidDel="00000000" w:rsidR="00000000" w:rsidRPr="00000000">
        <w:rPr>
          <w:rtl w:val="0"/>
        </w:rPr>
      </w:r>
    </w:p>
    <w:p w:rsidR="00000000" w:rsidDel="00000000" w:rsidP="00000000" w:rsidRDefault="00000000" w:rsidRPr="00000000" w14:paraId="00000284">
      <w:pPr>
        <w:ind w:left="720" w:firstLine="0"/>
        <w:rPr/>
      </w:pPr>
      <w:r w:rsidDel="00000000" w:rsidR="00000000" w:rsidRPr="00000000">
        <w:rPr>
          <w:rtl w:val="0"/>
        </w:rPr>
      </w:r>
    </w:p>
    <w:p w:rsidR="00000000" w:rsidDel="00000000" w:rsidP="00000000" w:rsidRDefault="00000000" w:rsidRPr="00000000" w14:paraId="00000285">
      <w:pPr>
        <w:numPr>
          <w:ilvl w:val="0"/>
          <w:numId w:val="2"/>
        </w:numPr>
        <w:ind w:left="720" w:hanging="360"/>
        <w:rPr/>
      </w:pPr>
      <w:r w:rsidDel="00000000" w:rsidR="00000000" w:rsidRPr="00000000">
        <w:rPr>
          <w:rtl w:val="0"/>
        </w:rPr>
        <w:t xml:space="preserve">Most. Mira Khatun, Md. Abir Hasan, Md Sadiul Alam Chyon, Rashid Anzoom, Md Wadud Ahmed, Md. Shafiul Azam, S.M. Hasan Sazzad Iqbal, Md. Abdur Rahim, Md. Niaz Imtiaz, Md. Toukir Ahmed “Estimating soil organic carbon by integrating mid-infrared spectroscopy with explainable machine learning” 2026</w:t>
      </w:r>
    </w:p>
    <w:p w:rsidR="00000000" w:rsidDel="00000000" w:rsidP="00000000" w:rsidRDefault="00000000" w:rsidRPr="00000000" w14:paraId="00000286">
      <w:pPr>
        <w:ind w:left="720" w:firstLine="0"/>
        <w:rPr/>
      </w:pPr>
      <w:hyperlink r:id="rId34">
        <w:r w:rsidDel="00000000" w:rsidR="00000000" w:rsidRPr="00000000">
          <w:rPr>
            <w:color w:val="1155cc"/>
            <w:u w:val="single"/>
            <w:rtl w:val="0"/>
          </w:rPr>
          <w:t xml:space="preserve">https://doi.org/10.1016/j.rechem.2026.103386</w:t>
        </w:r>
      </w:hyperlink>
      <w:r w:rsidDel="00000000" w:rsidR="00000000" w:rsidRPr="00000000">
        <w:rPr>
          <w:rtl w:val="0"/>
        </w:rPr>
      </w:r>
    </w:p>
    <w:p w:rsidR="00000000" w:rsidDel="00000000" w:rsidP="00000000" w:rsidRDefault="00000000" w:rsidRPr="00000000" w14:paraId="00000287">
      <w:pPr>
        <w:ind w:left="720" w:firstLine="0"/>
        <w:rPr/>
      </w:pPr>
      <w:r w:rsidDel="00000000" w:rsidR="00000000" w:rsidRPr="00000000">
        <w:rPr>
          <w:rtl w:val="0"/>
        </w:rPr>
      </w:r>
    </w:p>
    <w:p w:rsidR="00000000" w:rsidDel="00000000" w:rsidP="00000000" w:rsidRDefault="00000000" w:rsidRPr="00000000" w14:paraId="00000288">
      <w:pPr>
        <w:ind w:left="720" w:firstLine="0"/>
        <w:rPr/>
      </w:pPr>
      <w:r w:rsidDel="00000000" w:rsidR="00000000" w:rsidRPr="00000000">
        <w:rPr>
          <w:rtl w:val="0"/>
        </w:rPr>
      </w:r>
    </w:p>
    <w:p w:rsidR="00000000" w:rsidDel="00000000" w:rsidP="00000000" w:rsidRDefault="00000000" w:rsidRPr="00000000" w14:paraId="00000289">
      <w:pPr>
        <w:numPr>
          <w:ilvl w:val="0"/>
          <w:numId w:val="2"/>
        </w:numPr>
        <w:ind w:left="720" w:hanging="360"/>
        <w:rPr/>
      </w:pPr>
      <w:r w:rsidDel="00000000" w:rsidR="00000000" w:rsidRPr="00000000">
        <w:rPr>
          <w:rtl w:val="0"/>
        </w:rPr>
        <w:t xml:space="preserve">Zahia Aouabed, Vincent Therrien, Mohamed Achraf Bouaoune, Mohammadreza Bakhtyari, Mohamed Hijri and Vladimir Makarenkov “Soil microbiome prediction using traditional machine learning and deep learning models” 2026</w:t>
      </w:r>
    </w:p>
    <w:p w:rsidR="00000000" w:rsidDel="00000000" w:rsidP="00000000" w:rsidRDefault="00000000" w:rsidRPr="00000000" w14:paraId="0000028A">
      <w:pPr>
        <w:ind w:left="720" w:firstLine="0"/>
        <w:rPr/>
      </w:pPr>
      <w:hyperlink r:id="rId35">
        <w:r w:rsidDel="00000000" w:rsidR="00000000" w:rsidRPr="00000000">
          <w:rPr>
            <w:color w:val="1155cc"/>
            <w:u w:val="single"/>
            <w:rtl w:val="0"/>
          </w:rPr>
          <w:t xml:space="preserve">https://doi.org/10.1038/s41598-026-39537-w</w:t>
        </w:r>
      </w:hyperlink>
      <w:r w:rsidDel="00000000" w:rsidR="00000000" w:rsidRPr="00000000">
        <w:rPr>
          <w:rtl w:val="0"/>
        </w:rPr>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numPr>
          <w:ilvl w:val="0"/>
          <w:numId w:val="2"/>
        </w:numPr>
        <w:ind w:left="720" w:hanging="360"/>
        <w:rPr>
          <w:u w:val="none"/>
        </w:rPr>
      </w:pPr>
      <w:r w:rsidDel="00000000" w:rsidR="00000000" w:rsidRPr="00000000">
        <w:rPr>
          <w:rtl w:val="0"/>
        </w:rPr>
        <w:t xml:space="preserve">Ashutosh Sarangi, Sailesh Kumar Raula, Sohamdev Ghoshal, Swadhin Kumar, Swadhin Kumar, Chinta Sai Kumar and Neelamadhab Padhy “Enhancing Process Control in Agriculture: Leveraging Machine Learning for Soil Fertility Assessment” 2024</w:t>
      </w:r>
    </w:p>
    <w:p w:rsidR="00000000" w:rsidDel="00000000" w:rsidP="00000000" w:rsidRDefault="00000000" w:rsidRPr="00000000" w14:paraId="0000028F">
      <w:pPr>
        <w:ind w:left="720" w:firstLine="0"/>
        <w:rPr/>
      </w:pPr>
      <w:hyperlink r:id="rId36">
        <w:r w:rsidDel="00000000" w:rsidR="00000000" w:rsidRPr="00000000">
          <w:rPr>
            <w:color w:val="1155cc"/>
            <w:u w:val="single"/>
            <w:rtl w:val="0"/>
          </w:rPr>
          <w:t xml:space="preserve">https://doi.org/10.3390/engproc2024067031</w:t>
        </w:r>
      </w:hyperlink>
      <w:r w:rsidDel="00000000" w:rsidR="00000000" w:rsidRPr="00000000">
        <w:rPr>
          <w:rtl w:val="0"/>
        </w:rPr>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numPr>
          <w:ilvl w:val="0"/>
          <w:numId w:val="2"/>
        </w:numPr>
        <w:ind w:left="720" w:hanging="360"/>
        <w:rPr>
          <w:u w:val="none"/>
        </w:rPr>
      </w:pPr>
      <w:r w:rsidDel="00000000" w:rsidR="00000000" w:rsidRPr="00000000">
        <w:rPr>
          <w:rtl w:val="0"/>
        </w:rPr>
        <w:t xml:space="preserve">Abid Badshah; Basem Yousef Alkazemi; Fakhrud Din; Kamal Z. Zamli; Muhammad Haris “Crop Classification and Yield Prediction Using Robust Machine Learning Models for Agricultural Sustainability” 2024</w:t>
      </w:r>
    </w:p>
    <w:p w:rsidR="00000000" w:rsidDel="00000000" w:rsidP="00000000" w:rsidRDefault="00000000" w:rsidRPr="00000000" w14:paraId="00000294">
      <w:pPr>
        <w:ind w:left="720" w:firstLine="0"/>
        <w:rPr/>
      </w:pPr>
      <w:hyperlink r:id="rId37">
        <w:r w:rsidDel="00000000" w:rsidR="00000000" w:rsidRPr="00000000">
          <w:rPr>
            <w:color w:val="1155cc"/>
            <w:u w:val="single"/>
            <w:rtl w:val="0"/>
          </w:rPr>
          <w:t xml:space="preserve">https://doi.org/10.1109/ACCESS.2024.3486653</w:t>
        </w:r>
      </w:hyperlink>
      <w:r w:rsidDel="00000000" w:rsidR="00000000" w:rsidRPr="00000000">
        <w:rPr>
          <w:rtl w:val="0"/>
        </w:rPr>
      </w:r>
    </w:p>
    <w:p w:rsidR="00000000" w:rsidDel="00000000" w:rsidP="00000000" w:rsidRDefault="00000000" w:rsidRPr="00000000" w14:paraId="00000295">
      <w:pPr>
        <w:ind w:left="720" w:firstLine="0"/>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numPr>
          <w:ilvl w:val="0"/>
          <w:numId w:val="2"/>
        </w:numPr>
        <w:ind w:left="720" w:hanging="360"/>
        <w:rPr>
          <w:u w:val="none"/>
        </w:rPr>
      </w:pPr>
      <w:r w:rsidDel="00000000" w:rsidR="00000000" w:rsidRPr="00000000">
        <w:rPr>
          <w:rtl w:val="0"/>
        </w:rPr>
        <w:t xml:space="preserve">M. Venkatanaresh &amp; I. Kullayamma “Deep learning based concurrent excited gated recurrent unit for crop recommendation based on soil and climatic conditions’ 2024</w:t>
      </w:r>
    </w:p>
    <w:p w:rsidR="00000000" w:rsidDel="00000000" w:rsidP="00000000" w:rsidRDefault="00000000" w:rsidRPr="00000000" w14:paraId="0000029C">
      <w:pPr>
        <w:ind w:left="720" w:firstLine="0"/>
        <w:rPr/>
      </w:pPr>
      <w:hyperlink r:id="rId38">
        <w:r w:rsidDel="00000000" w:rsidR="00000000" w:rsidRPr="00000000">
          <w:rPr>
            <w:color w:val="1155cc"/>
            <w:u w:val="single"/>
            <w:rtl w:val="0"/>
          </w:rPr>
          <w:t xml:space="preserve">https://doi.org/10.1007/s11042-023-18004-y</w:t>
        </w:r>
      </w:hyperlink>
      <w:r w:rsidDel="00000000" w:rsidR="00000000" w:rsidRPr="00000000">
        <w:rPr>
          <w:rtl w:val="0"/>
        </w:rPr>
      </w:r>
    </w:p>
    <w:p w:rsidR="00000000" w:rsidDel="00000000" w:rsidP="00000000" w:rsidRDefault="00000000" w:rsidRPr="00000000" w14:paraId="0000029D">
      <w:pPr>
        <w:ind w:left="720" w:firstLine="0"/>
        <w:rPr/>
      </w:pPr>
      <w:r w:rsidDel="00000000" w:rsidR="00000000" w:rsidRPr="00000000">
        <w:rPr>
          <w:rtl w:val="0"/>
        </w:rPr>
      </w:r>
    </w:p>
    <w:p w:rsidR="00000000" w:rsidDel="00000000" w:rsidP="00000000" w:rsidRDefault="00000000" w:rsidRPr="00000000" w14:paraId="0000029E">
      <w:pPr>
        <w:ind w:left="720" w:firstLine="0"/>
        <w:rPr>
          <w:b w:val="1"/>
          <w:bCs w:val="1"/>
          <w:sz w:val="20"/>
          <w:szCs w:val="20"/>
          <w:highlight w:val="white"/>
        </w:rPr>
      </w:pPr>
      <w:r w:rsidDel="00000000" w:rsidR="00000000" w:rsidRPr="00000000">
        <w:rPr>
          <w:rtl w:val="0"/>
        </w:rPr>
      </w:r>
    </w:p>
    <w:p w:rsidR="00000000" w:rsidDel="00000000" w:rsidP="00000000" w:rsidRDefault="00000000" w:rsidRPr="00000000" w14:paraId="0000029F">
      <w:pPr>
        <w:ind w:left="720" w:firstLine="0"/>
        <w:rPr/>
      </w:pPr>
      <w:r w:rsidDel="00000000" w:rsidR="00000000" w:rsidRPr="00000000">
        <w:rPr>
          <w:rtl w:val="0"/>
        </w:rPr>
      </w:r>
    </w:p>
    <w:p w:rsidR="00000000" w:rsidDel="00000000" w:rsidP="00000000" w:rsidRDefault="00000000" w:rsidRPr="00000000" w14:paraId="000002A0">
      <w:pPr>
        <w:ind w:left="720" w:firstLine="0"/>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numPr>
          <w:ilvl w:val="0"/>
          <w:numId w:val="2"/>
        </w:numPr>
        <w:ind w:left="720" w:hanging="360"/>
        <w:rPr>
          <w:u w:val="none"/>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ind w:left="720" w:firstLine="0"/>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ind w:left="720" w:firstLine="0"/>
        <w:rPr/>
      </w:pPr>
      <w:r w:rsidDel="00000000" w:rsidR="00000000" w:rsidRPr="00000000">
        <w:rPr>
          <w:rtl w:val="0"/>
        </w:rPr>
      </w:r>
    </w:p>
    <w:p w:rsidR="00000000" w:rsidDel="00000000" w:rsidP="00000000" w:rsidRDefault="00000000" w:rsidRPr="00000000" w14:paraId="000002AE">
      <w:pPr>
        <w:ind w:left="720" w:firstLine="0"/>
        <w:rPr/>
      </w:pPr>
      <w:r w:rsidDel="00000000" w:rsidR="00000000" w:rsidRPr="00000000">
        <w:rPr>
          <w:rtl w:val="0"/>
        </w:rPr>
      </w:r>
    </w:p>
    <w:p w:rsidR="00000000" w:rsidDel="00000000" w:rsidP="00000000" w:rsidRDefault="00000000" w:rsidRPr="00000000" w14:paraId="000002AF">
      <w:pPr>
        <w:ind w:left="720" w:firstLine="0"/>
        <w:rPr/>
      </w:pPr>
      <w:r w:rsidDel="00000000" w:rsidR="00000000" w:rsidRPr="00000000">
        <w:rPr>
          <w:rtl w:val="0"/>
        </w:rPr>
      </w:r>
    </w:p>
    <w:p w:rsidR="00000000" w:rsidDel="00000000" w:rsidP="00000000" w:rsidRDefault="00000000" w:rsidRPr="00000000" w14:paraId="000002B0">
      <w:pPr>
        <w:ind w:left="720" w:firstLine="0"/>
        <w:rPr/>
      </w:pPr>
      <w:r w:rsidDel="00000000" w:rsidR="00000000" w:rsidRPr="00000000">
        <w:rPr>
          <w:rtl w:val="0"/>
        </w:rPr>
      </w:r>
    </w:p>
    <w:p w:rsidR="00000000" w:rsidDel="00000000" w:rsidP="00000000" w:rsidRDefault="00000000" w:rsidRPr="00000000" w14:paraId="000002B1">
      <w:pPr>
        <w:ind w:left="720" w:firstLine="0"/>
        <w:rPr/>
      </w:pPr>
      <w:r w:rsidDel="00000000" w:rsidR="00000000" w:rsidRPr="00000000">
        <w:rPr>
          <w:rtl w:val="0"/>
        </w:rPr>
      </w:r>
    </w:p>
    <w:p w:rsidR="00000000" w:rsidDel="00000000" w:rsidP="00000000" w:rsidRDefault="00000000" w:rsidRPr="00000000" w14:paraId="000002B2">
      <w:pPr>
        <w:ind w:left="720" w:firstLine="0"/>
        <w:rPr/>
      </w:pPr>
      <w:r w:rsidDel="00000000" w:rsidR="00000000" w:rsidRPr="00000000">
        <w:rPr>
          <w:rtl w:val="0"/>
        </w:rPr>
      </w:r>
    </w:p>
    <w:p w:rsidR="00000000" w:rsidDel="00000000" w:rsidP="00000000" w:rsidRDefault="00000000" w:rsidRPr="00000000" w14:paraId="000002B3">
      <w:pPr>
        <w:ind w:left="720" w:firstLine="0"/>
        <w:rPr/>
      </w:pPr>
      <w:r w:rsidDel="00000000" w:rsidR="00000000" w:rsidRPr="00000000">
        <w:rPr>
          <w:rtl w:val="0"/>
        </w:rPr>
      </w:r>
    </w:p>
    <w:p w:rsidR="00000000" w:rsidDel="00000000" w:rsidP="00000000" w:rsidRDefault="00000000" w:rsidRPr="00000000" w14:paraId="000002B4">
      <w:pPr>
        <w:ind w:left="720" w:firstLine="0"/>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ind w:left="720" w:firstLine="0"/>
        <w:rPr/>
      </w:pPr>
      <w:r w:rsidDel="00000000" w:rsidR="00000000" w:rsidRPr="00000000">
        <w:rPr>
          <w:rtl w:val="0"/>
        </w:rPr>
      </w:r>
    </w:p>
    <w:p w:rsidR="00000000" w:rsidDel="00000000" w:rsidP="00000000" w:rsidRDefault="00000000" w:rsidRPr="00000000" w14:paraId="000002B7">
      <w:pPr>
        <w:ind w:left="720" w:firstLine="0"/>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ind w:left="1440" w:firstLine="0"/>
        <w:rPr/>
      </w:pPr>
      <w:r w:rsidDel="00000000" w:rsidR="00000000" w:rsidRPr="00000000">
        <w:rPr>
          <w:rtl w:val="0"/>
        </w:rPr>
      </w:r>
    </w:p>
    <w:p w:rsidR="00000000" w:rsidDel="00000000" w:rsidP="00000000" w:rsidRDefault="00000000" w:rsidRPr="00000000" w14:paraId="000002BA">
      <w:pPr>
        <w:ind w:left="720" w:firstLine="0"/>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ind w:left="720" w:firstLine="0"/>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bidi w:val="1"/>
        <w:rPr>
          <w:rFonts w:ascii="Aptos" w:cs="Aptos" w:eastAsia="Aptos" w:hAnsi="Aptos"/>
        </w:rPr>
      </w:pPr>
      <w:r w:rsidDel="00000000" w:rsidR="00000000" w:rsidRPr="00000000">
        <w:rPr>
          <w:rtl w:val="0"/>
        </w:rPr>
      </w:r>
    </w:p>
    <w:p w:rsidR="00000000" w:rsidDel="00000000" w:rsidP="00000000" w:rsidRDefault="00000000" w:rsidRPr="00000000" w14:paraId="000002C1">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2C2">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2C3">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2C4">
      <w:pPr>
        <w:spacing w:line="24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2C5">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C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C9">
      <w:pPr>
        <w:spacing w:after="240" w:before="240" w:lineRule="auto"/>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C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C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C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C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C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CF">
      <w:pPr>
        <w:spacing w:after="240" w:before="240" w:lineRule="auto"/>
        <w:rPr>
          <w:rFonts w:ascii="Times New Roman" w:cs="Times New Roman" w:eastAsia="Times New Roman" w:hAnsi="Times New Roman"/>
          <w:sz w:val="28"/>
          <w:szCs w:val="28"/>
        </w:rPr>
      </w:pPr>
      <w:r w:rsidDel="00000000" w:rsidR="00000000" w:rsidRPr="00000000">
        <w:rPr>
          <w:rtl w:val="0"/>
        </w:rPr>
      </w:r>
    </w:p>
    <w:sectPr>
      <w:footerReference r:id="rId39" w:type="default"/>
      <w:footerReference r:id="rId40" w:type="first"/>
      <w:type w:val="nextPage"/>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ungsuh"/>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0">
    <w:pPr>
      <w:bidi w:val="1"/>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1">
    <w:pPr>
      <w:bidi w:val="1"/>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a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aeef3" w:val="clear"/>
      </w:tcPr>
    </w:tblStylePr>
    <w:tblStylePr w:type="band1Vert">
      <w:tcPr>
        <w:shd w:fill="daeef3" w:val="clear"/>
      </w:tcPr>
    </w:tblStylePr>
    <w:tblStylePr w:type="firstCol">
      <w:pPr>
        <w:jc w:val="right"/>
      </w:pPr>
      <w:rPr>
        <w:i w:val="1"/>
        <w:iCs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bCs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iCs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bCs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2cddc" w:space="0" w:sz="4" w:val="single"/>
        </w:tcBorders>
      </w:tcPr>
    </w:tblStylePr>
    <w:tblStylePr w:type="nwCell">
      <w:tcPr>
        <w:tcBorders>
          <w:bottom w:color="92cddc" w:space="0" w:sz="4" w:val="single"/>
        </w:tcBorders>
      </w:tcPr>
    </w:tblStylePr>
    <w:tblStylePr w:type="seCell">
      <w:tcPr>
        <w:tcBorders>
          <w:top w:color="92cddc" w:space="0" w:sz="4" w:val="single"/>
        </w:tcBorders>
      </w:tcPr>
    </w:tblStylePr>
    <w:tblStylePr w:type="swCell">
      <w:tcPr>
        <w:tcBorders>
          <w:top w:color="92cddc" w:space="0" w:sz="4" w:val="single"/>
        </w:tcBorders>
      </w:tcPr>
    </w:tblStylePr>
  </w:style>
</w:styles>
</file>

<file path=word/_rels/document.xml.rels><?xml version="1.0" encoding="UTF-8" standalone="yes"?><Relationships xmlns="http://schemas.openxmlformats.org/package/2006/relationships"><Relationship Id="rId40" Type="http://schemas.openxmlformats.org/officeDocument/2006/relationships/footer" Target="footer2.xml"/><Relationship Id="rId20" Type="http://schemas.openxmlformats.org/officeDocument/2006/relationships/hyperlink" Target="https://doi.org/10.1155/2022/5343965" TargetMode="External"/><Relationship Id="rId22" Type="http://schemas.openxmlformats.org/officeDocument/2006/relationships/hyperlink" Target="https://doi.org/10.1016/j.compag.2024.109494" TargetMode="External"/><Relationship Id="rId21" Type="http://schemas.openxmlformats.org/officeDocument/2006/relationships/hyperlink" Target="https://doi.org/10.1109/ACCESS.2023.3311827" TargetMode="External"/><Relationship Id="rId24" Type="http://schemas.openxmlformats.org/officeDocument/2006/relationships/hyperlink" Target="https://doi.org/10.1016/j.ecoinf.2024.102784" TargetMode="External"/><Relationship Id="rId23" Type="http://schemas.openxmlformats.org/officeDocument/2006/relationships/hyperlink" Target="https://doi.org/10.1016/j.geoderma.2023.11652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26" Type="http://schemas.openxmlformats.org/officeDocument/2006/relationships/hyperlink" Target="https://doi.org/10.3390/agriengineering6030151" TargetMode="External"/><Relationship Id="rId25" Type="http://schemas.openxmlformats.org/officeDocument/2006/relationships/hyperlink" Target="https://doi.org/10.1016/j.cageo.2023.105433" TargetMode="External"/><Relationship Id="rId28" Type="http://schemas.openxmlformats.org/officeDocument/2006/relationships/hyperlink" Target="https://doi.org/10.1029/2025GL120355" TargetMode="External"/><Relationship Id="rId27" Type="http://schemas.openxmlformats.org/officeDocument/2006/relationships/hyperlink" Target="https://doi.org/10.17221/97/2022-SWR" TargetMode="External"/><Relationship Id="rId5" Type="http://schemas.openxmlformats.org/officeDocument/2006/relationships/styles" Target="styles.xml"/><Relationship Id="rId6" Type="http://schemas.openxmlformats.org/officeDocument/2006/relationships/image" Target="media/image4.png"/><Relationship Id="rId29" Type="http://schemas.openxmlformats.org/officeDocument/2006/relationships/hyperlink" Target="https://doi.org/10.2136/sssaj2016.12.0421" TargetMode="External"/><Relationship Id="rId7" Type="http://schemas.openxmlformats.org/officeDocument/2006/relationships/hyperlink" Target="mailto:Alaa0emad@gmail.com" TargetMode="External"/><Relationship Id="rId8" Type="http://schemas.openxmlformats.org/officeDocument/2006/relationships/hyperlink" Target="mailto:kad2005.ias@gmail.com" TargetMode="External"/><Relationship Id="rId31" Type="http://schemas.openxmlformats.org/officeDocument/2006/relationships/hyperlink" Target="https://doi.org/10.3390/agronomy12061338" TargetMode="External"/><Relationship Id="rId30" Type="http://schemas.openxmlformats.org/officeDocument/2006/relationships/hyperlink" Target="https://doi.org/10.1016/j.geoderma.2026.117764" TargetMode="External"/><Relationship Id="rId11" Type="http://schemas.openxmlformats.org/officeDocument/2006/relationships/image" Target="media/image3.png"/><Relationship Id="rId33" Type="http://schemas.openxmlformats.org/officeDocument/2006/relationships/hyperlink" Target="https://doi.org/10.1016/j.geoderma.2025.117178" TargetMode="External"/><Relationship Id="rId10" Type="http://schemas.openxmlformats.org/officeDocument/2006/relationships/image" Target="media/image1.png"/><Relationship Id="rId32" Type="http://schemas.openxmlformats.org/officeDocument/2006/relationships/hyperlink" Target="https://doi.org/10.1002/saj2.20769" TargetMode="External"/><Relationship Id="rId13" Type="http://schemas.openxmlformats.org/officeDocument/2006/relationships/hyperlink" Target="https://doi.org/10.1016/j.ecolind.2021.108517" TargetMode="External"/><Relationship Id="rId35" Type="http://schemas.openxmlformats.org/officeDocument/2006/relationships/hyperlink" Target="https://doi.org/10.1038/s41598-026-39537-w" TargetMode="External"/><Relationship Id="rId12" Type="http://schemas.openxmlformats.org/officeDocument/2006/relationships/image" Target="media/image2.png"/><Relationship Id="rId34" Type="http://schemas.openxmlformats.org/officeDocument/2006/relationships/hyperlink" Target="https://doi.org/10.1016/j.rechem.2026.103386" TargetMode="External"/><Relationship Id="rId15" Type="http://schemas.openxmlformats.org/officeDocument/2006/relationships/hyperlink" Target="https://doi.org/10.3390/agriculture15090998" TargetMode="External"/><Relationship Id="rId37" Type="http://schemas.openxmlformats.org/officeDocument/2006/relationships/hyperlink" Target="https://doi.org/10.1109/ACCESS.2024.3486653" TargetMode="External"/><Relationship Id="rId14" Type="http://schemas.openxmlformats.org/officeDocument/2006/relationships/hyperlink" Target="https://doi.org/10.3390/agriculture15090998" TargetMode="External"/><Relationship Id="rId36" Type="http://schemas.openxmlformats.org/officeDocument/2006/relationships/hyperlink" Target="https://doi.org/10.3390/engproc2024067031" TargetMode="External"/><Relationship Id="rId17" Type="http://schemas.openxmlformats.org/officeDocument/2006/relationships/hyperlink" Target="https://doi.org/10.3390/agriculture15040377" TargetMode="External"/><Relationship Id="rId39" Type="http://schemas.openxmlformats.org/officeDocument/2006/relationships/footer" Target="footer1.xml"/><Relationship Id="rId16" Type="http://schemas.openxmlformats.org/officeDocument/2006/relationships/hyperlink" Target="https://doi.org/10.3390/agriculture15040377" TargetMode="External"/><Relationship Id="rId38" Type="http://schemas.openxmlformats.org/officeDocument/2006/relationships/hyperlink" Target="https://doi.org/10.1007/s11042-023-18004-y" TargetMode="External"/><Relationship Id="rId19" Type="http://schemas.openxmlformats.org/officeDocument/2006/relationships/hyperlink" Target="https://doi.org/10.1186/s40643-023-00710-y" TargetMode="External"/><Relationship Id="rId18" Type="http://schemas.openxmlformats.org/officeDocument/2006/relationships/hyperlink" Target="https://doi.org/10.1088/1742-6596/1950/1/01203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