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تمهيد</w:t>
      </w:r>
    </w:p>
    <w:p>
      <w:pPr>
        <w:pStyle w:val="Body"/>
        <w:bidi w:val="1"/>
        <w:spacing w:after="160" w:line="276" w:lineRule="auto"/>
        <w:ind w:left="0" w:right="0" w:firstLine="0"/>
        <w:jc w:val="both"/>
        <w:rPr>
          <w:rFonts w:ascii="Simplified Arabic" w:cs="Simplified Arabic" w:hAnsi="Simplified Arabic" w:eastAsia="Simplified Arabic"/>
          <w:b w:val="0"/>
          <w:bCs w:val="0"/>
          <w:sz w:val="24"/>
          <w:szCs w:val="24"/>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يستعرض هذا الفصل نتائج الدراسة الميدانية التي طُبّقت على عينة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مجموعها</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(52)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مشارك</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من الجماهير الرياضية في مدينة الرياض، وذلك بالاعتماد على استبيان إلكتروني صُمِّم عبر منصة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Microsoft Forms</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ويتألف من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(13)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سؤالًا موزعة على</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الأسئلة الديموغرافية، وأسئلة قياس عادات المتابعة والاستخدام، وعبارات قياس الاتجاه وفق مقياس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التقييم</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الخماسي، وأسئلة الاختيار من متعدد، إضافة إلى سؤال مفتوح</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وقد اعتمد التحليل على أداتي التكرارات والنسب المئوية، وعلى المتوسط الحسابي المرجّح بالنسبة لعبارات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مقياس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الخماسي</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قصدًا إلى استخلاص النتائج المرتبطة بأسئلة الدراسة وفرضياتها على نحو موضوعي قابل للقياس</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المبحث الأول</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الخصائص الديموغرافية لعينة الدراسة</w:t>
      </w: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المطلب الأول</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الفئة العمرية</w:t>
      </w: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suppressAutoHyphens w:val="1"/>
        <w:bidi w:val="1"/>
        <w:spacing w:before="140" w:after="60"/>
        <w:ind w:left="0" w:right="0" w:firstLine="0"/>
        <w:jc w:val="center"/>
        <w:rPr>
          <w:rFonts w:ascii="Arial" w:cs="Arial" w:hAnsi="Arial" w:eastAsia="Arial"/>
          <w:b w:val="0"/>
          <w:bCs w:val="0"/>
          <w:sz w:val="24"/>
          <w:szCs w:val="24"/>
          <w:rtl w:val="1"/>
        </w:rPr>
      </w:pPr>
      <w:r>
        <w:rPr>
          <w:rFonts w:ascii="Arial Unicode MS" w:cs="Arial" w:hAnsi="Arial Unicode MS" w:eastAsia="Arial Unicode MS" w:hint="cs"/>
          <w:b w:val="1"/>
          <w:bCs w:val="1"/>
          <w:rtl w:val="1"/>
          <w:lang w:val="ar-SA" w:bidi="ar-SA"/>
        </w:rPr>
        <w:t xml:space="preserve">جدول </w:t>
      </w:r>
      <w:r>
        <w:rPr>
          <w:rFonts w:ascii="Arial" w:hAnsi="Arial"/>
          <w:b w:val="1"/>
          <w:bCs w:val="1"/>
          <w:rtl w:val="0"/>
        </w:rPr>
        <w:t xml:space="preserve">(1): </w:t>
      </w:r>
      <w:r>
        <w:rPr>
          <w:rFonts w:ascii="Arial Unicode MS" w:cs="Arial" w:hAnsi="Arial Unicode MS" w:eastAsia="Arial Unicode MS" w:hint="cs"/>
          <w:b w:val="1"/>
          <w:bCs w:val="1"/>
          <w:rtl w:val="1"/>
          <w:lang w:val="ar-SA" w:bidi="ar-SA"/>
        </w:rPr>
        <w:t>التوزيع التكراري لعينة الدراسة وفق متغير الفئة العمرية</w:t>
      </w:r>
    </w:p>
    <w:tbl>
      <w:tblPr>
        <w:tblW w:w="1000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333"/>
        <w:gridCol w:w="3333"/>
        <w:gridCol w:w="3334"/>
      </w:tblGrid>
      <w:tr>
        <w:tblPrEx>
          <w:shd w:val="clear" w:color="auto" w:fill="auto"/>
        </w:tblPrEx>
        <w:trPr>
          <w:trHeight w:val="24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الإجابة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التكرار</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النسبة</w:t>
            </w:r>
            <w:r>
              <w:rPr>
                <w:rFonts w:ascii="Arial" w:hAnsi="Arial"/>
                <w:b w:val="1"/>
                <w:bCs w:val="1"/>
                <w:sz w:val="22"/>
                <w:szCs w:val="22"/>
                <w:rtl w:val="0"/>
              </w:rPr>
              <w:t xml:space="preserve"> %</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 xml:space="preserve">26 </w:t>
            </w:r>
            <w:r>
              <w:rPr>
                <w:rFonts w:ascii="Arial Unicode MS" w:cs="Arial" w:hAnsi="Arial Unicode MS" w:eastAsia="Arial Unicode MS" w:hint="cs"/>
                <w:sz w:val="22"/>
                <w:szCs w:val="22"/>
                <w:rtl w:val="1"/>
              </w:rPr>
              <w:t xml:space="preserve">إلى </w:t>
            </w:r>
            <w:r>
              <w:rPr>
                <w:rFonts w:ascii="Arial" w:hAnsi="Arial"/>
                <w:sz w:val="22"/>
                <w:szCs w:val="22"/>
                <w:rtl w:val="0"/>
              </w:rPr>
              <w:t>35</w:t>
            </w:r>
            <w:r>
              <w:rPr>
                <w:rFonts w:ascii="Arial Unicode MS" w:cs="Arial" w:hAnsi="Arial Unicode MS" w:eastAsia="Arial Unicode MS" w:hint="cs"/>
                <w:sz w:val="22"/>
                <w:szCs w:val="22"/>
                <w:rtl w:val="1"/>
              </w:rPr>
              <w:t xml:space="preserve"> سنة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21</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40.4%</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 xml:space="preserve">18 </w:t>
            </w:r>
            <w:r>
              <w:rPr>
                <w:rFonts w:ascii="Arial Unicode MS" w:cs="Arial" w:hAnsi="Arial Unicode MS" w:eastAsia="Arial Unicode MS" w:hint="cs"/>
                <w:sz w:val="22"/>
                <w:szCs w:val="22"/>
                <w:rtl w:val="1"/>
              </w:rPr>
              <w:t xml:space="preserve">إلى </w:t>
            </w:r>
            <w:r>
              <w:rPr>
                <w:rFonts w:ascii="Arial" w:hAnsi="Arial"/>
                <w:sz w:val="22"/>
                <w:szCs w:val="22"/>
                <w:rtl w:val="0"/>
              </w:rPr>
              <w:t>25</w:t>
            </w:r>
            <w:r>
              <w:rPr>
                <w:rFonts w:ascii="Arial Unicode MS" w:cs="Arial" w:hAnsi="Arial Unicode MS" w:eastAsia="Arial Unicode MS" w:hint="cs"/>
                <w:sz w:val="22"/>
                <w:szCs w:val="22"/>
                <w:rtl w:val="1"/>
              </w:rPr>
              <w:t xml:space="preserve"> سنة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16</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30.8%</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 xml:space="preserve">36 </w:t>
            </w:r>
            <w:r>
              <w:rPr>
                <w:rFonts w:ascii="Arial Unicode MS" w:cs="Arial" w:hAnsi="Arial Unicode MS" w:eastAsia="Arial Unicode MS" w:hint="cs"/>
                <w:sz w:val="22"/>
                <w:szCs w:val="22"/>
                <w:rtl w:val="1"/>
              </w:rPr>
              <w:t>سنة فأكثر</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12</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23.1%</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 xml:space="preserve">أقل من </w:t>
            </w:r>
            <w:r>
              <w:rPr>
                <w:rFonts w:ascii="Arial" w:hAnsi="Arial"/>
                <w:sz w:val="22"/>
                <w:szCs w:val="22"/>
                <w:rtl w:val="0"/>
              </w:rPr>
              <w:t>18</w:t>
            </w:r>
            <w:r>
              <w:rPr>
                <w:rFonts w:ascii="Arial Unicode MS" w:cs="Arial" w:hAnsi="Arial Unicode MS" w:eastAsia="Arial Unicode MS" w:hint="cs"/>
                <w:sz w:val="22"/>
                <w:szCs w:val="22"/>
                <w:rtl w:val="1"/>
              </w:rPr>
              <w:t xml:space="preserve"> سنة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3</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5.8%</w:t>
            </w:r>
          </w:p>
        </w:tc>
      </w:tr>
    </w:tbl>
    <w:p>
      <w:pPr>
        <w:pStyle w:val="Body"/>
        <w:suppressAutoHyphens w:val="1"/>
        <w:bidi w:val="1"/>
        <w:spacing w:before="80" w:after="80" w:line="341" w:lineRule="auto"/>
        <w:ind w:left="0" w:right="0" w:firstLine="360"/>
        <w:jc w:val="both"/>
        <w:rPr>
          <w:rFonts w:ascii="Arial" w:cs="Arial" w:hAnsi="Arial" w:eastAsia="Arial"/>
          <w:sz w:val="24"/>
          <w:szCs w:val="24"/>
          <w:rtl w:val="1"/>
        </w:rPr>
      </w:pPr>
    </w:p>
    <w:p>
      <w:pPr>
        <w:pStyle w:val="Body"/>
        <w:bidi w:val="1"/>
        <w:spacing w:after="160" w:line="276" w:lineRule="auto"/>
        <w:ind w:left="0" w:right="0" w:firstLine="0"/>
        <w:jc w:val="both"/>
        <w:rPr>
          <w:rFonts w:ascii="Simplified Arabic" w:cs="Simplified Arabic" w:hAnsi="Simplified Arabic" w:eastAsia="Simplified Arabic"/>
          <w:sz w:val="24"/>
          <w:szCs w:val="24"/>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يتبيّن من الجدول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(1)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أن الفئة العمرية الممتدة بين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(26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و</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35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سنة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استحوذت على المرتبة الأولى بنسبة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(40.4%)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من إجمالي أفراد العينة، تلتها الفئة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(18</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25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سنة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بنسبة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(30.8%)</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ثم الفئة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(36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سنة فأكثر</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بنسبة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(23.1%)</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في حين جاءت الفئة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أقل من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18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سنة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في المرتبة الأخيرة بنسبة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(5.8%).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ويعكس هذا التوزيع هيمنة الشباب في مقتبل العمر على عينة الدراسة، وهي الفئة الأكثر تفاعلاً مع المنصات الرقمية وأكثرها تعرّضاً للمحتوى الإخباري الرياضي على منصة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(X)</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ما يمنح العينة ملاءمة منهجية لموضوع الدراسة ويعزز قابلية تعميم نتائجها على الجمهور المستهدف</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المطلب الثاني</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المستوى التعليمي</w:t>
      </w: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suppressAutoHyphens w:val="1"/>
        <w:bidi w:val="1"/>
        <w:spacing w:before="140" w:after="60"/>
        <w:ind w:left="0" w:right="0" w:firstLine="0"/>
        <w:jc w:val="center"/>
        <w:rPr>
          <w:rFonts w:ascii="Arial" w:cs="Arial" w:hAnsi="Arial" w:eastAsia="Arial"/>
          <w:b w:val="0"/>
          <w:bCs w:val="0"/>
          <w:sz w:val="24"/>
          <w:szCs w:val="24"/>
          <w:rtl w:val="1"/>
        </w:rPr>
      </w:pPr>
      <w:r>
        <w:rPr>
          <w:rFonts w:ascii="Arial Unicode MS" w:cs="Arial" w:hAnsi="Arial Unicode MS" w:eastAsia="Arial Unicode MS" w:hint="cs"/>
          <w:b w:val="1"/>
          <w:bCs w:val="1"/>
          <w:rtl w:val="1"/>
          <w:lang w:val="ar-SA" w:bidi="ar-SA"/>
        </w:rPr>
        <w:t xml:space="preserve">جدول </w:t>
      </w:r>
      <w:r>
        <w:rPr>
          <w:rFonts w:ascii="Arial" w:hAnsi="Arial"/>
          <w:b w:val="1"/>
          <w:bCs w:val="1"/>
          <w:rtl w:val="0"/>
        </w:rPr>
        <w:t xml:space="preserve">(2): </w:t>
      </w:r>
      <w:r>
        <w:rPr>
          <w:rFonts w:ascii="Arial Unicode MS" w:cs="Arial" w:hAnsi="Arial Unicode MS" w:eastAsia="Arial Unicode MS" w:hint="cs"/>
          <w:b w:val="1"/>
          <w:bCs w:val="1"/>
          <w:rtl w:val="1"/>
          <w:lang w:val="ar-SA" w:bidi="ar-SA"/>
        </w:rPr>
        <w:t>التوزيع التكراري لعينة الدراسة وفق متغير المستوى التعليمي</w:t>
      </w:r>
    </w:p>
    <w:tbl>
      <w:tblPr>
        <w:tblW w:w="1000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333"/>
        <w:gridCol w:w="3333"/>
        <w:gridCol w:w="3334"/>
      </w:tblGrid>
      <w:tr>
        <w:tblPrEx>
          <w:shd w:val="clear" w:color="auto" w:fill="auto"/>
        </w:tblPrEx>
        <w:trPr>
          <w:trHeight w:val="24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الإجابة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التكرار</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النسبة</w:t>
            </w:r>
            <w:r>
              <w:rPr>
                <w:rFonts w:ascii="Arial" w:hAnsi="Arial"/>
                <w:b w:val="1"/>
                <w:bCs w:val="1"/>
                <w:sz w:val="22"/>
                <w:szCs w:val="22"/>
                <w:rtl w:val="0"/>
              </w:rPr>
              <w:t xml:space="preserve"> %</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مستوى جامعي</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35</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67.3%</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دراسات عليا</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8</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15.4%</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دبلوم</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5</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9.6%</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ثانوية عامة أو أقل</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4</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7.7%</w:t>
            </w:r>
          </w:p>
        </w:tc>
      </w:tr>
    </w:tbl>
    <w:p>
      <w:pPr>
        <w:pStyle w:val="Body"/>
        <w:suppressAutoHyphens w:val="1"/>
        <w:bidi w:val="1"/>
        <w:spacing w:before="80" w:after="80" w:line="341" w:lineRule="auto"/>
        <w:ind w:left="0" w:right="0" w:firstLine="360"/>
        <w:jc w:val="both"/>
        <w:rPr>
          <w:rFonts w:ascii="Arial" w:cs="Arial" w:hAnsi="Arial" w:eastAsia="Arial"/>
          <w:sz w:val="24"/>
          <w:szCs w:val="24"/>
          <w:rtl w:val="1"/>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يوضح الجدول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(2)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أن المستوى الجامعي تصدّر التوزيع بنسبة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(67.3%)</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يليه مستوى الدراسات العليا بنسبة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(15.4%)</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ثم مستوى الدبلوم بنسبة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(9.6%)</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وأخيرًا مستوى الثانوية عامة أو أقل بنسبة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(7.7%).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ويدلّ هذا التركيب على ارتفاع المستوى التعليمي لغالبية المبحوثين، الأمر الذي يُعدّ مؤشرًا إيجابيًا على قدرتهم على استيعاب المحتوى الإخباري وتقييمه تقييمًا نقديًا، كما يرفع من درجة موثوقية إجاباتهم بشأن قضايا الوعي الرياضي، ويقلّص احتمال التحيز الناتج عن ضعف الفهم أو القراءة السطحية للمحتوى</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المبحث الثاني</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عادات المتابعة والاستخدام</w:t>
      </w: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المطلب الأول</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 xml:space="preserve">معدل الاستخدام اليومي لمنصة </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(X)</w:t>
      </w: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p>
    <w:p>
      <w:pPr>
        <w:pStyle w:val="Body"/>
        <w:suppressAutoHyphens w:val="1"/>
        <w:bidi w:val="1"/>
        <w:spacing w:before="140" w:after="60"/>
        <w:ind w:left="0" w:right="0" w:firstLine="0"/>
        <w:jc w:val="center"/>
        <w:rPr>
          <w:rFonts w:ascii="Arial" w:cs="Arial" w:hAnsi="Arial" w:eastAsia="Arial"/>
          <w:b w:val="0"/>
          <w:bCs w:val="0"/>
          <w:sz w:val="24"/>
          <w:szCs w:val="24"/>
          <w:rtl w:val="1"/>
        </w:rPr>
      </w:pPr>
      <w:r>
        <w:rPr>
          <w:rFonts w:ascii="Arial Unicode MS" w:cs="Arial" w:hAnsi="Arial Unicode MS" w:eastAsia="Arial Unicode MS" w:hint="cs"/>
          <w:b w:val="1"/>
          <w:bCs w:val="1"/>
          <w:rtl w:val="1"/>
          <w:lang w:val="ar-SA" w:bidi="ar-SA"/>
        </w:rPr>
        <w:t xml:space="preserve">جدول </w:t>
      </w:r>
      <w:r>
        <w:rPr>
          <w:rFonts w:ascii="Arial" w:hAnsi="Arial"/>
          <w:b w:val="1"/>
          <w:bCs w:val="1"/>
          <w:rtl w:val="0"/>
        </w:rPr>
        <w:t xml:space="preserve">(3): </w:t>
      </w:r>
      <w:r>
        <w:rPr>
          <w:rFonts w:ascii="Arial Unicode MS" w:cs="Arial" w:hAnsi="Arial Unicode MS" w:eastAsia="Arial Unicode MS" w:hint="cs"/>
          <w:b w:val="1"/>
          <w:bCs w:val="1"/>
          <w:rtl w:val="1"/>
          <w:lang w:val="ar-SA" w:bidi="ar-SA"/>
        </w:rPr>
        <w:t xml:space="preserve">التوزيع التكراري لمعدل الوقت اليومي المخصص لمتابعة الأخبار الرياضية على منصة </w:t>
      </w:r>
      <w:r>
        <w:rPr>
          <w:rFonts w:ascii="Arial" w:hAnsi="Arial"/>
          <w:b w:val="1"/>
          <w:bCs w:val="1"/>
          <w:rtl w:val="0"/>
        </w:rPr>
        <w:t>(X)</w:t>
      </w:r>
    </w:p>
    <w:tbl>
      <w:tblPr>
        <w:tblW w:w="1000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333"/>
        <w:gridCol w:w="3333"/>
        <w:gridCol w:w="3334"/>
      </w:tblGrid>
      <w:tr>
        <w:tblPrEx>
          <w:shd w:val="clear" w:color="auto" w:fill="auto"/>
        </w:tblPrEx>
        <w:trPr>
          <w:trHeight w:val="24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الإجابة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التكرار</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النسبة</w:t>
            </w:r>
            <w:r>
              <w:rPr>
                <w:rFonts w:ascii="Arial" w:hAnsi="Arial"/>
                <w:b w:val="1"/>
                <w:bCs w:val="1"/>
                <w:sz w:val="22"/>
                <w:szCs w:val="22"/>
                <w:rtl w:val="0"/>
              </w:rPr>
              <w:t xml:space="preserve"> %</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 xml:space="preserve">من ساعة إلى </w:t>
            </w:r>
            <w:r>
              <w:rPr>
                <w:rFonts w:ascii="Arial" w:hAnsi="Arial"/>
                <w:sz w:val="22"/>
                <w:szCs w:val="22"/>
                <w:rtl w:val="0"/>
              </w:rPr>
              <w:t>3</w:t>
            </w:r>
            <w:r>
              <w:rPr>
                <w:rFonts w:ascii="Arial Unicode MS" w:cs="Arial" w:hAnsi="Arial Unicode MS" w:eastAsia="Arial Unicode MS" w:hint="cs"/>
                <w:sz w:val="22"/>
                <w:szCs w:val="22"/>
                <w:rtl w:val="1"/>
              </w:rPr>
              <w:t xml:space="preserve"> ساعات</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26</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50.0%</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أقل من ساعة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20</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38.5%</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 xml:space="preserve">أكثر من </w:t>
            </w:r>
            <w:r>
              <w:rPr>
                <w:rFonts w:ascii="Arial" w:hAnsi="Arial"/>
                <w:sz w:val="22"/>
                <w:szCs w:val="22"/>
                <w:rtl w:val="0"/>
              </w:rPr>
              <w:t>3</w:t>
            </w:r>
            <w:r>
              <w:rPr>
                <w:rFonts w:ascii="Arial Unicode MS" w:cs="Arial" w:hAnsi="Arial Unicode MS" w:eastAsia="Arial Unicode MS" w:hint="cs"/>
                <w:sz w:val="22"/>
                <w:szCs w:val="22"/>
                <w:rtl w:val="1"/>
              </w:rPr>
              <w:t xml:space="preserve"> ساعات</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6</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11.5%</w:t>
            </w:r>
          </w:p>
        </w:tc>
      </w:tr>
    </w:tbl>
    <w:p>
      <w:pPr>
        <w:pStyle w:val="Body"/>
        <w:suppressAutoHyphens w:val="1"/>
        <w:bidi w:val="1"/>
        <w:spacing w:before="80" w:after="80" w:line="341" w:lineRule="auto"/>
        <w:ind w:left="0" w:right="0" w:firstLine="360"/>
        <w:jc w:val="both"/>
        <w:rPr>
          <w:rFonts w:ascii="Arial" w:cs="Arial" w:hAnsi="Arial" w:eastAsia="Arial"/>
          <w:sz w:val="24"/>
          <w:szCs w:val="24"/>
          <w:rtl w:val="1"/>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تشير بيانات الجدول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(3)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إلى أن فئة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من ساعة إلى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3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ساعات</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جاءت في المرتبة الأولى بنسبة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(50.0%)</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مقابل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(38.5%)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لفئة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أقل من ساعة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و</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(11.5%)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لفئة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أكثر من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3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ساعات</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ويعني ذلك أن نصف العينة تقريبًا يخصّص زمنًا معتبرًا يوميًا لمتابعة الأخبار الرياضية على المنصة، إذ تتجاوز النسبة الإجمالية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للمبحوثين</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الذين يقضون ساعة فأكثر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(61.5%)</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وهو ما يؤكّد تنامي الاعتماد على منصة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(X)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بوصفها مصدرًا رياضيًا يوميًا، ويدعم أحد المسلّمات الأساسية للدراسة المتعلقة بترسّخ المنصة في الأنماط الاستهلاكية للجمهور الرياضي</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المطلب الثاني</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متابعة الحسابات الرياضية على المنصة</w:t>
      </w:r>
    </w:p>
    <w:p>
      <w:pPr>
        <w:pStyle w:val="Body"/>
        <w:suppressAutoHyphens w:val="1"/>
        <w:bidi w:val="1"/>
        <w:spacing w:before="140" w:after="60"/>
        <w:ind w:left="0" w:right="0" w:firstLine="0"/>
        <w:jc w:val="center"/>
        <w:rPr>
          <w:rFonts w:ascii="Arial" w:cs="Arial" w:hAnsi="Arial" w:eastAsia="Arial"/>
          <w:b w:val="0"/>
          <w:bCs w:val="0"/>
          <w:sz w:val="24"/>
          <w:szCs w:val="24"/>
          <w:rtl w:val="1"/>
        </w:rPr>
      </w:pPr>
      <w:r>
        <w:rPr>
          <w:rFonts w:ascii="Arial Unicode MS" w:cs="Arial" w:hAnsi="Arial Unicode MS" w:eastAsia="Arial Unicode MS" w:hint="cs"/>
          <w:b w:val="1"/>
          <w:bCs w:val="1"/>
          <w:rtl w:val="1"/>
          <w:lang w:val="ar-SA" w:bidi="ar-SA"/>
        </w:rPr>
        <w:t xml:space="preserve">جدول </w:t>
      </w:r>
      <w:r>
        <w:rPr>
          <w:rFonts w:ascii="Arial" w:hAnsi="Arial"/>
          <w:b w:val="1"/>
          <w:bCs w:val="1"/>
          <w:rtl w:val="0"/>
        </w:rPr>
        <w:t xml:space="preserve">(4): </w:t>
      </w:r>
      <w:r>
        <w:rPr>
          <w:rFonts w:ascii="Arial Unicode MS" w:cs="Arial" w:hAnsi="Arial Unicode MS" w:eastAsia="Arial Unicode MS" w:hint="cs"/>
          <w:b w:val="1"/>
          <w:bCs w:val="1"/>
          <w:rtl w:val="1"/>
          <w:lang w:val="ar-SA" w:bidi="ar-SA"/>
        </w:rPr>
        <w:t xml:space="preserve">التوزيع التكراري لمتابعة الحسابات الرياضية على منصة </w:t>
      </w:r>
      <w:r>
        <w:rPr>
          <w:rFonts w:ascii="Arial" w:hAnsi="Arial"/>
          <w:b w:val="1"/>
          <w:bCs w:val="1"/>
          <w:rtl w:val="0"/>
        </w:rPr>
        <w:t>(X)</w:t>
      </w:r>
    </w:p>
    <w:tbl>
      <w:tblPr>
        <w:tblW w:w="1000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333"/>
        <w:gridCol w:w="3333"/>
        <w:gridCol w:w="3334"/>
      </w:tblGrid>
      <w:tr>
        <w:tblPrEx>
          <w:shd w:val="clear" w:color="auto" w:fill="auto"/>
        </w:tblPrEx>
        <w:trPr>
          <w:trHeight w:val="24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الإجابة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التكرار</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النسبة</w:t>
            </w:r>
            <w:r>
              <w:rPr>
                <w:rFonts w:ascii="Arial" w:hAnsi="Arial"/>
                <w:b w:val="1"/>
                <w:bCs w:val="1"/>
                <w:sz w:val="22"/>
                <w:szCs w:val="22"/>
                <w:rtl w:val="0"/>
              </w:rPr>
              <w:t xml:space="preserve"> %</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نعم</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35</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67.3%</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لا</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17</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32.7%</w:t>
            </w:r>
          </w:p>
        </w:tc>
      </w:tr>
    </w:tbl>
    <w:p>
      <w:pPr>
        <w:pStyle w:val="Body"/>
        <w:suppressAutoHyphens w:val="1"/>
        <w:bidi w:val="1"/>
        <w:spacing w:before="80" w:after="80" w:line="341" w:lineRule="auto"/>
        <w:ind w:left="0" w:right="0" w:firstLine="360"/>
        <w:jc w:val="both"/>
        <w:rPr>
          <w:rFonts w:ascii="Arial" w:cs="Arial" w:hAnsi="Arial" w:eastAsia="Arial"/>
          <w:sz w:val="24"/>
          <w:szCs w:val="24"/>
          <w:rtl w:val="1"/>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يبيّن الجدول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(4)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أن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(67.3%)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من أفراد العينة أفادوا بمتابعتهم للحسابات الرياضية على منصة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(X)</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مقابل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(32.7%)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ممن نفوا ذلك</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وتدلّ هذه النتيجة على أن ثلثي المبحوثين يتعرضون للمحتوى الرياضي على المنصة تعرّضًا مباشرًا، وهو ما يصادق على فرضية الدراسة القائلة بتنامي دور منصة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(X)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في الوسط الرياضي السعودي، ويؤكد امتلاك العينة للخبرة المباشرة اللازمة للإجابة عن أسئلة الاستبيان بصدقية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المطلب الثالث</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عدد الحسابات الإخبارية غير الرسمية المتابَعة</w:t>
      </w:r>
    </w:p>
    <w:p>
      <w:pPr>
        <w:pStyle w:val="Body"/>
        <w:suppressAutoHyphens w:val="1"/>
        <w:bidi w:val="1"/>
        <w:spacing w:before="80" w:after="80" w:line="341" w:lineRule="auto"/>
        <w:ind w:left="0" w:right="0" w:firstLine="0"/>
        <w:jc w:val="left"/>
        <w:rPr>
          <w:rFonts w:ascii="Arial" w:cs="Arial" w:hAnsi="Arial" w:eastAsia="Arial"/>
          <w:sz w:val="24"/>
          <w:szCs w:val="24"/>
          <w:rtl w:val="1"/>
        </w:rPr>
      </w:pPr>
      <w:r>
        <w:rPr>
          <w:rFonts w:ascii="Arial Unicode MS" w:cs="Arial" w:hAnsi="Arial Unicode MS" w:eastAsia="Arial Unicode MS" w:hint="cs"/>
          <w:sz w:val="21"/>
          <w:szCs w:val="21"/>
          <w:rtl w:val="1"/>
          <w:lang w:val="ar-SA" w:bidi="ar-SA"/>
        </w:rPr>
        <w:t>ملاحظة</w:t>
      </w:r>
      <w:r>
        <w:rPr>
          <w:rFonts w:ascii="Arial" w:hAnsi="Arial"/>
          <w:sz w:val="21"/>
          <w:szCs w:val="21"/>
          <w:rtl w:val="1"/>
        </w:rPr>
        <w:t xml:space="preserve">: </w:t>
      </w:r>
      <w:r>
        <w:rPr>
          <w:rFonts w:ascii="Arial Unicode MS" w:cs="Arial" w:hAnsi="Arial Unicode MS" w:eastAsia="Arial Unicode MS" w:hint="cs"/>
          <w:sz w:val="21"/>
          <w:szCs w:val="21"/>
          <w:rtl w:val="1"/>
          <w:lang w:val="ar-SA" w:bidi="ar-SA"/>
        </w:rPr>
        <w:t xml:space="preserve">عُرض هذا السؤال على </w:t>
      </w:r>
      <w:r>
        <w:rPr>
          <w:rFonts w:ascii="Arial Unicode MS" w:cs="Arial" w:hAnsi="Arial Unicode MS" w:eastAsia="Arial Unicode MS" w:hint="cs"/>
          <w:sz w:val="21"/>
          <w:szCs w:val="21"/>
          <w:rtl w:val="1"/>
          <w:lang w:val="ar-SA" w:bidi="ar-SA"/>
        </w:rPr>
        <w:t>المشاركين</w:t>
      </w:r>
      <w:r>
        <w:rPr>
          <w:rFonts w:ascii="Arial Unicode MS" w:cs="Arial" w:hAnsi="Arial Unicode MS" w:eastAsia="Arial Unicode MS" w:hint="cs"/>
          <w:sz w:val="21"/>
          <w:szCs w:val="21"/>
          <w:rtl w:val="1"/>
          <w:lang w:val="ar-SA" w:bidi="ar-SA"/>
        </w:rPr>
        <w:t xml:space="preserve"> الذين أفادوا بمتابعتهم للحسابات الرياضية في السؤال السابق، وعددهم </w:t>
      </w:r>
      <w:r>
        <w:rPr>
          <w:rFonts w:ascii="Arial" w:hAnsi="Arial"/>
          <w:sz w:val="21"/>
          <w:szCs w:val="21"/>
          <w:rtl w:val="0"/>
        </w:rPr>
        <w:t xml:space="preserve">(35) </w:t>
      </w:r>
      <w:r>
        <w:rPr>
          <w:rFonts w:ascii="Arial Unicode MS" w:cs="Arial" w:hAnsi="Arial Unicode MS" w:eastAsia="Arial Unicode MS" w:hint="cs"/>
          <w:sz w:val="21"/>
          <w:szCs w:val="21"/>
          <w:rtl w:val="1"/>
          <w:lang w:val="ar-SA" w:bidi="ar-SA"/>
        </w:rPr>
        <w:t>مفردة؛ ولذلك احتُسبت النسب المئوية على أساس هذا العدد</w:t>
      </w:r>
      <w:r>
        <w:rPr>
          <w:rFonts w:ascii="Arial" w:hAnsi="Arial"/>
          <w:sz w:val="21"/>
          <w:szCs w:val="21"/>
          <w:rtl w:val="1"/>
        </w:rPr>
        <w:t>.</w:t>
      </w:r>
    </w:p>
    <w:p>
      <w:pPr>
        <w:pStyle w:val="Body"/>
        <w:suppressAutoHyphens w:val="1"/>
        <w:bidi w:val="1"/>
        <w:spacing w:before="140" w:after="60"/>
        <w:ind w:left="0" w:right="0" w:firstLine="0"/>
        <w:jc w:val="center"/>
        <w:rPr>
          <w:rFonts w:ascii="Arial" w:cs="Arial" w:hAnsi="Arial" w:eastAsia="Arial"/>
          <w:b w:val="0"/>
          <w:bCs w:val="0"/>
          <w:sz w:val="24"/>
          <w:szCs w:val="24"/>
          <w:rtl w:val="1"/>
        </w:rPr>
      </w:pPr>
      <w:r>
        <w:rPr>
          <w:rFonts w:ascii="Arial Unicode MS" w:cs="Arial" w:hAnsi="Arial Unicode MS" w:eastAsia="Arial Unicode MS" w:hint="cs"/>
          <w:b w:val="1"/>
          <w:bCs w:val="1"/>
          <w:rtl w:val="1"/>
          <w:lang w:val="ar-SA" w:bidi="ar-SA"/>
        </w:rPr>
        <w:t xml:space="preserve">جدول </w:t>
      </w:r>
      <w:r>
        <w:rPr>
          <w:rFonts w:ascii="Arial" w:hAnsi="Arial"/>
          <w:b w:val="1"/>
          <w:bCs w:val="1"/>
          <w:rtl w:val="0"/>
        </w:rPr>
        <w:t xml:space="preserve">(5): </w:t>
      </w:r>
      <w:r>
        <w:rPr>
          <w:rFonts w:ascii="Arial Unicode MS" w:cs="Arial" w:hAnsi="Arial Unicode MS" w:eastAsia="Arial Unicode MS" w:hint="cs"/>
          <w:b w:val="1"/>
          <w:bCs w:val="1"/>
          <w:rtl w:val="1"/>
          <w:lang w:val="ar-SA" w:bidi="ar-SA"/>
        </w:rPr>
        <w:t>التوزيع التكراري لعدد الحسابات الإخبارية غير الرسمية المتابَعة</w:t>
      </w:r>
    </w:p>
    <w:tbl>
      <w:tblPr>
        <w:tblW w:w="1000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333"/>
        <w:gridCol w:w="3333"/>
        <w:gridCol w:w="3334"/>
      </w:tblGrid>
      <w:tr>
        <w:tblPrEx>
          <w:shd w:val="clear" w:color="auto" w:fill="auto"/>
        </w:tblPrEx>
        <w:trPr>
          <w:trHeight w:val="24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الإجابة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التكرار</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النسبة</w:t>
            </w:r>
            <w:r>
              <w:rPr>
                <w:rFonts w:ascii="Arial" w:hAnsi="Arial"/>
                <w:b w:val="1"/>
                <w:bCs w:val="1"/>
                <w:sz w:val="22"/>
                <w:szCs w:val="22"/>
                <w:rtl w:val="0"/>
              </w:rPr>
              <w:t xml:space="preserve"> %</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 xml:space="preserve">7 </w:t>
            </w:r>
            <w:r>
              <w:rPr>
                <w:rFonts w:ascii="Arial Unicode MS" w:cs="Arial" w:hAnsi="Arial Unicode MS" w:eastAsia="Arial Unicode MS" w:hint="cs"/>
                <w:sz w:val="22"/>
                <w:szCs w:val="22"/>
                <w:rtl w:val="1"/>
              </w:rPr>
              <w:t>حسابات فأكثر</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12</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34.3%</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 xml:space="preserve">من </w:t>
            </w:r>
            <w:r>
              <w:rPr>
                <w:rFonts w:ascii="Arial" w:hAnsi="Arial"/>
                <w:sz w:val="22"/>
                <w:szCs w:val="22"/>
                <w:rtl w:val="0"/>
              </w:rPr>
              <w:t>1</w:t>
            </w:r>
            <w:r>
              <w:rPr>
                <w:rFonts w:ascii="Arial Unicode MS" w:cs="Arial" w:hAnsi="Arial Unicode MS" w:eastAsia="Arial Unicode MS" w:hint="cs"/>
                <w:sz w:val="22"/>
                <w:szCs w:val="22"/>
                <w:rtl w:val="1"/>
              </w:rPr>
              <w:t xml:space="preserve"> إلى </w:t>
            </w:r>
            <w:r>
              <w:rPr>
                <w:rFonts w:ascii="Arial" w:hAnsi="Arial"/>
                <w:sz w:val="22"/>
                <w:szCs w:val="22"/>
                <w:rtl w:val="0"/>
              </w:rPr>
              <w:t>3</w:t>
            </w:r>
            <w:r>
              <w:rPr>
                <w:rFonts w:ascii="Arial Unicode MS" w:cs="Arial" w:hAnsi="Arial Unicode MS" w:eastAsia="Arial Unicode MS" w:hint="cs"/>
                <w:sz w:val="22"/>
                <w:szCs w:val="22"/>
                <w:rtl w:val="1"/>
              </w:rPr>
              <w:t xml:space="preserve"> حسابات</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11</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31.4%</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 xml:space="preserve">من </w:t>
            </w:r>
            <w:r>
              <w:rPr>
                <w:rFonts w:ascii="Arial" w:hAnsi="Arial"/>
                <w:sz w:val="22"/>
                <w:szCs w:val="22"/>
                <w:rtl w:val="0"/>
              </w:rPr>
              <w:t>4</w:t>
            </w:r>
            <w:r>
              <w:rPr>
                <w:rFonts w:ascii="Arial Unicode MS" w:cs="Arial" w:hAnsi="Arial Unicode MS" w:eastAsia="Arial Unicode MS" w:hint="cs"/>
                <w:sz w:val="22"/>
                <w:szCs w:val="22"/>
                <w:rtl w:val="1"/>
              </w:rPr>
              <w:t xml:space="preserve"> إلى </w:t>
            </w:r>
            <w:r>
              <w:rPr>
                <w:rFonts w:ascii="Arial" w:hAnsi="Arial"/>
                <w:sz w:val="22"/>
                <w:szCs w:val="22"/>
                <w:rtl w:val="0"/>
              </w:rPr>
              <w:t>6</w:t>
            </w:r>
            <w:r>
              <w:rPr>
                <w:rFonts w:ascii="Arial Unicode MS" w:cs="Arial" w:hAnsi="Arial Unicode MS" w:eastAsia="Arial Unicode MS" w:hint="cs"/>
                <w:sz w:val="22"/>
                <w:szCs w:val="22"/>
                <w:rtl w:val="1"/>
              </w:rPr>
              <w:t xml:space="preserve"> حسابات</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7</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20.0%</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لا أتابع أي حسابات</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5</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14.3%</w:t>
            </w:r>
          </w:p>
        </w:tc>
      </w:tr>
    </w:tbl>
    <w:p>
      <w:pPr>
        <w:pStyle w:val="Body"/>
        <w:suppressAutoHyphens w:val="1"/>
        <w:bidi w:val="1"/>
        <w:spacing w:before="80" w:after="80" w:line="341" w:lineRule="auto"/>
        <w:ind w:left="0" w:right="0" w:firstLine="360"/>
        <w:jc w:val="both"/>
        <w:rPr>
          <w:rFonts w:ascii="Arial" w:cs="Arial" w:hAnsi="Arial" w:eastAsia="Arial"/>
          <w:sz w:val="24"/>
          <w:szCs w:val="24"/>
          <w:rtl w:val="1"/>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يلاحظ من الجدول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(5)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أن فئة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(7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حسابات فأكثر</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تصدّرت التوزيع بنسبة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(34.3%)</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تلتها فئة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من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1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إلى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3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حسابات</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بنسبة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(31.4%)</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ثم فئة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من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4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إلى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6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حسابات</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بنسبة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(20.0%)</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فيما أشار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(14.3%)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إلى عدم متابعتهم لأي حساب</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ويفصح هذا التوزيع عن ارتفاع نسبة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المبحوثين</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الذين يتابعون عددًا كبيرًا من الحسابات غير الرسمية، ما يعكس تعدد مصادر الأخبار الرياضية التي يعتمد عليها الجمهور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وتشتت</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ولاءاته الإخبارية، ويفتح الباب أمام احتمال تعرّض المبحوث لأكثر من رواية للحدث الواحد في آنٍ معًا</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المطلب الرابع</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نوعية الحسابات الإخبارية الرياضية المفضّلة</w:t>
      </w:r>
    </w:p>
    <w:p>
      <w:pPr>
        <w:pStyle w:val="Body"/>
        <w:suppressAutoHyphens w:val="1"/>
        <w:bidi w:val="1"/>
        <w:spacing w:before="140" w:after="60"/>
        <w:ind w:left="0" w:right="0" w:firstLine="0"/>
        <w:jc w:val="center"/>
        <w:rPr>
          <w:rFonts w:ascii="Arial" w:cs="Arial" w:hAnsi="Arial" w:eastAsia="Arial"/>
          <w:b w:val="0"/>
          <w:bCs w:val="0"/>
          <w:sz w:val="24"/>
          <w:szCs w:val="24"/>
          <w:rtl w:val="1"/>
        </w:rPr>
      </w:pPr>
      <w:r>
        <w:rPr>
          <w:rFonts w:ascii="Arial Unicode MS" w:cs="Arial" w:hAnsi="Arial Unicode MS" w:eastAsia="Arial Unicode MS" w:hint="cs"/>
          <w:b w:val="1"/>
          <w:bCs w:val="1"/>
          <w:rtl w:val="1"/>
          <w:lang w:val="ar-SA" w:bidi="ar-SA"/>
        </w:rPr>
        <w:t xml:space="preserve">جدول </w:t>
      </w:r>
      <w:r>
        <w:rPr>
          <w:rFonts w:ascii="Arial" w:hAnsi="Arial"/>
          <w:b w:val="1"/>
          <w:bCs w:val="1"/>
          <w:rtl w:val="0"/>
        </w:rPr>
        <w:t xml:space="preserve">(6): </w:t>
      </w:r>
      <w:r>
        <w:rPr>
          <w:rFonts w:ascii="Arial Unicode MS" w:cs="Arial" w:hAnsi="Arial Unicode MS" w:eastAsia="Arial Unicode MS" w:hint="cs"/>
          <w:b w:val="1"/>
          <w:bCs w:val="1"/>
          <w:rtl w:val="1"/>
          <w:lang w:val="ar-SA" w:bidi="ar-SA"/>
        </w:rPr>
        <w:t xml:space="preserve">التوزيع التكراري لنوعية الحسابات الإخبارية الرياضية المفضّلة </w:t>
      </w:r>
      <w:r>
        <w:rPr>
          <w:rFonts w:ascii="Arial" w:hAnsi="Arial"/>
          <w:b w:val="1"/>
          <w:bCs w:val="1"/>
          <w:rtl w:val="0"/>
        </w:rPr>
        <w:t>(</w:t>
      </w:r>
      <w:r>
        <w:rPr>
          <w:rFonts w:ascii="Arial Unicode MS" w:cs="Arial" w:hAnsi="Arial Unicode MS" w:eastAsia="Arial Unicode MS" w:hint="cs"/>
          <w:b w:val="1"/>
          <w:bCs w:val="1"/>
          <w:rtl w:val="1"/>
          <w:lang w:val="ar-SA" w:bidi="ar-SA"/>
        </w:rPr>
        <w:t>اختيار متعدد</w:t>
      </w:r>
      <w:r>
        <w:rPr>
          <w:rFonts w:ascii="Arial" w:hAnsi="Arial"/>
          <w:b w:val="1"/>
          <w:bCs w:val="1"/>
          <w:rtl w:val="0"/>
        </w:rPr>
        <w:t>)</w:t>
      </w:r>
    </w:p>
    <w:tbl>
      <w:tblPr>
        <w:tblW w:w="901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607"/>
        <w:gridCol w:w="2401"/>
        <w:gridCol w:w="3004"/>
      </w:tblGrid>
      <w:tr>
        <w:tblPrEx>
          <w:shd w:val="clear" w:color="auto" w:fill="auto"/>
        </w:tblPrEx>
        <w:trPr>
          <w:trHeight w:val="240" w:hRule="atLeast"/>
        </w:trPr>
        <w:tc>
          <w:tcPr>
            <w:tcW w:type="dxa" w:w="36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الإجابة</w:t>
            </w:r>
          </w:p>
        </w:tc>
        <w:tc>
          <w:tcPr>
            <w:tcW w:type="dxa" w:w="24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التكرار</w:t>
            </w:r>
          </w:p>
        </w:tc>
        <w:tc>
          <w:tcPr>
            <w:tcW w:type="dxa" w:w="30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النسبة</w:t>
            </w:r>
            <w:r>
              <w:rPr>
                <w:rFonts w:ascii="Arial" w:hAnsi="Arial"/>
                <w:b w:val="1"/>
                <w:bCs w:val="1"/>
                <w:sz w:val="22"/>
                <w:szCs w:val="22"/>
                <w:rtl w:val="0"/>
              </w:rPr>
              <w:t xml:space="preserve"> %</w:t>
            </w:r>
          </w:p>
        </w:tc>
      </w:tr>
      <w:tr>
        <w:tblPrEx>
          <w:shd w:val="clear" w:color="auto" w:fill="auto"/>
        </w:tblPrEx>
        <w:trPr>
          <w:trHeight w:val="250" w:hRule="atLeast"/>
        </w:trPr>
        <w:tc>
          <w:tcPr>
            <w:tcW w:type="dxa" w:w="36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حسابات إخبارية متخصصة بناديك المفضل فقط</w:t>
            </w:r>
          </w:p>
        </w:tc>
        <w:tc>
          <w:tcPr>
            <w:tcW w:type="dxa" w:w="24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20</w:t>
            </w:r>
          </w:p>
        </w:tc>
        <w:tc>
          <w:tcPr>
            <w:tcW w:type="dxa" w:w="30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66.7%</w:t>
            </w:r>
          </w:p>
        </w:tc>
      </w:tr>
      <w:tr>
        <w:tblPrEx>
          <w:shd w:val="clear" w:color="auto" w:fill="auto"/>
        </w:tblPrEx>
        <w:trPr>
          <w:trHeight w:val="250" w:hRule="atLeast"/>
        </w:trPr>
        <w:tc>
          <w:tcPr>
            <w:tcW w:type="dxa" w:w="36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حسابات إعلاميين ونقاد رياضيين بارزين</w:t>
            </w:r>
          </w:p>
        </w:tc>
        <w:tc>
          <w:tcPr>
            <w:tcW w:type="dxa" w:w="24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20</w:t>
            </w:r>
          </w:p>
        </w:tc>
        <w:tc>
          <w:tcPr>
            <w:tcW w:type="dxa" w:w="30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66.7%</w:t>
            </w:r>
          </w:p>
        </w:tc>
      </w:tr>
      <w:tr>
        <w:tblPrEx>
          <w:shd w:val="clear" w:color="auto" w:fill="auto"/>
        </w:tblPrEx>
        <w:trPr>
          <w:trHeight w:val="250" w:hRule="atLeast"/>
        </w:trPr>
        <w:tc>
          <w:tcPr>
            <w:tcW w:type="dxa" w:w="36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حسابات إخبارية عامة للدوري السعودي</w:t>
            </w:r>
          </w:p>
        </w:tc>
        <w:tc>
          <w:tcPr>
            <w:tcW w:type="dxa" w:w="24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16</w:t>
            </w:r>
          </w:p>
        </w:tc>
        <w:tc>
          <w:tcPr>
            <w:tcW w:type="dxa" w:w="30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53.3%</w:t>
            </w:r>
          </w:p>
        </w:tc>
      </w:tr>
      <w:tr>
        <w:tblPrEx>
          <w:shd w:val="clear" w:color="auto" w:fill="auto"/>
        </w:tblPrEx>
        <w:trPr>
          <w:trHeight w:val="250" w:hRule="atLeast"/>
        </w:trPr>
        <w:tc>
          <w:tcPr>
            <w:tcW w:type="dxa" w:w="36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حسابات تهتم بالإحصائيات والتحليل الفني</w:t>
            </w:r>
          </w:p>
        </w:tc>
        <w:tc>
          <w:tcPr>
            <w:tcW w:type="dxa" w:w="24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16</w:t>
            </w:r>
          </w:p>
        </w:tc>
        <w:tc>
          <w:tcPr>
            <w:tcW w:type="dxa" w:w="30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53.3%</w:t>
            </w:r>
          </w:p>
        </w:tc>
      </w:tr>
    </w:tbl>
    <w:p>
      <w:pPr>
        <w:pStyle w:val="Body"/>
        <w:suppressAutoHyphens w:val="1"/>
        <w:bidi w:val="1"/>
        <w:spacing w:before="80" w:after="80" w:line="341" w:lineRule="auto"/>
        <w:ind w:left="0" w:right="0" w:firstLine="0"/>
        <w:jc w:val="both"/>
        <w:rPr>
          <w:rFonts w:ascii="Arial" w:cs="Arial" w:hAnsi="Arial" w:eastAsia="Arial"/>
          <w:sz w:val="24"/>
          <w:szCs w:val="24"/>
          <w:rtl w:val="1"/>
        </w:rPr>
      </w:pPr>
    </w:p>
    <w:p>
      <w:pPr>
        <w:pStyle w:val="Body"/>
        <w:suppressAutoHyphens w:val="1"/>
        <w:bidi w:val="1"/>
        <w:spacing w:before="80" w:after="80" w:line="341" w:lineRule="auto"/>
        <w:ind w:left="0" w:right="0" w:firstLine="0"/>
        <w:jc w:val="both"/>
        <w:rPr>
          <w:rFonts w:ascii="Arial" w:cs="Arial" w:hAnsi="Arial" w:eastAsia="Arial"/>
          <w:sz w:val="21"/>
          <w:szCs w:val="21"/>
          <w:rtl w:val="1"/>
        </w:rPr>
      </w:pPr>
      <w:r>
        <w:rPr>
          <w:rFonts w:ascii="Arial Unicode MS" w:cs="Arial" w:hAnsi="Arial Unicode MS" w:eastAsia="Arial Unicode MS" w:hint="cs"/>
          <w:sz w:val="21"/>
          <w:szCs w:val="21"/>
          <w:rtl w:val="1"/>
          <w:lang w:val="ar-SA" w:bidi="ar-SA"/>
        </w:rPr>
        <w:t>ملاحظة منهجية</w:t>
      </w:r>
      <w:r>
        <w:rPr>
          <w:rFonts w:ascii="Arial" w:hAnsi="Arial"/>
          <w:sz w:val="21"/>
          <w:szCs w:val="21"/>
          <w:rtl w:val="1"/>
        </w:rPr>
        <w:t xml:space="preserve">: </w:t>
      </w:r>
      <w:r>
        <w:rPr>
          <w:rFonts w:ascii="Arial Unicode MS" w:cs="Arial" w:hAnsi="Arial Unicode MS" w:eastAsia="Arial Unicode MS" w:hint="cs"/>
          <w:sz w:val="21"/>
          <w:szCs w:val="21"/>
          <w:rtl w:val="1"/>
          <w:lang w:val="ar-SA" w:bidi="ar-SA"/>
        </w:rPr>
        <w:t xml:space="preserve">نظرًا لتعددية الإجابة في هذا السؤال، فإن مجموع النسب المئوية يتجاوز </w:t>
      </w:r>
      <w:r>
        <w:rPr>
          <w:rFonts w:ascii="Arial" w:hAnsi="Arial"/>
          <w:sz w:val="21"/>
          <w:szCs w:val="21"/>
          <w:rtl w:val="0"/>
        </w:rPr>
        <w:t>(100%)</w:t>
      </w:r>
      <w:r>
        <w:rPr>
          <w:rFonts w:ascii="Arial Unicode MS" w:cs="Arial" w:hAnsi="Arial Unicode MS" w:eastAsia="Arial Unicode MS" w:hint="cs"/>
          <w:sz w:val="21"/>
          <w:szCs w:val="21"/>
          <w:rtl w:val="1"/>
          <w:lang w:val="ar-SA" w:bidi="ar-SA"/>
        </w:rPr>
        <w:t>، وقد احتُسبت كل نسبة على أساس عدد المبحوثين الفعليين لا عدد الإجابات</w:t>
      </w:r>
      <w:r>
        <w:rPr>
          <w:rFonts w:ascii="Arial" w:hAnsi="Arial"/>
          <w:sz w:val="21"/>
          <w:szCs w:val="21"/>
          <w:rtl w:val="1"/>
        </w:rPr>
        <w:t>.</w:t>
      </w:r>
    </w:p>
    <w:p>
      <w:pPr>
        <w:pStyle w:val="Body"/>
        <w:suppressAutoHyphens w:val="1"/>
        <w:bidi w:val="1"/>
        <w:spacing w:before="80" w:after="80" w:line="341" w:lineRule="auto"/>
        <w:ind w:left="0" w:right="0" w:firstLine="0"/>
        <w:jc w:val="both"/>
        <w:rPr>
          <w:rFonts w:ascii="Arial" w:cs="Arial" w:hAnsi="Arial" w:eastAsia="Arial"/>
          <w:sz w:val="24"/>
          <w:szCs w:val="24"/>
          <w:rtl w:val="1"/>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نظرًا لتعددية الإجابة في هذا السؤال، فقد احتُسبت النسب على أساس عدد المبحوثين الفعليين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(30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مشارك</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ويتبيّن من الجدول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(6)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تعادل فئتي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الحسابات المتخصصة بالنادي المفضل</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و</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حسابات الإعلاميين والنقاد البارزين</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في المرتبة الأولى بنسبة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(66.7%)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لكل منهما، تتبعهما فئتا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الحسابات العامة للدوري</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و</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حسابات الإحصائيات والتحليل الفني</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بنسبة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(53.3%)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لكل منهما</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ويكشف هذا التوزيع عن ثنائية في توجّهات الجمهور</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ميلٌ إلى التخصص الناتج عن التعصب للنادي، وميلٌ إلى المتابعة العامة المهنية، فضلًا عن حضور لافت للبُعد التحليلي الإحصائي، ما يدلّ على وعي نسبي بأهمية المحتوى التحليلي إلى جانب الخبر العاجل</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المبحث الثالث</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 xml:space="preserve">البُعد المعرفي وأثر التشكيل على الوعي </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 xml:space="preserve">مقياس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التقييم</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 xml:space="preserve"> الخماسي</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w:t>
      </w: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للوقوف على أثر الحسابات الإخبارية الرياضية في تشكيل وعي الجماهير، تمّ قياس ثلاث عبارات وفق مقياس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التقييم</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الخماسي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موافق بشدة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5</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موافق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4</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محايد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3</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غير موافق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2</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غير موافق بشدة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1)</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وقد احتُسب لكل عبارة نسبة الموافقة الإجمالية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موافق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موافق بشدة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والمتوسط الحسابي المرجّح</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ويعرض الجدول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(7)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تلخيصًا لتلك العبارات قبل تفصيل كل منها على حدة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suppressAutoHyphens w:val="1"/>
        <w:bidi w:val="1"/>
        <w:spacing w:before="140" w:after="60"/>
        <w:ind w:left="0" w:right="0" w:firstLine="0"/>
        <w:jc w:val="center"/>
        <w:rPr>
          <w:rFonts w:ascii="Arial" w:cs="Arial" w:hAnsi="Arial" w:eastAsia="Arial"/>
          <w:b w:val="0"/>
          <w:bCs w:val="0"/>
          <w:sz w:val="24"/>
          <w:szCs w:val="24"/>
          <w:rtl w:val="1"/>
        </w:rPr>
      </w:pPr>
      <w:r>
        <w:rPr>
          <w:rFonts w:ascii="Arial Unicode MS" w:cs="Arial" w:hAnsi="Arial Unicode MS" w:eastAsia="Arial Unicode MS" w:hint="cs"/>
          <w:b w:val="1"/>
          <w:bCs w:val="1"/>
          <w:rtl w:val="1"/>
          <w:lang w:val="ar-SA" w:bidi="ar-SA"/>
        </w:rPr>
        <w:t xml:space="preserve">جدول </w:t>
      </w:r>
      <w:r>
        <w:rPr>
          <w:rFonts w:ascii="Arial" w:hAnsi="Arial"/>
          <w:b w:val="1"/>
          <w:bCs w:val="1"/>
          <w:rtl w:val="0"/>
        </w:rPr>
        <w:t xml:space="preserve">(7): </w:t>
      </w:r>
      <w:r>
        <w:rPr>
          <w:rFonts w:ascii="Arial Unicode MS" w:cs="Arial" w:hAnsi="Arial Unicode MS" w:eastAsia="Arial Unicode MS" w:hint="cs"/>
          <w:b w:val="1"/>
          <w:bCs w:val="1"/>
          <w:rtl w:val="1"/>
          <w:lang w:val="ar-SA" w:bidi="ar-SA"/>
        </w:rPr>
        <w:t xml:space="preserve">ملخص المتوسطات الحسابية المرجّحة لعبارات </w:t>
      </w:r>
      <w:r>
        <w:rPr>
          <w:rFonts w:ascii="Arial Unicode MS" w:cs="Arial" w:hAnsi="Arial Unicode MS" w:eastAsia="Arial Unicode MS" w:hint="cs"/>
          <w:b w:val="1"/>
          <w:bCs w:val="1"/>
          <w:rtl w:val="1"/>
          <w:lang w:val="ar-SA" w:bidi="ar-SA"/>
        </w:rPr>
        <w:t>ال</w:t>
      </w:r>
      <w:r>
        <w:rPr>
          <w:rFonts w:ascii="Arial Unicode MS" w:cs="Arial" w:hAnsi="Arial Unicode MS" w:eastAsia="Arial Unicode MS" w:hint="cs"/>
          <w:b w:val="1"/>
          <w:bCs w:val="1"/>
          <w:rtl w:val="1"/>
          <w:lang w:val="ar-SA" w:bidi="ar-SA"/>
        </w:rPr>
        <w:t xml:space="preserve">مقياس </w:t>
      </w:r>
      <w:r>
        <w:rPr>
          <w:rFonts w:ascii="Arial Unicode MS" w:cs="Arial" w:hAnsi="Arial Unicode MS" w:eastAsia="Arial Unicode MS" w:hint="cs"/>
          <w:b w:val="1"/>
          <w:bCs w:val="1"/>
          <w:rtl w:val="1"/>
          <w:lang w:val="ar-SA" w:bidi="ar-SA"/>
        </w:rPr>
        <w:t>الخماسي</w:t>
      </w:r>
    </w:p>
    <w:tbl>
      <w:tblPr>
        <w:tblW w:w="8897"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099"/>
        <w:gridCol w:w="2500"/>
        <w:gridCol w:w="2298"/>
      </w:tblGrid>
      <w:tr>
        <w:tblPrEx>
          <w:shd w:val="clear" w:color="auto" w:fill="auto"/>
        </w:tblPrEx>
        <w:trPr>
          <w:trHeight w:val="247" w:hRule="atLeast"/>
        </w:trPr>
        <w:tc>
          <w:tcPr>
            <w:tcW w:type="dxa" w:w="409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العبارة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نسبة الموافقة الإجمالية</w:t>
            </w:r>
          </w:p>
        </w:tc>
        <w:tc>
          <w:tcPr>
            <w:tcW w:type="dxa" w:w="229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 xml:space="preserve">المتوسط المرجّح </w:t>
            </w:r>
            <w:r>
              <w:rPr>
                <w:rFonts w:ascii="Arial" w:hAnsi="Arial"/>
                <w:b w:val="1"/>
                <w:bCs w:val="1"/>
                <w:sz w:val="22"/>
                <w:szCs w:val="22"/>
                <w:rtl w:val="1"/>
              </w:rPr>
              <w:t>(</w:t>
            </w:r>
            <w:r>
              <w:rPr>
                <w:rFonts w:ascii="Arial Unicode MS" w:cs="Arial" w:hAnsi="Arial Unicode MS" w:eastAsia="Arial Unicode MS" w:hint="cs"/>
                <w:b w:val="1"/>
                <w:bCs w:val="1"/>
                <w:sz w:val="22"/>
                <w:szCs w:val="22"/>
                <w:rtl w:val="1"/>
              </w:rPr>
              <w:t xml:space="preserve">من </w:t>
            </w:r>
            <w:r>
              <w:rPr>
                <w:rFonts w:ascii="Arial" w:hAnsi="Arial"/>
                <w:b w:val="1"/>
                <w:bCs w:val="1"/>
                <w:sz w:val="22"/>
                <w:szCs w:val="22"/>
                <w:rtl w:val="0"/>
              </w:rPr>
              <w:t>5</w:t>
            </w:r>
            <w:r>
              <w:rPr>
                <w:rFonts w:ascii="Arial" w:hAnsi="Arial"/>
                <w:b w:val="1"/>
                <w:bCs w:val="1"/>
                <w:sz w:val="22"/>
                <w:szCs w:val="22"/>
                <w:rtl w:val="1"/>
              </w:rPr>
              <w:t>)</w:t>
            </w:r>
          </w:p>
        </w:tc>
      </w:tr>
      <w:tr>
        <w:tblPrEx>
          <w:shd w:val="clear" w:color="auto" w:fill="auto"/>
        </w:tblPrEx>
        <w:trPr>
          <w:trHeight w:val="491" w:hRule="atLeast"/>
        </w:trPr>
        <w:tc>
          <w:tcPr>
            <w:tcW w:type="dxa" w:w="409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س</w:t>
            </w:r>
            <w:r>
              <w:rPr>
                <w:rFonts w:ascii="Arial" w:hAnsi="Arial"/>
                <w:sz w:val="22"/>
                <w:szCs w:val="22"/>
                <w:rtl w:val="0"/>
              </w:rPr>
              <w:t>7</w:t>
            </w:r>
            <w:r>
              <w:rPr>
                <w:rFonts w:ascii="Arial" w:hAnsi="Arial"/>
                <w:sz w:val="22"/>
                <w:szCs w:val="22"/>
                <w:rtl w:val="1"/>
              </w:rPr>
              <w:t xml:space="preserve">: </w:t>
            </w:r>
            <w:r>
              <w:rPr>
                <w:rFonts w:ascii="Arial Unicode MS" w:cs="Arial" w:hAnsi="Arial Unicode MS" w:eastAsia="Arial Unicode MS" w:hint="cs"/>
                <w:sz w:val="22"/>
                <w:szCs w:val="22"/>
                <w:rtl w:val="1"/>
              </w:rPr>
              <w:t>الإسهام في المعرفة بالقوانين واللوائح</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59.6%</w:t>
            </w:r>
          </w:p>
        </w:tc>
        <w:tc>
          <w:tcPr>
            <w:tcW w:type="dxa" w:w="229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3.65</w:t>
            </w:r>
          </w:p>
        </w:tc>
      </w:tr>
      <w:tr>
        <w:tblPrEx>
          <w:shd w:val="clear" w:color="auto" w:fill="auto"/>
        </w:tblPrEx>
        <w:trPr>
          <w:trHeight w:val="491" w:hRule="atLeast"/>
        </w:trPr>
        <w:tc>
          <w:tcPr>
            <w:tcW w:type="dxa" w:w="409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س</w:t>
            </w:r>
            <w:r>
              <w:rPr>
                <w:rFonts w:ascii="Arial" w:hAnsi="Arial"/>
                <w:sz w:val="22"/>
                <w:szCs w:val="22"/>
                <w:rtl w:val="0"/>
              </w:rPr>
              <w:t>8</w:t>
            </w:r>
            <w:r>
              <w:rPr>
                <w:rFonts w:ascii="Arial" w:hAnsi="Arial"/>
                <w:sz w:val="22"/>
                <w:szCs w:val="22"/>
                <w:rtl w:val="1"/>
              </w:rPr>
              <w:t xml:space="preserve">: </w:t>
            </w:r>
            <w:r>
              <w:rPr>
                <w:rFonts w:ascii="Arial Unicode MS" w:cs="Arial" w:hAnsi="Arial Unicode MS" w:eastAsia="Arial Unicode MS" w:hint="cs"/>
                <w:sz w:val="22"/>
                <w:szCs w:val="22"/>
                <w:rtl w:val="1"/>
              </w:rPr>
              <w:t>كشف كواليس الصفقات أسرع من الإعلام التقليدي</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61.5%</w:t>
            </w:r>
          </w:p>
        </w:tc>
        <w:tc>
          <w:tcPr>
            <w:tcW w:type="dxa" w:w="229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3.58</w:t>
            </w:r>
          </w:p>
        </w:tc>
      </w:tr>
      <w:tr>
        <w:tblPrEx>
          <w:shd w:val="clear" w:color="auto" w:fill="auto"/>
        </w:tblPrEx>
        <w:trPr>
          <w:trHeight w:val="491" w:hRule="atLeast"/>
        </w:trPr>
        <w:tc>
          <w:tcPr>
            <w:tcW w:type="dxa" w:w="409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س</w:t>
            </w:r>
            <w:r>
              <w:rPr>
                <w:rFonts w:ascii="Arial" w:hAnsi="Arial"/>
                <w:sz w:val="22"/>
                <w:szCs w:val="22"/>
                <w:rtl w:val="0"/>
              </w:rPr>
              <w:t>9</w:t>
            </w:r>
            <w:r>
              <w:rPr>
                <w:rFonts w:ascii="Arial" w:hAnsi="Arial"/>
                <w:sz w:val="22"/>
                <w:szCs w:val="22"/>
                <w:rtl w:val="1"/>
              </w:rPr>
              <w:t xml:space="preserve">: </w:t>
            </w:r>
            <w:r>
              <w:rPr>
                <w:rFonts w:ascii="Arial Unicode MS" w:cs="Arial" w:hAnsi="Arial Unicode MS" w:eastAsia="Arial Unicode MS" w:hint="cs"/>
                <w:sz w:val="22"/>
                <w:szCs w:val="22"/>
                <w:rtl w:val="1"/>
              </w:rPr>
              <w:t>التأثير على تقييم أداء اللجان والتحكيم</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51.9%</w:t>
            </w:r>
          </w:p>
        </w:tc>
        <w:tc>
          <w:tcPr>
            <w:tcW w:type="dxa" w:w="229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3.67</w:t>
            </w:r>
          </w:p>
        </w:tc>
      </w:tr>
    </w:tbl>
    <w:p>
      <w:pPr>
        <w:pStyle w:val="Body"/>
        <w:suppressAutoHyphens w:val="1"/>
        <w:bidi w:val="1"/>
        <w:spacing w:before="80" w:after="80" w:line="341" w:lineRule="auto"/>
        <w:ind w:left="0" w:right="0" w:firstLine="360"/>
        <w:jc w:val="both"/>
        <w:rPr>
          <w:rFonts w:ascii="Arial" w:cs="Arial" w:hAnsi="Arial" w:eastAsia="Arial"/>
          <w:sz w:val="24"/>
          <w:szCs w:val="24"/>
          <w:rtl w:val="1"/>
        </w:rPr>
      </w:pPr>
    </w:p>
    <w:p>
      <w:pPr>
        <w:pStyle w:val="Body"/>
        <w:bidi w:val="1"/>
        <w:spacing w:after="160" w:line="276" w:lineRule="auto"/>
        <w:ind w:left="0" w:right="0" w:firstLine="0"/>
        <w:jc w:val="both"/>
        <w:rPr>
          <w:rFonts w:ascii="Simplified Arabic" w:cs="Simplified Arabic" w:hAnsi="Simplified Arabic" w:eastAsia="Simplified Arabic"/>
          <w:sz w:val="24"/>
          <w:szCs w:val="24"/>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يتبيّن من الجدول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(7)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أن المتوسطات الحسابية المرجّحة للعبارات الثلاث تراوحت بين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(3.58)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و</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(3.67)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من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(5)</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وهي قيم تقع ضمن خانة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الموافقة المتوسطة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وفق تدرّج مقياس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التقييم الخماسي</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مع تباين طفيف بين الأبعاد الثلاثة، إذ جاء بُعد التأثير على تقييم أداء اللجان والتحكيم في المرتبة الأولى، يليه بُعد المعرفة بالقوانين واللوائح، ثم بُعد كشف كواليس الصفقات، وهو ما يُحيل إلى أن أثر الحسابات يتجاوز الجانب المعرفي ليصل إلى تشكيل المواقف والأحكام</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المطلب الأول</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الإسهام في المعرفة بالقوانين واللوائح</w:t>
      </w: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p>
    <w:p>
      <w:pPr>
        <w:pStyle w:val="Body"/>
        <w:suppressAutoHyphens w:val="1"/>
        <w:bidi w:val="1"/>
        <w:spacing w:before="140" w:after="60"/>
        <w:ind w:left="0" w:right="0" w:firstLine="0"/>
        <w:jc w:val="center"/>
        <w:rPr>
          <w:rFonts w:ascii="Arial" w:cs="Arial" w:hAnsi="Arial" w:eastAsia="Arial"/>
          <w:b w:val="0"/>
          <w:bCs w:val="0"/>
          <w:sz w:val="24"/>
          <w:szCs w:val="24"/>
          <w:rtl w:val="1"/>
        </w:rPr>
      </w:pPr>
      <w:r>
        <w:rPr>
          <w:rFonts w:ascii="Arial Unicode MS" w:cs="Arial" w:hAnsi="Arial Unicode MS" w:eastAsia="Arial Unicode MS" w:hint="cs"/>
          <w:b w:val="1"/>
          <w:bCs w:val="1"/>
          <w:rtl w:val="1"/>
          <w:lang w:val="ar-SA" w:bidi="ar-SA"/>
        </w:rPr>
        <w:t xml:space="preserve">جدول </w:t>
      </w:r>
      <w:r>
        <w:rPr>
          <w:rFonts w:ascii="Arial" w:hAnsi="Arial"/>
          <w:b w:val="1"/>
          <w:bCs w:val="1"/>
          <w:rtl w:val="0"/>
        </w:rPr>
        <w:t xml:space="preserve">(8): </w:t>
      </w:r>
      <w:r>
        <w:rPr>
          <w:rFonts w:ascii="Arial Unicode MS" w:cs="Arial" w:hAnsi="Arial Unicode MS" w:eastAsia="Arial Unicode MS" w:hint="cs"/>
          <w:b w:val="1"/>
          <w:bCs w:val="1"/>
          <w:rtl w:val="1"/>
          <w:lang w:val="ar-SA" w:bidi="ar-SA"/>
        </w:rPr>
        <w:t xml:space="preserve">التوزيع التكراري للإجابات على عبارة </w:t>
      </w:r>
      <w:r>
        <w:rPr>
          <w:rFonts w:ascii="Arial" w:hAnsi="Arial"/>
          <w:b w:val="1"/>
          <w:bCs w:val="1"/>
          <w:rtl w:val="0"/>
        </w:rPr>
        <w:t>(</w:t>
      </w:r>
      <w:r>
        <w:rPr>
          <w:rFonts w:ascii="Arial Unicode MS" w:cs="Arial" w:hAnsi="Arial Unicode MS" w:eastAsia="Arial Unicode MS" w:hint="cs"/>
          <w:b w:val="1"/>
          <w:bCs w:val="1"/>
          <w:rtl w:val="1"/>
        </w:rPr>
        <w:t>س</w:t>
      </w:r>
      <w:r>
        <w:rPr>
          <w:rFonts w:ascii="Arial" w:hAnsi="Arial"/>
          <w:b w:val="1"/>
          <w:bCs w:val="1"/>
          <w:rtl w:val="0"/>
        </w:rPr>
        <w:t>7)</w:t>
      </w:r>
    </w:p>
    <w:tbl>
      <w:tblPr>
        <w:tblW w:w="1000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500"/>
        <w:gridCol w:w="2500"/>
        <w:gridCol w:w="2500"/>
        <w:gridCol w:w="2500"/>
      </w:tblGrid>
      <w:tr>
        <w:tblPrEx>
          <w:shd w:val="clear" w:color="auto" w:fill="auto"/>
        </w:tblPrEx>
        <w:trPr>
          <w:trHeight w:val="24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الإجابة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التكرار</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النسبة</w:t>
            </w:r>
            <w:r>
              <w:rPr>
                <w:rFonts w:ascii="Arial" w:hAnsi="Arial"/>
                <w:b w:val="1"/>
                <w:bCs w:val="1"/>
                <w:sz w:val="22"/>
                <w:szCs w:val="22"/>
                <w:rtl w:val="0"/>
              </w:rPr>
              <w:t xml:space="preserve"> %</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الوزن</w:t>
            </w:r>
          </w:p>
        </w:tc>
      </w:tr>
      <w:tr>
        <w:tblPrEx>
          <w:shd w:val="clear" w:color="auto" w:fill="auto"/>
        </w:tblPrEx>
        <w:trPr>
          <w:trHeight w:val="25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left"/>
            </w:pPr>
            <w:r>
              <w:rPr>
                <w:rFonts w:ascii="Arial Unicode MS" w:cs="Arial" w:hAnsi="Arial Unicode MS" w:eastAsia="Arial Unicode MS" w:hint="cs"/>
                <w:sz w:val="22"/>
                <w:szCs w:val="22"/>
                <w:rtl w:val="1"/>
              </w:rPr>
              <w:t>موافق بشدة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9</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17.3%</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5</w:t>
            </w:r>
          </w:p>
        </w:tc>
      </w:tr>
      <w:tr>
        <w:tblPrEx>
          <w:shd w:val="clear" w:color="auto" w:fill="auto"/>
        </w:tblPrEx>
        <w:trPr>
          <w:trHeight w:val="25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left"/>
            </w:pPr>
            <w:r>
              <w:rPr>
                <w:rFonts w:ascii="Arial Unicode MS" w:cs="Arial" w:hAnsi="Arial Unicode MS" w:eastAsia="Arial Unicode MS" w:hint="cs"/>
                <w:sz w:val="22"/>
                <w:szCs w:val="22"/>
                <w:rtl w:val="1"/>
              </w:rPr>
              <w:t>موافق</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22</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42.3%</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4</w:t>
            </w:r>
          </w:p>
        </w:tc>
      </w:tr>
      <w:tr>
        <w:tblPrEx>
          <w:shd w:val="clear" w:color="auto" w:fill="auto"/>
        </w:tblPrEx>
        <w:trPr>
          <w:trHeight w:val="25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left"/>
            </w:pPr>
            <w:r>
              <w:rPr>
                <w:rFonts w:ascii="Arial Unicode MS" w:cs="Arial" w:hAnsi="Arial Unicode MS" w:eastAsia="Arial Unicode MS" w:hint="cs"/>
                <w:sz w:val="22"/>
                <w:szCs w:val="22"/>
                <w:rtl w:val="1"/>
              </w:rPr>
              <w:t>محايد</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15</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28.8%</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3</w:t>
            </w:r>
          </w:p>
        </w:tc>
      </w:tr>
      <w:tr>
        <w:tblPrEx>
          <w:shd w:val="clear" w:color="auto" w:fill="auto"/>
        </w:tblPrEx>
        <w:trPr>
          <w:trHeight w:val="25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left"/>
            </w:pPr>
            <w:r>
              <w:rPr>
                <w:rFonts w:ascii="Arial Unicode MS" w:cs="Arial" w:hAnsi="Arial Unicode MS" w:eastAsia="Arial Unicode MS" w:hint="cs"/>
                <w:sz w:val="22"/>
                <w:szCs w:val="22"/>
                <w:rtl w:val="1"/>
              </w:rPr>
              <w:t>غير موافق</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6</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11.5%</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2</w:t>
            </w:r>
          </w:p>
        </w:tc>
      </w:tr>
      <w:tr>
        <w:tblPrEx>
          <w:shd w:val="clear" w:color="auto" w:fill="auto"/>
        </w:tblPrEx>
        <w:trPr>
          <w:trHeight w:val="25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left"/>
            </w:pPr>
            <w:r>
              <w:rPr>
                <w:rFonts w:ascii="Arial Unicode MS" w:cs="Arial" w:hAnsi="Arial Unicode MS" w:eastAsia="Arial Unicode MS" w:hint="cs"/>
                <w:sz w:val="22"/>
                <w:szCs w:val="22"/>
                <w:rtl w:val="1"/>
              </w:rPr>
              <w:t>غير موافق بشدة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0</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0.0%</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1</w:t>
            </w:r>
          </w:p>
        </w:tc>
      </w:tr>
      <w:tr>
        <w:tblPrEx>
          <w:shd w:val="clear" w:color="auto" w:fill="auto"/>
        </w:tblPrEx>
        <w:trPr>
          <w:trHeight w:val="25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left"/>
            </w:pPr>
            <w:r>
              <w:rPr>
                <w:rFonts w:ascii="Arial Unicode MS" w:cs="Arial" w:hAnsi="Arial Unicode MS" w:eastAsia="Arial Unicode MS" w:hint="cs"/>
                <w:sz w:val="22"/>
                <w:szCs w:val="22"/>
                <w:rtl w:val="1"/>
              </w:rPr>
              <w:t>المجموع</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52</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100%</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center"/>
            </w:pPr>
            <w:r>
              <w:rPr>
                <w:rFonts w:ascii="Arial" w:hAnsi="Arial" w:hint="default"/>
                <w:sz w:val="22"/>
                <w:szCs w:val="22"/>
                <w:rtl w:val="0"/>
              </w:rPr>
              <w:t>—</w:t>
            </w:r>
          </w:p>
        </w:tc>
      </w:tr>
    </w:tbl>
    <w:p>
      <w:pPr>
        <w:pStyle w:val="Body"/>
        <w:suppressAutoHyphens w:val="1"/>
        <w:bidi w:val="1"/>
        <w:spacing w:before="80" w:after="80" w:line="341" w:lineRule="auto"/>
        <w:ind w:left="0" w:right="0" w:firstLine="0"/>
        <w:jc w:val="both"/>
        <w:rPr>
          <w:rFonts w:ascii="Arial" w:cs="Arial" w:hAnsi="Arial" w:eastAsia="Arial"/>
          <w:b w:val="0"/>
          <w:bCs w:val="0"/>
          <w:sz w:val="24"/>
          <w:szCs w:val="24"/>
          <w:rtl w:val="1"/>
        </w:rPr>
      </w:pPr>
    </w:p>
    <w:p>
      <w:pPr>
        <w:pStyle w:val="Body"/>
        <w:suppressAutoHyphens w:val="1"/>
        <w:bidi w:val="1"/>
        <w:spacing w:before="80" w:after="80" w:line="341" w:lineRule="auto"/>
        <w:ind w:left="0" w:right="0" w:firstLine="0"/>
        <w:jc w:val="both"/>
        <w:rPr>
          <w:rFonts w:ascii="Arial" w:cs="Arial" w:hAnsi="Arial" w:eastAsia="Arial"/>
          <w:b w:val="1"/>
          <w:bCs w:val="1"/>
          <w:rtl w:val="1"/>
        </w:rPr>
      </w:pPr>
      <w:r>
        <w:rPr>
          <w:rFonts w:ascii="Arial Unicode MS" w:cs="Arial" w:hAnsi="Arial Unicode MS" w:eastAsia="Arial Unicode MS" w:hint="cs"/>
          <w:b w:val="1"/>
          <w:bCs w:val="1"/>
          <w:rtl w:val="1"/>
          <w:lang w:val="ar-SA" w:bidi="ar-SA"/>
        </w:rPr>
        <w:t xml:space="preserve">بلغت نسبة الموافقة الإجمالية </w:t>
      </w:r>
      <w:r>
        <w:rPr>
          <w:rFonts w:ascii="Arial" w:hAnsi="Arial"/>
          <w:b w:val="1"/>
          <w:bCs w:val="1"/>
          <w:rtl w:val="0"/>
        </w:rPr>
        <w:t>(59.6%)</w:t>
      </w:r>
      <w:r>
        <w:rPr>
          <w:rFonts w:ascii="Arial Unicode MS" w:cs="Arial" w:hAnsi="Arial Unicode MS" w:eastAsia="Arial Unicode MS" w:hint="cs"/>
          <w:b w:val="1"/>
          <w:bCs w:val="1"/>
          <w:rtl w:val="1"/>
          <w:lang w:val="ar-SA" w:bidi="ar-SA"/>
        </w:rPr>
        <w:t xml:space="preserve">، وبلغ المتوسط الحسابي المرجّح </w:t>
      </w:r>
      <w:r>
        <w:rPr>
          <w:rFonts w:ascii="Arial" w:hAnsi="Arial"/>
          <w:b w:val="1"/>
          <w:bCs w:val="1"/>
          <w:rtl w:val="0"/>
        </w:rPr>
        <w:t xml:space="preserve">(3.65) </w:t>
      </w:r>
      <w:r>
        <w:rPr>
          <w:rFonts w:ascii="Arial Unicode MS" w:cs="Arial" w:hAnsi="Arial Unicode MS" w:eastAsia="Arial Unicode MS" w:hint="cs"/>
          <w:b w:val="1"/>
          <w:bCs w:val="1"/>
          <w:rtl w:val="1"/>
          <w:lang w:val="ar-SA" w:bidi="ar-SA"/>
        </w:rPr>
        <w:t xml:space="preserve">من </w:t>
      </w:r>
      <w:r>
        <w:rPr>
          <w:rFonts w:ascii="Arial" w:hAnsi="Arial"/>
          <w:b w:val="1"/>
          <w:bCs w:val="1"/>
          <w:rtl w:val="0"/>
        </w:rPr>
        <w:t>(5).</w:t>
      </w:r>
    </w:p>
    <w:p>
      <w:pPr>
        <w:pStyle w:val="Body"/>
        <w:suppressAutoHyphens w:val="1"/>
        <w:bidi w:val="1"/>
        <w:spacing w:before="80" w:after="80" w:line="341" w:lineRule="auto"/>
        <w:ind w:left="0" w:right="0" w:firstLine="0"/>
        <w:jc w:val="both"/>
        <w:rPr>
          <w:rFonts w:ascii="Arial" w:cs="Arial" w:hAnsi="Arial" w:eastAsia="Arial"/>
          <w:b w:val="1"/>
          <w:bCs w:val="1"/>
          <w:rtl w:val="1"/>
        </w:rPr>
      </w:pPr>
    </w:p>
    <w:p>
      <w:pPr>
        <w:pStyle w:val="Body"/>
        <w:suppressAutoHyphens w:val="1"/>
        <w:bidi w:val="1"/>
        <w:spacing w:before="80" w:after="80" w:line="341" w:lineRule="auto"/>
        <w:ind w:left="0" w:right="0" w:firstLine="0"/>
        <w:jc w:val="both"/>
        <w:rPr>
          <w:rFonts w:ascii="Arial" w:cs="Arial" w:hAnsi="Arial" w:eastAsia="Arial"/>
          <w:b w:val="0"/>
          <w:bCs w:val="0"/>
          <w:sz w:val="24"/>
          <w:szCs w:val="24"/>
          <w:rtl w:val="1"/>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يكشف الجدول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(8)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أن نسبة الموافقة الإجمالية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موافق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موافق بشدة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بلغت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(59.6%)</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في مواجهة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(28.8%)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من المحايدين و</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(11.5%)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من غير الموافقين، وقد بلغ المتوسط الحسابي المرجّح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(3.65)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من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(5).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ويدلّ ذلك على أن الحسابات الإخبارية الرياضية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تساهم</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بدور معرفي إيجابي نسبي في زيادة معرفة الجماهير بالقوانين واللوائح الخاصة بدوري روشن؛ غير أن نسبة الحياد المرتفعة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تشير</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بأن هذا الدور غير مطلق، وأن شريحة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واسعة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من الجمهور لا تلمس أثرًا معرفيًا ملموسًا، ما يستدعي مزيدًا من التنسيق بين المحتوى الإخباري والمحتوى التثقيفي</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المطلب الثاني</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سرعة كشف كواليس الصفقات والانتقالات</w:t>
      </w: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p>
    <w:p>
      <w:pPr>
        <w:pStyle w:val="Body"/>
        <w:suppressAutoHyphens w:val="1"/>
        <w:bidi w:val="1"/>
        <w:spacing w:before="140" w:after="60"/>
        <w:ind w:left="0" w:right="0" w:firstLine="0"/>
        <w:jc w:val="center"/>
        <w:rPr>
          <w:rFonts w:ascii="Arial" w:cs="Arial" w:hAnsi="Arial" w:eastAsia="Arial"/>
          <w:b w:val="0"/>
          <w:bCs w:val="0"/>
          <w:sz w:val="24"/>
          <w:szCs w:val="24"/>
          <w:rtl w:val="1"/>
        </w:rPr>
      </w:pPr>
      <w:r>
        <w:rPr>
          <w:rFonts w:ascii="Arial Unicode MS" w:cs="Arial" w:hAnsi="Arial Unicode MS" w:eastAsia="Arial Unicode MS" w:hint="cs"/>
          <w:b w:val="1"/>
          <w:bCs w:val="1"/>
          <w:rtl w:val="1"/>
          <w:lang w:val="ar-SA" w:bidi="ar-SA"/>
        </w:rPr>
        <w:t xml:space="preserve">جدول </w:t>
      </w:r>
      <w:r>
        <w:rPr>
          <w:rFonts w:ascii="Arial" w:hAnsi="Arial"/>
          <w:b w:val="1"/>
          <w:bCs w:val="1"/>
          <w:rtl w:val="0"/>
        </w:rPr>
        <w:t xml:space="preserve">(9): </w:t>
      </w:r>
      <w:r>
        <w:rPr>
          <w:rFonts w:ascii="Arial Unicode MS" w:cs="Arial" w:hAnsi="Arial Unicode MS" w:eastAsia="Arial Unicode MS" w:hint="cs"/>
          <w:b w:val="1"/>
          <w:bCs w:val="1"/>
          <w:rtl w:val="1"/>
          <w:lang w:val="ar-SA" w:bidi="ar-SA"/>
        </w:rPr>
        <w:t xml:space="preserve">التوزيع التكراري للإجابات على عبارة </w:t>
      </w:r>
      <w:r>
        <w:rPr>
          <w:rFonts w:ascii="Arial" w:hAnsi="Arial"/>
          <w:b w:val="1"/>
          <w:bCs w:val="1"/>
          <w:rtl w:val="0"/>
        </w:rPr>
        <w:t>(</w:t>
      </w:r>
      <w:r>
        <w:rPr>
          <w:rFonts w:ascii="Arial Unicode MS" w:cs="Arial" w:hAnsi="Arial Unicode MS" w:eastAsia="Arial Unicode MS" w:hint="cs"/>
          <w:b w:val="1"/>
          <w:bCs w:val="1"/>
          <w:rtl w:val="1"/>
        </w:rPr>
        <w:t>س</w:t>
      </w:r>
      <w:r>
        <w:rPr>
          <w:rFonts w:ascii="Arial" w:hAnsi="Arial"/>
          <w:b w:val="1"/>
          <w:bCs w:val="1"/>
          <w:rtl w:val="0"/>
        </w:rPr>
        <w:t>8)</w:t>
      </w:r>
    </w:p>
    <w:tbl>
      <w:tblPr>
        <w:tblW w:w="1000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500"/>
        <w:gridCol w:w="2500"/>
        <w:gridCol w:w="2500"/>
        <w:gridCol w:w="2500"/>
      </w:tblGrid>
      <w:tr>
        <w:tblPrEx>
          <w:shd w:val="clear" w:color="auto" w:fill="auto"/>
        </w:tblPrEx>
        <w:trPr>
          <w:trHeight w:val="24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الإجابة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التكرار</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النسبة</w:t>
            </w:r>
            <w:r>
              <w:rPr>
                <w:rFonts w:ascii="Arial" w:hAnsi="Arial"/>
                <w:b w:val="1"/>
                <w:bCs w:val="1"/>
                <w:sz w:val="22"/>
                <w:szCs w:val="22"/>
                <w:rtl w:val="0"/>
              </w:rPr>
              <w:t xml:space="preserve"> %</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الوزن</w:t>
            </w:r>
          </w:p>
        </w:tc>
      </w:tr>
      <w:tr>
        <w:tblPrEx>
          <w:shd w:val="clear" w:color="auto" w:fill="auto"/>
        </w:tblPrEx>
        <w:trPr>
          <w:trHeight w:val="25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left"/>
            </w:pPr>
            <w:r>
              <w:rPr>
                <w:rFonts w:ascii="Arial Unicode MS" w:cs="Arial" w:hAnsi="Arial Unicode MS" w:eastAsia="Arial Unicode MS" w:hint="cs"/>
                <w:sz w:val="22"/>
                <w:szCs w:val="22"/>
                <w:rtl w:val="1"/>
              </w:rPr>
              <w:t>موافق بشدة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11</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21.2%</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5</w:t>
            </w:r>
          </w:p>
        </w:tc>
      </w:tr>
      <w:tr>
        <w:tblPrEx>
          <w:shd w:val="clear" w:color="auto" w:fill="auto"/>
        </w:tblPrEx>
        <w:trPr>
          <w:trHeight w:val="25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left"/>
            </w:pPr>
            <w:r>
              <w:rPr>
                <w:rFonts w:ascii="Arial Unicode MS" w:cs="Arial" w:hAnsi="Arial Unicode MS" w:eastAsia="Arial Unicode MS" w:hint="cs"/>
                <w:sz w:val="22"/>
                <w:szCs w:val="22"/>
                <w:rtl w:val="1"/>
              </w:rPr>
              <w:t>موافق</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21</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40.4%</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4</w:t>
            </w:r>
          </w:p>
        </w:tc>
      </w:tr>
      <w:tr>
        <w:tblPrEx>
          <w:shd w:val="clear" w:color="auto" w:fill="auto"/>
        </w:tblPrEx>
        <w:trPr>
          <w:trHeight w:val="25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left"/>
            </w:pPr>
            <w:r>
              <w:rPr>
                <w:rFonts w:ascii="Arial Unicode MS" w:cs="Arial" w:hAnsi="Arial Unicode MS" w:eastAsia="Arial Unicode MS" w:hint="cs"/>
                <w:sz w:val="22"/>
                <w:szCs w:val="22"/>
                <w:rtl w:val="1"/>
              </w:rPr>
              <w:t>محايد</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11</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21.2%</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3</w:t>
            </w:r>
          </w:p>
        </w:tc>
      </w:tr>
      <w:tr>
        <w:tblPrEx>
          <w:shd w:val="clear" w:color="auto" w:fill="auto"/>
        </w:tblPrEx>
        <w:trPr>
          <w:trHeight w:val="25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left"/>
            </w:pPr>
            <w:r>
              <w:rPr>
                <w:rFonts w:ascii="Arial Unicode MS" w:cs="Arial" w:hAnsi="Arial Unicode MS" w:eastAsia="Arial Unicode MS" w:hint="cs"/>
                <w:sz w:val="22"/>
                <w:szCs w:val="22"/>
                <w:rtl w:val="1"/>
              </w:rPr>
              <w:t>غير موافق</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5</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9.6%</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2</w:t>
            </w:r>
          </w:p>
        </w:tc>
      </w:tr>
      <w:tr>
        <w:tblPrEx>
          <w:shd w:val="clear" w:color="auto" w:fill="auto"/>
        </w:tblPrEx>
        <w:trPr>
          <w:trHeight w:val="25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left"/>
            </w:pPr>
            <w:r>
              <w:rPr>
                <w:rFonts w:ascii="Arial Unicode MS" w:cs="Arial" w:hAnsi="Arial Unicode MS" w:eastAsia="Arial Unicode MS" w:hint="cs"/>
                <w:sz w:val="22"/>
                <w:szCs w:val="22"/>
                <w:rtl w:val="1"/>
              </w:rPr>
              <w:t>غير موافق بشدة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4</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7.7%</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1</w:t>
            </w:r>
          </w:p>
        </w:tc>
      </w:tr>
      <w:tr>
        <w:tblPrEx>
          <w:shd w:val="clear" w:color="auto" w:fill="auto"/>
        </w:tblPrEx>
        <w:trPr>
          <w:trHeight w:val="25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left"/>
            </w:pPr>
            <w:r>
              <w:rPr>
                <w:rFonts w:ascii="Arial Unicode MS" w:cs="Arial" w:hAnsi="Arial Unicode MS" w:eastAsia="Arial Unicode MS" w:hint="cs"/>
                <w:sz w:val="22"/>
                <w:szCs w:val="22"/>
                <w:rtl w:val="1"/>
              </w:rPr>
              <w:t>المجموع</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52</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rtl w:val="0"/>
                <w14:textOutline>
                  <w14:noFill/>
                </w14:textOutline>
                <w14:textFill>
                  <w14:solidFill>
                    <w14:srgbClr w14:val="000000"/>
                  </w14:solidFill>
                </w14:textFill>
              </w:rPr>
              <w:t>100%</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center"/>
            </w:pPr>
            <w:r>
              <w:rPr>
                <w:rFonts w:ascii="Arial" w:hAnsi="Arial" w:hint="default"/>
                <w:sz w:val="22"/>
                <w:szCs w:val="22"/>
                <w:rtl w:val="0"/>
              </w:rPr>
              <w:t>—</w:t>
            </w:r>
          </w:p>
        </w:tc>
      </w:tr>
    </w:tbl>
    <w:p>
      <w:pPr>
        <w:pStyle w:val="Body"/>
        <w:suppressAutoHyphens w:val="1"/>
        <w:bidi w:val="1"/>
        <w:spacing w:before="80" w:after="80" w:line="341" w:lineRule="auto"/>
        <w:ind w:left="0" w:right="0" w:firstLine="0"/>
        <w:jc w:val="both"/>
        <w:rPr>
          <w:rFonts w:ascii="Arial" w:cs="Arial" w:hAnsi="Arial" w:eastAsia="Arial"/>
          <w:b w:val="0"/>
          <w:bCs w:val="0"/>
          <w:sz w:val="24"/>
          <w:szCs w:val="24"/>
          <w:rtl w:val="1"/>
        </w:rPr>
      </w:pPr>
    </w:p>
    <w:p>
      <w:pPr>
        <w:pStyle w:val="Body"/>
        <w:suppressAutoHyphens w:val="1"/>
        <w:bidi w:val="1"/>
        <w:spacing w:before="80" w:after="80" w:line="341" w:lineRule="auto"/>
        <w:ind w:left="0" w:right="0" w:firstLine="0"/>
        <w:jc w:val="both"/>
        <w:rPr>
          <w:rFonts w:ascii="Arial" w:cs="Arial" w:hAnsi="Arial" w:eastAsia="Arial"/>
          <w:b w:val="1"/>
          <w:bCs w:val="1"/>
          <w:rtl w:val="1"/>
        </w:rPr>
      </w:pPr>
      <w:r>
        <w:rPr>
          <w:rFonts w:ascii="Arial Unicode MS" w:cs="Arial" w:hAnsi="Arial Unicode MS" w:eastAsia="Arial Unicode MS" w:hint="cs"/>
          <w:b w:val="1"/>
          <w:bCs w:val="1"/>
          <w:rtl w:val="1"/>
          <w:lang w:val="ar-SA" w:bidi="ar-SA"/>
        </w:rPr>
        <w:t xml:space="preserve">بلغت نسبة الموافقة الإجمالية </w:t>
      </w:r>
      <w:r>
        <w:rPr>
          <w:rFonts w:ascii="Arial" w:hAnsi="Arial"/>
          <w:b w:val="1"/>
          <w:bCs w:val="1"/>
          <w:rtl w:val="0"/>
        </w:rPr>
        <w:t>(61.5%)</w:t>
      </w:r>
      <w:r>
        <w:rPr>
          <w:rFonts w:ascii="Arial Unicode MS" w:cs="Arial" w:hAnsi="Arial Unicode MS" w:eastAsia="Arial Unicode MS" w:hint="cs"/>
          <w:b w:val="1"/>
          <w:bCs w:val="1"/>
          <w:rtl w:val="1"/>
          <w:lang w:val="ar-SA" w:bidi="ar-SA"/>
        </w:rPr>
        <w:t xml:space="preserve">، وبلغ المتوسط الحسابي المرجّح </w:t>
      </w:r>
      <w:r>
        <w:rPr>
          <w:rFonts w:ascii="Arial" w:hAnsi="Arial"/>
          <w:b w:val="1"/>
          <w:bCs w:val="1"/>
          <w:rtl w:val="0"/>
        </w:rPr>
        <w:t xml:space="preserve">(3.58) </w:t>
      </w:r>
      <w:r>
        <w:rPr>
          <w:rFonts w:ascii="Arial Unicode MS" w:cs="Arial" w:hAnsi="Arial Unicode MS" w:eastAsia="Arial Unicode MS" w:hint="cs"/>
          <w:b w:val="1"/>
          <w:bCs w:val="1"/>
          <w:rtl w:val="1"/>
          <w:lang w:val="ar-SA" w:bidi="ar-SA"/>
        </w:rPr>
        <w:t xml:space="preserve">من </w:t>
      </w:r>
      <w:r>
        <w:rPr>
          <w:rFonts w:ascii="Arial" w:hAnsi="Arial"/>
          <w:b w:val="1"/>
          <w:bCs w:val="1"/>
          <w:rtl w:val="0"/>
        </w:rPr>
        <w:t>(5).</w:t>
      </w:r>
    </w:p>
    <w:p>
      <w:pPr>
        <w:pStyle w:val="Body"/>
        <w:suppressAutoHyphens w:val="1"/>
        <w:bidi w:val="1"/>
        <w:spacing w:before="80" w:after="80" w:line="341" w:lineRule="auto"/>
        <w:ind w:left="0" w:right="0" w:firstLine="0"/>
        <w:jc w:val="both"/>
        <w:rPr>
          <w:rFonts w:ascii="Arial" w:cs="Arial" w:hAnsi="Arial" w:eastAsia="Arial"/>
          <w:b w:val="0"/>
          <w:bCs w:val="0"/>
          <w:sz w:val="24"/>
          <w:szCs w:val="24"/>
          <w:rtl w:val="1"/>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يبيّن الجدول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(9)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أن نسبة الموافقة الإجمالية بلغت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(61.5%)</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مقابل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(21.2%)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من المحايدين، و</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(17.3%)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من غير الموافقين بدرجاتهم المختلفة، وقد بلغ المتوسط الحسابي المرجّح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(3.58)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من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(5).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وتعزّز هذه النتيجة فرضية تفوّق منصة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(X)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على الإعلام التقليدي في سرعة كشف كواليس الصفقات والانتقالات، وهو ما يتسق مع الطبيعة اللحظية للمنصات الرقمية وقدرتها على تقديم المحتوى الآني قبل وسائل الإعلام التقليدية، بيد أن وجود نسبة معتبرة من غير الموافقين يُشير إلى أن هذه السرعة لا تخلو أحيانًا من التضحية بالدقة والتوثيق</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المطلب الثالث</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التأثير على تقييم أداء اللجان والتحكيم</w:t>
      </w: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p>
    <w:p>
      <w:pPr>
        <w:pStyle w:val="Body"/>
        <w:suppressAutoHyphens w:val="1"/>
        <w:bidi w:val="1"/>
        <w:spacing w:before="140" w:after="60"/>
        <w:ind w:left="0" w:right="0" w:firstLine="0"/>
        <w:jc w:val="center"/>
        <w:rPr>
          <w:rFonts w:ascii="Arial" w:cs="Arial" w:hAnsi="Arial" w:eastAsia="Arial"/>
          <w:b w:val="0"/>
          <w:bCs w:val="0"/>
          <w:sz w:val="24"/>
          <w:szCs w:val="24"/>
          <w:rtl w:val="1"/>
        </w:rPr>
      </w:pPr>
      <w:r>
        <w:rPr>
          <w:rFonts w:ascii="Arial Unicode MS" w:cs="Arial" w:hAnsi="Arial Unicode MS" w:eastAsia="Arial Unicode MS" w:hint="cs"/>
          <w:b w:val="1"/>
          <w:bCs w:val="1"/>
          <w:rtl w:val="1"/>
          <w:lang w:val="ar-SA" w:bidi="ar-SA"/>
        </w:rPr>
        <w:t xml:space="preserve">جدول </w:t>
      </w:r>
      <w:r>
        <w:rPr>
          <w:rFonts w:ascii="Arial" w:hAnsi="Arial"/>
          <w:b w:val="1"/>
          <w:bCs w:val="1"/>
          <w:rtl w:val="0"/>
        </w:rPr>
        <w:t xml:space="preserve">(10): </w:t>
      </w:r>
      <w:r>
        <w:rPr>
          <w:rFonts w:ascii="Arial Unicode MS" w:cs="Arial" w:hAnsi="Arial Unicode MS" w:eastAsia="Arial Unicode MS" w:hint="cs"/>
          <w:b w:val="1"/>
          <w:bCs w:val="1"/>
          <w:rtl w:val="1"/>
          <w:lang w:val="ar-SA" w:bidi="ar-SA"/>
        </w:rPr>
        <w:t xml:space="preserve">التوزيع التكراري للإجابات على عبارة </w:t>
      </w:r>
      <w:r>
        <w:rPr>
          <w:rFonts w:ascii="Arial" w:hAnsi="Arial"/>
          <w:b w:val="1"/>
          <w:bCs w:val="1"/>
          <w:rtl w:val="0"/>
        </w:rPr>
        <w:t>(</w:t>
      </w:r>
      <w:r>
        <w:rPr>
          <w:rFonts w:ascii="Arial Unicode MS" w:cs="Arial" w:hAnsi="Arial Unicode MS" w:eastAsia="Arial Unicode MS" w:hint="cs"/>
          <w:b w:val="1"/>
          <w:bCs w:val="1"/>
          <w:rtl w:val="1"/>
        </w:rPr>
        <w:t>س</w:t>
      </w:r>
      <w:r>
        <w:rPr>
          <w:rFonts w:ascii="Arial" w:hAnsi="Arial"/>
          <w:b w:val="1"/>
          <w:bCs w:val="1"/>
          <w:rtl w:val="0"/>
        </w:rPr>
        <w:t>9)</w:t>
      </w:r>
    </w:p>
    <w:tbl>
      <w:tblPr>
        <w:tblW w:w="1000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500"/>
        <w:gridCol w:w="2500"/>
        <w:gridCol w:w="2500"/>
        <w:gridCol w:w="2500"/>
      </w:tblGrid>
      <w:tr>
        <w:tblPrEx>
          <w:shd w:val="clear" w:color="auto" w:fill="auto"/>
        </w:tblPrEx>
        <w:trPr>
          <w:trHeight w:val="24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الإجابة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التكرار</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النسبة</w:t>
            </w:r>
            <w:r>
              <w:rPr>
                <w:rFonts w:ascii="Arial" w:hAnsi="Arial"/>
                <w:b w:val="1"/>
                <w:bCs w:val="1"/>
                <w:sz w:val="22"/>
                <w:szCs w:val="22"/>
                <w:rtl w:val="0"/>
              </w:rPr>
              <w:t xml:space="preserve"> %</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rtl w:val="1"/>
              </w:rPr>
              <w:t>القيمة</w:t>
            </w:r>
          </w:p>
        </w:tc>
      </w:tr>
      <w:tr>
        <w:tblPrEx>
          <w:shd w:val="clear" w:color="auto" w:fill="auto"/>
        </w:tblPrEx>
        <w:trPr>
          <w:trHeight w:val="25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موافق بشدة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11</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21.2%</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5</w:t>
            </w:r>
          </w:p>
        </w:tc>
      </w:tr>
      <w:tr>
        <w:tblPrEx>
          <w:shd w:val="clear" w:color="auto" w:fill="auto"/>
        </w:tblPrEx>
        <w:trPr>
          <w:trHeight w:val="25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موافق</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16</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30.8%</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4</w:t>
            </w:r>
          </w:p>
        </w:tc>
      </w:tr>
      <w:tr>
        <w:tblPrEx>
          <w:shd w:val="clear" w:color="auto" w:fill="auto"/>
        </w:tblPrEx>
        <w:trPr>
          <w:trHeight w:val="25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محايد</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22</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42.3%</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3</w:t>
            </w:r>
          </w:p>
        </w:tc>
      </w:tr>
      <w:tr>
        <w:tblPrEx>
          <w:shd w:val="clear" w:color="auto" w:fill="auto"/>
        </w:tblPrEx>
        <w:trPr>
          <w:trHeight w:val="25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غير موافق</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3</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5.8%</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2</w:t>
            </w:r>
          </w:p>
        </w:tc>
      </w:tr>
      <w:tr>
        <w:tblPrEx>
          <w:shd w:val="clear" w:color="auto" w:fill="auto"/>
        </w:tblPrEx>
        <w:trPr>
          <w:trHeight w:val="25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غير موافق بشدة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0</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0.0%</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1</w:t>
            </w:r>
          </w:p>
        </w:tc>
      </w:tr>
      <w:tr>
        <w:tblPrEx>
          <w:shd w:val="clear" w:color="auto" w:fill="auto"/>
        </w:tblPrEx>
        <w:trPr>
          <w:trHeight w:val="250"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المجموع</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52</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100%</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hint="default"/>
                <w:sz w:val="22"/>
                <w:szCs w:val="22"/>
                <w:rtl w:val="0"/>
              </w:rPr>
              <w:t>—</w:t>
            </w:r>
          </w:p>
        </w:tc>
      </w:tr>
    </w:tbl>
    <w:p>
      <w:pPr>
        <w:pStyle w:val="Body"/>
        <w:suppressAutoHyphens w:val="1"/>
        <w:bidi w:val="1"/>
        <w:spacing w:before="80" w:after="80" w:line="341" w:lineRule="auto"/>
        <w:ind w:left="0" w:right="0" w:firstLine="0"/>
        <w:jc w:val="both"/>
        <w:rPr>
          <w:rFonts w:ascii="Arial" w:cs="Arial" w:hAnsi="Arial" w:eastAsia="Arial"/>
          <w:b w:val="0"/>
          <w:bCs w:val="0"/>
          <w:sz w:val="24"/>
          <w:szCs w:val="24"/>
          <w:rtl w:val="1"/>
        </w:rPr>
      </w:pPr>
    </w:p>
    <w:p>
      <w:pPr>
        <w:pStyle w:val="Body"/>
        <w:suppressAutoHyphens w:val="1"/>
        <w:bidi w:val="1"/>
        <w:spacing w:before="80" w:after="80" w:line="341" w:lineRule="auto"/>
        <w:ind w:left="0" w:right="0" w:firstLine="0"/>
        <w:jc w:val="both"/>
        <w:rPr>
          <w:rFonts w:ascii="Arial" w:cs="Arial" w:hAnsi="Arial" w:eastAsia="Arial"/>
          <w:b w:val="1"/>
          <w:bCs w:val="1"/>
          <w:rtl w:val="1"/>
        </w:rPr>
      </w:pPr>
      <w:r>
        <w:rPr>
          <w:rFonts w:ascii="Arial Unicode MS" w:cs="Arial" w:hAnsi="Arial Unicode MS" w:eastAsia="Arial Unicode MS" w:hint="cs"/>
          <w:b w:val="1"/>
          <w:bCs w:val="1"/>
          <w:rtl w:val="1"/>
          <w:lang w:val="ar-SA" w:bidi="ar-SA"/>
        </w:rPr>
        <w:t xml:space="preserve">بلغت نسبة الموافقة الإجمالية </w:t>
      </w:r>
      <w:r>
        <w:rPr>
          <w:rFonts w:ascii="Arial" w:hAnsi="Arial"/>
          <w:b w:val="1"/>
          <w:bCs w:val="1"/>
          <w:rtl w:val="0"/>
        </w:rPr>
        <w:t>(51.9%)</w:t>
      </w:r>
      <w:r>
        <w:rPr>
          <w:rFonts w:ascii="Arial Unicode MS" w:cs="Arial" w:hAnsi="Arial Unicode MS" w:eastAsia="Arial Unicode MS" w:hint="cs"/>
          <w:b w:val="1"/>
          <w:bCs w:val="1"/>
          <w:rtl w:val="1"/>
          <w:lang w:val="ar-SA" w:bidi="ar-SA"/>
        </w:rPr>
        <w:t xml:space="preserve">، وبلغ المتوسط الحسابي المرجّح </w:t>
      </w:r>
      <w:r>
        <w:rPr>
          <w:rFonts w:ascii="Arial" w:hAnsi="Arial"/>
          <w:b w:val="1"/>
          <w:bCs w:val="1"/>
          <w:rtl w:val="0"/>
        </w:rPr>
        <w:t xml:space="preserve">(3.67) </w:t>
      </w:r>
      <w:r>
        <w:rPr>
          <w:rFonts w:ascii="Arial Unicode MS" w:cs="Arial" w:hAnsi="Arial Unicode MS" w:eastAsia="Arial Unicode MS" w:hint="cs"/>
          <w:b w:val="1"/>
          <w:bCs w:val="1"/>
          <w:rtl w:val="1"/>
          <w:lang w:val="ar-SA" w:bidi="ar-SA"/>
        </w:rPr>
        <w:t xml:space="preserve">من </w:t>
      </w:r>
      <w:r>
        <w:rPr>
          <w:rFonts w:ascii="Arial" w:hAnsi="Arial"/>
          <w:b w:val="1"/>
          <w:bCs w:val="1"/>
          <w:rtl w:val="0"/>
        </w:rPr>
        <w:t>(5).</w:t>
      </w:r>
    </w:p>
    <w:p>
      <w:pPr>
        <w:pStyle w:val="Body"/>
        <w:suppressAutoHyphens w:val="1"/>
        <w:bidi w:val="1"/>
        <w:spacing w:before="80" w:after="80" w:line="341" w:lineRule="auto"/>
        <w:ind w:left="0" w:right="0" w:firstLine="0"/>
        <w:jc w:val="both"/>
        <w:rPr>
          <w:rFonts w:ascii="Arial" w:cs="Arial" w:hAnsi="Arial" w:eastAsia="Arial"/>
          <w:b w:val="0"/>
          <w:bCs w:val="0"/>
          <w:sz w:val="24"/>
          <w:szCs w:val="24"/>
          <w:rtl w:val="1"/>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تكشف بيانات الجدول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(10)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أن نسبة الموافقة الإجمالية بلغت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(51.9%)</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في مواجهة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(42.3%)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من المحايدين و</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(5.8%)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من غير الموافقين، وقد بلغ المتوسط الحسابي المرجّح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(3.67)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من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(5).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ورغم إقرار أكثر من نصف العينة بتأثّر تقييمها لأداء اللجان والتحكيم بآراء الحسابات الإخبارية، فإن نسبة الحياد المرتفعة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(42.3%)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تنمّ عن تحفّظ شريحة واسعة من الجمهور في الاعتراف بهذا التأثير، وهو ما قد يعكس رغبةً في إظهار الاستقلالية في الحكم، أو ترددًا في الإقرار بتبنّي قناعة مصدر خارجي، ما يجعل التأثير الفعلي أوسع نطاقًا مما تُفصح عنه النسب المعلنة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المبحث الرابع</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مصداقية المحتوى والتعصب الرياضي وأنماط التفاعل</w:t>
      </w: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المطلب الأول</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مصداقية المحتوى الإخباري</w:t>
      </w:r>
    </w:p>
    <w:p>
      <w:pPr>
        <w:pStyle w:val="Body"/>
        <w:suppressAutoHyphens w:val="1"/>
        <w:bidi w:val="1"/>
        <w:spacing w:before="140" w:after="60"/>
        <w:ind w:left="0" w:right="0" w:firstLine="0"/>
        <w:jc w:val="center"/>
        <w:rPr>
          <w:rFonts w:ascii="Arial" w:cs="Arial" w:hAnsi="Arial" w:eastAsia="Arial"/>
          <w:b w:val="0"/>
          <w:bCs w:val="0"/>
          <w:sz w:val="24"/>
          <w:szCs w:val="24"/>
          <w:rtl w:val="1"/>
        </w:rPr>
      </w:pPr>
      <w:r>
        <w:rPr>
          <w:rFonts w:ascii="Arial Unicode MS" w:cs="Arial" w:hAnsi="Arial Unicode MS" w:eastAsia="Arial Unicode MS" w:hint="cs"/>
          <w:b w:val="1"/>
          <w:bCs w:val="1"/>
          <w:rtl w:val="1"/>
          <w:lang w:val="ar-SA" w:bidi="ar-SA"/>
        </w:rPr>
        <w:t xml:space="preserve">جدول </w:t>
      </w:r>
      <w:r>
        <w:rPr>
          <w:rFonts w:ascii="Arial" w:hAnsi="Arial"/>
          <w:b w:val="1"/>
          <w:bCs w:val="1"/>
          <w:rtl w:val="0"/>
        </w:rPr>
        <w:t xml:space="preserve">(11): </w:t>
      </w:r>
      <w:r>
        <w:rPr>
          <w:rFonts w:ascii="Arial Unicode MS" w:cs="Arial" w:hAnsi="Arial Unicode MS" w:eastAsia="Arial Unicode MS" w:hint="cs"/>
          <w:b w:val="1"/>
          <w:bCs w:val="1"/>
          <w:rtl w:val="1"/>
          <w:lang w:val="ar-SA" w:bidi="ar-SA"/>
        </w:rPr>
        <w:t>التوزيع التكراري لتقدير مستوى مصداقية الحسابات غير الرسمية</w:t>
      </w:r>
    </w:p>
    <w:tbl>
      <w:tblPr>
        <w:tblW w:w="9013"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644"/>
        <w:gridCol w:w="2364"/>
        <w:gridCol w:w="3005"/>
      </w:tblGrid>
      <w:tr>
        <w:tblPrEx>
          <w:shd w:val="clear" w:color="auto" w:fill="auto"/>
        </w:tblPrEx>
        <w:trPr>
          <w:trHeight w:val="240" w:hRule="atLeast"/>
        </w:trPr>
        <w:tc>
          <w:tcPr>
            <w:tcW w:type="dxa" w:w="36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right"/>
            </w:pPr>
            <w:r>
              <w:rPr>
                <w:rFonts w:ascii="Arial Unicode MS" w:cs="Arial" w:hAnsi="Arial Unicode MS" w:eastAsia="Arial Unicode MS" w:hint="cs"/>
                <w:b w:val="1"/>
                <w:bCs w:val="1"/>
                <w:sz w:val="22"/>
                <w:szCs w:val="22"/>
                <w:rtl w:val="1"/>
              </w:rPr>
              <w:t>الإجابة</w:t>
            </w:r>
          </w:p>
        </w:tc>
        <w:tc>
          <w:tcPr>
            <w:tcW w:type="dxa" w:w="2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right"/>
            </w:pPr>
            <w:r>
              <w:rPr>
                <w:rFonts w:ascii="Arial Unicode MS" w:cs="Arial" w:hAnsi="Arial Unicode MS" w:eastAsia="Arial Unicode MS" w:hint="cs"/>
                <w:b w:val="1"/>
                <w:bCs w:val="1"/>
                <w:sz w:val="22"/>
                <w:szCs w:val="22"/>
                <w:rtl w:val="1"/>
              </w:rPr>
              <w:t>التكرار</w:t>
            </w:r>
          </w:p>
        </w:tc>
        <w:tc>
          <w:tcPr>
            <w:tcW w:type="dxa" w:w="30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right"/>
            </w:pPr>
            <w:r>
              <w:rPr>
                <w:rFonts w:ascii="Arial Unicode MS" w:cs="Arial" w:hAnsi="Arial Unicode MS" w:eastAsia="Arial Unicode MS" w:hint="cs"/>
                <w:b w:val="1"/>
                <w:bCs w:val="1"/>
                <w:sz w:val="22"/>
                <w:szCs w:val="22"/>
                <w:rtl w:val="1"/>
              </w:rPr>
              <w:t>النسبة</w:t>
            </w:r>
            <w:r>
              <w:rPr>
                <w:rFonts w:ascii="Arial" w:hAnsi="Arial"/>
                <w:b w:val="1"/>
                <w:bCs w:val="1"/>
                <w:sz w:val="22"/>
                <w:szCs w:val="22"/>
                <w:rtl w:val="0"/>
              </w:rPr>
              <w:t xml:space="preserve"> %</w:t>
            </w:r>
          </w:p>
        </w:tc>
      </w:tr>
      <w:tr>
        <w:tblPrEx>
          <w:shd w:val="clear" w:color="auto" w:fill="auto"/>
        </w:tblPrEx>
        <w:trPr>
          <w:trHeight w:val="250" w:hRule="atLeast"/>
        </w:trPr>
        <w:tc>
          <w:tcPr>
            <w:tcW w:type="dxa" w:w="36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 xml:space="preserve">متوسطة </w:t>
            </w:r>
            <w:r>
              <w:rPr>
                <w:rFonts w:ascii="Arial" w:hAnsi="Arial"/>
                <w:sz w:val="22"/>
                <w:szCs w:val="22"/>
                <w:rtl w:val="1"/>
              </w:rPr>
              <w:t>(</w:t>
            </w:r>
            <w:r>
              <w:rPr>
                <w:rFonts w:ascii="Arial Unicode MS" w:cs="Arial" w:hAnsi="Arial Unicode MS" w:eastAsia="Arial Unicode MS" w:hint="cs"/>
                <w:sz w:val="22"/>
                <w:szCs w:val="22"/>
                <w:rtl w:val="1"/>
              </w:rPr>
              <w:t>تحتاج إلى التحقق من مصادر أخرى</w:t>
            </w:r>
            <w:r>
              <w:rPr>
                <w:rFonts w:ascii="Arial" w:hAnsi="Arial"/>
                <w:sz w:val="22"/>
                <w:szCs w:val="22"/>
                <w:rtl w:val="1"/>
              </w:rPr>
              <w:t>)</w:t>
            </w:r>
          </w:p>
        </w:tc>
        <w:tc>
          <w:tcPr>
            <w:tcW w:type="dxa" w:w="2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30</w:t>
            </w:r>
          </w:p>
        </w:tc>
        <w:tc>
          <w:tcPr>
            <w:tcW w:type="dxa" w:w="30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57.7%</w:t>
            </w:r>
          </w:p>
        </w:tc>
      </w:tr>
      <w:tr>
        <w:tblPrEx>
          <w:shd w:val="clear" w:color="auto" w:fill="auto"/>
        </w:tblPrEx>
        <w:trPr>
          <w:trHeight w:val="250" w:hRule="atLeast"/>
        </w:trPr>
        <w:tc>
          <w:tcPr>
            <w:tcW w:type="dxa" w:w="36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 xml:space="preserve">ضعيفة </w:t>
            </w:r>
            <w:r>
              <w:rPr>
                <w:rFonts w:ascii="Arial" w:hAnsi="Arial"/>
                <w:sz w:val="22"/>
                <w:szCs w:val="22"/>
                <w:rtl w:val="1"/>
              </w:rPr>
              <w:t>(</w:t>
            </w:r>
            <w:r>
              <w:rPr>
                <w:rFonts w:ascii="Arial Unicode MS" w:cs="Arial" w:hAnsi="Arial Unicode MS" w:eastAsia="Arial Unicode MS" w:hint="cs"/>
                <w:sz w:val="22"/>
                <w:szCs w:val="22"/>
                <w:rtl w:val="1"/>
              </w:rPr>
              <w:t>تعتمد على الشائعات والإثارة</w:t>
            </w:r>
            <w:r>
              <w:rPr>
                <w:rFonts w:ascii="Arial" w:hAnsi="Arial"/>
                <w:sz w:val="22"/>
                <w:szCs w:val="22"/>
                <w:rtl w:val="1"/>
              </w:rPr>
              <w:t>)</w:t>
            </w:r>
          </w:p>
        </w:tc>
        <w:tc>
          <w:tcPr>
            <w:tcW w:type="dxa" w:w="2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17</w:t>
            </w:r>
          </w:p>
        </w:tc>
        <w:tc>
          <w:tcPr>
            <w:tcW w:type="dxa" w:w="30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32.7%</w:t>
            </w:r>
          </w:p>
        </w:tc>
      </w:tr>
      <w:tr>
        <w:tblPrEx>
          <w:shd w:val="clear" w:color="auto" w:fill="auto"/>
        </w:tblPrEx>
        <w:trPr>
          <w:trHeight w:val="250" w:hRule="atLeast"/>
        </w:trPr>
        <w:tc>
          <w:tcPr>
            <w:tcW w:type="dxa" w:w="36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ممتازة ودقيقة دائمًا</w:t>
            </w:r>
          </w:p>
        </w:tc>
        <w:tc>
          <w:tcPr>
            <w:tcW w:type="dxa" w:w="2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5</w:t>
            </w:r>
          </w:p>
        </w:tc>
        <w:tc>
          <w:tcPr>
            <w:tcW w:type="dxa" w:w="30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9.6%</w:t>
            </w:r>
          </w:p>
        </w:tc>
      </w:tr>
    </w:tbl>
    <w:p>
      <w:pPr>
        <w:pStyle w:val="Body"/>
        <w:suppressAutoHyphens w:val="1"/>
        <w:bidi w:val="1"/>
        <w:spacing w:before="80" w:after="80" w:line="341" w:lineRule="auto"/>
        <w:ind w:left="0" w:right="0" w:firstLine="360"/>
        <w:jc w:val="both"/>
        <w:rPr>
          <w:rFonts w:ascii="Arial" w:cs="Arial" w:hAnsi="Arial" w:eastAsia="Arial"/>
          <w:sz w:val="24"/>
          <w:szCs w:val="24"/>
          <w:rtl w:val="1"/>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يتبيّن من الجدول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(11)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أن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(57.7%)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من المبحوثين قدّروا مصداقية هذه الحسابات بـ</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المتوسطة التي تحتاج إلى التحقق من مصادر أخرى</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مقابل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(32.7%)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وصفوها بـ</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الضعيفة المعتمدة على الشائعات والإثارة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في حين لم يمنحها سوى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(9.6%)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تقدير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الممتازة والدقيقة دائمًا</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ويُستخلص من ذلك أن الجمهور لا يتعامل مع هذه الحسابات بوصفها مصدرًا معتمدًا، بل يمارس حيالها نوعًا من التثبّت الذاتي والقراءة النقدية، وهو سلوك يعكس وعيًا إعلاميًا ناضجًا تجاه المحتوى غير الرسمي، ويحدّ من تأثير الشائعات رغم شيوعها</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المطلب الثاني</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إثارة التعصب الرياضي</w:t>
      </w: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p>
    <w:p>
      <w:pPr>
        <w:pStyle w:val="Body"/>
        <w:suppressAutoHyphens w:val="1"/>
        <w:bidi w:val="1"/>
        <w:spacing w:before="140" w:after="60"/>
        <w:ind w:left="0" w:right="0" w:firstLine="0"/>
        <w:jc w:val="center"/>
        <w:rPr>
          <w:rFonts w:ascii="Arial" w:cs="Arial" w:hAnsi="Arial" w:eastAsia="Arial"/>
          <w:b w:val="0"/>
          <w:bCs w:val="0"/>
          <w:sz w:val="24"/>
          <w:szCs w:val="24"/>
          <w:rtl w:val="1"/>
        </w:rPr>
      </w:pPr>
      <w:r>
        <w:rPr>
          <w:rFonts w:ascii="Arial Unicode MS" w:cs="Arial" w:hAnsi="Arial Unicode MS" w:eastAsia="Arial Unicode MS" w:hint="cs"/>
          <w:b w:val="1"/>
          <w:bCs w:val="1"/>
          <w:rtl w:val="1"/>
          <w:lang w:val="ar-SA" w:bidi="ar-SA"/>
        </w:rPr>
        <w:t xml:space="preserve">جدول </w:t>
      </w:r>
      <w:r>
        <w:rPr>
          <w:rFonts w:ascii="Arial" w:hAnsi="Arial"/>
          <w:b w:val="1"/>
          <w:bCs w:val="1"/>
          <w:rtl w:val="0"/>
        </w:rPr>
        <w:t xml:space="preserve">(12): </w:t>
      </w:r>
      <w:r>
        <w:rPr>
          <w:rFonts w:ascii="Arial Unicode MS" w:cs="Arial" w:hAnsi="Arial Unicode MS" w:eastAsia="Arial Unicode MS" w:hint="cs"/>
          <w:b w:val="1"/>
          <w:bCs w:val="1"/>
          <w:rtl w:val="1"/>
          <w:lang w:val="ar-SA" w:bidi="ar-SA"/>
        </w:rPr>
        <w:t>التوزيع التكراري لتقدير مساهمة الحسابات في إثارة التعصب الرياضي</w:t>
      </w:r>
    </w:p>
    <w:tbl>
      <w:tblPr>
        <w:tblW w:w="1000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333"/>
        <w:gridCol w:w="3333"/>
        <w:gridCol w:w="3334"/>
      </w:tblGrid>
      <w:tr>
        <w:tblPrEx>
          <w:shd w:val="clear" w:color="auto" w:fill="auto"/>
        </w:tblPrEx>
        <w:trPr>
          <w:trHeight w:val="24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الإجابة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التكرار</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النسبة</w:t>
            </w:r>
            <w:r>
              <w:rPr>
                <w:rFonts w:ascii="Arial" w:hAnsi="Arial"/>
                <w:b w:val="1"/>
                <w:bCs w:val="1"/>
                <w:sz w:val="22"/>
                <w:szCs w:val="22"/>
                <w:rtl w:val="0"/>
              </w:rPr>
              <w:t xml:space="preserve"> %</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تساهم بشكل متوسط</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24</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46.2%</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تساهم بشكل كبير جدًا</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20</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38.5%</w:t>
            </w:r>
          </w:p>
        </w:tc>
      </w:tr>
      <w:tr>
        <w:tblPrEx>
          <w:shd w:val="clear" w:color="auto" w:fill="auto"/>
        </w:tblPrEx>
        <w:trPr>
          <w:trHeight w:val="250"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لا تساهم في إثارة التعصب</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8</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15.4%</w:t>
            </w:r>
          </w:p>
        </w:tc>
      </w:tr>
    </w:tbl>
    <w:p>
      <w:pPr>
        <w:pStyle w:val="Body"/>
        <w:suppressAutoHyphens w:val="1"/>
        <w:bidi w:val="1"/>
        <w:spacing w:before="80" w:after="80" w:line="341" w:lineRule="auto"/>
        <w:ind w:left="0" w:right="0" w:firstLine="360"/>
        <w:jc w:val="both"/>
        <w:rPr>
          <w:rFonts w:ascii="Arial" w:cs="Arial" w:hAnsi="Arial" w:eastAsia="Arial"/>
          <w:sz w:val="24"/>
          <w:szCs w:val="24"/>
          <w:rtl w:val="1"/>
        </w:rPr>
      </w:pPr>
    </w:p>
    <w:p>
      <w:pPr>
        <w:pStyle w:val="Body"/>
        <w:bidi w:val="1"/>
        <w:spacing w:after="160" w:line="276" w:lineRule="auto"/>
        <w:ind w:left="0" w:right="0" w:firstLine="0"/>
        <w:jc w:val="both"/>
        <w:rPr>
          <w:rFonts w:ascii="Simplified Arabic" w:cs="Simplified Arabic" w:hAnsi="Simplified Arabic" w:eastAsia="Simplified Arabic"/>
          <w:sz w:val="24"/>
          <w:szCs w:val="24"/>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يوضح الجدول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(12)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أن النسبة الإجمالية لمن يرون أن الحسابات تساهم في إثارة التعصب الرياضي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بشكل متوسط أو كبير جدًا</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بلغت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(84.6%)</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توزعت بين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(46.2%)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بشكل متوسط</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و</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(38.5%)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بشكل كبير جدًا</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مقابل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(15.4%)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فقط ممن نفوا أي مساهمة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وتُعدّ هذه النتيجة المؤشر الأبرز على الأثر السلبي للمحتوى الإخباري على المنصة في وعي الجماهير، إذ يقتنع الغالبية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العظمى</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بأن هذه الحسابات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تساهم</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بدور في تأجيج التعصب، وهو ما يستوجب رقابة ذاتية ومهنية من القائمين عليها، ووعيًا استهلاكيًا أعمق من الجمهور</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المطلب الثالث</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أنماط التفاعل مع المحتوى</w:t>
      </w: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p>
    <w:p>
      <w:pPr>
        <w:pStyle w:val="Body"/>
        <w:suppressAutoHyphens w:val="1"/>
        <w:bidi w:val="1"/>
        <w:spacing w:before="140" w:after="60"/>
        <w:ind w:left="0" w:right="0" w:firstLine="0"/>
        <w:jc w:val="center"/>
        <w:rPr>
          <w:rFonts w:ascii="Arial" w:cs="Arial" w:hAnsi="Arial" w:eastAsia="Arial"/>
          <w:b w:val="0"/>
          <w:bCs w:val="0"/>
          <w:sz w:val="24"/>
          <w:szCs w:val="24"/>
          <w:rtl w:val="1"/>
        </w:rPr>
      </w:pPr>
      <w:r>
        <w:rPr>
          <w:rFonts w:ascii="Arial Unicode MS" w:cs="Arial" w:hAnsi="Arial Unicode MS" w:eastAsia="Arial Unicode MS" w:hint="cs"/>
          <w:b w:val="1"/>
          <w:bCs w:val="1"/>
          <w:rtl w:val="1"/>
          <w:lang w:val="ar-SA" w:bidi="ar-SA"/>
        </w:rPr>
        <w:t xml:space="preserve">جدول </w:t>
      </w:r>
      <w:r>
        <w:rPr>
          <w:rFonts w:ascii="Arial" w:hAnsi="Arial"/>
          <w:b w:val="1"/>
          <w:bCs w:val="1"/>
          <w:rtl w:val="0"/>
        </w:rPr>
        <w:t xml:space="preserve">(13): </w:t>
      </w:r>
      <w:r>
        <w:rPr>
          <w:rFonts w:ascii="Arial Unicode MS" w:cs="Arial" w:hAnsi="Arial Unicode MS" w:eastAsia="Arial Unicode MS" w:hint="cs"/>
          <w:b w:val="1"/>
          <w:bCs w:val="1"/>
          <w:rtl w:val="1"/>
          <w:lang w:val="ar-SA" w:bidi="ar-SA"/>
        </w:rPr>
        <w:t>التوزيع التكراري لأنماط التفاعل مع المحتوى المنشور</w:t>
      </w:r>
    </w:p>
    <w:tbl>
      <w:tblPr>
        <w:tblW w:w="901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619"/>
        <w:gridCol w:w="2389"/>
        <w:gridCol w:w="3004"/>
      </w:tblGrid>
      <w:tr>
        <w:tblPrEx>
          <w:shd w:val="clear" w:color="auto" w:fill="auto"/>
        </w:tblPrEx>
        <w:trPr>
          <w:trHeight w:val="240" w:hRule="atLeast"/>
        </w:trPr>
        <w:tc>
          <w:tcPr>
            <w:tcW w:type="dxa" w:w="361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الإجابة</w:t>
            </w:r>
          </w:p>
        </w:tc>
        <w:tc>
          <w:tcPr>
            <w:tcW w:type="dxa" w:w="238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التكرار</w:t>
            </w:r>
          </w:p>
        </w:tc>
        <w:tc>
          <w:tcPr>
            <w:tcW w:type="dxa" w:w="30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100"/>
              <w:left w:type="dxa" w:w="60"/>
              <w:bottom w:type="dxa" w:w="60"/>
              <w:right w:type="dxa" w:w="100"/>
            </w:tcMar>
            <w:vAlign w:val="center"/>
          </w:tcPr>
          <w:p>
            <w:pPr>
              <w:pStyle w:val="Table Style 2"/>
              <w:suppressAutoHyphens w:val="1"/>
              <w:jc w:val="center"/>
            </w:pPr>
            <w:r>
              <w:rPr>
                <w:rFonts w:ascii="Arial Unicode MS" w:cs="Arial" w:hAnsi="Arial Unicode MS" w:eastAsia="Arial Unicode MS" w:hint="cs"/>
                <w:b w:val="1"/>
                <w:bCs w:val="1"/>
                <w:sz w:val="22"/>
                <w:szCs w:val="22"/>
                <w:rtl w:val="1"/>
              </w:rPr>
              <w:t>النسبة</w:t>
            </w:r>
            <w:r>
              <w:rPr>
                <w:rFonts w:ascii="Arial" w:hAnsi="Arial"/>
                <w:b w:val="1"/>
                <w:bCs w:val="1"/>
                <w:sz w:val="22"/>
                <w:szCs w:val="22"/>
                <w:rtl w:val="0"/>
              </w:rPr>
              <w:t xml:space="preserve"> %</w:t>
            </w:r>
          </w:p>
        </w:tc>
      </w:tr>
      <w:tr>
        <w:tblPrEx>
          <w:shd w:val="clear" w:color="auto" w:fill="auto"/>
        </w:tblPrEx>
        <w:trPr>
          <w:trHeight w:val="250" w:hRule="atLeast"/>
        </w:trPr>
        <w:tc>
          <w:tcPr>
            <w:tcW w:type="dxa" w:w="361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 xml:space="preserve">المتابعة والقراءة فقط </w:t>
            </w:r>
            <w:r>
              <w:rPr>
                <w:rFonts w:ascii="Arial" w:hAnsi="Arial"/>
                <w:sz w:val="22"/>
                <w:szCs w:val="22"/>
                <w:rtl w:val="1"/>
              </w:rPr>
              <w:t>(</w:t>
            </w:r>
            <w:r>
              <w:rPr>
                <w:rFonts w:ascii="Arial Unicode MS" w:cs="Arial" w:hAnsi="Arial Unicode MS" w:eastAsia="Arial Unicode MS" w:hint="cs"/>
                <w:sz w:val="22"/>
                <w:szCs w:val="22"/>
                <w:rtl w:val="1"/>
              </w:rPr>
              <w:t>صامت</w:t>
            </w:r>
            <w:r>
              <w:rPr>
                <w:rFonts w:ascii="Arial" w:hAnsi="Arial"/>
                <w:sz w:val="22"/>
                <w:szCs w:val="22"/>
                <w:rtl w:val="1"/>
              </w:rPr>
              <w:t>)</w:t>
            </w:r>
          </w:p>
        </w:tc>
        <w:tc>
          <w:tcPr>
            <w:tcW w:type="dxa" w:w="238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27</w:t>
            </w:r>
          </w:p>
        </w:tc>
        <w:tc>
          <w:tcPr>
            <w:tcW w:type="dxa" w:w="30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51.9%</w:t>
            </w:r>
          </w:p>
        </w:tc>
      </w:tr>
      <w:tr>
        <w:tblPrEx>
          <w:shd w:val="clear" w:color="auto" w:fill="auto"/>
        </w:tblPrEx>
        <w:trPr>
          <w:trHeight w:val="250" w:hRule="atLeast"/>
        </w:trPr>
        <w:tc>
          <w:tcPr>
            <w:tcW w:type="dxa" w:w="361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المشاركة بالتعليق ومناقشة الجمهور</w:t>
            </w:r>
          </w:p>
        </w:tc>
        <w:tc>
          <w:tcPr>
            <w:tcW w:type="dxa" w:w="238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14</w:t>
            </w:r>
          </w:p>
        </w:tc>
        <w:tc>
          <w:tcPr>
            <w:tcW w:type="dxa" w:w="30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26.9%</w:t>
            </w:r>
          </w:p>
        </w:tc>
      </w:tr>
      <w:tr>
        <w:tblPrEx>
          <w:shd w:val="clear" w:color="auto" w:fill="auto"/>
        </w:tblPrEx>
        <w:trPr>
          <w:trHeight w:val="250" w:hRule="atLeast"/>
        </w:trPr>
        <w:tc>
          <w:tcPr>
            <w:tcW w:type="dxa" w:w="361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Unicode MS" w:cs="Arial" w:hAnsi="Arial Unicode MS" w:eastAsia="Arial Unicode MS" w:hint="cs"/>
                <w:sz w:val="22"/>
                <w:szCs w:val="22"/>
                <w:rtl w:val="1"/>
              </w:rPr>
              <w:t>التفاعل بالإعجاب أو إعادة الإرسال</w:t>
            </w:r>
            <w:r>
              <w:rPr>
                <w:rFonts w:ascii="Arial" w:hAnsi="Arial"/>
                <w:sz w:val="22"/>
                <w:szCs w:val="22"/>
                <w:rtl w:val="0"/>
              </w:rPr>
              <w:t xml:space="preserve"> (Repost)</w:t>
            </w:r>
          </w:p>
        </w:tc>
        <w:tc>
          <w:tcPr>
            <w:tcW w:type="dxa" w:w="238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11</w:t>
            </w:r>
          </w:p>
        </w:tc>
        <w:tc>
          <w:tcPr>
            <w:tcW w:type="dxa" w:w="30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100"/>
              <w:left w:type="dxa" w:w="50"/>
              <w:bottom w:type="dxa" w:w="50"/>
              <w:right w:type="dxa" w:w="100"/>
            </w:tcMar>
            <w:vAlign w:val="center"/>
          </w:tcPr>
          <w:p>
            <w:pPr>
              <w:pStyle w:val="Table Style 2"/>
              <w:suppressAutoHyphens w:val="1"/>
              <w:jc w:val="right"/>
            </w:pPr>
            <w:r>
              <w:rPr>
                <w:rFonts w:ascii="Arial" w:hAnsi="Arial"/>
                <w:sz w:val="22"/>
                <w:szCs w:val="22"/>
                <w:rtl w:val="0"/>
              </w:rPr>
              <w:t>21.2%</w:t>
            </w:r>
          </w:p>
        </w:tc>
      </w:tr>
    </w:tbl>
    <w:p>
      <w:pPr>
        <w:pStyle w:val="Body"/>
        <w:suppressAutoHyphens w:val="1"/>
        <w:bidi w:val="1"/>
        <w:spacing w:before="80" w:after="80" w:line="341" w:lineRule="auto"/>
        <w:ind w:left="0" w:right="0" w:firstLine="360"/>
        <w:jc w:val="both"/>
        <w:rPr>
          <w:rFonts w:ascii="Arial" w:cs="Arial" w:hAnsi="Arial" w:eastAsia="Arial"/>
          <w:sz w:val="24"/>
          <w:szCs w:val="24"/>
          <w:rtl w:val="1"/>
        </w:rPr>
      </w:pPr>
    </w:p>
    <w:p>
      <w:pPr>
        <w:pStyle w:val="Body"/>
        <w:bidi w:val="1"/>
        <w:spacing w:after="160" w:line="276" w:lineRule="auto"/>
        <w:ind w:left="0" w:right="0" w:firstLine="0"/>
        <w:jc w:val="both"/>
        <w:rPr>
          <w:rFonts w:ascii="Simplified Arabic" w:cs="Simplified Arabic" w:hAnsi="Simplified Arabic" w:eastAsia="Simplified Arabic"/>
          <w:sz w:val="24"/>
          <w:szCs w:val="24"/>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تكشف بيانات الجدول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(13)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أن نمط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المتابعة والقراءة فقط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الصامت</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تصدّر التوزيع بنسبة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(51.9%)</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يليه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المشاركة بالتعليق ومناقشة الجمهور</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بنسبة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(26.9%)</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ثم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التفاعل بالإعجاب أو إعادة الإرسال</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بنسبة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(21.2%).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ويدلّ ذلك على أن أكثر من نصف الجمهور يميل إلى الاستهلاك السلبي للمحتوى دون تفاعل ظاهر، وهي ظاهرة معروفة في أدبيات الاتصال الرقمي بـ</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المراقب الصامت</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(Lurker)</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ما يعني أن أثر الحسابات يقع أساسًا على المستوى المعرفي والوجداني أكثر من وقوعه على مستوى المشاركة العلنية، وهو ما يفسّر اتساع دائرة التأثير مقابل ضآلة حجم التفاعل المرئي</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المبحث الخامس</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 xml:space="preserve">المقترحات التطويرية للجمهور </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السؤال المفتوح</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w:t>
      </w: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في إجابة المبحوثين عن السؤال المفتوح المتعلق بكيفية تطوير الحسابات الإخبارية الرياضية لمحتواها بما يعزّز الوعي الإيجابي لدى جماهير دوري روشن السعودي، تبلورت ثماني إجابات نوعية تتمحور حول محاور</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الارتقاء بالمصداقية، ومكافحة التعصب، والموضوعية في الطرح</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وتتمثّل أبرز تلك المقترحات في الآتي</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numPr>
          <w:ilvl w:val="0"/>
          <w:numId w:val="1"/>
        </w:numPr>
        <w:bidi w:val="1"/>
        <w:spacing w:after="160" w:line="276" w:lineRule="auto"/>
        <w:ind w:right="0"/>
        <w:jc w:val="both"/>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التركيز على الأخبار المضمونة والابتعاد عن إثارة التعصب، مع احترام جميع الأندية والجماهير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بهدف خلق</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بيئة رياضية صحية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numPr>
          <w:ilvl w:val="0"/>
          <w:numId w:val="1"/>
        </w:numPr>
        <w:bidi w:val="1"/>
        <w:spacing w:after="160" w:line="276" w:lineRule="auto"/>
        <w:ind w:right="0"/>
        <w:jc w:val="both"/>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صياغة الخبر بموضوعية بعيدًا عن الإثارة، وتمكين المتلقي من الحكم بنفسه، مع اجتناب إظهار التحيز لنادٍ بعينه أو الترويج لروايات مسؤولين معينين بأساليب منحازة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numPr>
          <w:ilvl w:val="0"/>
          <w:numId w:val="1"/>
        </w:numPr>
        <w:bidi w:val="1"/>
        <w:spacing w:after="160" w:line="276" w:lineRule="auto"/>
        <w:ind w:right="0"/>
        <w:jc w:val="both"/>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التزام الأمانة في الطرح والمصداقية في نقل المعلومة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numPr>
          <w:ilvl w:val="0"/>
          <w:numId w:val="1"/>
        </w:numPr>
        <w:bidi w:val="1"/>
        <w:spacing w:after="160" w:line="276" w:lineRule="auto"/>
        <w:ind w:right="0"/>
        <w:jc w:val="both"/>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الاهتمام المتوازن بجميع الأندية مع تذكير المتابعين بأهمية الالتزام بالأخلاقيات الرياضية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numPr>
          <w:ilvl w:val="0"/>
          <w:numId w:val="1"/>
        </w:numPr>
        <w:bidi w:val="1"/>
        <w:spacing w:after="160" w:line="276" w:lineRule="auto"/>
        <w:ind w:right="0"/>
        <w:jc w:val="both"/>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تجنّب تناول الموضوعات المثيرة للجدل والنقاش الحاد</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numPr>
          <w:ilvl w:val="0"/>
          <w:numId w:val="1"/>
        </w:numPr>
        <w:bidi w:val="1"/>
        <w:spacing w:after="160" w:line="276" w:lineRule="auto"/>
        <w:ind w:right="0"/>
        <w:jc w:val="both"/>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استهداف الفئة العمرية المناسبة عند تقديم المحتوى بما يلائم خصائصها</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numPr>
          <w:ilvl w:val="0"/>
          <w:numId w:val="1"/>
        </w:numPr>
        <w:bidi w:val="1"/>
        <w:spacing w:after="160" w:line="276" w:lineRule="auto"/>
        <w:ind w:right="0"/>
        <w:jc w:val="both"/>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الابتعاد عن نشر الأخبار غير الصحيحة والتثبّت قبل النشر</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numPr>
          <w:ilvl w:val="0"/>
          <w:numId w:val="1"/>
        </w:numPr>
        <w:bidi w:val="1"/>
        <w:spacing w:after="160" w:line="276" w:lineRule="auto"/>
        <w:ind w:right="0"/>
        <w:jc w:val="both"/>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تتقاطع هذه المقترحات النوعية مع نتائج الأسئلة المغلقة؛ إذ تتطابق دعوات الجمهور إلى المصداقية والموضوعية مع إقرارهم بتنامي دور هذه الحسابات في إثارة التعصب وفقًا للجدول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(12)</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وضعف يقينهم في مصداقيتها وفقًا للجدول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(11)</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ما يمنح هذه النتائج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توافقًا</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داخليًا يُعزّز ثقتها المنهجية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p>
    <w:p>
      <w:pPr>
        <w:pStyle w:val="Body"/>
        <w:bidi w:val="1"/>
        <w:spacing w:after="160" w:line="276" w:lineRule="auto"/>
        <w:ind w:left="0" w:right="0" w:firstLine="0"/>
        <w:jc w:val="both"/>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المبحث السادس</w:t>
      </w:r>
      <w:r>
        <w:rPr>
          <w:rFonts w:ascii="Simplified Arabic" w:cs="Simplified Arabic" w:hAnsi="Simplified Arabic" w:eastAsia="Simplified Arabic"/>
          <w:b w:val="1"/>
          <w:bCs w:val="1"/>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b w:val="1"/>
          <w:bCs w:val="1"/>
          <w:sz w:val="32"/>
          <w:szCs w:val="32"/>
          <w:u w:color="000000"/>
          <w:rtl w:val="1"/>
          <w:lang w:val="ar-SA" w:bidi="ar-SA"/>
          <w14:textOutline w14:w="12700" w14:cap="flat">
            <w14:noFill/>
            <w14:miter w14:lim="400000"/>
          </w14:textOutline>
        </w:rPr>
        <w:t>استخلاص النتائج</w:t>
      </w:r>
    </w:p>
    <w:p>
      <w:pPr>
        <w:pStyle w:val="Body"/>
        <w:bidi w:val="1"/>
        <w:spacing w:after="160" w:line="276" w:lineRule="auto"/>
        <w:ind w:left="0" w:right="0" w:firstLine="0"/>
        <w:jc w:val="both"/>
        <w:rPr>
          <w:rFonts w:ascii="Simplified Arabic" w:cs="Simplified Arabic" w:hAnsi="Simplified Arabic" w:eastAsia="Simplified Arabic"/>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في ضوء ما تقدّم من تحليل إحصائي وصفي لنتائج الدراسة، يمكن استخلاص جملة من النتائج الرئيسة المرتبطة بموضوع الدراسة وأسئلتها، على النحو الآتي</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numPr>
          <w:ilvl w:val="0"/>
          <w:numId w:val="2"/>
        </w:numPr>
        <w:bidi w:val="1"/>
        <w:spacing w:after="160" w:line="276" w:lineRule="auto"/>
        <w:ind w:right="0"/>
        <w:jc w:val="both"/>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تبيّن أن أكثر من ثلثي العينة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(67.3%)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يتابعون الحسابات الرياضية على منصة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(X)</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وأن نصفها تقريبًا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(50.0%)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يخصّص ما بين ساعة وثلاث ساعات يوميًا للمتابعة، ما يدلّ على تنامي اعتماد الجماهير الرياضية في مدينة الرياض على المنصة بوصفها مصدرًا رئيسًا للأخبار الرياضية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numPr>
          <w:ilvl w:val="0"/>
          <w:numId w:val="2"/>
        </w:numPr>
        <w:bidi w:val="1"/>
        <w:spacing w:after="160" w:line="276" w:lineRule="auto"/>
        <w:ind w:right="0"/>
        <w:jc w:val="both"/>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ارتفع عدد الحسابات غير الرسمية المتابَعة؛ إذ يتابع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(34.3%)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من المتابعين سبعة حسابات فأكثر، ما يكشف عن تعدد مصادر الأخبار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وتشتت</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الولاءات الإخبارية لدى الجمهور</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numPr>
          <w:ilvl w:val="0"/>
          <w:numId w:val="2"/>
        </w:numPr>
        <w:bidi w:val="1"/>
        <w:spacing w:after="160" w:line="276" w:lineRule="auto"/>
        <w:ind w:right="0"/>
        <w:jc w:val="both"/>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تسهم الحسابات الإخبارية في زيادة المعرفة بالقوانين واللوائح الخاصة بدوري روشن لدى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(59.6%)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من العينة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بمتوسط حسابي مرجّح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3.65)</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في دور معرفي إيجابي وإن لم يبلغ درجة الشيوع</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numPr>
          <w:ilvl w:val="0"/>
          <w:numId w:val="2"/>
        </w:numPr>
        <w:bidi w:val="1"/>
        <w:spacing w:after="160" w:line="276" w:lineRule="auto"/>
        <w:ind w:right="0"/>
        <w:jc w:val="both"/>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يقرّ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(61.5%)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من المبحوثين بأن هذه الحسابات تعين على فهم كواليس الصفقات والانتقالات بسرعة تفوق الإعلام التقليدي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بمتوسط حسابي مرجّح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3.58)</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ما يؤكّد تفوّق المنصة في سرعة التغذية الإخبارية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numPr>
          <w:ilvl w:val="0"/>
          <w:numId w:val="2"/>
        </w:numPr>
        <w:bidi w:val="1"/>
        <w:spacing w:after="160" w:line="276" w:lineRule="auto"/>
        <w:ind w:right="0"/>
        <w:jc w:val="both"/>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تؤثر آراء الحسابات الإخبارية في تقييم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(51.9%)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من العينة لأداء اللجان والتحكيم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بمتوسط حسابي مرجّح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3.67)</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 مع نسبة حياد مرتفعة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(42.3%)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قد تحجب جانبًا من التأثير الفعلي</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numPr>
          <w:ilvl w:val="0"/>
          <w:numId w:val="2"/>
        </w:numPr>
        <w:bidi w:val="1"/>
        <w:spacing w:after="160" w:line="276" w:lineRule="auto"/>
        <w:ind w:right="0"/>
        <w:jc w:val="both"/>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لا تحظى الحسابات غير الرسمية بمصداقية عالية في نظر الجمهور؛ إذ يصفها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(57.7%)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بأنها متوسطة تحتاج إلى التحقق، و</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(32.7%)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بأنها ضعيفة، مقابل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(9.6%)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فقط تراها ممتازة، ما يعكس وعيًا نقديًا وممارسة للتثبّت الذاتي</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numPr>
          <w:ilvl w:val="0"/>
          <w:numId w:val="2"/>
        </w:numPr>
        <w:bidi w:val="1"/>
        <w:spacing w:after="160" w:line="276" w:lineRule="auto"/>
        <w:ind w:right="0"/>
        <w:jc w:val="both"/>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يقدّر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(84.6%)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من العينة أن هذه الحسابات تساهم في إثارة التعصب الرياضي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بشكل متوسط أو كبير جدًا</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وهي أعلى نسبة دالّة على الأثر السلبي للمحتوى الإخباري على المنصة في وعي الجماهير</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numPr>
          <w:ilvl w:val="0"/>
          <w:numId w:val="2"/>
        </w:numPr>
        <w:bidi w:val="1"/>
        <w:spacing w:after="160" w:line="276" w:lineRule="auto"/>
        <w:ind w:right="0"/>
        <w:jc w:val="both"/>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يميل أكثر من نصف الجمهور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(51.9%)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إلى المتابعة الصامتة دون تفاعل ظاهر، ما يشير إلى أن الأثر يقع على المستوى المعرفي والوجداني أكثر من وقوعه على مستوى المشاركة العلنية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numPr>
          <w:ilvl w:val="0"/>
          <w:numId w:val="2"/>
        </w:numPr>
        <w:bidi w:val="1"/>
        <w:spacing w:after="160" w:line="276" w:lineRule="auto"/>
        <w:ind w:right="0"/>
        <w:jc w:val="both"/>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تتقاطع المقترحات النوعية للجمهور مع نتائج الأسئلة المغلقة في التأكيد على المصداقية والموضوعية وتجنب الإثارة والتعصب واحترام جميع الأندية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p>
      <w:pPr>
        <w:pStyle w:val="Body"/>
        <w:numPr>
          <w:ilvl w:val="0"/>
          <w:numId w:val="2"/>
        </w:numPr>
        <w:bidi w:val="1"/>
        <w:spacing w:after="160" w:line="276" w:lineRule="auto"/>
        <w:ind w:right="0"/>
        <w:jc w:val="both"/>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pP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 xml:space="preserve">تؤكّد النتائج مجتمعة أن الحسابات الإخبارية الرياضية على منصة </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(X)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ذات أثر مزدوج على وعي الجماهير</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 xml:space="preserve">: </w:t>
      </w:r>
      <w:r>
        <w:rPr>
          <w:rFonts w:ascii="Simplified Arabic" w:cs="Simplified Arabic" w:hAnsi="Simplified Arabic" w:eastAsia="Simplified Arabic" w:hint="cs"/>
          <w:sz w:val="32"/>
          <w:szCs w:val="32"/>
          <w:u w:color="000000"/>
          <w:rtl w:val="1"/>
          <w:lang w:val="ar-SA" w:bidi="ar-SA"/>
          <w14:textOutline w14:w="12700" w14:cap="flat">
            <w14:noFill/>
            <w14:miter w14:lim="400000"/>
          </w14:textOutline>
        </w:rPr>
        <w:t>إيجابي في الجانب المعرفي وسرعة التغذية الإخبارية، وسلبي في إثارة التعصب وضعف اليقين في المصداقية</w:t>
      </w:r>
      <w:r>
        <w:rPr>
          <w:rFonts w:ascii="Simplified Arabic" w:cs="Simplified Arabic" w:hAnsi="Simplified Arabic" w:eastAsia="Simplified Arabic"/>
          <w:sz w:val="32"/>
          <w:szCs w:val="32"/>
          <w:u w:color="000000"/>
          <w:rtl w:val="1"/>
          <w:lang w:val="ar-SA" w:bidi="ar-SA"/>
          <w14:textOutline w14:w="12700" w14:cap="flat">
            <w14:noFill/>
            <w14:miter w14:lim="400000"/>
          </w14:textOutline>
        </w:rPr>
        <w:t>.</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Simplified Arabic">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num w:numId="1">
    <w:abstractNumId w:val="0"/>
  </w:num>
  <w:num w:numId="2">
    <w:abstractNumId w:val="0"/>
    <w:lvlOverride w:ilvl="0">
      <w:lvl w:ilvl="0">
        <w:start w:val="1"/>
        <w:numFmt w:val="bullet"/>
        <w:suff w:val="tab"/>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Unicode MS" w:cs="Helvetica Neue" w:hAnsi="Arial Unicode MS" w:eastAsia="Arial Unicode MS" w:hint="c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