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51FAA30E" w:rsidR="007A31DC" w:rsidRDefault="00BE609B" w:rsidP="00BE609B">
      <w:pPr>
        <w:bidi/>
        <w:jc w:val="center"/>
        <w:rPr>
          <w:rFonts w:ascii="Arial" w:hAnsi="Arial" w:cs="Monotype Koufi"/>
          <w:b/>
          <w:bCs/>
          <w:sz w:val="44"/>
          <w:szCs w:val="44"/>
          <w:rtl/>
        </w:rPr>
      </w:pPr>
      <w:r>
        <w:rPr>
          <w:rFonts w:ascii="Arial" w:hAnsi="Arial" w:cs="Monotype Koufi" w:hint="cs"/>
          <w:b/>
          <w:bCs/>
          <w:sz w:val="44"/>
          <w:szCs w:val="44"/>
          <w:rtl/>
        </w:rPr>
        <w:t xml:space="preserve">أطروحة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F03FFBE" w14:textId="519A0B10" w:rsidR="003520BE" w:rsidRPr="00BE609B" w:rsidRDefault="003520BE" w:rsidP="003520BE">
      <w:pPr>
        <w:bidi/>
        <w:jc w:val="center"/>
        <w:rPr>
          <w:rFonts w:ascii="Arial" w:hAnsi="Arial" w:cs="Monotype Koufi"/>
          <w:b/>
          <w:bCs/>
          <w:sz w:val="44"/>
          <w:szCs w:val="44"/>
          <w:rtl/>
        </w:rPr>
      </w:pPr>
      <w:r>
        <w:rPr>
          <w:rFonts w:ascii="Arial" w:hAnsi="Arial" w:cs="Monotype Koufi" w:hint="cs"/>
          <w:b/>
          <w:bCs/>
          <w:sz w:val="44"/>
          <w:szCs w:val="44"/>
          <w:rtl/>
        </w:rPr>
        <w:t>الفصل الثاني</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1CD65D2" w14:textId="7274607A" w:rsidR="001475E2" w:rsidRPr="004566ED" w:rsidRDefault="001475E2" w:rsidP="001475E2">
      <w:pPr>
        <w:pStyle w:val="a8"/>
        <w:bidi/>
        <w:spacing w:before="0" w:beforeAutospacing="0" w:after="0" w:afterAutospacing="0" w:line="276" w:lineRule="auto"/>
        <w:ind w:right="-270"/>
        <w:jc w:val="center"/>
        <w:rPr>
          <w:rFonts w:ascii="Arial" w:hAnsi="Arial" w:cs="Arial"/>
          <w:b/>
          <w:bCs/>
          <w:color w:val="365F91" w:themeColor="accent1" w:themeShade="BF"/>
          <w:szCs w:val="28"/>
          <w:rtl/>
        </w:rPr>
      </w:pPr>
      <w:r w:rsidRPr="004566ED">
        <w:rPr>
          <w:rFonts w:ascii="Arial" w:hAnsi="Arial" w:cs="Arial"/>
          <w:b/>
          <w:bCs/>
          <w:color w:val="365F91" w:themeColor="accent1" w:themeShade="BF"/>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7860161D"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w:t>
      </w:r>
    </w:p>
    <w:p w14:paraId="4F2C4676" w14:textId="5533EF75" w:rsidR="00395E1F" w:rsidRPr="004566ED" w:rsidRDefault="00B16B50" w:rsidP="00B16B50">
      <w:pPr>
        <w:pStyle w:val="a8"/>
        <w:bidi/>
        <w:spacing w:before="0" w:beforeAutospacing="0" w:after="0" w:afterAutospacing="0"/>
        <w:ind w:right="-270"/>
        <w:jc w:val="center"/>
        <w:rPr>
          <w:rFonts w:asciiTheme="majorBidi" w:hAnsiTheme="majorBidi" w:cstheme="majorBidi"/>
          <w:b/>
          <w:bCs/>
          <w:color w:val="365F91" w:themeColor="accent1" w:themeShade="BF"/>
          <w:szCs w:val="28"/>
          <w:rtl/>
        </w:rPr>
      </w:pPr>
      <w:r w:rsidRPr="00B16B50">
        <w:rPr>
          <w:rFonts w:asciiTheme="majorBidi" w:hAnsiTheme="majorBidi" w:cstheme="majorBidi"/>
          <w:b/>
          <w:bCs/>
          <w:color w:val="0070C0"/>
          <w:szCs w:val="28"/>
        </w:rPr>
        <w:t>The Impact of Employing Generative Artificia</w:t>
      </w:r>
      <w:r w:rsidRPr="004566ED">
        <w:rPr>
          <w:rFonts w:asciiTheme="majorBidi" w:hAnsiTheme="majorBidi" w:cstheme="majorBidi"/>
          <w:b/>
          <w:bCs/>
          <w:color w:val="365F91" w:themeColor="accent1" w:themeShade="BF"/>
          <w:szCs w:val="28"/>
        </w:rPr>
        <w:t>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50AA8197" w:rsidR="004B484B" w:rsidRPr="004566ED" w:rsidRDefault="0074745A" w:rsidP="0074745A">
            <w:pPr>
              <w:pStyle w:val="a8"/>
              <w:bidi/>
              <w:spacing w:before="0" w:beforeAutospacing="0" w:after="0" w:afterAutospacing="0"/>
              <w:ind w:right="-270"/>
              <w:rPr>
                <w:rFonts w:ascii="Sakkal Majalla" w:hAnsi="Sakkal Majalla" w:cs="Sakkal Majalla"/>
                <w:b/>
                <w:bCs/>
                <w:color w:val="365F91" w:themeColor="accent1" w:themeShade="BF"/>
                <w:sz w:val="36"/>
                <w:szCs w:val="36"/>
                <w:rtl/>
              </w:rPr>
            </w:pPr>
            <w:r w:rsidRPr="004566ED">
              <w:rPr>
                <w:rFonts w:ascii="Sakkal Majalla" w:hAnsi="Sakkal Majalla" w:cs="Sakkal Majalla" w:hint="cs"/>
                <w:b/>
                <w:bCs/>
                <w:color w:val="365F91" w:themeColor="accent1" w:themeShade="BF"/>
                <w:sz w:val="36"/>
                <w:szCs w:val="36"/>
                <w:rtl/>
              </w:rPr>
              <w:t>هبه عبدالله المنيع</w:t>
            </w:r>
            <w:r w:rsidR="002D46ED" w:rsidRPr="004566ED">
              <w:rPr>
                <w:rFonts w:ascii="Sakkal Majalla" w:hAnsi="Sakkal Majalla" w:cs="Sakkal Majalla" w:hint="cs"/>
                <w:b/>
                <w:bCs/>
                <w:color w:val="365F91" w:themeColor="accent1" w:themeShade="BF"/>
                <w:sz w:val="36"/>
                <w:szCs w:val="36"/>
                <w:rtl/>
              </w:rPr>
              <w:t xml:space="preserve"> </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79C558C" w:rsidR="00BE609B" w:rsidRPr="004566ED" w:rsidRDefault="003520BE" w:rsidP="003520BE">
            <w:pPr>
              <w:pStyle w:val="a8"/>
              <w:bidi/>
              <w:spacing w:before="0" w:beforeAutospacing="0" w:after="0" w:afterAutospacing="0"/>
              <w:ind w:right="-270"/>
              <w:rPr>
                <w:rFonts w:ascii="Sakkal Majalla" w:hAnsi="Sakkal Majalla" w:cs="Sakkal Majalla"/>
                <w:b/>
                <w:bCs/>
                <w:color w:val="365F91" w:themeColor="accent1" w:themeShade="BF"/>
                <w:sz w:val="36"/>
                <w:szCs w:val="36"/>
                <w:rtl/>
              </w:rPr>
            </w:pPr>
            <w:r w:rsidRPr="004566ED">
              <w:rPr>
                <w:rFonts w:ascii="Sakkal Majalla" w:hAnsi="Sakkal Majalla" w:cs="Sakkal Majalla"/>
                <w:b/>
                <w:bCs/>
                <w:color w:val="365F91" w:themeColor="accent1" w:themeShade="BF"/>
                <w:sz w:val="36"/>
                <w:szCs w:val="36"/>
              </w:rPr>
              <w:t>242001374</w:t>
            </w:r>
          </w:p>
        </w:tc>
      </w:tr>
      <w:tr w:rsidR="004B484B" w14:paraId="627B39DB" w14:textId="0373C5D2" w:rsidTr="00BE609B">
        <w:tc>
          <w:tcPr>
            <w:tcW w:w="176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B4406DA" w:rsidR="004B484B" w:rsidRPr="004566ED" w:rsidRDefault="003520BE" w:rsidP="003520BE">
            <w:pPr>
              <w:pStyle w:val="a8"/>
              <w:bidi/>
              <w:spacing w:before="0" w:beforeAutospacing="0" w:after="0" w:afterAutospacing="0"/>
              <w:ind w:right="-270"/>
              <w:rPr>
                <w:rFonts w:ascii="Sakkal Majalla" w:hAnsi="Sakkal Majalla" w:cs="Sakkal Majalla"/>
                <w:b/>
                <w:bCs/>
                <w:color w:val="365F91" w:themeColor="accent1" w:themeShade="B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5B247190" w:rsidR="00AD783C" w:rsidRDefault="00883E09" w:rsidP="00B16B50">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EA16F8">
        <w:rPr>
          <w:rFonts w:ascii="Calibri" w:hAnsi="Calibri" w:cs="Calibri" w:hint="cs"/>
          <w:b/>
          <w:bCs/>
          <w:color w:val="FF0000"/>
          <w:sz w:val="28"/>
          <w:szCs w:val="28"/>
          <w:rtl/>
        </w:rPr>
        <w:t>144</w:t>
      </w:r>
      <w:r w:rsidR="004566ED">
        <w:rPr>
          <w:rFonts w:ascii="Calibri" w:hAnsi="Calibri" w:cs="Calibri" w:hint="cs"/>
          <w:b/>
          <w:bCs/>
          <w:color w:val="FF0000"/>
          <w:sz w:val="28"/>
          <w:szCs w:val="28"/>
          <w:rtl/>
        </w:rPr>
        <w:t>٧</w:t>
      </w:r>
      <w:r w:rsidRPr="00444B1D">
        <w:rPr>
          <w:rFonts w:ascii="Calibri" w:hAnsi="Calibri" w:cs="Calibri" w:hint="cs"/>
          <w:b/>
          <w:bCs/>
          <w:color w:val="FF0000"/>
          <w:sz w:val="28"/>
          <w:szCs w:val="28"/>
          <w:rtl/>
        </w:rPr>
        <w:t xml:space="preserve">ه -  </w:t>
      </w:r>
      <w:r w:rsidR="00EA16F8">
        <w:rPr>
          <w:rFonts w:ascii="Calibri" w:hAnsi="Calibri" w:cs="Calibri" w:hint="cs"/>
          <w:b/>
          <w:bCs/>
          <w:color w:val="FF0000"/>
          <w:sz w:val="28"/>
          <w:szCs w:val="28"/>
          <w:rtl/>
        </w:rPr>
        <w:t>202</w:t>
      </w:r>
      <w:r w:rsidR="004566ED">
        <w:rPr>
          <w:rFonts w:ascii="Calibri" w:hAnsi="Calibri" w:cs="Calibri" w:hint="cs"/>
          <w:b/>
          <w:bCs/>
          <w:color w:val="FF0000"/>
          <w:sz w:val="28"/>
          <w:szCs w:val="28"/>
          <w:rtl/>
        </w:rPr>
        <w:t>٦</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sidRPr="004E0378">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sidRPr="004E0378">
        <w:rPr>
          <w:rFonts w:ascii="Simplified Arabic" w:hAnsi="Simplified Arabic" w:cs="Simplified Arabic"/>
        </w:rPr>
        <w:t xml:space="preserve"> (Generative AI) </w:t>
      </w:r>
      <w:r w:rsidRPr="004E0378">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sidRPr="004E0378">
        <w:rPr>
          <w:rFonts w:ascii="Simplified Arabic" w:hAnsi="Simplified Arabic" w:cs="Simplified Arabic"/>
        </w:rPr>
        <w:t xml:space="preserve"> </w:t>
      </w:r>
      <w:r w:rsidR="003B56AF">
        <w:rPr>
          <w:rFonts w:ascii="Simplified Arabic" w:hAnsi="Simplified Arabic" w:cs="Simplified Arabic"/>
        </w:rPr>
        <w:t>.</w:t>
      </w:r>
      <w:r w:rsidRPr="004E0378">
        <w:rPr>
          <w:rFonts w:ascii="Simplified Arabic" w:hAnsi="Simplified Arabic" w:cs="Simplified Arabic"/>
        </w:rPr>
        <w:t>(McKinsey &amp; Company, 2024)</w:t>
      </w:r>
      <w:r w:rsidR="003B56AF">
        <w:rPr>
          <w:rFonts w:ascii="Simplified Arabic" w:hAnsi="Simplified Arabic" w:cs="Simplified Arabic"/>
        </w:rPr>
        <w:t xml:space="preserve"> </w:t>
      </w:r>
    </w:p>
    <w:p w14:paraId="086DF099" w14:textId="6BF9DC1E" w:rsid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وتكشف الدراسات الحديثة أن أنظمة الذكاء الاصطناعي التوليدي</w:t>
      </w:r>
      <w:r w:rsidR="002010FC">
        <w:rPr>
          <w:rFonts w:ascii="Simplified Arabic" w:hAnsi="Simplified Arabic" w:cs="Simplified Arabic" w:hint="cs"/>
          <w:rtl/>
        </w:rPr>
        <w:t xml:space="preserve"> </w:t>
      </w:r>
      <w:r w:rsidRPr="003B56AF">
        <w:rPr>
          <w:rFonts w:ascii="Simplified Arabic" w:hAnsi="Simplified Arabic" w:cs="Simplified Arabic"/>
          <w:rtl/>
        </w:rPr>
        <w:t xml:space="preserve">—مثل </w:t>
      </w:r>
      <w:r w:rsidRPr="003B56AF">
        <w:rPr>
          <w:rFonts w:ascii="Simplified Arabic" w:hAnsi="Simplified Arabic" w:cs="Simplified Arabic"/>
        </w:rPr>
        <w:t>ChatGPT</w:t>
      </w:r>
      <w:r w:rsidRPr="003B56AF">
        <w:rPr>
          <w:rFonts w:ascii="Simplified Arabic" w:hAnsi="Simplified Arabic" w:cs="Simplified Arabic"/>
          <w:rtl/>
        </w:rPr>
        <w:t xml:space="preserve"> و</w:t>
      </w:r>
      <w:r w:rsidRPr="003B56AF">
        <w:rPr>
          <w:rFonts w:ascii="Simplified Arabic" w:hAnsi="Simplified Arabic" w:cs="Simplified Arabic"/>
        </w:rPr>
        <w:t>Midjourney</w:t>
      </w:r>
      <w:r w:rsidRPr="003B56AF">
        <w:rPr>
          <w:rFonts w:ascii="Simplified Arabic" w:hAnsi="Simplified Arabic" w:cs="Simplified Arabic"/>
          <w:rtl/>
        </w:rPr>
        <w:t xml:space="preserve"> و</w:t>
      </w:r>
      <w:r w:rsidRPr="003B56AF">
        <w:rPr>
          <w:rFonts w:ascii="Simplified Arabic" w:hAnsi="Simplified Arabic" w:cs="Simplified Arabic"/>
        </w:rPr>
        <w:t>DALL·E</w:t>
      </w:r>
      <w:r w:rsidRPr="003B56AF">
        <w:rPr>
          <w:rFonts w:ascii="Simplified Arabic" w:hAnsi="Simplified Arabic" w:cs="Simplified Arabic"/>
          <w:rtl/>
        </w:rPr>
        <w:t>—</w:t>
      </w:r>
      <w:r w:rsidR="002010FC">
        <w:rPr>
          <w:rFonts w:ascii="Simplified Arabic" w:hAnsi="Simplified Arabic" w:cs="Simplified Arabic" w:hint="cs"/>
          <w:rtl/>
        </w:rPr>
        <w:t xml:space="preserve"> </w:t>
      </w:r>
      <w:r w:rsidRPr="003B56AF">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sidRPr="003B56AF">
        <w:rPr>
          <w:rFonts w:ascii="Simplified Arabic" w:hAnsi="Simplified Arabic" w:cs="Simplified Arabic"/>
        </w:rPr>
        <w:t>Heitmann, 2024; Islam et al., 2024</w:t>
      </w:r>
      <w:r w:rsidRPr="003B56AF">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sidRPr="003B56AF">
        <w:rPr>
          <w:rFonts w:ascii="Simplified Arabic" w:hAnsi="Simplified Arabic" w:cs="Simplified Arabic"/>
        </w:rPr>
        <w:t>Nuremberg Institute for Market Decisions, 2024</w:t>
      </w:r>
      <w:r w:rsidRPr="003B56AF">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على الصعيد الإقليمي، تشير تقديرات</w:t>
      </w:r>
      <w:r w:rsidRPr="003B56AF">
        <w:rPr>
          <w:rFonts w:ascii="Simplified Arabic" w:hAnsi="Simplified Arabic" w:cs="Simplified Arabic"/>
        </w:rPr>
        <w:t xml:space="preserve"> </w:t>
      </w:r>
      <w:r w:rsidR="00727EAF">
        <w:rPr>
          <w:rFonts w:ascii="Simplified Arabic" w:hAnsi="Simplified Arabic" w:cs="Simplified Arabic"/>
        </w:rPr>
        <w:t>(</w:t>
      </w:r>
      <w:r w:rsidRPr="003B56AF">
        <w:rPr>
          <w:rFonts w:ascii="Simplified Arabic" w:hAnsi="Simplified Arabic" w:cs="Simplified Arabic"/>
        </w:rPr>
        <w:t>McKinsey</w:t>
      </w:r>
      <w:r w:rsidR="00727EAF">
        <w:rPr>
          <w:rFonts w:ascii="Simplified Arabic" w:hAnsi="Simplified Arabic" w:cs="Simplified Arabic"/>
        </w:rPr>
        <w:t xml:space="preserve">, </w:t>
      </w:r>
      <w:r w:rsidRPr="003B56AF">
        <w:rPr>
          <w:rFonts w:ascii="Simplified Arabic" w:hAnsi="Simplified Arabic" w:cs="Simplified Arabic"/>
        </w:rPr>
        <w:t xml:space="preserve">2024) </w:t>
      </w:r>
      <w:r w:rsidRPr="003B56AF">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sidRPr="003B56AF">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sidRPr="003B56AF">
        <w:rPr>
          <w:rFonts w:ascii="Simplified Arabic" w:hAnsi="Simplified Arabic" w:cs="Simplified Arabic"/>
        </w:rPr>
        <w:t>SDAIA, 2024</w:t>
      </w:r>
      <w:r w:rsidRPr="003B56AF">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sidRPr="003B56AF">
        <w:rPr>
          <w:rFonts w:ascii="Simplified Arabic" w:hAnsi="Simplified Arabic" w:cs="Simplified Arabic"/>
        </w:rPr>
        <w:t>Masnita et al., 2024</w:t>
      </w:r>
      <w:r w:rsidRPr="003B56AF">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sidRPr="003B56AF">
        <w:rPr>
          <w:rFonts w:ascii="Simplified Arabic" w:hAnsi="Simplified Arabic" w:cs="Simplified Arabic"/>
        </w:rPr>
        <w:t>Doshi et al., 2025; Sharabati et al., 2024</w:t>
      </w:r>
      <w:r w:rsidRPr="003B56AF">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sidRPr="003B56AF">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sidRPr="003B56AF">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sidRPr="000D4873">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sidRPr="002E7312">
        <w:rPr>
          <w:rFonts w:ascii="Simplified Arabic" w:hAnsi="Simplified Arabic" w:cs="Simplified Arabic"/>
          <w:rtl/>
        </w:rPr>
        <w:t>على الرغم من التوسع المتزايد في استخدام تقنيات الذكاء الاصطناعي التوليدي (</w:t>
      </w:r>
      <w:r w:rsidRPr="002E7312">
        <w:rPr>
          <w:rFonts w:ascii="Simplified Arabic" w:hAnsi="Simplified Arabic" w:cs="Simplified Arabic"/>
        </w:rPr>
        <w:t>Generative AI</w:t>
      </w:r>
      <w:r w:rsidRPr="002E7312">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sidRPr="002E7312">
        <w:rPr>
          <w:rFonts w:ascii="Simplified Arabic" w:hAnsi="Simplified Arabic" w:cs="Simplified Arabic"/>
        </w:rPr>
        <w:t>McKinsey &amp; Company, 2024</w:t>
      </w:r>
      <w:r w:rsidRPr="002E7312">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sidRPr="002E7312">
        <w:rPr>
          <w:rFonts w:ascii="Simplified Arabic" w:hAnsi="Simplified Arabic" w:cs="Simplified Arabic"/>
        </w:rPr>
        <w:t>SDAIA, 2024</w:t>
      </w:r>
      <w:r w:rsidRPr="002E7312">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sidRPr="00A22393">
        <w:rPr>
          <w:rFonts w:ascii="Simplified Arabic" w:hAnsi="Simplified Arabic" w:cs="Simplified Arabic"/>
          <w:rtl/>
        </w:rPr>
        <w:t>كما تُظهر البيانات الصادرة عن</w:t>
      </w:r>
      <w:r w:rsidRPr="00A22393">
        <w:rPr>
          <w:rFonts w:ascii="Simplified Arabic" w:hAnsi="Simplified Arabic" w:cs="Simplified Arabic"/>
        </w:rPr>
        <w:t xml:space="preserve"> </w:t>
      </w:r>
      <w:r>
        <w:rPr>
          <w:rFonts w:ascii="Simplified Arabic" w:hAnsi="Simplified Arabic" w:cs="Simplified Arabic"/>
        </w:rPr>
        <w:t>(</w:t>
      </w:r>
      <w:r w:rsidRPr="00A22393">
        <w:rPr>
          <w:rFonts w:ascii="Simplified Arabic" w:hAnsi="Simplified Arabic" w:cs="Simplified Arabic"/>
        </w:rPr>
        <w:t>Nuremberg Institute for Market Decisions</w:t>
      </w:r>
      <w:r>
        <w:rPr>
          <w:rFonts w:ascii="Simplified Arabic" w:hAnsi="Simplified Arabic" w:cs="Simplified Arabic"/>
        </w:rPr>
        <w:t xml:space="preserve">, </w:t>
      </w:r>
      <w:r w:rsidRPr="00A22393">
        <w:rPr>
          <w:rFonts w:ascii="Simplified Arabic" w:hAnsi="Simplified Arabic" w:cs="Simplified Arabic"/>
        </w:rPr>
        <w:t xml:space="preserve">2024) </w:t>
      </w:r>
      <w:r w:rsidRPr="00A22393">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sidRPr="00A22393">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sidRPr="00A22393">
        <w:rPr>
          <w:rFonts w:ascii="Simplified Arabic" w:hAnsi="Simplified Arabic" w:cs="Simplified Arabic"/>
        </w:rPr>
        <w:t>Masnita et al., 2024; Doshi et al., 2025</w:t>
      </w:r>
      <w:r w:rsidRPr="00A22393">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071754F7" w:rsidR="00EE2921" w:rsidRPr="00A22393" w:rsidRDefault="002E7312" w:rsidP="00A22393">
      <w:pPr>
        <w:bidi/>
        <w:jc w:val="both"/>
        <w:rPr>
          <w:rFonts w:ascii="Simplified Arabic" w:hAnsi="Simplified Arabic" w:cs="Simplified Arabic"/>
          <w:rtl/>
        </w:rPr>
      </w:pPr>
      <w:r w:rsidRPr="00A22393">
        <w:rPr>
          <w:rFonts w:ascii="Simplified Arabic" w:hAnsi="Simplified Arabic" w:cs="Simplified Arabic" w:hint="cs"/>
          <w:rtl/>
        </w:rPr>
        <w:t xml:space="preserve"> بناءً عليه، </w:t>
      </w:r>
      <w:r w:rsidR="00EE2921" w:rsidRPr="00A22393">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sidRPr="00A22393">
        <w:rPr>
          <w:rFonts w:ascii="Simplified Arabic" w:hAnsi="Simplified Arabic" w:cs="Simplified Arabic" w:hint="cs"/>
          <w:rtl/>
        </w:rPr>
        <w:t>و</w:t>
      </w:r>
      <w:r w:rsidR="00EE2921" w:rsidRPr="00A22393">
        <w:rPr>
          <w:rFonts w:ascii="Simplified Arabic" w:hAnsi="Simplified Arabic" w:cs="Simplified Arabic"/>
          <w:rtl/>
        </w:rPr>
        <w:t xml:space="preserve">بذلك، </w:t>
      </w:r>
      <w:r w:rsidR="00EE2921" w:rsidRPr="00A22393">
        <w:rPr>
          <w:rFonts w:ascii="Simplified Arabic" w:hAnsi="Simplified Arabic" w:cs="Simplified Arabic"/>
          <w:rtl/>
        </w:rPr>
        <w:lastRenderedPageBreak/>
        <w:t>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تبن فعالة داخل وكالات التسويق السعودية</w:t>
      </w:r>
      <w:r w:rsidR="00EE2921" w:rsidRPr="00A22393">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sidRPr="000D4873">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السؤال الرئيس</w:t>
      </w:r>
      <w:r w:rsidRPr="007E5B35">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sidRPr="007E5B35">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الأسئلة الفرعية</w:t>
      </w:r>
      <w:r w:rsidRPr="007E5B35">
        <w:rPr>
          <w:rFonts w:ascii="Simplified Arabic" w:hAnsi="Simplified Arabic" w:cs="Simplified Arabic"/>
          <w:b/>
          <w:bCs/>
        </w:rPr>
        <w:t>:</w:t>
      </w:r>
    </w:p>
    <w:p w14:paraId="076C837F" w14:textId="737A9949"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rsidP="007E5B35">
      <w:pPr>
        <w:numPr>
          <w:ilvl w:val="0"/>
          <w:numId w:val="38"/>
        </w:numPr>
        <w:bidi/>
        <w:spacing w:after="0" w:line="276" w:lineRule="auto"/>
        <w:rPr>
          <w:rFonts w:ascii="Simplified Arabic" w:hAnsi="Simplified Arabic" w:cs="Simplified Arabic"/>
        </w:rPr>
      </w:pPr>
      <w:r w:rsidRPr="007E5B35">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sidRPr="000D4873">
        <w:rPr>
          <w:rFonts w:ascii="Simplified Arabic" w:hAnsi="Simplified Arabic" w:cs="Simplified Arabic"/>
          <w:b/>
          <w:bCs/>
          <w:rtl/>
        </w:rPr>
        <w:t>الأهمية النظرية</w:t>
      </w:r>
    </w:p>
    <w:p w14:paraId="277CD4F7" w14:textId="25C98B6E"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sidRPr="00F15ECE">
        <w:rPr>
          <w:rFonts w:ascii="Simplified Arabic" w:hAnsi="Simplified Arabic" w:cs="Simplified Arabic"/>
        </w:rPr>
        <w:t>.</w:t>
      </w:r>
    </w:p>
    <w:p w14:paraId="3791BB5A" w14:textId="7B1230DB"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sidRPr="00F15ECE">
        <w:rPr>
          <w:rFonts w:ascii="Simplified Arabic" w:hAnsi="Simplified Arabic" w:cs="Simplified Arabic"/>
        </w:rPr>
        <w:t>.</w:t>
      </w:r>
    </w:p>
    <w:p w14:paraId="17F78135" w14:textId="27F3F759"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sidRPr="00F15ECE">
        <w:rPr>
          <w:rFonts w:ascii="Simplified Arabic" w:hAnsi="Simplified Arabic" w:cs="Simplified Arabic"/>
        </w:rPr>
        <w:t>.</w:t>
      </w:r>
    </w:p>
    <w:p w14:paraId="4BFC3B54" w14:textId="5811B5D6" w:rsidR="00F15ECE" w:rsidRDefault="00F15ECE" w:rsidP="004F2B23">
      <w:pPr>
        <w:numPr>
          <w:ilvl w:val="0"/>
          <w:numId w:val="52"/>
        </w:numPr>
        <w:bidi/>
        <w:spacing w:before="240" w:after="0"/>
        <w:rPr>
          <w:rFonts w:ascii="Simplified Arabic" w:hAnsi="Simplified Arabic" w:cs="Simplified Arabic"/>
        </w:rPr>
      </w:pPr>
      <w:r w:rsidRPr="00F15ECE">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sidRPr="00F15ECE">
        <w:rPr>
          <w:rFonts w:ascii="Simplified Arabic" w:hAnsi="Simplified Arabic" w:cs="Simplified Arabic"/>
        </w:rPr>
        <w:t>.</w:t>
      </w:r>
    </w:p>
    <w:p w14:paraId="167D41AB" w14:textId="45B5A8C6" w:rsidR="00F15ECE" w:rsidRPr="00F15ECE" w:rsidRDefault="00F15ECE" w:rsidP="004F2B23">
      <w:pPr>
        <w:numPr>
          <w:ilvl w:val="0"/>
          <w:numId w:val="52"/>
        </w:numPr>
        <w:tabs>
          <w:tab w:val="num" w:pos="720"/>
        </w:tabs>
        <w:bidi/>
        <w:spacing w:before="240" w:after="0"/>
        <w:rPr>
          <w:rFonts w:ascii="Simplified Arabic" w:hAnsi="Simplified Arabic" w:cs="Simplified Arabic"/>
          <w:rtl/>
        </w:rPr>
      </w:pPr>
      <w:r w:rsidRPr="00F15ECE">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sidRPr="00F15ECE">
        <w:rPr>
          <w:rFonts w:ascii="Simplified Arabic" w:hAnsi="Simplified Arabic" w:cs="Simplified Arabic"/>
        </w:rPr>
        <w:t>.</w:t>
      </w:r>
    </w:p>
    <w:p w14:paraId="3C5D7BFD" w14:textId="35E5005D" w:rsidR="000D3CD0" w:rsidRDefault="00F15ECE" w:rsidP="004F2B23">
      <w:pPr>
        <w:numPr>
          <w:ilvl w:val="0"/>
          <w:numId w:val="52"/>
        </w:numPr>
        <w:bidi/>
        <w:spacing w:before="240" w:after="0"/>
        <w:jc w:val="both"/>
        <w:rPr>
          <w:rFonts w:ascii="Simplified Arabic" w:hAnsi="Simplified Arabic" w:cs="Simplified Arabic"/>
        </w:rPr>
      </w:pPr>
      <w:r w:rsidRPr="00F15ECE">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sidRPr="000D4873">
        <w:rPr>
          <w:rFonts w:ascii="Simplified Arabic" w:hAnsi="Simplified Arabic" w:cs="Simplified Arabic"/>
          <w:b/>
          <w:bCs/>
          <w:rtl/>
        </w:rPr>
        <w:t>الأهمية التطبيقية</w:t>
      </w:r>
    </w:p>
    <w:p w14:paraId="6972F30D" w14:textId="0E50BE2D"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sidRPr="00F15ECE">
        <w:rPr>
          <w:rFonts w:ascii="Simplified Arabic" w:hAnsi="Simplified Arabic" w:cs="Simplified Arabic"/>
        </w:rPr>
        <w:t>.</w:t>
      </w:r>
    </w:p>
    <w:p w14:paraId="79E32DDC" w14:textId="000C5331"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sidRPr="00F15ECE">
        <w:rPr>
          <w:rFonts w:ascii="Simplified Arabic" w:hAnsi="Simplified Arabic" w:cs="Simplified Arabic"/>
        </w:rPr>
        <w:t>.</w:t>
      </w:r>
    </w:p>
    <w:p w14:paraId="0439F475" w14:textId="060E2519"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sidRPr="00F15ECE">
        <w:rPr>
          <w:rFonts w:ascii="Simplified Arabic" w:hAnsi="Simplified Arabic" w:cs="Simplified Arabic"/>
        </w:rPr>
        <w:t>.</w:t>
      </w:r>
    </w:p>
    <w:p w14:paraId="1A54DDAF" w14:textId="67415E10"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تساعد الجهات التنظيمية مثل الهيئة السعودية للبيانات والذكاء الاصطناعي</w:t>
      </w:r>
      <w:r w:rsidRPr="00F15ECE">
        <w:rPr>
          <w:rFonts w:ascii="Simplified Arabic" w:hAnsi="Simplified Arabic" w:cs="Simplified Arabic"/>
        </w:rPr>
        <w:t xml:space="preserve"> (SDAIA) </w:t>
      </w:r>
      <w:r w:rsidRPr="00F15ECE">
        <w:rPr>
          <w:rFonts w:ascii="Simplified Arabic" w:hAnsi="Simplified Arabic" w:cs="Simplified Arabic"/>
          <w:rtl/>
        </w:rPr>
        <w:t>في تطوير أطر حوكمة لاستخدام الذكاء الاصطناعي التوليدي في القطاع التسويقي</w:t>
      </w:r>
      <w:r w:rsidRPr="00F15ECE">
        <w:rPr>
          <w:rFonts w:ascii="Simplified Arabic" w:hAnsi="Simplified Arabic" w:cs="Simplified Arabic"/>
        </w:rPr>
        <w:t>.</w:t>
      </w:r>
    </w:p>
    <w:p w14:paraId="777E9322" w14:textId="51C279BB"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sidRPr="00F15ECE">
        <w:rPr>
          <w:rFonts w:ascii="Simplified Arabic" w:hAnsi="Simplified Arabic" w:cs="Simplified Arabic"/>
        </w:rPr>
        <w:t>.</w:t>
      </w:r>
    </w:p>
    <w:p w14:paraId="4DDF652E" w14:textId="2CC4E6AF"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توفّر مؤشرات أداء قياسية</w:t>
      </w:r>
      <w:r w:rsidRPr="00F15ECE">
        <w:rPr>
          <w:rFonts w:ascii="Simplified Arabic" w:hAnsi="Simplified Arabic" w:cs="Simplified Arabic"/>
        </w:rPr>
        <w:t xml:space="preserve"> (KPIs) </w:t>
      </w:r>
      <w:r w:rsidRPr="00F15ECE">
        <w:rPr>
          <w:rFonts w:ascii="Simplified Arabic" w:hAnsi="Simplified Arabic" w:cs="Simplified Arabic"/>
          <w:rtl/>
        </w:rPr>
        <w:t>لقياس فعالية الحملات التسويقية المدعومة بالذكاء الاصطناعي التوليدي</w:t>
      </w:r>
      <w:r w:rsidRPr="00F15ECE">
        <w:rPr>
          <w:rFonts w:ascii="Simplified Arabic" w:hAnsi="Simplified Arabic" w:cs="Simplified Arabic"/>
        </w:rPr>
        <w:t>.</w:t>
      </w:r>
    </w:p>
    <w:p w14:paraId="5335BB7B" w14:textId="78623436" w:rsidR="00F15ECE" w:rsidRDefault="00F15ECE" w:rsidP="004F2B23">
      <w:pPr>
        <w:numPr>
          <w:ilvl w:val="0"/>
          <w:numId w:val="51"/>
        </w:numPr>
        <w:bidi/>
        <w:spacing w:line="276" w:lineRule="auto"/>
        <w:rPr>
          <w:rFonts w:ascii="Simplified Arabic" w:hAnsi="Simplified Arabic" w:cs="Simplified Arabic"/>
        </w:rPr>
      </w:pPr>
      <w:r w:rsidRPr="00F15ECE">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sidRPr="004223DC">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sidRPr="00E93246">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الأهداف الفرعية</w:t>
      </w:r>
    </w:p>
    <w:p w14:paraId="11F58D7E" w14:textId="480BF5AD"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الفرضية الرئيسة</w:t>
      </w:r>
      <w:r w:rsidRPr="000D3CD0">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sidRPr="009F0570">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الفرضيات الفرعية</w:t>
      </w:r>
      <w:r w:rsidRPr="000D3CD0">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sidRPr="000D3CD0">
        <w:rPr>
          <w:rFonts w:ascii="Simplified Arabic" w:hAnsi="Simplified Arabic" w:cs="Simplified Arabic"/>
          <w:b/>
          <w:bCs/>
        </w:rPr>
        <w:t>H1</w:t>
      </w:r>
      <w:r w:rsidR="00ED75B0" w:rsidRPr="000D3CD0">
        <w:rPr>
          <w:rFonts w:ascii="Simplified Arabic" w:hAnsi="Simplified Arabic" w:cs="Simplified Arabic" w:hint="cs"/>
          <w:b/>
          <w:bCs/>
          <w:rtl/>
        </w:rPr>
        <w:t xml:space="preserve">: </w:t>
      </w: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sidRPr="009F0570">
        <w:rPr>
          <w:rFonts w:ascii="Simplified Arabic" w:hAnsi="Simplified Arabic" w:cs="Simplified Arabic"/>
        </w:rPr>
        <w:t>.</w:t>
      </w:r>
    </w:p>
    <w:p w14:paraId="533ADC45" w14:textId="6CBA25B2" w:rsidR="004F2B23" w:rsidRPr="00A20BAB" w:rsidRDefault="00ED75B0" w:rsidP="00A20BAB">
      <w:pPr>
        <w:bidi/>
        <w:rPr>
          <w:rFonts w:ascii="Simplified Arabic" w:hAnsi="Simplified Arabic" w:cs="Simplified Arabic"/>
          <w:rtl/>
        </w:rPr>
      </w:pPr>
      <w:r w:rsidRPr="000D3CD0">
        <w:rPr>
          <w:rFonts w:ascii="Simplified Arabic" w:hAnsi="Simplified Arabic" w:cs="Simplified Arabic"/>
          <w:b/>
          <w:bCs/>
        </w:rPr>
        <w:t xml:space="preserve"> :H2</w:t>
      </w:r>
      <w:r w:rsidR="009F0570" w:rsidRPr="009F0570">
        <w:rPr>
          <w:rFonts w:ascii="Simplified Arabic" w:hAnsi="Simplified Arabic" w:cs="Simplified Arabic"/>
          <w:rtl/>
        </w:rPr>
        <w:t>توجد علاقة ذات دلالة إحصائية عند مستوى</w:t>
      </w:r>
      <w:r w:rsidR="009F0570" w:rsidRPr="009F0570">
        <w:rPr>
          <w:rFonts w:ascii="Simplified Arabic" w:hAnsi="Simplified Arabic" w:cs="Simplified Arabic"/>
        </w:rPr>
        <w:t xml:space="preserve"> (</w:t>
      </w:r>
      <w:r w:rsidR="009F0570" w:rsidRPr="009F0570">
        <w:rPr>
          <w:rFonts w:ascii="Cambria" w:hAnsi="Cambria" w:cs="Cambria"/>
        </w:rPr>
        <w:t>α</w:t>
      </w:r>
      <w:r w:rsidR="009F0570" w:rsidRPr="009F0570">
        <w:rPr>
          <w:rFonts w:ascii="Simplified Arabic" w:hAnsi="Simplified Arabic" w:cs="Simplified Arabic"/>
        </w:rPr>
        <w:t xml:space="preserve"> </w:t>
      </w:r>
      <w:r w:rsidR="009F0570" w:rsidRPr="009F0570">
        <w:rPr>
          <w:rFonts w:ascii="Cambria Math" w:hAnsi="Cambria Math" w:cs="Cambria Math"/>
        </w:rPr>
        <w:t>≤</w:t>
      </w:r>
      <w:r w:rsidR="009F0570" w:rsidRPr="009F0570">
        <w:rPr>
          <w:rFonts w:ascii="Simplified Arabic" w:hAnsi="Simplified Arabic" w:cs="Simplified Arabic"/>
        </w:rPr>
        <w:t xml:space="preserve"> 0.05) </w:t>
      </w:r>
      <w:r w:rsidR="009F0570" w:rsidRPr="009F0570">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sidR="009F0570" w:rsidRPr="009F0570">
        <w:rPr>
          <w:rFonts w:ascii="Simplified Arabic" w:hAnsi="Simplified Arabic" w:cs="Simplified Arabic"/>
        </w:rPr>
        <w:t>.</w:t>
      </w:r>
    </w:p>
    <w:p w14:paraId="65C2ED6C" w14:textId="0CF89DDD" w:rsidR="009F0570" w:rsidRPr="009F0570" w:rsidRDefault="009F0570" w:rsidP="004F2B23">
      <w:pPr>
        <w:bidi/>
        <w:rPr>
          <w:rFonts w:ascii="Simplified Arabic" w:hAnsi="Simplified Arabic" w:cs="Simplified Arabic"/>
          <w:rtl/>
        </w:rPr>
      </w:pPr>
      <w:r w:rsidRPr="000D3CD0">
        <w:rPr>
          <w:rFonts w:ascii="Simplified Arabic" w:hAnsi="Simplified Arabic" w:cs="Simplified Arabic"/>
          <w:b/>
          <w:bCs/>
        </w:rPr>
        <w:t>H3</w:t>
      </w:r>
      <w:r w:rsidR="00ED75B0" w:rsidRPr="000D3CD0">
        <w:rPr>
          <w:rFonts w:ascii="Simplified Arabic" w:hAnsi="Simplified Arabic" w:cs="Simplified Arabic" w:hint="cs"/>
          <w:b/>
          <w:bCs/>
          <w:rtl/>
        </w:rPr>
        <w:t>:</w:t>
      </w:r>
      <w:r w:rsidR="00ED75B0">
        <w:rPr>
          <w:rFonts w:ascii="Simplified Arabic" w:hAnsi="Simplified Arabic" w:cs="Simplified Arabic" w:hint="cs"/>
          <w:rtl/>
        </w:rPr>
        <w:t xml:space="preserve"> </w:t>
      </w:r>
      <w:r w:rsidR="00ED75B0" w:rsidRPr="00ED75B0">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sidRPr="000D3CD0">
        <w:rPr>
          <w:rFonts w:ascii="Simplified Arabic" w:hAnsi="Simplified Arabic" w:cs="Simplified Arabic"/>
          <w:b/>
          <w:bCs/>
        </w:rPr>
        <w:t>H4</w:t>
      </w:r>
      <w:r w:rsidR="009F0570" w:rsidRPr="000D3CD0">
        <w:rPr>
          <w:rFonts w:ascii="Simplified Arabic" w:hAnsi="Simplified Arabic" w:cs="Simplified Arabic"/>
          <w:b/>
          <w:bCs/>
          <w:rtl/>
        </w:rPr>
        <w:t>:</w:t>
      </w:r>
      <w:r w:rsidR="009F0570" w:rsidRPr="009F0570">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4197CAFB" w14:textId="77777777" w:rsidR="00A20BAB" w:rsidRDefault="00A20BAB" w:rsidP="00A20BAB">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sidRPr="004104AA">
        <w:rPr>
          <w:rFonts w:ascii="Simplified Arabic" w:hAnsi="Simplified Arabic" w:cs="Simplified Arabic" w:hint="cs"/>
          <w:b/>
          <w:bCs/>
          <w:rtl/>
        </w:rPr>
        <w:lastRenderedPageBreak/>
        <w:t>نموذج الدراسة المقترح</w:t>
      </w:r>
      <w:r>
        <w:rPr>
          <w:rFonts w:ascii="Simplified Arabic" w:hAnsi="Simplified Arabic" w:cs="Simplified Arabic" w:hint="cs"/>
          <w:b/>
          <w:bCs/>
          <w:rtl/>
        </w:rPr>
        <w:t>:</w:t>
      </w:r>
    </w:p>
    <w:p w14:paraId="5A3992AC" w14:textId="1555B010" w:rsidR="004104AA" w:rsidRPr="004104AA" w:rsidRDefault="004104AA" w:rsidP="004104AA">
      <w:pPr>
        <w:bidi/>
        <w:rPr>
          <w:rFonts w:ascii="Simplified Arabic" w:hAnsi="Simplified Arabic" w:cs="Simplified Arabic"/>
          <w:b/>
          <w:bCs/>
          <w:rtl/>
        </w:rPr>
      </w:pPr>
      <w:r w:rsidRPr="004104AA">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sidRPr="004104AA">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منهجية </w:t>
      </w:r>
      <w:r w:rsidRPr="004F1607">
        <w:rPr>
          <w:rFonts w:ascii="Sakkal Majalla" w:hAnsi="Sakkal Majalla" w:cs="Sakkal Majalla" w:hint="cs"/>
          <w:b/>
          <w:bCs/>
          <w:color w:val="00B0F0"/>
          <w:sz w:val="36"/>
          <w:szCs w:val="36"/>
          <w:u w:val="single"/>
          <w:rtl/>
        </w:rPr>
        <w:t>الدراسة</w:t>
      </w:r>
      <w:r w:rsidRPr="004F1607">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sidRPr="00D9067F">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sidRPr="00D9067F">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sidRPr="00D9067F">
        <w:rPr>
          <w:rFonts w:ascii="Simplified Arabic" w:hAnsi="Simplified Arabic" w:cs="Simplified Arabic"/>
        </w:rPr>
        <w:t xml:space="preserve"> (Five-point Likert Scale)</w:t>
      </w:r>
      <w:r>
        <w:rPr>
          <w:rFonts w:ascii="Simplified Arabic" w:hAnsi="Simplified Arabic" w:cs="Simplified Arabic" w:hint="cs"/>
          <w:rtl/>
        </w:rPr>
        <w:t xml:space="preserve"> </w:t>
      </w:r>
      <w:r w:rsidRPr="00D9067F">
        <w:rPr>
          <w:rFonts w:ascii="Simplified Arabic" w:hAnsi="Simplified Arabic" w:cs="Simplified Arabic"/>
          <w:rtl/>
        </w:rPr>
        <w:t>(من "موافق بشدة" إلى "غير موافق بشدة")، لضمان دقة قياس استجابات المبحوثين حول متغيرات الدراسة</w:t>
      </w:r>
      <w:r w:rsidRPr="00D9067F">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sidRPr="00D9067F">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sidRPr="00D9067F">
        <w:rPr>
          <w:rFonts w:ascii="Simplified Arabic" w:hAnsi="Simplified Arabic" w:cs="Simplified Arabic"/>
          <w:rtl/>
        </w:rPr>
        <w:t>ي</w:t>
      </w:r>
      <w:r w:rsidR="009F0B28" w:rsidRPr="009F0B28">
        <w:rPr>
          <w:rFonts w:ascii="Simplified Arabic" w:hAnsi="Simplified Arabic" w:cs="Simplified Arabic"/>
          <w:rtl/>
        </w:rPr>
        <w:t>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sidR="009F0B28" w:rsidRPr="009F0B28">
        <w:rPr>
          <w:rFonts w:ascii="Simplified Arabic" w:hAnsi="Simplified Arabic" w:cs="Simplified Arabic"/>
        </w:rPr>
        <w:t>Non-probability Sampling</w:t>
      </w:r>
      <w:r w:rsidR="009F0B28" w:rsidRPr="009F0B28">
        <w:rPr>
          <w:rFonts w:ascii="Simplified Arabic" w:hAnsi="Simplified Arabic" w:cs="Simplified Arabic"/>
          <w:rtl/>
        </w:rPr>
        <w:t>)، وتحديداً أسلوب العينة الميسرة (</w:t>
      </w:r>
      <w:r w:rsidR="009F0B28" w:rsidRPr="009F0B28">
        <w:rPr>
          <w:rFonts w:ascii="Simplified Arabic" w:hAnsi="Simplified Arabic" w:cs="Simplified Arabic"/>
        </w:rPr>
        <w:t>Convenience Sampling</w:t>
      </w:r>
      <w:r w:rsidR="009F0B28" w:rsidRPr="009F0B28">
        <w:rPr>
          <w:rFonts w:ascii="Simplified Arabic" w:hAnsi="Simplified Arabic" w:cs="Simplified Arabic"/>
          <w:rtl/>
        </w:rPr>
        <w:t>) وكرة الثلج (</w:t>
      </w:r>
      <w:r w:rsidR="009F0B28" w:rsidRPr="009F0B28">
        <w:rPr>
          <w:rFonts w:ascii="Simplified Arabic" w:hAnsi="Simplified Arabic" w:cs="Simplified Arabic"/>
        </w:rPr>
        <w:t>Snowball Sampling</w:t>
      </w:r>
      <w:r w:rsidR="009F0B28" w:rsidRPr="009F0B28">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sidR="009F0B28" w:rsidRPr="009F0B28">
        <w:rPr>
          <w:rFonts w:ascii="Simplified Arabic" w:hAnsi="Simplified Arabic" w:cs="Simplified Arabic"/>
        </w:rPr>
        <w:t>G*Power</w:t>
      </w:r>
      <w:r w:rsidR="009F0B28" w:rsidRPr="009F0B28">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sidR="009F0B28">
        <w:rPr>
          <w:rFonts w:ascii="Simplified Arabic" w:hAnsi="Simplified Arabic" w:cs="Simplified Arabic" w:hint="cs"/>
          <w:rtl/>
        </w:rPr>
        <w:t>يساعد بالحصول على</w:t>
      </w:r>
      <w:r w:rsidR="009F0B28" w:rsidRPr="009F0B28">
        <w:rPr>
          <w:rFonts w:ascii="Simplified Arabic" w:hAnsi="Simplified Arabic" w:cs="Simplified Arabic"/>
          <w:rtl/>
        </w:rPr>
        <w:t xml:space="preserve"> تمثيل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إحصائي مقبول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sidRPr="00D9067F">
        <w:rPr>
          <w:rFonts w:ascii="Simplified Arabic" w:hAnsi="Simplified Arabic" w:cs="Simplified Arabic" w:hint="cs"/>
          <w:b/>
          <w:bCs/>
          <w:rtl/>
        </w:rPr>
        <w:t xml:space="preserve">3. </w:t>
      </w:r>
      <w:r w:rsidRPr="00D9067F">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sidRPr="00D9067F">
        <w:rPr>
          <w:rFonts w:ascii="Simplified Arabic" w:hAnsi="Simplified Arabic" w:cs="Simplified Arabic"/>
        </w:rPr>
        <w:t xml:space="preserve"> (PLS-SEM) </w:t>
      </w:r>
      <w:r w:rsidRPr="00D9067F">
        <w:rPr>
          <w:rFonts w:ascii="Simplified Arabic" w:hAnsi="Simplified Arabic" w:cs="Simplified Arabic"/>
          <w:rtl/>
        </w:rPr>
        <w:t>باستخدام برنامج</w:t>
      </w:r>
      <w:r w:rsidRPr="00D9067F">
        <w:rPr>
          <w:rFonts w:ascii="Simplified Arabic" w:hAnsi="Simplified Arabic" w:cs="Simplified Arabic"/>
        </w:rPr>
        <w:t xml:space="preserve"> (SmartPLS 4)</w:t>
      </w:r>
      <w:r w:rsidRPr="00D9067F">
        <w:rPr>
          <w:rFonts w:ascii="Simplified Arabic" w:hAnsi="Simplified Arabic" w:cs="Simplified Arabic"/>
          <w:rtl/>
        </w:rPr>
        <w:t>، وذلك للمبررات التالية</w:t>
      </w:r>
      <w:r w:rsidRPr="00D9067F">
        <w:rPr>
          <w:rFonts w:ascii="Simplified Arabic" w:hAnsi="Simplified Arabic" w:cs="Simplified Arabic"/>
        </w:rPr>
        <w:t>:</w:t>
      </w:r>
    </w:p>
    <w:p w14:paraId="0AD676E9" w14:textId="41BF5FC2"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sidRPr="00D9067F">
        <w:rPr>
          <w:rFonts w:ascii="Simplified Arabic" w:hAnsi="Simplified Arabic" w:cs="Simplified Arabic"/>
        </w:rPr>
        <w:t>.</w:t>
      </w:r>
    </w:p>
    <w:p w14:paraId="6F58172A" w14:textId="65C9730F"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التحقق من الصدق البنائي</w:t>
      </w:r>
      <w:r w:rsidRPr="00D9067F">
        <w:rPr>
          <w:rFonts w:ascii="Simplified Arabic" w:hAnsi="Simplified Arabic" w:cs="Simplified Arabic"/>
        </w:rPr>
        <w:t xml:space="preserve"> (Construct Validity) </w:t>
      </w:r>
      <w:r w:rsidRPr="00D9067F">
        <w:rPr>
          <w:rFonts w:ascii="Simplified Arabic" w:hAnsi="Simplified Arabic" w:cs="Simplified Arabic"/>
          <w:rtl/>
        </w:rPr>
        <w:t>عبر التحليل العاملي التوكيدي</w:t>
      </w:r>
      <w:r w:rsidRPr="00D9067F">
        <w:rPr>
          <w:rFonts w:ascii="Simplified Arabic" w:hAnsi="Simplified Arabic" w:cs="Simplified Arabic"/>
        </w:rPr>
        <w:t xml:space="preserve"> (CFA).</w:t>
      </w:r>
    </w:p>
    <w:p w14:paraId="46A00CF3" w14:textId="65F1A651" w:rsidR="00D9067F" w:rsidRDefault="00D9067F" w:rsidP="009F0B28">
      <w:pPr>
        <w:numPr>
          <w:ilvl w:val="0"/>
          <w:numId w:val="58"/>
        </w:numPr>
        <w:bidi/>
        <w:rPr>
          <w:rFonts w:ascii="Simplified Arabic" w:hAnsi="Simplified Arabic" w:cs="Simplified Arabic"/>
        </w:rPr>
      </w:pPr>
      <w:r w:rsidRPr="00D9067F">
        <w:rPr>
          <w:rFonts w:ascii="Simplified Arabic" w:hAnsi="Simplified Arabic" w:cs="Simplified Arabic"/>
          <w:rtl/>
        </w:rPr>
        <w:t>قياس جودة النموذج الخارجي من خلال اختبارات الثبات المركب (</w:t>
      </w:r>
      <w:r w:rsidRPr="00D9067F">
        <w:rPr>
          <w:rFonts w:ascii="Simplified Arabic" w:hAnsi="Simplified Arabic" w:cs="Simplified Arabic"/>
        </w:rPr>
        <w:t xml:space="preserve">Composite Reliability </w:t>
      </w:r>
      <w:r w:rsidR="00A20BAB">
        <w:rPr>
          <w:rFonts w:ascii="Simplified Arabic" w:hAnsi="Simplified Arabic" w:cs="Simplified Arabic"/>
        </w:rPr>
        <w:t>–</w:t>
      </w:r>
      <w:r w:rsidRPr="00D9067F">
        <w:rPr>
          <w:rFonts w:ascii="Simplified Arabic" w:hAnsi="Simplified Arabic" w:cs="Simplified Arabic"/>
        </w:rPr>
        <w:t xml:space="preserve"> CR</w:t>
      </w:r>
      <w:r w:rsidRPr="00D9067F">
        <w:rPr>
          <w:rFonts w:ascii="Simplified Arabic" w:hAnsi="Simplified Arabic" w:cs="Simplified Arabic"/>
          <w:rtl/>
        </w:rPr>
        <w:t>)، ومتوسط التباين المستخرج (</w:t>
      </w:r>
      <w:r w:rsidRPr="00D9067F">
        <w:rPr>
          <w:rFonts w:ascii="Simplified Arabic" w:hAnsi="Simplified Arabic" w:cs="Simplified Arabic"/>
        </w:rPr>
        <w:t xml:space="preserve">Average Variance Extracted </w:t>
      </w:r>
      <w:r w:rsidR="00A20BAB">
        <w:rPr>
          <w:rFonts w:ascii="Simplified Arabic" w:hAnsi="Simplified Arabic" w:cs="Simplified Arabic"/>
        </w:rPr>
        <w:t>–</w:t>
      </w:r>
      <w:r w:rsidRPr="00D9067F">
        <w:rPr>
          <w:rFonts w:ascii="Simplified Arabic" w:hAnsi="Simplified Arabic" w:cs="Simplified Arabic"/>
        </w:rPr>
        <w:t xml:space="preserve"> AVE</w:t>
      </w:r>
      <w:r w:rsidRPr="00D9067F">
        <w:rPr>
          <w:rFonts w:ascii="Simplified Arabic" w:hAnsi="Simplified Arabic" w:cs="Simplified Arabic"/>
          <w:rtl/>
        </w:rPr>
        <w:t>) لصدق التقارب، واختبار (</w:t>
      </w:r>
      <w:r w:rsidRPr="00D9067F">
        <w:rPr>
          <w:rFonts w:ascii="Simplified Arabic" w:hAnsi="Simplified Arabic" w:cs="Simplified Arabic"/>
        </w:rPr>
        <w:t>HTMT</w:t>
      </w:r>
      <w:r w:rsidRPr="00D9067F">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sidRPr="00675F33">
        <w:rPr>
          <w:rFonts w:ascii="Simplified Arabic" w:hAnsi="Simplified Arabic" w:cs="Simplified Arabic"/>
          <w:b/>
          <w:bCs/>
          <w:rtl/>
        </w:rPr>
        <w:t>1.</w:t>
      </w:r>
      <w:r w:rsidR="00727EAF">
        <w:rPr>
          <w:rFonts w:ascii="Simplified Arabic" w:hAnsi="Simplified Arabic" w:cs="Simplified Arabic" w:hint="cs"/>
          <w:b/>
          <w:bCs/>
          <w:rtl/>
        </w:rPr>
        <w:t xml:space="preserve"> </w:t>
      </w:r>
      <w:r w:rsidR="00727EAF" w:rsidRPr="00727EAF">
        <w:rPr>
          <w:rFonts w:ascii="Simplified Arabic" w:hAnsi="Simplified Arabic" w:cs="Simplified Arabic"/>
          <w:b/>
          <w:bCs/>
          <w:rtl/>
        </w:rPr>
        <w:t>الذكاء الاصطناعي التوليدي (</w:t>
      </w:r>
      <w:r w:rsidR="00727EAF" w:rsidRPr="00727EAF">
        <w:rPr>
          <w:rFonts w:ascii="Simplified Arabic" w:hAnsi="Simplified Arabic" w:cs="Simplified Arabic"/>
          <w:b/>
          <w:bCs/>
        </w:rPr>
        <w:t>Generative AI</w:t>
      </w:r>
      <w:r w:rsidR="00727EAF" w:rsidRPr="00727EAF">
        <w:rPr>
          <w:rFonts w:ascii="Simplified Arabic" w:hAnsi="Simplified Arabic" w:cs="Simplified Arabic"/>
          <w:b/>
          <w:bCs/>
          <w:rtl/>
        </w:rPr>
        <w:t>)</w:t>
      </w:r>
    </w:p>
    <w:p w14:paraId="39B4380B" w14:textId="5A80FFBF" w:rsidR="000343D5" w:rsidRPr="004223DC" w:rsidRDefault="000343D5" w:rsidP="00727EAF">
      <w:pPr>
        <w:numPr>
          <w:ilvl w:val="0"/>
          <w:numId w:val="55"/>
        </w:numPr>
        <w:bidi/>
        <w:rPr>
          <w:rFonts w:ascii="Simplified Arabic" w:hAnsi="Simplified Arabic" w:cs="Simplified Arabic"/>
          <w:rtl/>
        </w:rPr>
      </w:pPr>
      <w:r w:rsidRPr="004223DC">
        <w:rPr>
          <w:rFonts w:ascii="Simplified Arabic" w:hAnsi="Simplified Arabic" w:cs="Simplified Arabic"/>
          <w:rtl/>
        </w:rPr>
        <w:t>التعري</w:t>
      </w:r>
      <w:r>
        <w:rPr>
          <w:rFonts w:ascii="Simplified Arabic" w:hAnsi="Simplified Arabic" w:cs="Simplified Arabic" w:hint="cs"/>
          <w:rtl/>
        </w:rPr>
        <w:t>ف</w:t>
      </w:r>
      <w:r w:rsidRPr="004223DC">
        <w:rPr>
          <w:rFonts w:ascii="Simplified Arabic" w:hAnsi="Simplified Arabic" w:cs="Simplified Arabic"/>
          <w:rtl/>
        </w:rPr>
        <w:t xml:space="preserve">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استخدام الأدوات التوليدية مثل </w:t>
      </w:r>
      <w:r w:rsidR="00A366CE" w:rsidRPr="00A366CE">
        <w:rPr>
          <w:rFonts w:ascii="Simplified Arabic" w:hAnsi="Simplified Arabic" w:cs="Simplified Arabic"/>
        </w:rPr>
        <w:t>ChatGPT</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Midjourney</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DALL·E</w:t>
      </w:r>
      <w:r w:rsidR="00A366CE" w:rsidRPr="00A366CE">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rsidP="00727EAF">
      <w:pPr>
        <w:numPr>
          <w:ilvl w:val="0"/>
          <w:numId w:val="55"/>
        </w:numPr>
        <w:bidi/>
        <w:spacing w:after="0"/>
        <w:rPr>
          <w:rFonts w:ascii="Simplified Arabic" w:hAnsi="Simplified Arabic" w:cs="Simplified Arabic"/>
          <w:rtl/>
        </w:rPr>
      </w:pPr>
      <w:r w:rsidRPr="004223DC">
        <w:rPr>
          <w:rFonts w:ascii="Simplified Arabic" w:hAnsi="Simplified Arabic" w:cs="Simplified Arabic"/>
          <w:rtl/>
        </w:rPr>
        <w:lastRenderedPageBreak/>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 </w:t>
      </w:r>
      <w:r w:rsidR="00727EAF" w:rsidRPr="00727EAF">
        <w:rPr>
          <w:rFonts w:ascii="Simplified Arabic" w:hAnsi="Simplified Arabic" w:cs="Simplified Arabic"/>
          <w:rtl/>
        </w:rPr>
        <w:t>"الذكاء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sidR="00727EAF">
        <w:rPr>
          <w:rFonts w:ascii="Simplified Arabic" w:hAnsi="Simplified Arabic" w:cs="Simplified Arabic" w:hint="cs"/>
          <w:rtl/>
        </w:rPr>
        <w:t>"</w:t>
      </w:r>
      <w:r w:rsidR="00727EAF">
        <w:rPr>
          <w:rFonts w:ascii="Simplified Arabic" w:hAnsi="Simplified Arabic" w:cs="Simplified Arabic"/>
          <w:rtl/>
        </w:rPr>
        <w:t>(</w:t>
      </w:r>
      <w:r w:rsidR="00727EAF">
        <w:rPr>
          <w:rFonts w:ascii="Simplified Arabic" w:hAnsi="Simplified Arabic" w:cs="Simplified Arabic"/>
        </w:rPr>
        <w:t>SDAIA, 2024</w:t>
      </w:r>
      <w:r w:rsidR="00727EAF">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sidRPr="00727EAF">
        <w:rPr>
          <w:rFonts w:ascii="Simplified Arabic" w:hAnsi="Simplified Arabic" w:cs="Simplified Arabic"/>
          <w:b/>
          <w:bCs/>
          <w:rtl/>
        </w:rPr>
        <w:t>2. تصميم الحملات التسويقية الرقمية</w:t>
      </w:r>
    </w:p>
    <w:p w14:paraId="6B48C7AE" w14:textId="5B0FDD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w:t>
      </w:r>
      <w:r>
        <w:rPr>
          <w:rFonts w:ascii="Simplified Arabic" w:hAnsi="Simplified Arabic" w:cs="Simplified Arabic" w:hint="cs"/>
          <w:rtl/>
        </w:rPr>
        <w:t>ي</w:t>
      </w:r>
      <w:r w:rsidRPr="004223DC">
        <w:rPr>
          <w:rFonts w:ascii="Simplified Arabic" w:hAnsi="Simplified Arabic" w:cs="Simplified Arabic"/>
          <w:rtl/>
        </w:rPr>
        <w:t>:</w:t>
      </w:r>
      <w:r>
        <w:rPr>
          <w:rFonts w:ascii="Simplified Arabic" w:hAnsi="Simplified Arabic" w:cs="Simplified Arabic" w:hint="cs"/>
          <w:rtl/>
        </w:rPr>
        <w:t xml:space="preserve"> </w:t>
      </w:r>
      <w:r w:rsidR="00A366CE">
        <w:rPr>
          <w:rFonts w:ascii="Simplified Arabic" w:hAnsi="Simplified Arabic" w:cs="Simplified Arabic" w:hint="cs"/>
          <w:rtl/>
        </w:rPr>
        <w:t xml:space="preserve">تعرف بإنها </w:t>
      </w:r>
      <w:r w:rsidR="00A366CE" w:rsidRPr="00A366CE">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Islam et al., 2024</w:t>
      </w:r>
      <w:r w:rsidR="00A366CE">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sidRPr="00675F33">
        <w:rPr>
          <w:rFonts w:ascii="Simplified Arabic" w:hAnsi="Simplified Arabic" w:cs="Simplified Arabic"/>
          <w:b/>
          <w:bCs/>
          <w:rtl/>
        </w:rPr>
        <w:t xml:space="preserve">3. </w:t>
      </w:r>
      <w:r w:rsidR="00727EAF" w:rsidRPr="00727EAF">
        <w:rPr>
          <w:rFonts w:ascii="Simplified Arabic" w:hAnsi="Simplified Arabic" w:cs="Simplified Arabic"/>
          <w:b/>
          <w:bCs/>
          <w:rtl/>
        </w:rPr>
        <w:t>توظيف تقنيات الذكاء الاصطناعي</w:t>
      </w:r>
    </w:p>
    <w:p w14:paraId="352AA7B4" w14:textId="279179CD"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Masnita et al., 2024</w:t>
      </w:r>
      <w:r w:rsidR="00A366CE">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sidRPr="00675F33">
        <w:rPr>
          <w:rFonts w:ascii="Simplified Arabic" w:hAnsi="Simplified Arabic" w:cs="Simplified Arabic"/>
          <w:b/>
          <w:bCs/>
          <w:rtl/>
        </w:rPr>
        <w:t xml:space="preserve">4. </w:t>
      </w:r>
      <w:r w:rsidR="00727EAF" w:rsidRPr="00727EAF">
        <w:rPr>
          <w:rFonts w:ascii="Simplified Arabic" w:hAnsi="Simplified Arabic" w:cs="Simplified Arabic"/>
          <w:b/>
          <w:bCs/>
          <w:rtl/>
        </w:rPr>
        <w:t>فعالية الأداء التسويقي</w:t>
      </w:r>
    </w:p>
    <w:p w14:paraId="0C197278" w14:textId="47457BF0"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sidR="00A366CE" w:rsidRPr="00A366CE">
        <w:rPr>
          <w:rFonts w:ascii="Simplified Arabic" w:hAnsi="Simplified Arabic" w:cs="Simplified Arabic"/>
        </w:rPr>
        <w:t>Engagement</w:t>
      </w:r>
      <w:r w:rsidR="00A366CE" w:rsidRPr="00A366CE">
        <w:rPr>
          <w:rFonts w:ascii="Simplified Arabic" w:hAnsi="Simplified Arabic" w:cs="Simplified Arabic"/>
          <w:rtl/>
        </w:rPr>
        <w:t xml:space="preserve">، دقة </w:t>
      </w:r>
      <w:r w:rsidR="00A366CE" w:rsidRPr="00A366CE">
        <w:rPr>
          <w:rFonts w:ascii="Simplified Arabic" w:hAnsi="Simplified Arabic" w:cs="Simplified Arabic"/>
        </w:rPr>
        <w:t>Targeting</w:t>
      </w:r>
      <w:r w:rsidR="00A366CE" w:rsidRPr="00A366CE">
        <w:rPr>
          <w:rFonts w:ascii="Simplified Arabic" w:hAnsi="Simplified Arabic" w:cs="Simplified Arabic"/>
          <w:rtl/>
        </w:rPr>
        <w:t xml:space="preserve">، والعائد </w:t>
      </w:r>
      <w:r w:rsidR="00A366CE" w:rsidRPr="00A366CE">
        <w:rPr>
          <w:rFonts w:ascii="Simplified Arabic" w:hAnsi="Simplified Arabic" w:cs="Simplified Arabic"/>
        </w:rPr>
        <w:t>ROMI</w:t>
      </w:r>
      <w:r w:rsidR="00A366CE" w:rsidRPr="00A366CE">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Heitmann, 2024</w:t>
      </w:r>
      <w:r w:rsidR="00A366CE">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sidRPr="00675F33">
        <w:rPr>
          <w:rFonts w:ascii="Simplified Arabic" w:hAnsi="Simplified Arabic" w:cs="Simplified Arabic"/>
          <w:b/>
          <w:bCs/>
          <w:rtl/>
        </w:rPr>
        <w:t xml:space="preserve">5. </w:t>
      </w:r>
      <w:r w:rsidR="00727EAF" w:rsidRPr="00727EAF">
        <w:rPr>
          <w:rFonts w:ascii="Simplified Arabic" w:hAnsi="Simplified Arabic" w:cs="Simplified Arabic"/>
          <w:b/>
          <w:bCs/>
          <w:rtl/>
        </w:rPr>
        <w:t>جودة عملية التصميم</w:t>
      </w:r>
    </w:p>
    <w:bookmarkEnd w:id="1"/>
    <w:p w14:paraId="6D7EAC5E" w14:textId="67FA8BC5"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sidR="00A366CE">
        <w:rPr>
          <w:rFonts w:ascii="Simplified Arabic" w:hAnsi="Simplified Arabic" w:cs="Simplified Arabic" w:hint="cs"/>
          <w:rtl/>
        </w:rPr>
        <w:t xml:space="preserve">" </w:t>
      </w:r>
      <w:r w:rsidR="00A366CE">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sidRPr="00A366CE">
        <w:rPr>
          <w:rFonts w:ascii="Simplified Arabic" w:hAnsi="Simplified Arabic" w:cs="Simplified Arabic"/>
          <w:b/>
          <w:bCs/>
          <w:rtl/>
        </w:rPr>
        <w:t>6. الدوافع والعوائق</w:t>
      </w:r>
    </w:p>
    <w:p w14:paraId="411DAAA1" w14:textId="7029EAA7" w:rsidR="00A366CE" w:rsidRPr="00143016" w:rsidRDefault="00A366CE" w:rsidP="00143016">
      <w:pPr>
        <w:numPr>
          <w:ilvl w:val="0"/>
          <w:numId w:val="55"/>
        </w:numPr>
        <w:bidi/>
        <w:rPr>
          <w:rFonts w:ascii="Simplified Arabic" w:hAnsi="Simplified Arabic" w:cs="Simplified Arabic"/>
          <w:rtl/>
        </w:rPr>
      </w:pPr>
      <w:r>
        <w:rPr>
          <w:rFonts w:ascii="Simplified Arabic" w:hAnsi="Simplified Arabic" w:cs="Simplified Arabic" w:hint="cs"/>
          <w:rtl/>
        </w:rPr>
        <w:t xml:space="preserve">التعريف الإجرائي: </w:t>
      </w:r>
      <w:r w:rsidR="00143016" w:rsidRPr="00143016">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rsidP="0085283F">
      <w:pPr>
        <w:numPr>
          <w:ilvl w:val="0"/>
          <w:numId w:val="55"/>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sidRPr="00A366CE">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sidR="00143016">
        <w:rPr>
          <w:rFonts w:ascii="Simplified Arabic" w:hAnsi="Simplified Arabic" w:cs="Simplified Arabic" w:hint="cs"/>
          <w:rtl/>
        </w:rPr>
        <w:t xml:space="preserve">"               </w:t>
      </w:r>
      <w:r w:rsidR="00143016">
        <w:rPr>
          <w:rFonts w:ascii="Segoe UI" w:hAnsi="Segoe UI" w:cs="Segoe UI"/>
          <w:color w:val="0F1115"/>
          <w:sz w:val="23"/>
          <w:szCs w:val="23"/>
          <w:shd w:val="clear" w:color="auto" w:fill="FFFFFF"/>
        </w:rPr>
        <w:t>(Kılınç &amp; Keçecioğlu, 2024)</w:t>
      </w:r>
      <w:r w:rsidR="00143016">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93246">
        <w:rPr>
          <w:rFonts w:ascii="Sakkal Majalla" w:hAnsi="Sakkal Majalla" w:cs="Sakkal Majalla" w:hint="cs"/>
          <w:b/>
          <w:bCs/>
          <w:color w:val="00B0F0"/>
          <w:sz w:val="32"/>
          <w:szCs w:val="32"/>
          <w:u w:val="single"/>
          <w:rtl/>
        </w:rPr>
        <w:t xml:space="preserve">الموضوعية، </w:t>
      </w:r>
      <w:r w:rsidRPr="0062589E">
        <w:rPr>
          <w:rFonts w:ascii="Sakkal Majalla" w:hAnsi="Sakkal Majalla" w:cs="Sakkal Majalla" w:hint="cs"/>
          <w:b/>
          <w:bCs/>
          <w:color w:val="00B0F0"/>
          <w:sz w:val="32"/>
          <w:szCs w:val="32"/>
          <w:u w:val="single"/>
          <w:rtl/>
        </w:rPr>
        <w:t>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sidRPr="004223DC">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الموضوعية: </w:t>
      </w:r>
      <w:r w:rsidR="00E93246" w:rsidRPr="00E93246">
        <w:rPr>
          <w:rFonts w:ascii="Simplified Arabic" w:hAnsi="Simplified Arabic" w:cs="Simplified Arabic"/>
          <w:rtl/>
        </w:rPr>
        <w:t>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المكانية: </w:t>
      </w:r>
      <w:r w:rsidR="00E93246" w:rsidRPr="00E93246">
        <w:rPr>
          <w:rFonts w:ascii="Simplified Arabic" w:hAnsi="Simplified Arabic" w:cs="Simplified Arabic"/>
          <w:rtl/>
        </w:rPr>
        <w:t>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rsidP="0005200D">
      <w:pPr>
        <w:numPr>
          <w:ilvl w:val="0"/>
          <w:numId w:val="21"/>
        </w:numPr>
        <w:bidi/>
        <w:rPr>
          <w:rFonts w:ascii="Simplified Arabic" w:hAnsi="Simplified Arabic" w:cs="Simplified Arabic"/>
        </w:rPr>
      </w:pPr>
      <w:r w:rsidRPr="00E93246">
        <w:rPr>
          <w:rFonts w:ascii="Simplified Arabic" w:hAnsi="Simplified Arabic" w:cs="Simplified Arabic"/>
          <w:rtl/>
        </w:rPr>
        <w:t>الحدود الزمانية:</w:t>
      </w:r>
      <w:r w:rsidR="00E93246">
        <w:rPr>
          <w:rFonts w:ascii="Simplified Arabic" w:hAnsi="Simplified Arabic" w:cs="Simplified Arabic" w:hint="cs"/>
          <w:rtl/>
        </w:rPr>
        <w:t xml:space="preserve"> </w:t>
      </w:r>
      <w:r w:rsidR="00E93246" w:rsidRPr="00E93246">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rsidP="00143016">
      <w:pPr>
        <w:numPr>
          <w:ilvl w:val="0"/>
          <w:numId w:val="21"/>
        </w:numPr>
        <w:bidi/>
        <w:rPr>
          <w:rFonts w:ascii="Simplified Arabic" w:hAnsi="Simplified Arabic" w:cs="Simplified Arabic"/>
        </w:rPr>
      </w:pPr>
      <w:r w:rsidRPr="00E93246">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71D5652" w14:textId="04F95839" w:rsidR="00A20BAB" w:rsidRPr="00A20BAB" w:rsidRDefault="00A20BAB" w:rsidP="00A20BAB">
      <w:pPr>
        <w:bidi/>
        <w:spacing w:after="200" w:line="276" w:lineRule="auto"/>
        <w:rPr>
          <w:rFonts w:ascii="Sakkal Majalla" w:hAnsi="Sakkal Majalla" w:cs="Sakkal Majalla"/>
          <w:b/>
          <w:bCs/>
          <w:color w:val="00B0F0"/>
          <w:sz w:val="32"/>
          <w:szCs w:val="32"/>
          <w:u w:val="single"/>
          <w:rtl/>
        </w:rPr>
      </w:pPr>
      <w:r w:rsidRPr="00A20BAB">
        <w:rPr>
          <w:rFonts w:ascii="Sakkal Majalla" w:hAnsi="Sakkal Majalla" w:cs="Sakkal Majalla" w:hint="cs"/>
          <w:b/>
          <w:bCs/>
          <w:color w:val="00B0F0"/>
          <w:sz w:val="32"/>
          <w:szCs w:val="32"/>
          <w:u w:val="single"/>
          <w:rtl/>
        </w:rPr>
        <w:t>الإطار النظري</w:t>
      </w:r>
    </w:p>
    <w:p w14:paraId="54106F1C" w14:textId="77777777" w:rsidR="00A20BAB" w:rsidRPr="00A20BAB" w:rsidRDefault="00A20BAB" w:rsidP="00A20BAB">
      <w:pPr>
        <w:bidi/>
        <w:spacing w:after="200" w:line="240" w:lineRule="auto"/>
        <w:rPr>
          <w:rFonts w:ascii="Sakkal Majalla" w:hAnsi="Sakkal Majalla" w:cs="Sakkal Majalla"/>
          <w:b/>
          <w:bCs/>
          <w:color w:val="1F497D" w:themeColor="text2"/>
          <w:sz w:val="32"/>
          <w:szCs w:val="32"/>
          <w:u w:val="single"/>
          <w:rtl/>
        </w:rPr>
      </w:pPr>
      <w:r w:rsidRPr="00A20BAB">
        <w:rPr>
          <w:rFonts w:ascii="Sakkal Majalla" w:hAnsi="Sakkal Majalla" w:cs="Sakkal Majalla" w:hint="cs"/>
          <w:b/>
          <w:bCs/>
          <w:color w:val="1F497D" w:themeColor="text2"/>
          <w:sz w:val="32"/>
          <w:szCs w:val="32"/>
          <w:u w:val="single"/>
          <w:rtl/>
        </w:rPr>
        <w:t>الم</w:t>
      </w:r>
      <w:r w:rsidRPr="00A20BAB">
        <w:rPr>
          <w:rFonts w:ascii="Sakkal Majalla" w:hAnsi="Sakkal Majalla" w:cs="Sakkal Majalla"/>
          <w:b/>
          <w:bCs/>
          <w:color w:val="1F497D" w:themeColor="text2"/>
          <w:sz w:val="32"/>
          <w:szCs w:val="32"/>
          <w:u w:val="single"/>
          <w:rtl/>
        </w:rPr>
        <w:t>بحث الأول: توظيف تقنيات الذكاء الاصطناعي التوليدي في تصميم الحملات التسويقية الرقمية</w:t>
      </w:r>
    </w:p>
    <w:p w14:paraId="158378DD"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المطلب الأول: مفهوم الذكاء الاصطناعي التوليدي وتقنياته</w:t>
      </w:r>
    </w:p>
    <w:p w14:paraId="6FC07B24" w14:textId="028671A2"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hint="cs"/>
          <w:b/>
          <w:bCs/>
          <w:rtl/>
        </w:rPr>
        <w:t xml:space="preserve">أولاً: </w:t>
      </w:r>
      <w:r w:rsidRPr="00A20BAB">
        <w:rPr>
          <w:rFonts w:ascii="Simplified Arabic" w:hAnsi="Simplified Arabic" w:cs="Simplified Arabic"/>
          <w:b/>
          <w:bCs/>
          <w:rtl/>
        </w:rPr>
        <w:t>تعريف الذكاء الاصطناعي التوليدي وكيف يختلف عن الأنواع الأخرى من الذكاء الاصطناعي</w:t>
      </w:r>
    </w:p>
    <w:p w14:paraId="4641118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يشير الذكاء الاصطناعي التوليدي (</w:t>
      </w:r>
      <w:r w:rsidRPr="00A20BAB">
        <w:rPr>
          <w:rFonts w:ascii="Simplified Arabic" w:hAnsi="Simplified Arabic" w:cs="Simplified Arabic"/>
        </w:rPr>
        <w:t>Generative AI</w:t>
      </w:r>
      <w:r w:rsidRPr="00A20BAB">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r w:rsidRPr="00A20BAB">
        <w:rPr>
          <w:rFonts w:ascii="Simplified Arabic" w:hAnsi="Simplified Arabic" w:cs="Simplified Arabic"/>
        </w:rPr>
        <w:t>Kılınç &amp; Keçecio</w:t>
      </w:r>
      <w:r w:rsidRPr="00A20BAB">
        <w:rPr>
          <w:rFonts w:ascii="Cambria" w:hAnsi="Cambria" w:cs="Cambria"/>
        </w:rPr>
        <w:t>ğ</w:t>
      </w:r>
      <w:r w:rsidRPr="00A20BAB">
        <w:rPr>
          <w:rFonts w:ascii="Simplified Arabic" w:hAnsi="Simplified Arabic" w:cs="Simplified Arabic"/>
        </w:rPr>
        <w:t>lu, 2024</w:t>
      </w:r>
      <w:r w:rsidRPr="00A20BAB">
        <w:rPr>
          <w:rFonts w:ascii="Simplified Arabic" w:hAnsi="Simplified Arabic" w:cs="Simplified Arabic"/>
          <w:rtl/>
        </w:rPr>
        <w:t>). ومن هذا المنطلق، 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sidRPr="00A20BAB">
        <w:rPr>
          <w:rFonts w:ascii="Simplified Arabic" w:hAnsi="Simplified Arabic" w:cs="Simplified Arabic"/>
        </w:rPr>
        <w:t>Islam et al., 2024</w:t>
      </w:r>
      <w:r w:rsidRPr="00A20BAB">
        <w:rPr>
          <w:rFonts w:ascii="Simplified Arabic" w:hAnsi="Simplified Arabic" w:cs="Simplified Arabic"/>
          <w:rtl/>
        </w:rPr>
        <w:t>).</w:t>
      </w:r>
    </w:p>
    <w:p w14:paraId="494984C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hint="cs"/>
          <w:rtl/>
        </w:rPr>
        <w:t xml:space="preserve"> </w:t>
      </w:r>
      <w:r w:rsidRPr="00A20BAB">
        <w:rPr>
          <w:rFonts w:ascii="Simplified Arabic" w:hAnsi="Simplified Arabic" w:cs="Simplified Arabic"/>
          <w:rtl/>
        </w:rPr>
        <w:t>ويمكن توضيح هذا الفرق في ثلاثة أبعاد مترابطة:</w:t>
      </w:r>
    </w:p>
    <w:p w14:paraId="2477133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الاختلاف في طبيعة الوظيفة</w:t>
      </w:r>
    </w:p>
    <w:p w14:paraId="07281D4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sidRPr="00A20BAB">
        <w:rPr>
          <w:rFonts w:ascii="Simplified Arabic" w:hAnsi="Simplified Arabic" w:cs="Simplified Arabic"/>
        </w:rPr>
        <w:t>Kshetri et al., 2023</w:t>
      </w:r>
      <w:r w:rsidRPr="00A20BAB">
        <w:rPr>
          <w:rFonts w:ascii="Simplified Arabic" w:hAnsi="Simplified Arabic" w:cs="Simplified Arabic"/>
          <w:rtl/>
        </w:rPr>
        <w:t>).</w:t>
      </w:r>
    </w:p>
    <w:p w14:paraId="28F8553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الاختلاف في موقع الاستخدام داخل العملية التسويقية</w:t>
      </w:r>
    </w:p>
    <w:p w14:paraId="59EA9EDC" w14:textId="7AC1FF28"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مرحلة إنتاج الرسالة التسويقية وصياغة المحتوى وبناء البدائل الإبداعية</w:t>
      </w:r>
      <w:r>
        <w:rPr>
          <w:rFonts w:ascii="Simplified Arabic" w:hAnsi="Simplified Arabic" w:cs="Simplified Arabic" w:hint="cs"/>
          <w:rtl/>
        </w:rPr>
        <w:t xml:space="preserve"> </w:t>
      </w:r>
      <w:r w:rsidRPr="00A20BAB">
        <w:rPr>
          <w:rFonts w:ascii="Simplified Arabic" w:hAnsi="Simplified Arabic" w:cs="Simplified Arabic"/>
          <w:rtl/>
        </w:rPr>
        <w:t>(</w:t>
      </w:r>
      <w:r w:rsidRPr="00A20BAB">
        <w:rPr>
          <w:rFonts w:ascii="Simplified Arabic" w:hAnsi="Simplified Arabic" w:cs="Simplified Arabic"/>
        </w:rPr>
        <w:t>Heitmann, 2024</w:t>
      </w:r>
      <w:r w:rsidRPr="00A20BAB">
        <w:rPr>
          <w:rFonts w:ascii="Simplified Arabic" w:hAnsi="Simplified Arabic" w:cs="Simplified Arabic"/>
          <w:rtl/>
        </w:rPr>
        <w:t>).</w:t>
      </w:r>
    </w:p>
    <w:p w14:paraId="18DD436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الاختلاف في مسار التأثير على النتائج التسويقية</w:t>
      </w:r>
    </w:p>
    <w:p w14:paraId="7B6E917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5BCF6908" w14:textId="77777777" w:rsidR="00A20BAB" w:rsidRPr="00A20BAB" w:rsidRDefault="00A20BAB" w:rsidP="007F6645">
      <w:pPr>
        <w:numPr>
          <w:ilvl w:val="0"/>
          <w:numId w:val="59"/>
        </w:numPr>
        <w:bidi/>
        <w:jc w:val="both"/>
        <w:rPr>
          <w:rFonts w:ascii="Simplified Arabic" w:hAnsi="Simplified Arabic" w:cs="Simplified Arabic"/>
          <w:rtl/>
        </w:rPr>
      </w:pPr>
      <w:r w:rsidRPr="00A20BAB">
        <w:rPr>
          <w:rFonts w:ascii="Simplified Arabic" w:hAnsi="Simplified Arabic" w:cs="Simplified Arabic"/>
          <w:rtl/>
        </w:rPr>
        <w:t>مسار تشغيلي مباشر: تقليل الوقت والجهد اللازمين لإنتاج المحتوى الأولي.</w:t>
      </w:r>
    </w:p>
    <w:p w14:paraId="3EFD39D7" w14:textId="77777777" w:rsidR="00A20BAB" w:rsidRPr="00A20BAB" w:rsidRDefault="00A20BAB" w:rsidP="007F6645">
      <w:pPr>
        <w:numPr>
          <w:ilvl w:val="0"/>
          <w:numId w:val="59"/>
        </w:numPr>
        <w:bidi/>
        <w:jc w:val="both"/>
        <w:rPr>
          <w:rFonts w:ascii="Simplified Arabic" w:hAnsi="Simplified Arabic" w:cs="Simplified Arabic"/>
          <w:rtl/>
        </w:rPr>
      </w:pPr>
      <w:r w:rsidRPr="00A20BAB">
        <w:rPr>
          <w:rFonts w:ascii="Simplified Arabic" w:hAnsi="Simplified Arabic" w:cs="Simplified Arabic"/>
          <w:rtl/>
        </w:rPr>
        <w:t>مسار نوعي غير مباشر: تحسين جودة وتنوع وتخصيص المخرجات الإبداعية، وهو ما يرتبط لاحقًا بفعالية الأداء التسويقي (</w:t>
      </w:r>
      <w:r w:rsidRPr="00A20BAB">
        <w:rPr>
          <w:rFonts w:ascii="Simplified Arabic" w:hAnsi="Simplified Arabic" w:cs="Simplified Arabic"/>
        </w:rPr>
        <w:t>Nuremberg Institute for Market Decisions, 2024</w:t>
      </w:r>
      <w:r w:rsidRPr="00A20BAB">
        <w:rPr>
          <w:rFonts w:ascii="Simplified Arabic" w:hAnsi="Simplified Arabic" w:cs="Simplified Arabic"/>
          <w:rtl/>
        </w:rPr>
        <w:t>).</w:t>
      </w:r>
    </w:p>
    <w:p w14:paraId="13A0B018" w14:textId="1AA7637B" w:rsidR="00A20BAB" w:rsidRPr="00A20BAB" w:rsidRDefault="00A20BAB" w:rsidP="007F6645">
      <w:pPr>
        <w:bidi/>
        <w:jc w:val="both"/>
        <w:rPr>
          <w:rFonts w:ascii="Simplified Arabic" w:hAnsi="Simplified Arabic" w:cs="Simplified Arabic"/>
          <w:b/>
          <w:bCs/>
          <w:rtl/>
        </w:rPr>
      </w:pPr>
      <w:r w:rsidRPr="007F6645">
        <w:rPr>
          <w:rFonts w:ascii="Simplified Arabic" w:hAnsi="Simplified Arabic" w:cs="Simplified Arabic" w:hint="cs"/>
          <w:b/>
          <w:bCs/>
          <w:rtl/>
        </w:rPr>
        <w:t xml:space="preserve">ثانياً: </w:t>
      </w:r>
      <w:r w:rsidRPr="00A20BAB">
        <w:rPr>
          <w:rFonts w:ascii="Simplified Arabic" w:hAnsi="Simplified Arabic" w:cs="Simplified Arabic"/>
          <w:b/>
          <w:bCs/>
          <w:rtl/>
        </w:rPr>
        <w:t>أهم النماذج والأدوات وكيفية عملها</w:t>
      </w:r>
    </w:p>
    <w:p w14:paraId="16904B08" w14:textId="6832D8E0"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1.</w:t>
      </w:r>
      <w:r w:rsidRPr="00A20BAB">
        <w:rPr>
          <w:rFonts w:ascii="Simplified Arabic" w:hAnsi="Simplified Arabic" w:cs="Simplified Arabic"/>
          <w:rtl/>
        </w:rPr>
        <w:t xml:space="preserve"> النماذج التوليدية النصية (مثل </w:t>
      </w:r>
      <w:r w:rsidRPr="00A20BAB">
        <w:rPr>
          <w:rFonts w:ascii="Simplified Arabic" w:hAnsi="Simplified Arabic" w:cs="Simplified Arabic"/>
        </w:rPr>
        <w:t>ChatGPT</w:t>
      </w:r>
      <w:r w:rsidRPr="00A20BAB">
        <w:rPr>
          <w:rFonts w:ascii="Simplified Arabic" w:hAnsi="Simplified Arabic" w:cs="Simplified Arabic"/>
          <w:rtl/>
        </w:rPr>
        <w:t>)</w:t>
      </w:r>
    </w:p>
    <w:p w14:paraId="389B423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sidRPr="00A20BAB">
        <w:rPr>
          <w:rFonts w:ascii="Simplified Arabic" w:hAnsi="Simplified Arabic" w:cs="Simplified Arabic"/>
        </w:rPr>
        <w:t>ChatGPT</w:t>
      </w:r>
      <w:r w:rsidRPr="00A20BAB">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sidRPr="00A20BAB">
        <w:rPr>
          <w:rFonts w:ascii="Simplified Arabic" w:hAnsi="Simplified Arabic" w:cs="Simplified Arabic"/>
        </w:rPr>
        <w:t>Prompts</w:t>
      </w:r>
      <w:r w:rsidRPr="00A20BAB">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sidRPr="00A20BAB">
        <w:rPr>
          <w:rFonts w:ascii="Simplified Arabic" w:hAnsi="Simplified Arabic" w:cs="Simplified Arabic"/>
        </w:rPr>
        <w:t>Islam et al., 2024</w:t>
      </w:r>
      <w:r w:rsidRPr="00A20BAB">
        <w:rPr>
          <w:rFonts w:ascii="Simplified Arabic" w:hAnsi="Simplified Arabic" w:cs="Simplified Arabic"/>
          <w:rtl/>
        </w:rPr>
        <w:t>).</w:t>
      </w:r>
    </w:p>
    <w:p w14:paraId="3748A07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بالأساليب التقليدية في التوليد الأولي للمحتوى (</w:t>
      </w:r>
      <w:r w:rsidRPr="00A20BAB">
        <w:rPr>
          <w:rFonts w:ascii="Simplified Arabic" w:hAnsi="Simplified Arabic" w:cs="Simplified Arabic"/>
        </w:rPr>
        <w:t>Heitmann, 2024</w:t>
      </w:r>
      <w:r w:rsidRPr="00A20BAB">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r w:rsidRPr="00A20BAB">
        <w:rPr>
          <w:rFonts w:ascii="Simplified Arabic" w:hAnsi="Simplified Arabic" w:cs="Simplified Arabic"/>
        </w:rPr>
        <w:t>Kshetri et al., 2023</w:t>
      </w:r>
      <w:r w:rsidRPr="00A20BAB">
        <w:rPr>
          <w:rFonts w:ascii="Simplified Arabic" w:hAnsi="Simplified Arabic" w:cs="Simplified Arabic"/>
          <w:rtl/>
        </w:rPr>
        <w:t>).</w:t>
      </w:r>
    </w:p>
    <w:p w14:paraId="784180B9" w14:textId="172EFFFC"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2.</w:t>
      </w:r>
      <w:r w:rsidRPr="00A20BAB">
        <w:rPr>
          <w:rFonts w:ascii="Simplified Arabic" w:hAnsi="Simplified Arabic" w:cs="Simplified Arabic"/>
          <w:rtl/>
        </w:rPr>
        <w:t xml:space="preserve"> النماذج التوليدية البصرية (مثل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w:t>
      </w:r>
    </w:p>
    <w:p w14:paraId="03F4249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تُستخدم الأدوات البصرية التوليدية—مثل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sidRPr="00A20BAB">
        <w:rPr>
          <w:rFonts w:ascii="Simplified Arabic" w:hAnsi="Simplified Arabic" w:cs="Simplified Arabic"/>
        </w:rPr>
        <w:t>Dimitrieska, 2024</w:t>
      </w:r>
      <w:r w:rsidRPr="00A20BAB">
        <w:rPr>
          <w:rFonts w:ascii="Simplified Arabic" w:hAnsi="Simplified Arabic" w:cs="Simplified Arabic"/>
          <w:rtl/>
        </w:rPr>
        <w:t>).</w:t>
      </w:r>
    </w:p>
    <w:p w14:paraId="482C26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sidRPr="00A20BAB">
        <w:rPr>
          <w:rFonts w:ascii="Simplified Arabic" w:hAnsi="Simplified Arabic" w:cs="Simplified Arabic"/>
        </w:rPr>
        <w:t>Gujar &amp; Panyam, 2024</w:t>
      </w:r>
      <w:r w:rsidRPr="00A20BAB">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sidRPr="00A20BAB">
        <w:rPr>
          <w:rFonts w:ascii="Simplified Arabic" w:hAnsi="Simplified Arabic" w:cs="Simplified Arabic"/>
        </w:rPr>
        <w:t>Heitmann, 2024</w:t>
      </w:r>
      <w:r w:rsidRPr="00A20BAB">
        <w:rPr>
          <w:rFonts w:ascii="Simplified Arabic" w:hAnsi="Simplified Arabic" w:cs="Simplified Arabic"/>
          <w:rtl/>
        </w:rPr>
        <w:t>).</w:t>
      </w:r>
    </w:p>
    <w:p w14:paraId="60DB0794" w14:textId="6E4F6281"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3.</w:t>
      </w:r>
      <w:r w:rsidRPr="00A20BAB">
        <w:rPr>
          <w:rFonts w:ascii="Simplified Arabic" w:hAnsi="Simplified Arabic" w:cs="Simplified Arabic"/>
          <w:rtl/>
        </w:rPr>
        <w:t xml:space="preserve"> أدوات التوليد متعددة الوسائط ودعم المحتوى التسويقي المركب</w:t>
      </w:r>
    </w:p>
    <w:p w14:paraId="4DBEB42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أدوات التوليد متعددة الوسائط في بناء تصورات أولية للحملة، وتنسيق المخرجات عبر القنوات، ودعم إنتاج محتوى تسويقي أكثر تكاملاً (</w:t>
      </w:r>
      <w:r w:rsidRPr="00A20BAB">
        <w:rPr>
          <w:rFonts w:ascii="Simplified Arabic" w:hAnsi="Simplified Arabic" w:cs="Simplified Arabic"/>
        </w:rPr>
        <w:t>Kujore et al., 2025</w:t>
      </w:r>
      <w:r w:rsidRPr="00A20BAB">
        <w:rPr>
          <w:rFonts w:ascii="Simplified Arabic" w:hAnsi="Simplified Arabic" w:cs="Simplified Arabic"/>
          <w:rtl/>
        </w:rPr>
        <w:t>).</w:t>
      </w:r>
    </w:p>
    <w:p w14:paraId="2812DC0B" w14:textId="30FFE5D2"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4.</w:t>
      </w:r>
      <w:r w:rsidR="00A20BAB" w:rsidRPr="00A20BAB">
        <w:rPr>
          <w:rFonts w:ascii="Simplified Arabic" w:hAnsi="Simplified Arabic" w:cs="Simplified Arabic"/>
          <w:rtl/>
        </w:rPr>
        <w:t xml:space="preserve"> كيف تعمل هذه الأدوات عمليًا داخل السياق التسويقي؟</w:t>
      </w:r>
    </w:p>
    <w:p w14:paraId="7690669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1CBC8B78"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083F418E"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توليد مخرجات أولية: تنتج الأداة نصًا أو صورة أو بدائل متعددة تمثل نقطة انطلاق إبداعية.</w:t>
      </w:r>
    </w:p>
    <w:p w14:paraId="7DC29895"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المراجعة والتوجيه التكراري: تُعدَّل الأوامر أو القيود لتحسين الملاءمة والجودة والاتساق.</w:t>
      </w:r>
    </w:p>
    <w:p w14:paraId="2D648E95"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w:t>
      </w:r>
      <w:r w:rsidRPr="00A20BAB">
        <w:rPr>
          <w:rFonts w:ascii="Simplified Arabic" w:hAnsi="Simplified Arabic" w:cs="Simplified Arabic"/>
        </w:rPr>
        <w:t>IAB Tech Lab, 2024</w:t>
      </w:r>
      <w:r w:rsidRPr="00A20BAB">
        <w:rPr>
          <w:rFonts w:ascii="Simplified Arabic" w:hAnsi="Simplified Arabic" w:cs="Simplified Arabic"/>
          <w:rtl/>
        </w:rPr>
        <w:t>).</w:t>
      </w:r>
    </w:p>
    <w:p w14:paraId="05BEA6C0" w14:textId="1FEA9EC6"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t>5.</w:t>
      </w:r>
      <w:r w:rsidR="00A20BAB" w:rsidRPr="00A20BAB">
        <w:rPr>
          <w:rFonts w:ascii="Simplified Arabic" w:hAnsi="Simplified Arabic" w:cs="Simplified Arabic"/>
          <w:rtl/>
        </w:rPr>
        <w:t xml:space="preserve"> هندسة التلقين بوصفها عاملًا حاكمًا لجودة مخرجات الأدوات</w:t>
      </w:r>
    </w:p>
    <w:p w14:paraId="7E0FC533"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sidRPr="00A20BAB">
        <w:rPr>
          <w:rFonts w:ascii="Simplified Arabic" w:hAnsi="Simplified Arabic" w:cs="Simplified Arabic"/>
        </w:rPr>
        <w:t>Prompt Engineering</w:t>
      </w:r>
      <w:r w:rsidRPr="00A20BAB">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5E9C05E0" w14:textId="77777777" w:rsidR="007F6645" w:rsidRPr="00A20BAB" w:rsidRDefault="007F6645" w:rsidP="007F6645">
      <w:pPr>
        <w:bidi/>
        <w:jc w:val="both"/>
        <w:rPr>
          <w:rFonts w:ascii="Simplified Arabic" w:hAnsi="Simplified Arabic" w:cs="Simplified Arabic"/>
          <w:rtl/>
        </w:rPr>
      </w:pPr>
    </w:p>
    <w:p w14:paraId="3E0D313C"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المطلب الثاني: مراحل تصميم الحملات التسويقية الرقمية</w:t>
      </w:r>
    </w:p>
    <w:p w14:paraId="1B26A071" w14:textId="6A83C5A2"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hint="cs"/>
          <w:b/>
          <w:bCs/>
          <w:rtl/>
        </w:rPr>
        <w:t xml:space="preserve">أولاً: </w:t>
      </w:r>
      <w:r w:rsidRPr="00A20BAB">
        <w:rPr>
          <w:rFonts w:ascii="Simplified Arabic" w:hAnsi="Simplified Arabic" w:cs="Simplified Arabic"/>
          <w:b/>
          <w:bCs/>
          <w:rtl/>
        </w:rPr>
        <w:t>مراحل التخطيط للحملة</w:t>
      </w:r>
      <w:r w:rsidR="007F6645">
        <w:rPr>
          <w:rFonts w:ascii="Simplified Arabic" w:hAnsi="Simplified Arabic" w:cs="Simplified Arabic" w:hint="cs"/>
          <w:b/>
          <w:bCs/>
          <w:rtl/>
        </w:rPr>
        <w:t xml:space="preserve"> التسويقية</w:t>
      </w:r>
    </w:p>
    <w:p w14:paraId="33E5DA2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w:t>
      </w:r>
      <w:r w:rsidRPr="00A20BAB">
        <w:rPr>
          <w:rFonts w:ascii="Simplified Arabic" w:hAnsi="Simplified Arabic" w:cs="Simplified Arabic"/>
          <w:rtl/>
        </w:rPr>
        <w:lastRenderedPageBreak/>
        <w:t>مركزية، وهي: تحديد الأهداف، تحليل الجمهور، اختيار القنوات، إنشاء المحتوى، التنفيذ والمتابعة (</w:t>
      </w:r>
      <w:r w:rsidRPr="00A20BAB">
        <w:rPr>
          <w:rFonts w:ascii="Simplified Arabic" w:hAnsi="Simplified Arabic" w:cs="Simplified Arabic"/>
        </w:rPr>
        <w:t>Sharabati et al., 2024</w:t>
      </w:r>
      <w:r w:rsidRPr="00A20BAB">
        <w:rPr>
          <w:rFonts w:ascii="Simplified Arabic" w:hAnsi="Simplified Arabic" w:cs="Simplified Arabic"/>
          <w:rtl/>
        </w:rPr>
        <w:t xml:space="preserve">؛ </w:t>
      </w:r>
      <w:r w:rsidRPr="00A20BAB">
        <w:rPr>
          <w:rFonts w:ascii="Simplified Arabic" w:hAnsi="Simplified Arabic" w:cs="Simplified Arabic"/>
        </w:rPr>
        <w:t>Social Media Today, 2025</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3EDFD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مرحلة تحديد الأهداف التسويقية للحملة</w:t>
      </w:r>
    </w:p>
    <w:p w14:paraId="2C353F6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sidRPr="00A20BAB">
        <w:rPr>
          <w:rFonts w:ascii="Simplified Arabic" w:hAnsi="Simplified Arabic" w:cs="Simplified Arabic"/>
        </w:rPr>
        <w:t>Sharabati et al., 2024</w:t>
      </w:r>
      <w:r w:rsidRPr="00A20BAB">
        <w:rPr>
          <w:rFonts w:ascii="Simplified Arabic" w:hAnsi="Simplified Arabic" w:cs="Simplified Arabic"/>
          <w:rtl/>
        </w:rPr>
        <w:t>).</w:t>
      </w:r>
    </w:p>
    <w:p w14:paraId="11CF301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مرحلة تحليل الجمهور المستهدف</w:t>
      </w:r>
    </w:p>
    <w:p w14:paraId="5475712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sidRPr="00A20BAB">
        <w:rPr>
          <w:rFonts w:ascii="Simplified Arabic" w:hAnsi="Simplified Arabic" w:cs="Simplified Arabic"/>
        </w:rPr>
        <w:t>Mendoza et al., 2025</w:t>
      </w:r>
      <w:r w:rsidRPr="00A20BAB">
        <w:rPr>
          <w:rFonts w:ascii="Simplified Arabic" w:hAnsi="Simplified Arabic" w:cs="Simplified Arabic"/>
          <w:rtl/>
        </w:rPr>
        <w:t>).</w:t>
      </w:r>
    </w:p>
    <w:p w14:paraId="38828384"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مرحلة اختيار القنوات والمنصات الرقمية</w:t>
      </w:r>
    </w:p>
    <w:p w14:paraId="01FC281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sidRPr="00A20BAB">
        <w:rPr>
          <w:rFonts w:ascii="Simplified Arabic" w:hAnsi="Simplified Arabic" w:cs="Simplified Arabic"/>
        </w:rPr>
        <w:t>Sharabati et al., 2024</w:t>
      </w:r>
      <w:r w:rsidRPr="00A20BAB">
        <w:rPr>
          <w:rFonts w:ascii="Simplified Arabic" w:hAnsi="Simplified Arabic" w:cs="Simplified Arabic"/>
          <w:rtl/>
        </w:rPr>
        <w:t>).</w:t>
      </w:r>
    </w:p>
    <w:p w14:paraId="419A924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مرحلة إنشاء المحتوى وتصميم الرسائل الإبداعية</w:t>
      </w:r>
    </w:p>
    <w:p w14:paraId="61E9C5A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w:t>
      </w:r>
      <w:r w:rsidRPr="00A20BAB">
        <w:rPr>
          <w:rFonts w:ascii="Simplified Arabic" w:hAnsi="Simplified Arabic" w:cs="Simplified Arabic" w:hint="cs"/>
          <w:rtl/>
        </w:rPr>
        <w:t xml:space="preserve"> هذه المرحلة</w:t>
      </w:r>
      <w:r w:rsidRPr="00A20BAB">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60502959"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5) مرحلة التنفيذ والمتابعة والتقويم</w:t>
      </w:r>
    </w:p>
    <w:p w14:paraId="7E4F3670"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sidRPr="00A20BAB">
        <w:rPr>
          <w:rFonts w:ascii="Simplified Arabic" w:hAnsi="Simplified Arabic" w:cs="Simplified Arabic"/>
        </w:rPr>
        <w:t>Islam et al., 2024</w:t>
      </w:r>
      <w:r w:rsidRPr="00A20BAB">
        <w:rPr>
          <w:rFonts w:ascii="Simplified Arabic" w:hAnsi="Simplified Arabic" w:cs="Simplified Arabic"/>
          <w:rtl/>
        </w:rPr>
        <w:t>).</w:t>
      </w:r>
      <w:r w:rsidRPr="00A20BAB">
        <w:rPr>
          <w:rFonts w:ascii="Simplified Arabic" w:hAnsi="Simplified Arabic" w:cs="Simplified Arabic" w:hint="cs"/>
          <w:rtl/>
        </w:rPr>
        <w:t xml:space="preserve"> </w:t>
      </w:r>
      <w:r w:rsidRPr="00A20BAB">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sidRPr="00A20BAB">
        <w:rPr>
          <w:rFonts w:ascii="Simplified Arabic" w:hAnsi="Simplified Arabic" w:cs="Simplified Arabic" w:hint="cs"/>
          <w:rtl/>
        </w:rPr>
        <w:t xml:space="preserve"> </w:t>
      </w:r>
    </w:p>
    <w:p w14:paraId="600E1C2D" w14:textId="77777777" w:rsidR="007F6645" w:rsidRDefault="007F6645" w:rsidP="007F6645">
      <w:pPr>
        <w:bidi/>
        <w:jc w:val="both"/>
        <w:rPr>
          <w:rFonts w:ascii="Simplified Arabic" w:hAnsi="Simplified Arabic" w:cs="Simplified Arabic"/>
          <w:rtl/>
        </w:rPr>
      </w:pPr>
    </w:p>
    <w:p w14:paraId="177049D9" w14:textId="77777777" w:rsidR="007F6645" w:rsidRPr="00A20BAB" w:rsidRDefault="007F6645" w:rsidP="007F6645">
      <w:pPr>
        <w:bidi/>
        <w:jc w:val="both"/>
        <w:rPr>
          <w:rFonts w:ascii="Simplified Arabic" w:hAnsi="Simplified Arabic" w:cs="Simplified Arabic"/>
          <w:rtl/>
        </w:rPr>
      </w:pPr>
    </w:p>
    <w:p w14:paraId="3FE8513C"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hint="cs"/>
          <w:b/>
          <w:bCs/>
          <w:rtl/>
        </w:rPr>
        <w:lastRenderedPageBreak/>
        <w:t xml:space="preserve">ثانياً: توضيح </w:t>
      </w:r>
      <w:r w:rsidRPr="00A20BAB">
        <w:rPr>
          <w:rFonts w:ascii="Simplified Arabic" w:hAnsi="Simplified Arabic" w:cs="Simplified Arabic"/>
          <w:b/>
          <w:bCs/>
          <w:rtl/>
        </w:rPr>
        <w:t>كيف يمكن للذكاء الاصطناعي أن يدعم كل مرحلة</w:t>
      </w:r>
    </w:p>
    <w:p w14:paraId="4E81500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 (</w:t>
      </w:r>
      <w:r w:rsidRPr="00A20BAB">
        <w:rPr>
          <w:rFonts w:ascii="Simplified Arabic" w:hAnsi="Simplified Arabic" w:cs="Simplified Arabic"/>
        </w:rPr>
        <w:t>Nguyen et al., 2025</w:t>
      </w:r>
      <w:r w:rsidRPr="00A20BAB">
        <w:rPr>
          <w:rFonts w:ascii="Simplified Arabic" w:hAnsi="Simplified Arabic" w:cs="Simplified Arabic"/>
          <w:rtl/>
        </w:rPr>
        <w:t>).</w:t>
      </w:r>
    </w:p>
    <w:p w14:paraId="51E7DF3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دعم مرحلة تحديد الأهداف</w:t>
      </w:r>
    </w:p>
    <w:p w14:paraId="476BA73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sidRPr="00A20BAB">
        <w:rPr>
          <w:rFonts w:ascii="Simplified Arabic" w:hAnsi="Simplified Arabic" w:cs="Simplified Arabic"/>
        </w:rPr>
        <w:t>Doshi et al., 2025</w:t>
      </w:r>
      <w:r w:rsidRPr="00A20BAB">
        <w:rPr>
          <w:rFonts w:ascii="Simplified Arabic" w:hAnsi="Simplified Arabic" w:cs="Simplified Arabic"/>
          <w:rtl/>
        </w:rPr>
        <w:t>).</w:t>
      </w:r>
    </w:p>
    <w:p w14:paraId="07FB899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دعم مرحلة تحليل الجمهور المستهدف</w:t>
      </w:r>
    </w:p>
    <w:p w14:paraId="57DACCD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sidRPr="00A20BAB">
        <w:rPr>
          <w:rFonts w:ascii="Simplified Arabic" w:hAnsi="Simplified Arabic" w:cs="Simplified Arabic"/>
        </w:rPr>
        <w:t>Personas</w:t>
      </w:r>
      <w:r w:rsidRPr="00A20BAB">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sidRPr="00A20BAB">
        <w:rPr>
          <w:rFonts w:ascii="Simplified Arabic" w:hAnsi="Simplified Arabic" w:cs="Simplified Arabic"/>
        </w:rPr>
        <w:t>Mendoza et al., 2025</w:t>
      </w:r>
      <w:r w:rsidRPr="00A20BAB">
        <w:rPr>
          <w:rFonts w:ascii="Simplified Arabic" w:hAnsi="Simplified Arabic" w:cs="Simplified Arabic"/>
          <w:rtl/>
        </w:rPr>
        <w:t xml:space="preserve">؛ </w:t>
      </w:r>
      <w:r w:rsidRPr="00A20BAB">
        <w:rPr>
          <w:rFonts w:ascii="Simplified Arabic" w:hAnsi="Simplified Arabic" w:cs="Simplified Arabic"/>
        </w:rPr>
        <w:t>Wang et al., 2025</w:t>
      </w:r>
      <w:r w:rsidRPr="00A20BAB">
        <w:rPr>
          <w:rFonts w:ascii="Simplified Arabic" w:hAnsi="Simplified Arabic" w:cs="Simplified Arabic"/>
          <w:rtl/>
        </w:rPr>
        <w:t xml:space="preserve">؛ </w:t>
      </w:r>
      <w:r w:rsidRPr="00A20BAB">
        <w:rPr>
          <w:rFonts w:ascii="Simplified Arabic" w:hAnsi="Simplified Arabic" w:cs="Simplified Arabic"/>
        </w:rPr>
        <w:t>SDAIA, 2024</w:t>
      </w:r>
      <w:r w:rsidRPr="00A20BAB">
        <w:rPr>
          <w:rFonts w:ascii="Simplified Arabic" w:hAnsi="Simplified Arabic" w:cs="Simplified Arabic"/>
          <w:rtl/>
        </w:rPr>
        <w:t>).</w:t>
      </w:r>
    </w:p>
    <w:p w14:paraId="7FF1EDA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مرحلة اختيار القنوات والمنصات</w:t>
      </w:r>
    </w:p>
    <w:p w14:paraId="7F3843A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sidRPr="00A20BAB">
        <w:rPr>
          <w:rFonts w:ascii="Simplified Arabic" w:hAnsi="Simplified Arabic" w:cs="Simplified Arabic"/>
        </w:rPr>
        <w:t>Islam et al., 2024</w:t>
      </w:r>
      <w:r w:rsidRPr="00A20BAB">
        <w:rPr>
          <w:rFonts w:ascii="Simplified Arabic" w:hAnsi="Simplified Arabic" w:cs="Simplified Arabic"/>
          <w:rtl/>
        </w:rPr>
        <w:t>).</w:t>
      </w:r>
    </w:p>
    <w:p w14:paraId="2C87C8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دعم مرحلة إنشاء المحتوى وتصميم الرسائل</w:t>
      </w:r>
    </w:p>
    <w:p w14:paraId="7016C82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يمثل هذا المجال الاستخدام الأكثر مركزية للذكاء الاصطناعي التوليدي، ويتجلى في:</w:t>
      </w:r>
    </w:p>
    <w:p w14:paraId="3509524A" w14:textId="77777777"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إنتاج النصوص التسويقية عبر توليد نسخ إعلانية وعناوين ورسائل متعددة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Kshetri et al., 2023</w:t>
      </w:r>
      <w:r w:rsidRPr="00A20BAB">
        <w:rPr>
          <w:rFonts w:ascii="Simplified Arabic" w:hAnsi="Simplified Arabic" w:cs="Simplified Arabic"/>
          <w:rtl/>
        </w:rPr>
        <w:t>).</w:t>
      </w:r>
    </w:p>
    <w:p w14:paraId="41A6BDB8" w14:textId="77777777"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إنتاج العناصر البصرية عبر بناء تصورات أولية وبدائل تصميمية قابلة للمقارنة (</w:t>
      </w:r>
      <w:r w:rsidRPr="00A20BAB">
        <w:rPr>
          <w:rFonts w:ascii="Simplified Arabic" w:hAnsi="Simplified Arabic" w:cs="Simplified Arabic"/>
        </w:rPr>
        <w:t>Dimitrieska,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34C917B5" w14:textId="77777777"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دعم التكامل الإبداعي عبر المنصات من خلال تكييف الرسالة نفسها بما يناسب خصائص كل قناة (</w:t>
      </w:r>
      <w:r w:rsidRPr="00A20BAB">
        <w:rPr>
          <w:rFonts w:ascii="Simplified Arabic" w:hAnsi="Simplified Arabic" w:cs="Simplified Arabic"/>
        </w:rPr>
        <w:t>Kujore et al., 2025</w:t>
      </w:r>
      <w:r w:rsidRPr="00A20BAB">
        <w:rPr>
          <w:rFonts w:ascii="Simplified Arabic" w:hAnsi="Simplified Arabic" w:cs="Simplified Arabic"/>
          <w:rtl/>
        </w:rPr>
        <w:t>).</w:t>
      </w:r>
    </w:p>
    <w:p w14:paraId="52D34EC5" w14:textId="7E17E68A" w:rsidR="007F6645" w:rsidRDefault="00A20BAB" w:rsidP="00E04FE4">
      <w:pPr>
        <w:bidi/>
        <w:jc w:val="both"/>
        <w:rPr>
          <w:rFonts w:ascii="Simplified Arabic" w:hAnsi="Simplified Arabic" w:cs="Simplified Arabic"/>
          <w:rtl/>
        </w:rPr>
      </w:pPr>
      <w:r w:rsidRPr="00A20BAB">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1B7CE7EF" w14:textId="77777777" w:rsidR="00E04FE4" w:rsidRDefault="00E04FE4" w:rsidP="00E04FE4">
      <w:pPr>
        <w:bidi/>
        <w:jc w:val="both"/>
        <w:rPr>
          <w:rFonts w:ascii="Simplified Arabic" w:hAnsi="Simplified Arabic" w:cs="Simplified Arabic"/>
          <w:rtl/>
        </w:rPr>
      </w:pPr>
    </w:p>
    <w:p w14:paraId="55CF98EB" w14:textId="77777777" w:rsidR="00E04FE4" w:rsidRDefault="00E04FE4" w:rsidP="00E04FE4">
      <w:pPr>
        <w:bidi/>
        <w:jc w:val="both"/>
        <w:rPr>
          <w:rFonts w:ascii="Simplified Arabic" w:hAnsi="Simplified Arabic" w:cs="Simplified Arabic"/>
          <w:rtl/>
        </w:rPr>
      </w:pPr>
    </w:p>
    <w:p w14:paraId="28F1322C" w14:textId="77777777" w:rsidR="00E04FE4" w:rsidRPr="00A20BAB" w:rsidRDefault="00E04FE4" w:rsidP="00E04FE4">
      <w:pPr>
        <w:bidi/>
        <w:jc w:val="both"/>
        <w:rPr>
          <w:rFonts w:ascii="Simplified Arabic" w:hAnsi="Simplified Arabic" w:cs="Simplified Arabic"/>
          <w:rtl/>
        </w:rPr>
      </w:pPr>
    </w:p>
    <w:p w14:paraId="76B6F15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5. دعم مرحلة التنفيذ والمتابعة والتحسين أثناء الحملة</w:t>
      </w:r>
    </w:p>
    <w:p w14:paraId="6354D57E"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لدعم قرارات التحسين، خاصة في الحملات التي تتطلب استجابة سريعة وتعديلًا مستمرًا (</w:t>
      </w:r>
      <w:r w:rsidRPr="00A20BAB">
        <w:rPr>
          <w:rFonts w:ascii="Simplified Arabic" w:hAnsi="Simplified Arabic" w:cs="Simplified Arabic"/>
        </w:rPr>
        <w:t>IAB Tech Lab, 2024</w:t>
      </w:r>
      <w:r w:rsidRPr="00A20BAB">
        <w:rPr>
          <w:rFonts w:ascii="Simplified Arabic" w:hAnsi="Simplified Arabic" w:cs="Simplified Arabic"/>
          <w:rtl/>
        </w:rPr>
        <w:t xml:space="preserve">؛ </w:t>
      </w:r>
      <w:r w:rsidRPr="00A20BAB">
        <w:rPr>
          <w:rFonts w:ascii="Simplified Arabic" w:hAnsi="Simplified Arabic" w:cs="Simplified Arabic"/>
        </w:rPr>
        <w:t>Nguyen et al., 2025</w:t>
      </w:r>
      <w:r w:rsidRPr="00A20BAB">
        <w:rPr>
          <w:rFonts w:ascii="Simplified Arabic" w:hAnsi="Simplified Arabic" w:cs="Simplified Arabic"/>
          <w:rtl/>
        </w:rPr>
        <w:t>).</w:t>
      </w:r>
    </w:p>
    <w:p w14:paraId="00B6EA53" w14:textId="77777777" w:rsidR="007F6645" w:rsidRPr="00A20BAB" w:rsidRDefault="007F6645" w:rsidP="007F6645">
      <w:pPr>
        <w:bidi/>
        <w:jc w:val="both"/>
        <w:rPr>
          <w:rFonts w:ascii="Simplified Arabic" w:hAnsi="Simplified Arabic" w:cs="Simplified Arabic"/>
          <w:rtl/>
        </w:rPr>
      </w:pPr>
    </w:p>
    <w:p w14:paraId="488F229B"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المطلب الثالث: دور الذكاء الاصطناعي التوليدي في تصميم الحملات</w:t>
      </w:r>
    </w:p>
    <w:p w14:paraId="362F7A5D"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أولًا: أفرع تطبيق الذكاء الاصطناعي التوليدي في تصميم الحملات</w:t>
      </w:r>
    </w:p>
    <w:p w14:paraId="567604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توليد النصوص التسويقية</w:t>
      </w:r>
    </w:p>
    <w:p w14:paraId="089382E4"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sidRPr="00A20BAB">
        <w:rPr>
          <w:rFonts w:ascii="Simplified Arabic" w:hAnsi="Simplified Arabic" w:cs="Simplified Arabic"/>
        </w:rPr>
        <w:t>Islam et al., 2024</w:t>
      </w:r>
      <w:r w:rsidRPr="00A20BAB">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sidRPr="00A20BAB">
        <w:rPr>
          <w:rFonts w:ascii="Simplified Arabic" w:hAnsi="Simplified Arabic" w:cs="Simplified Arabic"/>
        </w:rPr>
        <w:t>Kshetri et al., 2023</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E1123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محيسن ومجاهد وبصبوص (2025) أن هندسة التلقين تؤثر في جودة المحتوى التسويقي العربي الناتج عن أدوات الذكاء الاصطناعي التوليدي</w:t>
      </w:r>
      <w:r w:rsidRPr="00A20BAB">
        <w:rPr>
          <w:rFonts w:ascii="Simplified Arabic" w:hAnsi="Simplified Arabic" w:cs="Simplified Arabic" w:hint="cs"/>
          <w:rtl/>
        </w:rPr>
        <w:t>.</w:t>
      </w:r>
    </w:p>
    <w:p w14:paraId="1287A6D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توليد الصور والتصاميم الإعلانية</w:t>
      </w:r>
    </w:p>
    <w:p w14:paraId="79196FE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sidRPr="00A20BAB">
        <w:rPr>
          <w:rFonts w:ascii="Simplified Arabic" w:hAnsi="Simplified Arabic" w:cs="Simplified Arabic"/>
        </w:rPr>
        <w:t>Dimitrieska, 2024</w:t>
      </w:r>
      <w:r w:rsidRPr="00A20BAB">
        <w:rPr>
          <w:rFonts w:ascii="Simplified Arabic" w:hAnsi="Simplified Arabic" w:cs="Simplified Arabic"/>
          <w:rtl/>
        </w:rPr>
        <w:t>). كما تساعد الأدوات البصرية التوليدية على تسريع إنتاج النماذج الأولية (</w:t>
      </w:r>
      <w:r w:rsidRPr="00A20BAB">
        <w:rPr>
          <w:rFonts w:ascii="Simplified Arabic" w:hAnsi="Simplified Arabic" w:cs="Simplified Arabic"/>
        </w:rPr>
        <w:t>Mockups</w:t>
      </w:r>
      <w:r w:rsidRPr="00A20BAB">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sidRPr="00A20BAB">
        <w:rPr>
          <w:rFonts w:ascii="Simplified Arabic" w:hAnsi="Simplified Arabic" w:cs="Simplified Arabic"/>
        </w:rPr>
        <w:t>Gujar &amp; Panyam, 2024</w:t>
      </w:r>
      <w:r w:rsidRPr="00A20BAB">
        <w:rPr>
          <w:rFonts w:ascii="Simplified Arabic" w:hAnsi="Simplified Arabic" w:cs="Simplified Arabic"/>
          <w:rtl/>
        </w:rPr>
        <w:t>).</w:t>
      </w:r>
    </w:p>
    <w:p w14:paraId="5FE8032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ومن منظور ا</w:t>
      </w:r>
      <w:r w:rsidRPr="00A20BAB">
        <w:rPr>
          <w:rFonts w:ascii="Simplified Arabic" w:hAnsi="Simplified Arabic" w:cs="Simplified Arabic" w:hint="cs"/>
          <w:rtl/>
        </w:rPr>
        <w:t>لباحث</w:t>
      </w:r>
      <w:r w:rsidRPr="00A20BAB">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sidRPr="00A20BAB">
        <w:rPr>
          <w:rFonts w:ascii="Simplified Arabic" w:hAnsi="Simplified Arabic" w:cs="Simplified Arabic"/>
        </w:rPr>
        <w:t>Heitmann, 2024</w:t>
      </w:r>
      <w:r w:rsidRPr="00A20BAB">
        <w:rPr>
          <w:rFonts w:ascii="Simplified Arabic" w:hAnsi="Simplified Arabic" w:cs="Simplified Arabic"/>
          <w:rtl/>
        </w:rPr>
        <w:t>).</w:t>
      </w:r>
    </w:p>
    <w:p w14:paraId="62CD0AF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إنتاج الفيديوهات التسويقية والمحتوى متعدد الوسائط</w:t>
      </w:r>
    </w:p>
    <w:p w14:paraId="6F2B6B5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sidRPr="00A20BAB">
        <w:rPr>
          <w:rFonts w:ascii="Simplified Arabic" w:hAnsi="Simplified Arabic" w:cs="Simplified Arabic"/>
        </w:rPr>
        <w:t>Kujore et al., 2025</w:t>
      </w:r>
      <w:r w:rsidRPr="00A20BAB">
        <w:rPr>
          <w:rFonts w:ascii="Simplified Arabic" w:hAnsi="Simplified Arabic" w:cs="Simplified Arabic"/>
          <w:rtl/>
        </w:rPr>
        <w:t xml:space="preserve">). </w:t>
      </w:r>
      <w:r w:rsidRPr="00A20BAB">
        <w:rPr>
          <w:rFonts w:ascii="Simplified Arabic" w:hAnsi="Simplified Arabic" w:cs="Simplified Arabic"/>
          <w:rtl/>
        </w:rPr>
        <w:lastRenderedPageBreak/>
        <w:t>ويكتسب هذا البعد أهمية خاصة في الحملات الرقمية الحديثة التي تعتمد على المحتوى القصير والمتجدد والموجّه لمنصات متعددة.</w:t>
      </w:r>
    </w:p>
    <w:p w14:paraId="6FC2DEB8"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ثانيًا: التخصيص الدقيق للمحتوى واستهداف الجمهور المناسب</w:t>
      </w:r>
    </w:p>
    <w:p w14:paraId="21E73680"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sidRPr="00A20BAB">
        <w:rPr>
          <w:rFonts w:ascii="Simplified Arabic" w:hAnsi="Simplified Arabic" w:cs="Simplified Arabic"/>
        </w:rPr>
        <w:t>Mendoza et al., 2025</w:t>
      </w:r>
      <w:r w:rsidRPr="00A20BAB">
        <w:rPr>
          <w:rFonts w:ascii="Simplified Arabic" w:hAnsi="Simplified Arabic" w:cs="Simplified Arabic"/>
          <w:rtl/>
        </w:rPr>
        <w:t>).</w:t>
      </w:r>
    </w:p>
    <w:p w14:paraId="3E22978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ويتجلى هذا الدور في ثلاث وظائف مترابطة:</w:t>
      </w:r>
    </w:p>
    <w:p w14:paraId="501B02E2" w14:textId="77777777"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sidRPr="00A20BAB">
        <w:rPr>
          <w:rFonts w:ascii="Simplified Arabic" w:hAnsi="Simplified Arabic" w:cs="Simplified Arabic"/>
        </w:rPr>
        <w:t>Wang et al., 2025</w:t>
      </w:r>
      <w:r w:rsidRPr="00A20BAB">
        <w:rPr>
          <w:rFonts w:ascii="Simplified Arabic" w:hAnsi="Simplified Arabic" w:cs="Simplified Arabic"/>
          <w:rtl/>
        </w:rPr>
        <w:t>).</w:t>
      </w:r>
    </w:p>
    <w:p w14:paraId="374A7BD5" w14:textId="77777777"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تكييف المحتوى بحسب المنصة الرقمية مع تعديل الطول والصياغة والإيقاع وفق خصائص كل قناة (</w:t>
      </w:r>
      <w:r w:rsidRPr="00A20BAB">
        <w:rPr>
          <w:rFonts w:ascii="Simplified Arabic" w:hAnsi="Simplified Arabic" w:cs="Simplified Arabic"/>
        </w:rPr>
        <w:t>Islam et al., 2024</w:t>
      </w:r>
      <w:r w:rsidRPr="00A20BAB">
        <w:rPr>
          <w:rFonts w:ascii="Simplified Arabic" w:hAnsi="Simplified Arabic" w:cs="Simplified Arabic"/>
          <w:rtl/>
        </w:rPr>
        <w:t>).</w:t>
      </w:r>
    </w:p>
    <w:p w14:paraId="3F7D6B27" w14:textId="77777777"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تسريع إنتاج بدائل اختبارية للتخصيص بما يدعم التجريب والتحسين المستمر أثناء الحملة (</w:t>
      </w:r>
      <w:r w:rsidRPr="00A20BAB">
        <w:rPr>
          <w:rFonts w:ascii="Simplified Arabic" w:hAnsi="Simplified Arabic" w:cs="Simplified Arabic"/>
        </w:rPr>
        <w:t>Kshetri et al., 2023</w:t>
      </w:r>
      <w:r w:rsidRPr="00A20BAB">
        <w:rPr>
          <w:rFonts w:ascii="Simplified Arabic" w:hAnsi="Simplified Arabic" w:cs="Simplified Arabic"/>
          <w:rtl/>
        </w:rPr>
        <w:t>).</w:t>
      </w:r>
    </w:p>
    <w:p w14:paraId="498489A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ومع ذلك، تبقى فعالية التخصيص مشروطة بجودة البيانات ودقة فهم الجمهور والمراجعة البشرية للملاءمة، خاصة في البيئات الحساسة ثقافيًا وتنظيميًا (</w:t>
      </w:r>
      <w:r w:rsidRPr="00A20BAB">
        <w:rPr>
          <w:rFonts w:ascii="Simplified Arabic" w:hAnsi="Simplified Arabic" w:cs="Simplified Arabic"/>
        </w:rPr>
        <w:t>SDAIA, 2024</w:t>
      </w:r>
      <w:r w:rsidRPr="00A20BAB">
        <w:rPr>
          <w:rFonts w:ascii="Simplified Arabic" w:hAnsi="Simplified Arabic" w:cs="Simplified Arabic"/>
          <w:rtl/>
        </w:rPr>
        <w:t>).</w:t>
      </w:r>
    </w:p>
    <w:p w14:paraId="7CA21812"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ثالثًا: تحليل البيانات الضخمة وتحسين القرارات أثناء الحملة</w:t>
      </w:r>
    </w:p>
    <w:p w14:paraId="7182582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sidRPr="00A20BAB">
        <w:rPr>
          <w:rFonts w:ascii="Simplified Arabic" w:hAnsi="Simplified Arabic" w:cs="Simplified Arabic"/>
        </w:rPr>
        <w:t>Islam et al., 2024</w:t>
      </w:r>
      <w:r w:rsidRPr="00A20BAB">
        <w:rPr>
          <w:rFonts w:ascii="Simplified Arabic" w:hAnsi="Simplified Arabic" w:cs="Simplified Arabic"/>
          <w:rtl/>
        </w:rPr>
        <w:t>).</w:t>
      </w:r>
    </w:p>
    <w:p w14:paraId="307CEC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ويظهر هذا الدور في ثلاثة مستويات رئيسة:</w:t>
      </w:r>
    </w:p>
    <w:p w14:paraId="4396ED1D" w14:textId="77777777" w:rsidR="00A20BAB" w:rsidRPr="00A20BAB" w:rsidRDefault="00A20BAB" w:rsidP="007F6645">
      <w:pPr>
        <w:numPr>
          <w:ilvl w:val="0"/>
          <w:numId w:val="62"/>
        </w:numPr>
        <w:bidi/>
        <w:jc w:val="both"/>
        <w:rPr>
          <w:rFonts w:ascii="Simplified Arabic" w:hAnsi="Simplified Arabic" w:cs="Simplified Arabic"/>
          <w:rtl/>
        </w:rPr>
      </w:pPr>
      <w:r w:rsidRPr="00A20BAB">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sidRPr="00A20BAB">
        <w:rPr>
          <w:rFonts w:ascii="Simplified Arabic" w:hAnsi="Simplified Arabic" w:cs="Simplified Arabic"/>
        </w:rPr>
        <w:t>Doshi et al., 2025</w:t>
      </w:r>
      <w:r w:rsidRPr="00A20BAB">
        <w:rPr>
          <w:rFonts w:ascii="Simplified Arabic" w:hAnsi="Simplified Arabic" w:cs="Simplified Arabic"/>
          <w:rtl/>
        </w:rPr>
        <w:t>).</w:t>
      </w:r>
    </w:p>
    <w:p w14:paraId="101358CA" w14:textId="77777777" w:rsidR="00A20BAB" w:rsidRPr="00A20BAB" w:rsidRDefault="00A20BAB" w:rsidP="007F6645">
      <w:pPr>
        <w:numPr>
          <w:ilvl w:val="0"/>
          <w:numId w:val="62"/>
        </w:numPr>
        <w:bidi/>
        <w:jc w:val="both"/>
        <w:rPr>
          <w:rFonts w:ascii="Simplified Arabic" w:hAnsi="Simplified Arabic" w:cs="Simplified Arabic"/>
          <w:rtl/>
        </w:rPr>
      </w:pPr>
      <w:r w:rsidRPr="00A20BAB">
        <w:rPr>
          <w:rFonts w:ascii="Simplified Arabic" w:hAnsi="Simplified Arabic" w:cs="Simplified Arabic"/>
          <w:rtl/>
        </w:rPr>
        <w:t>اقتراح بدائل تحسين أثناء التنفيذ عند ضعف أداء رسالة أو عنصر بصري، بما يعزز مرونة الاستجابة (</w:t>
      </w:r>
      <w:r w:rsidRPr="00A20BAB">
        <w:rPr>
          <w:rFonts w:ascii="Simplified Arabic" w:hAnsi="Simplified Arabic" w:cs="Simplified Arabic"/>
        </w:rPr>
        <w:t>Heitmann, 2024</w:t>
      </w:r>
      <w:r w:rsidRPr="00A20BAB">
        <w:rPr>
          <w:rFonts w:ascii="Simplified Arabic" w:hAnsi="Simplified Arabic" w:cs="Simplified Arabic"/>
          <w:rtl/>
        </w:rPr>
        <w:t>).</w:t>
      </w:r>
    </w:p>
    <w:p w14:paraId="5141FC66" w14:textId="77777777" w:rsidR="00A20BAB" w:rsidRDefault="00A20BAB" w:rsidP="007F6645">
      <w:pPr>
        <w:numPr>
          <w:ilvl w:val="0"/>
          <w:numId w:val="62"/>
        </w:numPr>
        <w:bidi/>
        <w:jc w:val="both"/>
        <w:rPr>
          <w:rFonts w:ascii="Simplified Arabic" w:hAnsi="Simplified Arabic" w:cs="Simplified Arabic"/>
        </w:rPr>
      </w:pPr>
      <w:r w:rsidRPr="00A20BAB">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sidRPr="00A20BAB">
        <w:rPr>
          <w:rFonts w:ascii="Simplified Arabic" w:hAnsi="Simplified Arabic" w:cs="Simplified Arabic"/>
        </w:rPr>
        <w:t>Doshi et al., 2025</w:t>
      </w:r>
      <w:r w:rsidRPr="00A20BAB">
        <w:rPr>
          <w:rFonts w:ascii="Simplified Arabic" w:hAnsi="Simplified Arabic" w:cs="Simplified Arabic"/>
          <w:rtl/>
        </w:rPr>
        <w:t xml:space="preserve">؛ </w:t>
      </w:r>
      <w:r w:rsidRPr="00A20BAB">
        <w:rPr>
          <w:rFonts w:ascii="Simplified Arabic" w:hAnsi="Simplified Arabic" w:cs="Simplified Arabic"/>
        </w:rPr>
        <w:t>Nguyen et al., 2025</w:t>
      </w:r>
      <w:r w:rsidRPr="00A20BAB">
        <w:rPr>
          <w:rFonts w:ascii="Simplified Arabic" w:hAnsi="Simplified Arabic" w:cs="Simplified Arabic"/>
          <w:rtl/>
        </w:rPr>
        <w:t>).</w:t>
      </w:r>
    </w:p>
    <w:p w14:paraId="54C37392" w14:textId="77777777" w:rsidR="00E04FE4" w:rsidRDefault="00E04FE4" w:rsidP="00E04FE4">
      <w:pPr>
        <w:bidi/>
        <w:jc w:val="both"/>
        <w:rPr>
          <w:rFonts w:ascii="Simplified Arabic" w:hAnsi="Simplified Arabic" w:cs="Simplified Arabic"/>
          <w:rtl/>
        </w:rPr>
      </w:pPr>
    </w:p>
    <w:p w14:paraId="46FD8CCE" w14:textId="77777777" w:rsidR="00E04FE4" w:rsidRPr="00A20BAB" w:rsidRDefault="00E04FE4" w:rsidP="00E04FE4">
      <w:pPr>
        <w:bidi/>
        <w:jc w:val="both"/>
        <w:rPr>
          <w:rFonts w:ascii="Simplified Arabic" w:hAnsi="Simplified Arabic" w:cs="Simplified Arabic"/>
          <w:rtl/>
        </w:rPr>
      </w:pPr>
    </w:p>
    <w:p w14:paraId="6B7CA5AD"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lastRenderedPageBreak/>
        <w:t>المطلب الرابع: التحديات والأخلاقيات</w:t>
      </w:r>
    </w:p>
    <w:p w14:paraId="27ECC8C6"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أولًا: التحديات التشغيلية والفنية في توظيف الذكاء الاصطناعي التوليدي</w:t>
      </w:r>
    </w:p>
    <w:p w14:paraId="41DF0F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جودة البيانات ومدى ملاءمتها</w:t>
      </w:r>
    </w:p>
    <w:p w14:paraId="2556E50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w:t>
      </w:r>
      <w:r w:rsidRPr="00A20BAB">
        <w:rPr>
          <w:rFonts w:ascii="Simplified Arabic" w:hAnsi="Simplified Arabic" w:cs="Simplified Arabic"/>
        </w:rPr>
        <w:t>Mendoza et al., 2025</w:t>
      </w:r>
      <w:r w:rsidRPr="00A20BAB">
        <w:rPr>
          <w:rFonts w:ascii="Simplified Arabic" w:hAnsi="Simplified Arabic" w:cs="Simplified Arabic"/>
          <w:rtl/>
        </w:rPr>
        <w:t>).</w:t>
      </w:r>
    </w:p>
    <w:p w14:paraId="119C2A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تفاوت جودة المخرجات والحاجة إلى المراجعة البشرية</w:t>
      </w:r>
    </w:p>
    <w:p w14:paraId="2F0A35B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بديلًا كاملًا عن الفريق الإبداعي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35BBB0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التكلفة الكلية للتبني والدمج التشغيلي</w:t>
      </w:r>
    </w:p>
    <w:p w14:paraId="7C815E8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sidRPr="00A20BAB">
        <w:rPr>
          <w:rFonts w:ascii="Simplified Arabic" w:hAnsi="Simplified Arabic" w:cs="Simplified Arabic"/>
        </w:rPr>
        <w:t>Nuremberg Institute for Market Decisions, 2024</w:t>
      </w:r>
      <w:r w:rsidRPr="00A20BAB">
        <w:rPr>
          <w:rFonts w:ascii="Simplified Arabic" w:hAnsi="Simplified Arabic" w:cs="Simplified Arabic"/>
          <w:rtl/>
        </w:rPr>
        <w:t>).</w:t>
      </w:r>
    </w:p>
    <w:p w14:paraId="0A15517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صعوبات التكامل مع سير العمل والأنظمة القائمة</w:t>
      </w:r>
    </w:p>
    <w:p w14:paraId="6EE3210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w:t>
      </w:r>
      <w:r w:rsidRPr="00A20BAB">
        <w:rPr>
          <w:rFonts w:ascii="Simplified Arabic" w:hAnsi="Simplified Arabic" w:cs="Simplified Arabic"/>
        </w:rPr>
        <w:t>Nguyen et al., 2025</w:t>
      </w:r>
      <w:r w:rsidRPr="00A20BAB">
        <w:rPr>
          <w:rFonts w:ascii="Simplified Arabic" w:hAnsi="Simplified Arabic" w:cs="Simplified Arabic"/>
          <w:rtl/>
        </w:rPr>
        <w:t>).</w:t>
      </w:r>
    </w:p>
    <w:p w14:paraId="1A7667AE"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ثانيًا: الأبعاد الأخلاقية في استخدام الذكاء الاصطناعي التوليدي بالحملات التسويقية</w:t>
      </w:r>
    </w:p>
    <w:p w14:paraId="4B742DC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الخصوصية وأمن البيانات</w:t>
      </w:r>
    </w:p>
    <w:p w14:paraId="430D855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w:t>
      </w:r>
      <w:r w:rsidRPr="00A20BAB">
        <w:rPr>
          <w:rFonts w:ascii="Simplified Arabic" w:hAnsi="Simplified Arabic" w:cs="Simplified Arabic"/>
          <w:rtl/>
        </w:rPr>
        <w:lastRenderedPageBreak/>
        <w:t>حدود البيانات المستخدمة وآليات إدخالها وسياسات الحماية والمراجعة (الهيئة السعودية للبيانات والذكاء الاصطناعي [سدايا]، 2024).</w:t>
      </w:r>
    </w:p>
    <w:p w14:paraId="78C0FDB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الملكية الفكرية وحقوق المحتوى</w:t>
      </w:r>
    </w:p>
    <w:p w14:paraId="1ED3697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sidRPr="00A20BAB">
        <w:rPr>
          <w:rFonts w:ascii="Simplified Arabic" w:hAnsi="Simplified Arabic" w:cs="Simplified Arabic"/>
        </w:rPr>
        <w:t>Dwivedi et al., 2023</w:t>
      </w:r>
      <w:r w:rsidRPr="00A20BAB">
        <w:rPr>
          <w:rFonts w:ascii="Simplified Arabic" w:hAnsi="Simplified Arabic" w:cs="Simplified Arabic"/>
          <w:rtl/>
        </w:rPr>
        <w:t>).</w:t>
      </w:r>
    </w:p>
    <w:p w14:paraId="2F82F0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التحيز والعدالة في المخرجات التسويقية</w:t>
      </w:r>
    </w:p>
    <w:p w14:paraId="4D459DC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sidRPr="00A20BAB">
        <w:rPr>
          <w:rFonts w:ascii="Simplified Arabic" w:hAnsi="Simplified Arabic" w:cs="Simplified Arabic"/>
        </w:rPr>
        <w:t>IAB Tech Lab, 2024</w:t>
      </w:r>
      <w:r w:rsidRPr="00A20BAB">
        <w:rPr>
          <w:rFonts w:ascii="Simplified Arabic" w:hAnsi="Simplified Arabic" w:cs="Simplified Arabic"/>
          <w:rtl/>
        </w:rPr>
        <w:t>). وتزداد أهمية ذلك في السياق السعودي بما يتطلبه من مواءمة للقيم والسياق المحلي (</w:t>
      </w:r>
      <w:r w:rsidRPr="00A20BAB">
        <w:rPr>
          <w:rFonts w:ascii="Simplified Arabic" w:hAnsi="Simplified Arabic" w:cs="Simplified Arabic"/>
        </w:rPr>
        <w:t>SDAIA, 2024</w:t>
      </w:r>
      <w:r w:rsidRPr="00A20BAB">
        <w:rPr>
          <w:rFonts w:ascii="Simplified Arabic" w:hAnsi="Simplified Arabic" w:cs="Simplified Arabic"/>
          <w:rtl/>
        </w:rPr>
        <w:t>).</w:t>
      </w:r>
    </w:p>
    <w:p w14:paraId="02C3DA6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الشفافية والمساءلة عن المحتوى المنشور</w:t>
      </w:r>
    </w:p>
    <w:p w14:paraId="2E9E70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sidRPr="00A20BAB">
        <w:rPr>
          <w:rFonts w:ascii="Simplified Arabic" w:hAnsi="Simplified Arabic" w:cs="Simplified Arabic"/>
        </w:rPr>
        <w:t>Dwivedi et al., 2023</w:t>
      </w:r>
      <w:r w:rsidRPr="00A20BAB">
        <w:rPr>
          <w:rFonts w:ascii="Simplified Arabic" w:hAnsi="Simplified Arabic" w:cs="Simplified Arabic"/>
          <w:rtl/>
        </w:rPr>
        <w:t>).</w:t>
      </w:r>
    </w:p>
    <w:p w14:paraId="0F5BD6A1" w14:textId="77777777" w:rsidR="00A20BAB" w:rsidRPr="00A20BAB" w:rsidRDefault="00A20BAB" w:rsidP="007F6645">
      <w:pPr>
        <w:bidi/>
        <w:jc w:val="both"/>
        <w:rPr>
          <w:rFonts w:ascii="Simplified Arabic" w:hAnsi="Simplified Arabic" w:cs="Simplified Arabic"/>
          <w:b/>
          <w:bCs/>
          <w:rtl/>
        </w:rPr>
      </w:pPr>
      <w:r w:rsidRPr="00A20BAB">
        <w:rPr>
          <w:rFonts w:ascii="Simplified Arabic" w:hAnsi="Simplified Arabic" w:cs="Simplified Arabic"/>
          <w:b/>
          <w:bCs/>
          <w:rtl/>
        </w:rPr>
        <w:t>ثالثًا: التوازن بين الكفاءة والضبط الأخلاقي في تصميم الحملات</w:t>
      </w:r>
    </w:p>
    <w:p w14:paraId="5145A5E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sidRPr="00A20BAB">
        <w:rPr>
          <w:rFonts w:ascii="Simplified Arabic" w:hAnsi="Simplified Arabic" w:cs="Simplified Arabic"/>
        </w:rPr>
        <w:t>Kshetri et al., 2023</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77FA2000" w14:textId="77777777"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sidRPr="00A20BAB">
        <w:rPr>
          <w:rFonts w:ascii="Simplified Arabic" w:hAnsi="Simplified Arabic" w:cs="Simplified Arabic"/>
        </w:rPr>
        <w:t>SDAIA, 2024</w:t>
      </w:r>
      <w:r w:rsidRPr="00A20BAB">
        <w:rPr>
          <w:rFonts w:ascii="Simplified Arabic" w:hAnsi="Simplified Arabic" w:cs="Simplified Arabic"/>
          <w:rtl/>
        </w:rPr>
        <w:t>).</w:t>
      </w:r>
    </w:p>
    <w:p w14:paraId="764C2DC7" w14:textId="77777777" w:rsidR="00E04FE4" w:rsidRDefault="00E04FE4" w:rsidP="00E04FE4">
      <w:pPr>
        <w:bidi/>
        <w:jc w:val="both"/>
        <w:rPr>
          <w:rFonts w:ascii="Simplified Arabic" w:hAnsi="Simplified Arabic" w:cs="Simplified Arabic"/>
          <w:rtl/>
        </w:rPr>
      </w:pPr>
    </w:p>
    <w:p w14:paraId="1938A051" w14:textId="77777777" w:rsidR="00E04FE4" w:rsidRPr="00E04FE4" w:rsidRDefault="00E04FE4" w:rsidP="00915B55">
      <w:pPr>
        <w:bidi/>
        <w:spacing w:after="200" w:line="240" w:lineRule="auto"/>
        <w:rPr>
          <w:rFonts w:ascii="Sakkal Majalla" w:hAnsi="Sakkal Majalla" w:cs="Sakkal Majalla"/>
          <w:b/>
          <w:bCs/>
          <w:color w:val="1F497D" w:themeColor="text2"/>
          <w:sz w:val="32"/>
          <w:szCs w:val="32"/>
          <w:u w:val="single"/>
          <w:rtl/>
        </w:rPr>
      </w:pPr>
      <w:r w:rsidRPr="00E04FE4">
        <w:rPr>
          <w:rFonts w:ascii="Sakkal Majalla" w:hAnsi="Sakkal Majalla" w:cs="Sakkal Majalla"/>
          <w:b/>
          <w:bCs/>
          <w:color w:val="1F497D" w:themeColor="text2"/>
          <w:sz w:val="32"/>
          <w:szCs w:val="32"/>
          <w:u w:val="single"/>
          <w:rtl/>
        </w:rPr>
        <w:t>المبحث الثاني: الدوافع والعوائق لتبني الذكاء الاصطناعي في وكالات التسويق السعودية</w:t>
      </w:r>
    </w:p>
    <w:p w14:paraId="2C6B04FE"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الأول: دوافع التبني</w:t>
      </w:r>
    </w:p>
    <w:p w14:paraId="20AB40C8"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أولًا: دافع تحسين الكفاءة التشغيلية وتسريع الإنجاز</w:t>
      </w:r>
    </w:p>
    <w:p w14:paraId="64E0F2D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sidRPr="00E04FE4">
        <w:rPr>
          <w:rFonts w:ascii="Simplified Arabic" w:hAnsi="Simplified Arabic" w:cs="Simplified Arabic"/>
        </w:rPr>
        <w:t>Heitmann, 2024</w:t>
      </w:r>
      <w:r w:rsidRPr="00E04FE4">
        <w:rPr>
          <w:rFonts w:ascii="Simplified Arabic" w:hAnsi="Simplified Arabic" w:cs="Simplified Arabic"/>
          <w:rtl/>
        </w:rPr>
        <w:t>).</w:t>
      </w:r>
    </w:p>
    <w:p w14:paraId="24D0EA7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sidRPr="00E04FE4">
        <w:rPr>
          <w:rFonts w:ascii="Simplified Arabic" w:hAnsi="Simplified Arabic" w:cs="Simplified Arabic"/>
        </w:rPr>
        <w:t>Kshetri et al., 2023</w:t>
      </w:r>
      <w:r w:rsidRPr="00E04FE4">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DBF12B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263F027A"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ثانيًا: دافع خفض التكاليف وإعادة توزيع الموارد</w:t>
      </w:r>
    </w:p>
    <w:p w14:paraId="5A4EDB1C"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sidRPr="00E04FE4">
        <w:rPr>
          <w:rFonts w:ascii="Simplified Arabic" w:hAnsi="Simplified Arabic" w:cs="Simplified Arabic"/>
        </w:rPr>
        <w:t>Nuremberg Institute for Market Decisions, 2024</w:t>
      </w:r>
      <w:r w:rsidRPr="00E04FE4">
        <w:rPr>
          <w:rFonts w:ascii="Simplified Arabic" w:hAnsi="Simplified Arabic" w:cs="Simplified Arabic"/>
          <w:rtl/>
        </w:rPr>
        <w:t>).</w:t>
      </w:r>
    </w:p>
    <w:p w14:paraId="1E38A461"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sidRPr="00E04FE4">
        <w:rPr>
          <w:rFonts w:ascii="Simplified Arabic" w:hAnsi="Simplified Arabic" w:cs="Simplified Arabic"/>
        </w:rPr>
        <w:t>Heitmann, 2024</w:t>
      </w:r>
      <w:r w:rsidRPr="00E04FE4">
        <w:rPr>
          <w:rFonts w:ascii="Simplified Arabic" w:hAnsi="Simplified Arabic" w:cs="Simplified Arabic"/>
          <w:rtl/>
        </w:rPr>
        <w:t>).</w:t>
      </w:r>
    </w:p>
    <w:p w14:paraId="7E06E398"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ثالثًا: دافع زيادة القدرة على التخصيص وتحسين ملاءمة الرسائل</w:t>
      </w:r>
    </w:p>
    <w:p w14:paraId="69562D8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sidRPr="00E04FE4">
        <w:rPr>
          <w:rFonts w:ascii="Simplified Arabic" w:hAnsi="Simplified Arabic" w:cs="Simplified Arabic"/>
        </w:rPr>
        <w:t>Mendoza et al., 2025</w:t>
      </w:r>
      <w:r w:rsidRPr="00E04FE4">
        <w:rPr>
          <w:rFonts w:ascii="Simplified Arabic" w:hAnsi="Simplified Arabic" w:cs="Simplified Arabic"/>
          <w:rtl/>
        </w:rPr>
        <w:t>).</w:t>
      </w:r>
    </w:p>
    <w:p w14:paraId="2A1EC428"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w:t>
      </w:r>
      <w:r w:rsidRPr="00E04FE4">
        <w:rPr>
          <w:rFonts w:ascii="Simplified Arabic" w:hAnsi="Simplified Arabic" w:cs="Simplified Arabic"/>
          <w:rtl/>
        </w:rPr>
        <w:lastRenderedPageBreak/>
        <w:t>التوليدي جذابًا لوكالات التسويق التي تدير حملات لعملاء متنوعين وتحتاج إلى إنتاج محتوى متمايز دون مضاعفة الجهد بصورة خطية (</w:t>
      </w:r>
      <w:r w:rsidRPr="00E04FE4">
        <w:rPr>
          <w:rFonts w:ascii="Simplified Arabic" w:hAnsi="Simplified Arabic" w:cs="Simplified Arabic"/>
        </w:rPr>
        <w:t>Islam et al., 2024</w:t>
      </w:r>
      <w:r w:rsidRPr="00E04FE4">
        <w:rPr>
          <w:rFonts w:ascii="Simplified Arabic" w:hAnsi="Simplified Arabic" w:cs="Simplified Arabic"/>
          <w:rtl/>
        </w:rPr>
        <w:t>).</w:t>
      </w:r>
    </w:p>
    <w:p w14:paraId="7957FA02"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الهيئة السعودية للبيانات والذكاء الاصطناعي [سدايا]، 2024). كما أن دراسة </w:t>
      </w:r>
      <w:r w:rsidRPr="00E04FE4">
        <w:rPr>
          <w:rFonts w:ascii="Simplified Arabic" w:hAnsi="Simplified Arabic" w:cs="Simplified Arabic"/>
        </w:rPr>
        <w:t>Beyari</w:t>
      </w:r>
      <w:r w:rsidRPr="00E04FE4">
        <w:rPr>
          <w:rFonts w:ascii="Simplified Arabic" w:hAnsi="Simplified Arabic" w:cs="Simplified Arabic"/>
          <w:rtl/>
        </w:rPr>
        <w:t xml:space="preserve"> (2025) حول أثر الذكاء 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F1F29DE"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رابعًا: دافع مواكبة المنافسة والتحول السوقي</w:t>
      </w:r>
    </w:p>
    <w:p w14:paraId="29960F5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رقميًا (</w:t>
      </w:r>
      <w:r w:rsidRPr="00E04FE4">
        <w:rPr>
          <w:rFonts w:ascii="Simplified Arabic" w:hAnsi="Simplified Arabic" w:cs="Simplified Arabic"/>
        </w:rPr>
        <w:t>Kshetri et al., 2023</w:t>
      </w:r>
      <w:r w:rsidRPr="00E04FE4">
        <w:rPr>
          <w:rFonts w:ascii="Simplified Arabic" w:hAnsi="Simplified Arabic" w:cs="Simplified Arabic"/>
          <w:rtl/>
        </w:rPr>
        <w:t>).</w:t>
      </w:r>
    </w:p>
    <w:p w14:paraId="7CD6CFA5"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sidRPr="00E04FE4">
        <w:rPr>
          <w:rFonts w:ascii="Simplified Arabic" w:hAnsi="Simplified Arabic" w:cs="Simplified Arabic"/>
        </w:rPr>
        <w:t>McKinsey &amp; Company, 2024</w:t>
      </w:r>
      <w:r w:rsidRPr="00E04FE4">
        <w:rPr>
          <w:rFonts w:ascii="Simplified Arabic" w:hAnsi="Simplified Arabic" w:cs="Simplified Arabic"/>
          <w:rtl/>
        </w:rPr>
        <w:t xml:space="preserve">؛ </w:t>
      </w:r>
      <w:r w:rsidRPr="00E04FE4">
        <w:rPr>
          <w:rFonts w:ascii="Simplified Arabic" w:hAnsi="Simplified Arabic" w:cs="Simplified Arabic"/>
        </w:rPr>
        <w:t>Strategy&amp; (PwC Middle East), 2024</w:t>
      </w:r>
      <w:r w:rsidRPr="00E04FE4">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w:t>
      </w:r>
    </w:p>
    <w:p w14:paraId="57E8EDBE" w14:textId="77777777" w:rsidR="00E04FE4" w:rsidRPr="00E04FE4" w:rsidRDefault="00E04FE4" w:rsidP="00E04FE4">
      <w:pPr>
        <w:bidi/>
        <w:jc w:val="both"/>
        <w:rPr>
          <w:rFonts w:ascii="Simplified Arabic" w:hAnsi="Simplified Arabic" w:cs="Simplified Arabic"/>
          <w:rtl/>
        </w:rPr>
      </w:pPr>
    </w:p>
    <w:p w14:paraId="1DF57528"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الثاني: العوائق الفنية</w:t>
      </w:r>
    </w:p>
    <w:p w14:paraId="6C9C3EE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r w:rsidRPr="00E04FE4">
        <w:rPr>
          <w:rFonts w:ascii="Simplified Arabic" w:hAnsi="Simplified Arabic" w:cs="Simplified Arabic"/>
        </w:rPr>
        <w:t>Masnita et al., 2024</w:t>
      </w:r>
      <w:r w:rsidRPr="00E04FE4">
        <w:rPr>
          <w:rFonts w:ascii="Simplified Arabic" w:hAnsi="Simplified Arabic" w:cs="Simplified Arabic"/>
          <w:rtl/>
        </w:rPr>
        <w:t>).</w:t>
      </w:r>
    </w:p>
    <w:p w14:paraId="4126B0D6" w14:textId="77777777" w:rsid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يمكن تنظيم العوائق الفنية الأكثر حضورًا في بيئة وكالات التسويق ضمن ثلاثة محاور مترابطة: نقص المهارات والمعرفة التقنية، والحاجة إلى بنية تحتية رقمية مناسبة، وصعوبات التكامل مع الأنظمة والأدوات القائمة. وهذه المحاور لا تعمل بمعزل عن بعضها؛ إذ قد يؤدي ضعف أحدها إلى إضعاف فاعلية بقية العناصر حتى مع توفر الأدوات التوليدية نفسها.</w:t>
      </w:r>
    </w:p>
    <w:p w14:paraId="7E426446" w14:textId="77777777" w:rsidR="00915B55" w:rsidRDefault="00915B55" w:rsidP="00915B55">
      <w:pPr>
        <w:bidi/>
        <w:jc w:val="both"/>
        <w:rPr>
          <w:rFonts w:ascii="Simplified Arabic" w:hAnsi="Simplified Arabic" w:cs="Simplified Arabic"/>
          <w:rtl/>
        </w:rPr>
      </w:pPr>
    </w:p>
    <w:p w14:paraId="2F984AE7" w14:textId="77777777" w:rsidR="00915B55" w:rsidRPr="00E04FE4" w:rsidRDefault="00915B55" w:rsidP="00915B55">
      <w:pPr>
        <w:bidi/>
        <w:jc w:val="both"/>
        <w:rPr>
          <w:rFonts w:ascii="Simplified Arabic" w:hAnsi="Simplified Arabic" w:cs="Simplified Arabic"/>
          <w:rtl/>
        </w:rPr>
      </w:pPr>
    </w:p>
    <w:p w14:paraId="045AD823"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lastRenderedPageBreak/>
        <w:t>أولًا: نقص المهارات والمعرفة التقنية</w:t>
      </w:r>
    </w:p>
    <w:p w14:paraId="2C227AC0"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استخدامًا سطحيًا لا يحقق قيمة فعلية، وقد ينعكس ذلك على جودة المحتوى واتساقه (</w:t>
      </w:r>
      <w:r w:rsidRPr="00E04FE4">
        <w:rPr>
          <w:rFonts w:ascii="Simplified Arabic" w:hAnsi="Simplified Arabic" w:cs="Simplified Arabic"/>
        </w:rPr>
        <w:t>Kshetri et al., 2023</w:t>
      </w:r>
      <w:r w:rsidRPr="00E04FE4">
        <w:rPr>
          <w:rFonts w:ascii="Simplified Arabic" w:hAnsi="Simplified Arabic" w:cs="Simplified Arabic"/>
          <w:rtl/>
        </w:rPr>
        <w:t>).</w:t>
      </w:r>
    </w:p>
    <w:p w14:paraId="41CBEEE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جزءًا أساسيًا من جاهزية فرق العمل، لا إضافةً ثانوية (محيسن، مجاهد، &amp; بصبوص، 2025).</w:t>
      </w:r>
    </w:p>
    <w:p w14:paraId="4798842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4113D35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sidRPr="00E04FE4">
        <w:rPr>
          <w:rFonts w:ascii="Simplified Arabic" w:hAnsi="Simplified Arabic" w:cs="Simplified Arabic"/>
        </w:rPr>
        <w:t>Al-Emran et al., 2025</w:t>
      </w:r>
      <w:r w:rsidRPr="00E04FE4">
        <w:rPr>
          <w:rFonts w:ascii="Simplified Arabic" w:hAnsi="Simplified Arabic" w:cs="Simplified Arabic"/>
          <w:rtl/>
        </w:rPr>
        <w:t>).</w:t>
      </w:r>
    </w:p>
    <w:p w14:paraId="30A0A440"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ثانيًا: الحاجة إلى بنية تحتية رقمية متقدمة</w:t>
      </w:r>
    </w:p>
    <w:p w14:paraId="1DCA02B2"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sidRPr="00E04FE4">
        <w:rPr>
          <w:rFonts w:ascii="Simplified Arabic" w:hAnsi="Simplified Arabic" w:cs="Simplified Arabic"/>
        </w:rPr>
        <w:t>Masnita et al., 2024</w:t>
      </w:r>
      <w:r w:rsidRPr="00E04FE4">
        <w:rPr>
          <w:rFonts w:ascii="Simplified Arabic" w:hAnsi="Simplified Arabic" w:cs="Simplified Arabic"/>
          <w:rtl/>
        </w:rPr>
        <w:t>).</w:t>
      </w:r>
    </w:p>
    <w:p w14:paraId="69D619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sidRPr="00E04FE4">
        <w:rPr>
          <w:rFonts w:ascii="Simplified Arabic" w:hAnsi="Simplified Arabic" w:cs="Simplified Arabic"/>
        </w:rPr>
        <w:t>Mendoza et al., 2025</w:t>
      </w:r>
      <w:r w:rsidRPr="00E04FE4">
        <w:rPr>
          <w:rFonts w:ascii="Simplified Arabic" w:hAnsi="Simplified Arabic" w:cs="Simplified Arabic"/>
          <w:rtl/>
        </w:rPr>
        <w:t>).</w:t>
      </w:r>
    </w:p>
    <w:p w14:paraId="55904A6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sidRPr="00E04FE4">
        <w:rPr>
          <w:rFonts w:ascii="Simplified Arabic" w:hAnsi="Simplified Arabic" w:cs="Simplified Arabic"/>
        </w:rPr>
        <w:t>Strategy&amp; (PwC Middle East), 2024</w:t>
      </w:r>
      <w:r w:rsidRPr="00E04FE4">
        <w:rPr>
          <w:rFonts w:ascii="Simplified Arabic" w:hAnsi="Simplified Arabic" w:cs="Simplified Arabic"/>
          <w:rtl/>
        </w:rPr>
        <w:t xml:space="preserve">). كما تؤكد تقارير محلية أن الفرص الكبيرة للذكاء الاصطناعي التوليدي في المملكة ترتبط بقدرة الجهات </w:t>
      </w:r>
      <w:r w:rsidRPr="00E04FE4">
        <w:rPr>
          <w:rFonts w:ascii="Simplified Arabic" w:hAnsi="Simplified Arabic" w:cs="Simplified Arabic"/>
          <w:rtl/>
        </w:rPr>
        <w:lastRenderedPageBreak/>
        <w:t>على بناء بيئات تشغيل ملائمة وتطوير الجاهزية المؤسسية المصاحبة للتبني (الهيئة السعودية للبيانات والذكاء الاصطناعي [سدايا]، 2024).</w:t>
      </w:r>
    </w:p>
    <w:p w14:paraId="1B844690"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ثالثًا: صعوبات التكامل مع الأنظمة والأدوات القائمة</w:t>
      </w:r>
    </w:p>
    <w:p w14:paraId="3C93CBA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من العوائق الفنية المتكررة في البيئات المهنية أن الأدوات الجديدة</w:t>
      </w:r>
      <w:r w:rsidRPr="00E04FE4">
        <w:rPr>
          <w:rFonts w:ascii="Simplified Arabic" w:hAnsi="Simplified Arabic" w:cs="Simplified Arabic" w:hint="cs"/>
          <w:rtl/>
        </w:rPr>
        <w:t xml:space="preserve"> </w:t>
      </w:r>
      <w:r w:rsidRPr="00E04FE4">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sidRPr="00E04FE4">
        <w:rPr>
          <w:rFonts w:ascii="Simplified Arabic" w:hAnsi="Simplified Arabic" w:cs="Simplified Arabic"/>
        </w:rPr>
        <w:t>Nguyen et al., 2025</w:t>
      </w:r>
      <w:r w:rsidRPr="00E04FE4">
        <w:rPr>
          <w:rFonts w:ascii="Simplified Arabic" w:hAnsi="Simplified Arabic" w:cs="Simplified Arabic"/>
          <w:rtl/>
        </w:rPr>
        <w:t>).</w:t>
      </w:r>
    </w:p>
    <w:p w14:paraId="7B9F13C0" w14:textId="007E5C15"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sidRPr="00E04FE4">
        <w:rPr>
          <w:rFonts w:ascii="Simplified Arabic" w:hAnsi="Simplified Arabic" w:cs="Simplified Arabic"/>
        </w:rPr>
        <w:t>Heitmann, 2024</w:t>
      </w:r>
      <w:r w:rsidRPr="00E04FE4">
        <w:rPr>
          <w:rFonts w:ascii="Simplified Arabic" w:hAnsi="Simplified Arabic" w:cs="Simplified Arabic"/>
          <w:rtl/>
        </w:rPr>
        <w:t>).</w:t>
      </w:r>
    </w:p>
    <w:p w14:paraId="1D9212CF" w14:textId="77777777" w:rsidR="00915B55" w:rsidRPr="00E04FE4" w:rsidRDefault="00915B55" w:rsidP="00915B55">
      <w:pPr>
        <w:bidi/>
        <w:jc w:val="both"/>
        <w:rPr>
          <w:rFonts w:ascii="Simplified Arabic" w:hAnsi="Simplified Arabic" w:cs="Simplified Arabic"/>
          <w:rtl/>
        </w:rPr>
      </w:pPr>
    </w:p>
    <w:p w14:paraId="20C5A65C"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الثالث: العوائق التنظيمية والأخلاقية</w:t>
      </w:r>
    </w:p>
    <w:p w14:paraId="598BE9C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sidRPr="00E04FE4">
        <w:rPr>
          <w:rFonts w:ascii="Simplified Arabic" w:hAnsi="Simplified Arabic" w:cs="Simplified Arabic"/>
        </w:rPr>
        <w:t>Dwivedi et al., 2023</w:t>
      </w:r>
      <w:r w:rsidRPr="00E04FE4">
        <w:rPr>
          <w:rFonts w:ascii="Simplified Arabic" w:hAnsi="Simplified Arabic" w:cs="Simplified Arabic"/>
          <w:rtl/>
        </w:rPr>
        <w:t>).</w:t>
      </w:r>
    </w:p>
    <w:p w14:paraId="6793F5F1"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r w:rsidRPr="00E04FE4">
        <w:rPr>
          <w:rFonts w:ascii="Simplified Arabic" w:hAnsi="Simplified Arabic" w:cs="Simplified Arabic"/>
        </w:rPr>
        <w:t>Kshetri et al., 2023</w:t>
      </w:r>
      <w:r w:rsidRPr="00E04FE4">
        <w:rPr>
          <w:rFonts w:ascii="Simplified Arabic" w:hAnsi="Simplified Arabic" w:cs="Simplified Arabic"/>
          <w:rtl/>
        </w:rPr>
        <w:t>).</w:t>
      </w:r>
    </w:p>
    <w:p w14:paraId="324F146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 xml:space="preserve">يمكن تنظيم هذا المطلب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1ECEF5A2"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أولًا: مقاومة التغيير داخل المؤسسات</w:t>
      </w:r>
    </w:p>
    <w:p w14:paraId="04B21A80"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sidRPr="00E04FE4">
        <w:rPr>
          <w:rFonts w:ascii="Simplified Arabic" w:hAnsi="Simplified Arabic" w:cs="Simplified Arabic"/>
        </w:rPr>
        <w:t>Masnita et al., 2024</w:t>
      </w:r>
      <w:r w:rsidRPr="00E04FE4">
        <w:rPr>
          <w:rFonts w:ascii="Simplified Arabic" w:hAnsi="Simplified Arabic" w:cs="Simplified Arabic"/>
          <w:rtl/>
        </w:rPr>
        <w:t>).</w:t>
      </w:r>
    </w:p>
    <w:p w14:paraId="3FAF616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وهذه المقاومة لا تعني دائمًا رفضًا صريحًا للتقنية، بل قد تتجلى في بطء التبني، وضعف الالتزام بإجراءات الاستخدام، وعدم تراكم الخبرة المؤسسية حولها</w:t>
      </w:r>
      <w:r w:rsidRPr="00E04FE4">
        <w:rPr>
          <w:rFonts w:ascii="Simplified Arabic" w:hAnsi="Simplified Arabic" w:cs="Simplified Arabic" w:hint="cs"/>
          <w:rtl/>
        </w:rPr>
        <w:t xml:space="preserve"> </w:t>
      </w:r>
      <w:r w:rsidRPr="00E04FE4">
        <w:rPr>
          <w:rFonts w:ascii="Simplified Arabic" w:hAnsi="Simplified Arabic" w:cs="Simplified Arabic"/>
          <w:rtl/>
        </w:rPr>
        <w:t>(</w:t>
      </w:r>
      <w:r w:rsidRPr="00E04FE4">
        <w:rPr>
          <w:rFonts w:ascii="Simplified Arabic" w:hAnsi="Simplified Arabic" w:cs="Simplified Arabic"/>
        </w:rPr>
        <w:t>Masnita et al., 2024</w:t>
      </w:r>
      <w:r w:rsidRPr="00E04FE4">
        <w:rPr>
          <w:rFonts w:ascii="Simplified Arabic" w:hAnsi="Simplified Arabic" w:cs="Simplified Arabic"/>
          <w:rtl/>
        </w:rPr>
        <w:t>).</w:t>
      </w:r>
    </w:p>
    <w:p w14:paraId="4637F858"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sidRPr="00E04FE4">
        <w:rPr>
          <w:rFonts w:ascii="Simplified Arabic" w:hAnsi="Simplified Arabic" w:cs="Simplified Arabic"/>
        </w:rPr>
        <w:t>Nguyen et al., 2025</w:t>
      </w:r>
      <w:r w:rsidRPr="00E04FE4">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6C3F1897"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ثانيًا: المخاوف المتعلقة بالخصوصية وأمن البيانات</w:t>
      </w:r>
    </w:p>
    <w:p w14:paraId="4B9F43C7"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sidRPr="00E04FE4">
        <w:rPr>
          <w:rFonts w:ascii="Simplified Arabic" w:hAnsi="Simplified Arabic" w:cs="Simplified Arabic"/>
        </w:rPr>
        <w:t>SDAIA, 2024</w:t>
      </w:r>
      <w:r w:rsidRPr="00E04FE4">
        <w:rPr>
          <w:rFonts w:ascii="Simplified Arabic" w:hAnsi="Simplified Arabic" w:cs="Simplified Arabic"/>
          <w:rtl/>
        </w:rPr>
        <w:t>).</w:t>
      </w:r>
    </w:p>
    <w:p w14:paraId="37F80AED"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(الهيئة السعودية للبيانات والذكاء الاصطناعي [سدايا]، 2024؛ </w:t>
      </w:r>
      <w:r w:rsidRPr="00E04FE4">
        <w:rPr>
          <w:rFonts w:ascii="Simplified Arabic" w:hAnsi="Simplified Arabic" w:cs="Simplified Arabic"/>
        </w:rPr>
        <w:t>SDAIA, 2024</w:t>
      </w:r>
      <w:r w:rsidRPr="00E04FE4">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41C7F393"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ثالثًا: غياب الأطر التنظيمية والسياسات الداخلية الواضحة</w:t>
      </w:r>
    </w:p>
    <w:p w14:paraId="2ED8213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w:t>
      </w:r>
      <w:r w:rsidRPr="00E04FE4">
        <w:rPr>
          <w:rFonts w:ascii="Simplified Arabic" w:hAnsi="Simplified Arabic" w:cs="Simplified Arabic"/>
        </w:rPr>
        <w:t>IAB Tech Lab, 2024</w:t>
      </w:r>
      <w:r w:rsidRPr="00E04FE4">
        <w:rPr>
          <w:rFonts w:ascii="Simplified Arabic" w:hAnsi="Simplified Arabic" w:cs="Simplified Arabic"/>
          <w:rtl/>
        </w:rPr>
        <w:t>).</w:t>
      </w:r>
    </w:p>
    <w:p w14:paraId="347E705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وعندما تغيب السياسات الداخلية، تظهر عدة مشكلات عملية داخل الوكالة، مثل:</w:t>
      </w:r>
    </w:p>
    <w:p w14:paraId="71A909D4"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تفاوت أساليب الاستخدام بين الأفراد دون معيار موحد.</w:t>
      </w:r>
    </w:p>
    <w:p w14:paraId="7CEB01BF"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غموض في مسؤولية مراجعة المخرجات واعتمادها.</w:t>
      </w:r>
    </w:p>
    <w:p w14:paraId="5EAF06C7"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اختلاف في حدود ما يجوز إدخاله إلى الأدوات من بيانات ومعلومات.</w:t>
      </w:r>
    </w:p>
    <w:p w14:paraId="7BA3ED03"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صعوبة تقييم جودة الاستخدام أو تحسينه بصورة مؤسسية.</w:t>
      </w:r>
    </w:p>
    <w:p w14:paraId="5AC87B6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sidRPr="00E04FE4">
        <w:rPr>
          <w:rFonts w:ascii="Simplified Arabic" w:hAnsi="Simplified Arabic" w:cs="Simplified Arabic"/>
          <w:rtl/>
        </w:rPr>
        <w:lastRenderedPageBreak/>
        <w:t>ولو بصورة تدريجية—تمثل شرطًا مهمًا لتحويل التبني من استخدام تجريبي متفرق إلى ممارسة مستقرة قابلة للتوسع (</w:t>
      </w:r>
      <w:r w:rsidRPr="00E04FE4">
        <w:rPr>
          <w:rFonts w:ascii="Simplified Arabic" w:hAnsi="Simplified Arabic" w:cs="Simplified Arabic"/>
        </w:rPr>
        <w:t>Nguyen et al., 2025</w:t>
      </w:r>
      <w:r w:rsidRPr="00E04FE4">
        <w:rPr>
          <w:rFonts w:ascii="Simplified Arabic" w:hAnsi="Simplified Arabic" w:cs="Simplified Arabic"/>
          <w:rtl/>
        </w:rPr>
        <w:t>).</w:t>
      </w:r>
    </w:p>
    <w:p w14:paraId="583428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sidRPr="00E04FE4">
        <w:rPr>
          <w:rFonts w:ascii="Simplified Arabic" w:hAnsi="Simplified Arabic" w:cs="Simplified Arabic"/>
        </w:rPr>
        <w:t>Dwivedi et al., 2023</w:t>
      </w:r>
      <w:r w:rsidRPr="00E04FE4">
        <w:rPr>
          <w:rFonts w:ascii="Simplified Arabic" w:hAnsi="Simplified Arabic" w:cs="Simplified Arabic"/>
          <w:rtl/>
        </w:rPr>
        <w:t>).</w:t>
      </w:r>
    </w:p>
    <w:p w14:paraId="63F5C11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 xml:space="preserve">كما </w:t>
      </w:r>
      <w:r w:rsidRPr="00E04FE4">
        <w:rPr>
          <w:rFonts w:ascii="Simplified Arabic" w:hAnsi="Simplified Arabic" w:cs="Simplified Arabic"/>
          <w:rtl/>
        </w:rPr>
        <w:t>يُظهر التحليل السابق أن العوائق التنظيمية والأخلاقية ليست طبقة منفصلة عن العوائق الفنية، بل تمثل امتدادًا لها على مستوى الحوكمة والثقافة المؤسسية. فضعف المهارات قد يُعالج بالتدريب، لكن استمرار الاستخدام وتوسعه يتطلب بيئة تنظيمية تتقبل التغيير وتضبطه، وتضع سياسات واضحة لحماية البيانات ومراجعة المخرجات وتحديد المسؤوليات. وبدون ذلك، قد يبقى التبني محدودًا أو متذبذبًا حتى مع توفر الأدوات والمهارات الأساسية (</w:t>
      </w:r>
      <w:r w:rsidRPr="00E04FE4">
        <w:rPr>
          <w:rFonts w:ascii="Simplified Arabic" w:hAnsi="Simplified Arabic" w:cs="Simplified Arabic"/>
        </w:rPr>
        <w:t>Kshetri et al., 2023</w:t>
      </w:r>
      <w:r w:rsidRPr="00E04FE4">
        <w:rPr>
          <w:rFonts w:ascii="Simplified Arabic" w:hAnsi="Simplified Arabic" w:cs="Simplified Arabic"/>
          <w:rtl/>
        </w:rPr>
        <w:t>).</w:t>
      </w:r>
    </w:p>
    <w:p w14:paraId="589C5B4F" w14:textId="77777777" w:rsidR="00E04FE4" w:rsidRPr="00E04FE4" w:rsidRDefault="00E04FE4" w:rsidP="00E04FE4">
      <w:pPr>
        <w:bidi/>
        <w:jc w:val="both"/>
        <w:rPr>
          <w:rFonts w:ascii="Simplified Arabic" w:hAnsi="Simplified Arabic" w:cs="Simplified Arabic"/>
          <w:rtl/>
        </w:rPr>
      </w:pPr>
    </w:p>
    <w:p w14:paraId="0167CB3B"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المطلب الرابع: واقع تبني الذكاء الاصطناعي في السعودية</w:t>
      </w:r>
    </w:p>
    <w:p w14:paraId="05EC4EA2"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hint="cs"/>
          <w:b/>
          <w:bCs/>
          <w:rtl/>
        </w:rPr>
        <w:t xml:space="preserve">أولاً: </w:t>
      </w:r>
      <w:r w:rsidRPr="00E04FE4">
        <w:rPr>
          <w:rFonts w:ascii="Simplified Arabic" w:hAnsi="Simplified Arabic" w:cs="Simplified Arabic"/>
          <w:b/>
          <w:bCs/>
          <w:rtl/>
        </w:rPr>
        <w:t>عرض نتائج الدراسات أو التقارير الرسمية التي توضح مستوى التبني الحالي وفرص النمو في السوق المحلي</w:t>
      </w:r>
    </w:p>
    <w:p w14:paraId="5591592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تشير الأدبيات والتقارير الحديثة إلى أن المملكة العربية السعودية تشهد بيئة مواتية نسبيًا لتوسع تطبيقات الذكاء الاصطناعي، مدفوعةً بمسارات التحول الرقمي، وتنامي الاهتمام المؤسسي برفع الإنتاجية، وتزايد الاستثمارات والبرامج الداعمة للابتكار. وفي هذا السياق، تبرز تقارير سدايا بوصفها مرجعًا وطنيًا مهمًا في توصيف الفرص المرتبطة بالذكاء الاصطناعي التوليدي، حيث تُقدَّم التقنية باعتبارها فرصة لتعزيز النمو ورفع الكفاءة وتوسيع القيمة المضافة عبر قطاعات متعددة، مع التأكيد في الوقت نفسه على الاستخدام المسؤول والحوكمة المناسبة (الهيئة السعودية للبيانات والذكاء الاصطناعي [سدايا]، 2024).</w:t>
      </w:r>
    </w:p>
    <w:p w14:paraId="4416B46D"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ومن زاوية إقليمية أوسع، تعرض تقارير </w:t>
      </w:r>
      <w:r w:rsidRPr="00E04FE4">
        <w:rPr>
          <w:rFonts w:ascii="Simplified Arabic" w:hAnsi="Simplified Arabic" w:cs="Simplified Arabic"/>
        </w:rPr>
        <w:t>McKinsey &amp; Company</w:t>
      </w:r>
      <w:r w:rsidRPr="00E04FE4">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sidRPr="00E04FE4">
        <w:rPr>
          <w:rFonts w:ascii="Simplified Arabic" w:hAnsi="Simplified Arabic" w:cs="Simplified Arabic"/>
        </w:rPr>
        <w:t>McKinsey &amp; Company, 2024</w:t>
      </w:r>
      <w:r w:rsidRPr="00E04FE4">
        <w:rPr>
          <w:rFonts w:ascii="Simplified Arabic" w:hAnsi="Simplified Arabic" w:cs="Simplified Arabic"/>
          <w:rtl/>
        </w:rPr>
        <w:t>).</w:t>
      </w:r>
    </w:p>
    <w:p w14:paraId="3614801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وفي الاتجاه نفسه، تشير تقارير </w:t>
      </w:r>
      <w:r w:rsidRPr="00E04FE4">
        <w:rPr>
          <w:rFonts w:ascii="Simplified Arabic" w:hAnsi="Simplified Arabic" w:cs="Simplified Arabic"/>
        </w:rPr>
        <w:t>Strategy&amp; (PwC Middle East)</w:t>
      </w:r>
      <w:r w:rsidRPr="00E04FE4">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sidRPr="00E04FE4">
        <w:rPr>
          <w:rFonts w:ascii="Simplified Arabic" w:hAnsi="Simplified Arabic" w:cs="Simplified Arabic"/>
        </w:rPr>
        <w:t>ecosystem</w:t>
      </w:r>
      <w:r w:rsidRPr="00E04FE4">
        <w:rPr>
          <w:rFonts w:ascii="Simplified Arabic" w:hAnsi="Simplified Arabic" w:cs="Simplified Arabic"/>
          <w:rtl/>
        </w:rPr>
        <w:t>) مثل الجاهزية المؤسسية، وتنمية المهارات، وتكامل البنية الرقمية. وهذا الطرح ينسجم مع ما سبق عرضه في المطلبين الثاني والثالث من هذا المبحث؛ إذ يوضح أن واقع التبني في السعودية يتشكل من تفاعل الفرص الكبيرة مع تحديات التنفيذ والنضج التنظيمي، وليس من أحدهما بمعزل عن الآخر.</w:t>
      </w:r>
    </w:p>
    <w:p w14:paraId="4B8362BA"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hint="cs"/>
          <w:b/>
          <w:bCs/>
          <w:rtl/>
        </w:rPr>
        <w:t>ثانياً</w:t>
      </w:r>
      <w:r w:rsidRPr="00E04FE4">
        <w:rPr>
          <w:rFonts w:ascii="Simplified Arabic" w:hAnsi="Simplified Arabic" w:cs="Simplified Arabic"/>
          <w:b/>
          <w:bCs/>
          <w:rtl/>
        </w:rPr>
        <w:t>: مؤشرات الواقع السعودي من زاوية الجاهزية والاهتمام المؤسسي</w:t>
      </w:r>
    </w:p>
    <w:p w14:paraId="0A6F480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يمكن قراءة واقع التبني في السعودية من خلال مؤشرات غير مباشرة لكنها ذات دلالة، أهمها:</w:t>
      </w:r>
    </w:p>
    <w:p w14:paraId="6A2AC879"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الحضور المتزايد للذكاء الاصطناعي في الخطاب المؤسسي والمهني.</w:t>
      </w:r>
    </w:p>
    <w:p w14:paraId="0659AFF0"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lastRenderedPageBreak/>
        <w:t>توسع الإرشادات والسياسات الوطنية المنظمة للاستخدام المسؤول.</w:t>
      </w:r>
    </w:p>
    <w:p w14:paraId="39BF45D5"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تنامي النقاشات التطبيقية حول توظيف الذكاء الاصطناعي في التسويق والإعلام وصناعة المحتوى.</w:t>
      </w:r>
    </w:p>
    <w:p w14:paraId="79E6C65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sidRPr="00E04FE4">
        <w:rPr>
          <w:rFonts w:ascii="Simplified Arabic" w:hAnsi="Simplified Arabic" w:cs="Simplified Arabic"/>
        </w:rPr>
        <w:t>SDAIA, 2024</w:t>
      </w:r>
      <w:r w:rsidRPr="00E04FE4">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(رمضان، 2025).</w:t>
      </w:r>
    </w:p>
    <w:p w14:paraId="25538F6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1B2662D" w14:textId="77777777" w:rsidR="00E04FE4" w:rsidRPr="00E04FE4" w:rsidRDefault="00E04FE4" w:rsidP="00E04FE4">
      <w:pPr>
        <w:bidi/>
        <w:jc w:val="both"/>
        <w:rPr>
          <w:rFonts w:ascii="Simplified Arabic" w:hAnsi="Simplified Arabic" w:cs="Simplified Arabic"/>
          <w:b/>
          <w:bCs/>
          <w:rtl/>
        </w:rPr>
      </w:pPr>
      <w:r w:rsidRPr="00E04FE4">
        <w:rPr>
          <w:rFonts w:ascii="Simplified Arabic" w:hAnsi="Simplified Arabic" w:cs="Simplified Arabic"/>
          <w:b/>
          <w:bCs/>
          <w:rtl/>
        </w:rPr>
        <w:t>ثا</w:t>
      </w:r>
      <w:r w:rsidRPr="00E04FE4">
        <w:rPr>
          <w:rFonts w:ascii="Simplified Arabic" w:hAnsi="Simplified Arabic" w:cs="Simplified Arabic" w:hint="cs"/>
          <w:b/>
          <w:bCs/>
          <w:rtl/>
        </w:rPr>
        <w:t>لثاً</w:t>
      </w:r>
      <w:r w:rsidRPr="00E04FE4">
        <w:rPr>
          <w:rFonts w:ascii="Simplified Arabic" w:hAnsi="Simplified Arabic" w:cs="Simplified Arabic"/>
          <w:b/>
          <w:bCs/>
          <w:rtl/>
        </w:rPr>
        <w:t>: واقع التبني في المجال التسويقي والإعلامي بوصفه مؤشرًا على بيئة الوكالات</w:t>
      </w:r>
    </w:p>
    <w:p w14:paraId="04067F7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تعقيدًا ترتبط بتحليل البيانات والتكامل المؤسسي الأوسع (</w:t>
      </w:r>
      <w:r w:rsidRPr="00E04FE4">
        <w:rPr>
          <w:rFonts w:ascii="Simplified Arabic" w:hAnsi="Simplified Arabic" w:cs="Simplified Arabic"/>
        </w:rPr>
        <w:t>Kshetri et al., 2023</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p>
    <w:p w14:paraId="085433F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 xml:space="preserve">). كما أن دراسة </w:t>
      </w:r>
      <w:r w:rsidRPr="00E04FE4">
        <w:rPr>
          <w:rFonts w:ascii="Simplified Arabic" w:hAnsi="Simplified Arabic" w:cs="Simplified Arabic"/>
        </w:rPr>
        <w:t>Ben Khalifa et al</w:t>
      </w:r>
      <w:r w:rsidRPr="00E04FE4">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215A9F17"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المفيد هنا الإشارة إلى أن المجال الإعلامي السعودي والعربي—بحكم قربه من صناعة المحتوى—يمثل أيضًا مؤشرًا داعمًا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C9601B5" w14:textId="3A847841" w:rsidR="00E04FE4" w:rsidRPr="00E04FE4" w:rsidRDefault="00915B55" w:rsidP="00E04FE4">
      <w:pPr>
        <w:bidi/>
        <w:jc w:val="both"/>
        <w:rPr>
          <w:rFonts w:ascii="Simplified Arabic" w:hAnsi="Simplified Arabic" w:cs="Simplified Arabic"/>
          <w:b/>
          <w:bCs/>
          <w:rtl/>
        </w:rPr>
      </w:pPr>
      <w:r>
        <w:rPr>
          <w:rFonts w:ascii="Simplified Arabic" w:hAnsi="Simplified Arabic" w:cs="Simplified Arabic" w:hint="cs"/>
          <w:b/>
          <w:bCs/>
          <w:rtl/>
        </w:rPr>
        <w:t>رابعاً</w:t>
      </w:r>
      <w:r w:rsidR="00E04FE4" w:rsidRPr="00E04FE4">
        <w:rPr>
          <w:rFonts w:ascii="Simplified Arabic" w:hAnsi="Simplified Arabic" w:cs="Simplified Arabic"/>
          <w:b/>
          <w:bCs/>
          <w:rtl/>
        </w:rPr>
        <w:t>: فرص النمو في السوق المحلي وانعكاسها على الوكالات التسويقية</w:t>
      </w:r>
    </w:p>
    <w:p w14:paraId="11CC5A1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7A9F0C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1) نمو الطلب على التسويق الرقمي والمحتوى المتخصص</w:t>
      </w:r>
    </w:p>
    <w:p w14:paraId="7D88331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6D1C661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2) تصاعد أهمية التخصيص وتجربة العميل</w:t>
      </w:r>
    </w:p>
    <w:p w14:paraId="7585B335"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sidRPr="00E04FE4">
        <w:rPr>
          <w:rFonts w:ascii="Simplified Arabic" w:hAnsi="Simplified Arabic" w:cs="Simplified Arabic"/>
        </w:rPr>
        <w:t>Mendoza et al., 2025</w:t>
      </w:r>
      <w:r w:rsidRPr="00E04FE4">
        <w:rPr>
          <w:rFonts w:ascii="Simplified Arabic" w:hAnsi="Simplified Arabic" w:cs="Simplified Arabic"/>
          <w:rtl/>
        </w:rPr>
        <w:t>؛ رمضان، 2025). كما أن نتائج الدراسات المتعلقة بولاء العملاء الإلكتروني في السوق السعودي تدعم أهمية هذا المسار من زاوية المخرجات التسويقية طويلة الأثر (</w:t>
      </w:r>
      <w:r w:rsidRPr="00E04FE4">
        <w:rPr>
          <w:rFonts w:ascii="Simplified Arabic" w:hAnsi="Simplified Arabic" w:cs="Simplified Arabic"/>
        </w:rPr>
        <w:t>Beyari, 2025</w:t>
      </w:r>
      <w:r w:rsidRPr="00E04FE4">
        <w:rPr>
          <w:rFonts w:ascii="Simplified Arabic" w:hAnsi="Simplified Arabic" w:cs="Simplified Arabic"/>
          <w:rtl/>
        </w:rPr>
        <w:t>).</w:t>
      </w:r>
    </w:p>
    <w:p w14:paraId="2538E84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3) البيئة المؤسسية الداعمة للتحول الرقمي والذكاء الاصطناعي</w:t>
      </w:r>
    </w:p>
    <w:p w14:paraId="2DC449B5" w14:textId="07061CF3"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sidRPr="00E04FE4">
        <w:rPr>
          <w:rFonts w:ascii="Simplified Arabic" w:hAnsi="Simplified Arabic" w:cs="Simplified Arabic"/>
        </w:rPr>
        <w:t>SDAIA, 2024</w:t>
      </w:r>
      <w:r w:rsidRPr="00E04FE4">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4F4353C" w14:textId="77777777" w:rsidR="00915B55" w:rsidRPr="00915B55" w:rsidRDefault="00915B55" w:rsidP="00915B55">
      <w:pPr>
        <w:bidi/>
        <w:jc w:val="both"/>
        <w:rPr>
          <w:rFonts w:ascii="Simplified Arabic" w:hAnsi="Simplified Arabic" w:cs="Simplified Arabic"/>
          <w:rtl/>
        </w:rPr>
      </w:pPr>
    </w:p>
    <w:p w14:paraId="57AB4298" w14:textId="77777777" w:rsidR="00915B55" w:rsidRPr="00915B55" w:rsidRDefault="00915B55" w:rsidP="00915B55">
      <w:pPr>
        <w:bidi/>
        <w:spacing w:after="200" w:line="240" w:lineRule="auto"/>
        <w:rPr>
          <w:rFonts w:ascii="Simplified Arabic" w:hAnsi="Simplified Arabic" w:cs="Simplified Arabic"/>
          <w:b/>
          <w:bCs/>
          <w:rtl/>
        </w:rPr>
      </w:pPr>
      <w:r w:rsidRPr="00915B55">
        <w:rPr>
          <w:rFonts w:ascii="Sakkal Majalla" w:hAnsi="Sakkal Majalla" w:cs="Sakkal Majalla" w:hint="cs"/>
          <w:b/>
          <w:bCs/>
          <w:color w:val="1F497D" w:themeColor="text2"/>
          <w:sz w:val="32"/>
          <w:szCs w:val="32"/>
          <w:u w:val="single"/>
          <w:rtl/>
        </w:rPr>
        <w:t>ال</w:t>
      </w:r>
      <w:r w:rsidRPr="00915B55">
        <w:rPr>
          <w:rFonts w:ascii="Sakkal Majalla" w:hAnsi="Sakkal Majalla" w:cs="Sakkal Majalla"/>
          <w:b/>
          <w:bCs/>
          <w:color w:val="1F497D" w:themeColor="text2"/>
          <w:sz w:val="32"/>
          <w:szCs w:val="32"/>
          <w:u w:val="single"/>
          <w:rtl/>
        </w:rPr>
        <w:t>مبحث الثالث: أثر توظيف الذكاء الاصطناعي التوليدي في فعالية الأداء التسويقي</w:t>
      </w:r>
    </w:p>
    <w:p w14:paraId="6026AE8A"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المطلب الأول: مفهوم الأداء التسويقي ومؤشراته</w:t>
      </w:r>
    </w:p>
    <w:p w14:paraId="4702BE7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المدى القصير والطويل (</w:t>
      </w:r>
      <w:r w:rsidRPr="00915B55">
        <w:rPr>
          <w:rFonts w:ascii="Simplified Arabic" w:hAnsi="Simplified Arabic" w:cs="Simplified Arabic"/>
        </w:rPr>
        <w:t>Sharabati et al., 2024</w:t>
      </w:r>
      <w:r w:rsidRPr="00915B55">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4F52EA39"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sidRPr="00915B55">
        <w:rPr>
          <w:rFonts w:ascii="Simplified Arabic" w:hAnsi="Simplified Arabic" w:cs="Simplified Arabic"/>
        </w:rPr>
        <w:t>Kshetri et al., 2023</w:t>
      </w:r>
      <w:r w:rsidRPr="00915B55">
        <w:rPr>
          <w:rFonts w:ascii="Simplified Arabic" w:hAnsi="Simplified Arabic" w:cs="Simplified Arabic"/>
          <w:rtl/>
        </w:rPr>
        <w:t>).</w:t>
      </w:r>
    </w:p>
    <w:p w14:paraId="3AF06F9D"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تعريف الأداء التسويقي وأبرز مؤشرات قياسه</w:t>
      </w:r>
      <w:r w:rsidRPr="00915B55">
        <w:rPr>
          <w:rFonts w:ascii="Simplified Arabic" w:hAnsi="Simplified Arabic" w:cs="Simplified Arabic" w:hint="cs"/>
          <w:b/>
          <w:bCs/>
          <w:rtl/>
        </w:rPr>
        <w:t xml:space="preserve"> </w:t>
      </w:r>
    </w:p>
    <w:p w14:paraId="34F6AA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r w:rsidRPr="00915B55">
        <w:rPr>
          <w:rFonts w:ascii="Simplified Arabic" w:hAnsi="Simplified Arabic" w:cs="Simplified Arabic"/>
        </w:rPr>
        <w:t>Masnita et al., 2024</w:t>
      </w:r>
      <w:r w:rsidRPr="00915B55">
        <w:rPr>
          <w:rFonts w:ascii="Simplified Arabic" w:hAnsi="Simplified Arabic" w:cs="Simplified Arabic"/>
          <w:rtl/>
        </w:rPr>
        <w:t>).</w:t>
      </w:r>
    </w:p>
    <w:p w14:paraId="7606799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w:t>
      </w:r>
      <w:r w:rsidRPr="00915B55">
        <w:rPr>
          <w:rFonts w:ascii="Simplified Arabic" w:hAnsi="Simplified Arabic" w:cs="Simplified Arabic"/>
          <w:rtl/>
        </w:rPr>
        <w:lastRenderedPageBreak/>
        <w:t>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sidRPr="00915B55">
        <w:rPr>
          <w:rFonts w:ascii="Simplified Arabic" w:hAnsi="Simplified Arabic" w:cs="Simplified Arabic" w:hint="cs"/>
          <w:rtl/>
        </w:rPr>
        <w:t>، و</w:t>
      </w:r>
      <w:r w:rsidRPr="00915B55">
        <w:rPr>
          <w:rFonts w:ascii="Simplified Arabic" w:hAnsi="Simplified Arabic" w:cs="Simplified Arabic"/>
          <w:rtl/>
        </w:rPr>
        <w:t>يمكن تنظيم أبرز مؤشرات الأداء التسويقي في المؤشرات الآتية:</w:t>
      </w:r>
    </w:p>
    <w:p w14:paraId="717284D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حصة السوق</w:t>
      </w:r>
      <w:r w:rsidRPr="00915B55">
        <w:rPr>
          <w:rFonts w:ascii="Simplified Arabic" w:hAnsi="Simplified Arabic" w:cs="Simplified Arabic" w:hint="cs"/>
          <w:rtl/>
        </w:rPr>
        <w:t xml:space="preserve"> </w:t>
      </w:r>
    </w:p>
    <w:p w14:paraId="516026B8"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sidRPr="00915B55">
        <w:rPr>
          <w:rFonts w:ascii="Simplified Arabic" w:hAnsi="Simplified Arabic" w:cs="Simplified Arabic"/>
        </w:rPr>
        <w:t>Sharabati et al., 2024</w:t>
      </w:r>
      <w:r w:rsidRPr="00915B55">
        <w:rPr>
          <w:rFonts w:ascii="Simplified Arabic" w:hAnsi="Simplified Arabic" w:cs="Simplified Arabic"/>
          <w:rtl/>
        </w:rPr>
        <w:t>).</w:t>
      </w:r>
    </w:p>
    <w:p w14:paraId="70BA343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معدل التحويل</w:t>
      </w:r>
      <w:r w:rsidRPr="00915B55">
        <w:rPr>
          <w:rFonts w:ascii="Simplified Arabic" w:hAnsi="Simplified Arabic" w:cs="Simplified Arabic" w:hint="cs"/>
          <w:rtl/>
        </w:rPr>
        <w:t xml:space="preserve"> </w:t>
      </w:r>
    </w:p>
    <w:p w14:paraId="3272E85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sidRPr="00915B55">
        <w:rPr>
          <w:rFonts w:ascii="Simplified Arabic" w:hAnsi="Simplified Arabic" w:cs="Simplified Arabic"/>
        </w:rPr>
        <w:t>Islam et al., 2024</w:t>
      </w:r>
      <w:r w:rsidRPr="00915B55">
        <w:rPr>
          <w:rFonts w:ascii="Simplified Arabic" w:hAnsi="Simplified Arabic" w:cs="Simplified Arabic"/>
          <w:rtl/>
        </w:rPr>
        <w:t>).</w:t>
      </w:r>
    </w:p>
    <w:p w14:paraId="7D4940A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sidRPr="00915B55">
        <w:rPr>
          <w:rFonts w:ascii="Simplified Arabic" w:hAnsi="Simplified Arabic" w:cs="Simplified Arabic"/>
        </w:rPr>
        <w:t>Mendoza et al., 2025</w:t>
      </w:r>
      <w:r w:rsidRPr="00915B55">
        <w:rPr>
          <w:rFonts w:ascii="Simplified Arabic" w:hAnsi="Simplified Arabic" w:cs="Simplified Arabic"/>
          <w:rtl/>
        </w:rPr>
        <w:t>).</w:t>
      </w:r>
    </w:p>
    <w:p w14:paraId="7E43279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العائد على الاستثمار التسويقي</w:t>
      </w:r>
    </w:p>
    <w:p w14:paraId="715246F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7A12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رضا العملاء</w:t>
      </w:r>
      <w:r w:rsidRPr="00915B55">
        <w:rPr>
          <w:rFonts w:ascii="Simplified Arabic" w:hAnsi="Simplified Arabic" w:cs="Simplified Arabic" w:hint="cs"/>
          <w:rtl/>
        </w:rPr>
        <w:t xml:space="preserve"> </w:t>
      </w:r>
    </w:p>
    <w:p w14:paraId="723319C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رضا العملاء بُعدًا سلوكيًا/إدراكيًا مهمًا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التسويقية—خاصة في البيئة الرقمية—تسهم في تشكيله من خلال جودة المحتوى، وملاءمة الرسائل، وسهولة التفاعل، ووضوح القيمة المقدمة (</w:t>
      </w:r>
      <w:r w:rsidRPr="00915B55">
        <w:rPr>
          <w:rFonts w:ascii="Simplified Arabic" w:hAnsi="Simplified Arabic" w:cs="Simplified Arabic"/>
        </w:rPr>
        <w:t>Alotaibi &amp; Al Youbi, 2024</w:t>
      </w:r>
      <w:r w:rsidRPr="00915B55">
        <w:rPr>
          <w:rFonts w:ascii="Simplified Arabic" w:hAnsi="Simplified Arabic" w:cs="Simplified Arabic"/>
          <w:rtl/>
        </w:rPr>
        <w:t>).</w:t>
      </w:r>
    </w:p>
    <w:p w14:paraId="2D70D19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5) ولاء العملاء </w:t>
      </w:r>
      <w:r w:rsidRPr="00915B55">
        <w:rPr>
          <w:rFonts w:ascii="Simplified Arabic" w:hAnsi="Simplified Arabic" w:cs="Simplified Arabic" w:hint="cs"/>
          <w:rtl/>
        </w:rPr>
        <w:t xml:space="preserve"> </w:t>
      </w:r>
    </w:p>
    <w:p w14:paraId="5C266AA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sidRPr="00915B55">
        <w:rPr>
          <w:rFonts w:ascii="Simplified Arabic" w:hAnsi="Simplified Arabic" w:cs="Simplified Arabic"/>
        </w:rPr>
        <w:t>Beyari, 2025</w:t>
      </w:r>
      <w:r w:rsidRPr="00915B55">
        <w:rPr>
          <w:rFonts w:ascii="Simplified Arabic" w:hAnsi="Simplified Arabic" w:cs="Simplified Arabic"/>
          <w:rtl/>
        </w:rPr>
        <w:t>).</w:t>
      </w:r>
    </w:p>
    <w:p w14:paraId="48D62A63" w14:textId="77777777" w:rsid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sidRPr="00915B55">
        <w:rPr>
          <w:rFonts w:ascii="Simplified Arabic" w:hAnsi="Simplified Arabic" w:cs="Simplified Arabic"/>
        </w:rPr>
        <w:t>Wang et al., 2025</w:t>
      </w:r>
      <w:r w:rsidRPr="00915B55">
        <w:rPr>
          <w:rFonts w:ascii="Simplified Arabic" w:hAnsi="Simplified Arabic" w:cs="Simplified Arabic"/>
          <w:rtl/>
        </w:rPr>
        <w:t>).</w:t>
      </w:r>
    </w:p>
    <w:p w14:paraId="7F653A2A" w14:textId="77777777" w:rsidR="00915B55" w:rsidRPr="00915B55" w:rsidRDefault="00915B55" w:rsidP="00915B55">
      <w:pPr>
        <w:bidi/>
        <w:jc w:val="both"/>
        <w:rPr>
          <w:rFonts w:ascii="Simplified Arabic" w:hAnsi="Simplified Arabic" w:cs="Simplified Arabic"/>
          <w:rtl/>
        </w:rPr>
      </w:pPr>
    </w:p>
    <w:p w14:paraId="5B24E7C3"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المطلب الثاني: أبعاد الأداء التسويقي في البيئة الرقمية</w:t>
      </w:r>
    </w:p>
    <w:p w14:paraId="31DC0ED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تناول أبعاد الأداء التسويقي في البيئة الرقمية ضمن بناء تحليلي متكامل يجمع بين البعد التشغيلي، والبعد التفاعلي/السلوكي، والبعد الاقتصادي/النتائجي، والبعد العلاقاتي طويل الأجل.</w:t>
      </w:r>
    </w:p>
    <w:p w14:paraId="62321044"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أولًا: البعد التشغيلي للأداء التسويقي الرقمي</w:t>
      </w:r>
    </w:p>
    <w:p w14:paraId="35A6E97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sidRPr="00915B55">
        <w:rPr>
          <w:rFonts w:ascii="Simplified Arabic" w:hAnsi="Simplified Arabic" w:cs="Simplified Arabic"/>
        </w:rPr>
        <w:t>Heitmann, 2024</w:t>
      </w:r>
      <w:r w:rsidRPr="00915B55">
        <w:rPr>
          <w:rFonts w:ascii="Simplified Arabic" w:hAnsi="Simplified Arabic" w:cs="Simplified Arabic"/>
          <w:rtl/>
        </w:rPr>
        <w:t>).</w:t>
      </w:r>
    </w:p>
    <w:p w14:paraId="5F56D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الناحية التطبيقية، يُقاس هذا البعد في التسويق الرقمي بمؤشرات تشغيلية مثل:</w:t>
      </w:r>
    </w:p>
    <w:p w14:paraId="22A01341"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زمن إنتاج المحتوى أو تجهيز الحملة.</w:t>
      </w:r>
    </w:p>
    <w:p w14:paraId="720F70AA"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سرعة الاستجابة للتعديلات أثناء التنفيذ.</w:t>
      </w:r>
    </w:p>
    <w:p w14:paraId="5562119C"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عدد البدائل الإبداعية التي يمكن إنتاجها واختبارها ضمن إطار زمني محدد.</w:t>
      </w:r>
    </w:p>
    <w:p w14:paraId="2E4A5E39"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معدل الالتزام بخطة النشر والتنفيذ عبر القنوات.</w:t>
      </w:r>
    </w:p>
    <w:p w14:paraId="760D6E4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4D3F49"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ثانيًا: البعد التفاعلي والسلوكي في البيئة الرقمية</w:t>
      </w:r>
    </w:p>
    <w:p w14:paraId="3A81C01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sidRPr="00915B55">
        <w:rPr>
          <w:rFonts w:ascii="Simplified Arabic" w:hAnsi="Simplified Arabic" w:cs="Simplified Arabic"/>
        </w:rPr>
        <w:t>Islam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ويشمل هذا البعد مؤشرات مثل:</w:t>
      </w:r>
    </w:p>
    <w:p w14:paraId="1EB313D7"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معدلات التفاعل مع المحتوى (مثل النقر، المشاركة، التعليق، الحفظ بحسب طبيعة المنصة).</w:t>
      </w:r>
    </w:p>
    <w:p w14:paraId="570CDEA5"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 التحويل إلى السلوك المستهدف (شراء، تسجيل، طلب خدمة، تعبئة نموذج).</w:t>
      </w:r>
    </w:p>
    <w:p w14:paraId="23C63AFB"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معدلات الاستجابة للعروض أو الرسائل المخصصة.</w:t>
      </w:r>
    </w:p>
    <w:p w14:paraId="06D17D43"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lastRenderedPageBreak/>
        <w:t>مؤشرات جودة التفاعل (مثل عمق التفاعل أو استمراريته، بحسب ما تتيحه المنصة).</w:t>
      </w:r>
    </w:p>
    <w:p w14:paraId="2DBF3128"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sidRPr="00915B55">
        <w:rPr>
          <w:rFonts w:ascii="Simplified Arabic" w:hAnsi="Simplified Arabic" w:cs="Simplified Arabic"/>
        </w:rPr>
        <w:t>Mendoza et al., 2025</w:t>
      </w:r>
      <w:r w:rsidRPr="00915B55">
        <w:rPr>
          <w:rFonts w:ascii="Simplified Arabic" w:hAnsi="Simplified Arabic" w:cs="Simplified Arabic"/>
          <w:rtl/>
        </w:rPr>
        <w:t xml:space="preserve">؛ </w:t>
      </w:r>
      <w:r w:rsidRPr="00915B55">
        <w:rPr>
          <w:rFonts w:ascii="Simplified Arabic" w:hAnsi="Simplified Arabic" w:cs="Simplified Arabic"/>
        </w:rPr>
        <w:t>Wang et al., 2025</w:t>
      </w:r>
      <w:r w:rsidRPr="00915B55">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1ACD9FC1"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ثالثًا: البعد الاقتصادي والنتائجي للأداء التسويقي</w:t>
      </w:r>
    </w:p>
    <w:p w14:paraId="5D7668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sidRPr="00915B55">
        <w:rPr>
          <w:rFonts w:ascii="Simplified Arabic" w:hAnsi="Simplified Arabic" w:cs="Simplified Arabic"/>
        </w:rPr>
        <w:t>Sharabati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وفي التسويق الرقمي، يتجسد هذا البعد غالبًا عبر مؤشرات من أبرزها:</w:t>
      </w:r>
    </w:p>
    <w:p w14:paraId="22A281AB"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العائد على الاستثمار التسويقي (</w:t>
      </w:r>
      <w:r w:rsidRPr="00915B55">
        <w:rPr>
          <w:rFonts w:ascii="Simplified Arabic" w:hAnsi="Simplified Arabic" w:cs="Simplified Arabic"/>
        </w:rPr>
        <w:t>Marketing ROI</w:t>
      </w:r>
      <w:r w:rsidRPr="00915B55">
        <w:rPr>
          <w:rFonts w:ascii="Simplified Arabic" w:hAnsi="Simplified Arabic" w:cs="Simplified Arabic"/>
          <w:rtl/>
        </w:rPr>
        <w:t>): لقياس مردود الحملات مقارنة بالتكلفة.</w:t>
      </w:r>
    </w:p>
    <w:p w14:paraId="4F552F3F"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تكلفة التحويل أو تكلفة اكتساب العميل (بحسب طبيعة النشاط وبيانات القياس المتاحة).</w:t>
      </w:r>
    </w:p>
    <w:p w14:paraId="12027196"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مساهمة الحملات في نمو المبيعات أو الطلبات خلال فترة زمنية محددة.</w:t>
      </w:r>
    </w:p>
    <w:p w14:paraId="02CC37FA"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تحسن كفاءة الإنفاق الإعلاني عبر مقارنة نتائج القنوات أو الرسائل المختلفة.</w:t>
      </w:r>
    </w:p>
    <w:p w14:paraId="6F8C12F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sidRPr="00915B55">
        <w:rPr>
          <w:rFonts w:ascii="Simplified Arabic" w:hAnsi="Simplified Arabic" w:cs="Simplified Arabic"/>
        </w:rPr>
        <w:t>Kshetri et al., 2023</w:t>
      </w:r>
      <w:r w:rsidRPr="00915B55">
        <w:rPr>
          <w:rFonts w:ascii="Simplified Arabic" w:hAnsi="Simplified Arabic" w:cs="Simplified Arabic"/>
          <w:rtl/>
        </w:rPr>
        <w:t xml:space="preserve">؛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6BBF65F7"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رابعًا: البعد العلاقاتي طويل الأجل</w:t>
      </w:r>
    </w:p>
    <w:p w14:paraId="28B7B15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sidRPr="00915B55">
        <w:rPr>
          <w:rFonts w:ascii="Simplified Arabic" w:hAnsi="Simplified Arabic" w:cs="Simplified Arabic"/>
        </w:rPr>
        <w:t>Beyari,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ويُقاس هذا البعد من خلال مؤشرات مثل:</w:t>
      </w:r>
    </w:p>
    <w:p w14:paraId="2A1B0CC8"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رضا العملاء عن التجربة الاتصالية أو التسويقية.</w:t>
      </w:r>
    </w:p>
    <w:p w14:paraId="6AC614A5"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مؤشرات الولاء (مثل تكرار التعامل أو الاستمرار في التفاعل).</w:t>
      </w:r>
    </w:p>
    <w:p w14:paraId="4C12DC6D"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الميل إلى التوصية بالعلامة التجارية أو تفضيلها.</w:t>
      </w:r>
    </w:p>
    <w:p w14:paraId="0A9F1D63"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مؤشرات الاحتفاظ بالعملاء (بحسب طبيعة القطاع والبيانات المتاحة).</w:t>
      </w:r>
    </w:p>
    <w:p w14:paraId="1537260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w:t>
      </w:r>
      <w:r w:rsidRPr="00915B55">
        <w:rPr>
          <w:rFonts w:ascii="Simplified Arabic" w:hAnsi="Simplified Arabic" w:cs="Simplified Arabic"/>
          <w:rtl/>
        </w:rPr>
        <w:lastRenderedPageBreak/>
        <w:t>التواصل تؤثر في تشكيل الثقة والاستجابة طويلة الأجل، وهو ما يمنح هذا البعد أهمية خاصة عند مناقشة أثر التطبيقات الذكية والتوليدية في التسويق (</w:t>
      </w:r>
      <w:r w:rsidRPr="00915B55">
        <w:rPr>
          <w:rFonts w:ascii="Simplified Arabic" w:hAnsi="Simplified Arabic" w:cs="Simplified Arabic"/>
        </w:rPr>
        <w:t>Wang et al., 2025</w:t>
      </w:r>
      <w:r w:rsidRPr="00915B55">
        <w:rPr>
          <w:rFonts w:ascii="Simplified Arabic" w:hAnsi="Simplified Arabic" w:cs="Simplified Arabic"/>
          <w:rtl/>
        </w:rPr>
        <w:t>).</w:t>
      </w:r>
    </w:p>
    <w:p w14:paraId="7FB988F7"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خصائص قياس الأداء التسويقي في البيئة الرقمية</w:t>
      </w:r>
    </w:p>
    <w:p w14:paraId="0BC86A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2299A4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السرعة والتتابع الزمني للنتائج</w:t>
      </w:r>
    </w:p>
    <w:p w14:paraId="7B5726F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Beyari, 2025</w:t>
      </w:r>
      <w:r w:rsidRPr="00915B55">
        <w:rPr>
          <w:rFonts w:ascii="Simplified Arabic" w:hAnsi="Simplified Arabic" w:cs="Simplified Arabic"/>
          <w:rtl/>
        </w:rPr>
        <w:t>).</w:t>
      </w:r>
    </w:p>
    <w:p w14:paraId="59800DFB"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كثافة البيانات وتعدد المؤشرات</w:t>
      </w:r>
    </w:p>
    <w:p w14:paraId="20A52E1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r w:rsidRPr="00915B55">
        <w:rPr>
          <w:rFonts w:ascii="Simplified Arabic" w:hAnsi="Simplified Arabic" w:cs="Simplified Arabic"/>
        </w:rPr>
        <w:t>Masnita et al., 2024</w:t>
      </w:r>
      <w:r w:rsidRPr="00915B55">
        <w:rPr>
          <w:rFonts w:ascii="Simplified Arabic" w:hAnsi="Simplified Arabic" w:cs="Simplified Arabic"/>
          <w:rtl/>
        </w:rPr>
        <w:t>).</w:t>
      </w:r>
    </w:p>
    <w:p w14:paraId="7BE56B3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ترابط الأبعاد وعدم كفاية المؤشر الواحد</w:t>
      </w:r>
    </w:p>
    <w:p w14:paraId="2B4EE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sidRPr="00915B55">
        <w:rPr>
          <w:rFonts w:ascii="Simplified Arabic" w:hAnsi="Simplified Arabic" w:cs="Simplified Arabic" w:hint="cs"/>
          <w:rtl/>
        </w:rPr>
        <w:t xml:space="preserve"> </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hint="cs"/>
          <w:rtl/>
        </w:rPr>
        <w:t>).</w:t>
      </w:r>
    </w:p>
    <w:p w14:paraId="0E1DB68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حساسية القياس لجودة التخصيص والمحتوى</w:t>
      </w:r>
    </w:p>
    <w:p w14:paraId="24EFED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w:t>
      </w:r>
    </w:p>
    <w:p w14:paraId="238570E2" w14:textId="77777777" w:rsidR="00915B55" w:rsidRPr="00915B55" w:rsidRDefault="00915B55" w:rsidP="00915B55">
      <w:pPr>
        <w:bidi/>
        <w:jc w:val="both"/>
        <w:rPr>
          <w:rFonts w:ascii="Simplified Arabic" w:hAnsi="Simplified Arabic" w:cs="Simplified Arabic"/>
          <w:rtl/>
        </w:rPr>
      </w:pPr>
    </w:p>
    <w:p w14:paraId="51486505"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b/>
          <w:bCs/>
          <w:rtl/>
        </w:rPr>
        <w:t>المطلب الثالث: العلاقة بين الذكاء الاصطناعي التوليدي والأداء التسويقي</w:t>
      </w:r>
    </w:p>
    <w:p w14:paraId="61583F44"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hint="cs"/>
          <w:b/>
          <w:bCs/>
          <w:rtl/>
        </w:rPr>
        <w:t xml:space="preserve">أولاً: توضيح مسارات </w:t>
      </w:r>
      <w:r w:rsidRPr="00915B55">
        <w:rPr>
          <w:rFonts w:ascii="Simplified Arabic" w:hAnsi="Simplified Arabic" w:cs="Simplified Arabic"/>
          <w:b/>
          <w:bCs/>
          <w:rtl/>
        </w:rPr>
        <w:t>أثر الذكاء الاصطناعي التوليدي في فعالية الأداء التسويقي</w:t>
      </w:r>
    </w:p>
    <w:p w14:paraId="117FF45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74CE53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مسار التوليد الإبداعي للمحتوى،</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التخصيص والاستهداف،</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التحليل والتحسين المستمر للقرارات.</w:t>
      </w:r>
    </w:p>
    <w:p w14:paraId="2A6252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sidRPr="00915B55">
        <w:rPr>
          <w:rFonts w:ascii="Simplified Arabic" w:hAnsi="Simplified Arabic" w:cs="Simplified Arabic"/>
        </w:rPr>
        <w:t>Islam et al., 2024</w:t>
      </w:r>
      <w:r w:rsidRPr="00915B55">
        <w:rPr>
          <w:rFonts w:ascii="Simplified Arabic" w:hAnsi="Simplified Arabic" w:cs="Simplified Arabic"/>
          <w:rtl/>
        </w:rPr>
        <w:t>).</w:t>
      </w:r>
    </w:p>
    <w:p w14:paraId="18F2F9C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Pr>
        <w:lastRenderedPageBreak/>
        <w:t>1</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التوليد الإبداعي للمحتوى وأثره في فعالية الأداء</w:t>
      </w:r>
    </w:p>
    <w:p w14:paraId="3C64B8C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sidRPr="00915B55">
        <w:rPr>
          <w:rFonts w:ascii="Simplified Arabic" w:hAnsi="Simplified Arabic" w:cs="Simplified Arabic"/>
        </w:rPr>
        <w:t>Heitmann, 2024</w:t>
      </w:r>
      <w:r w:rsidRPr="00915B55">
        <w:rPr>
          <w:rFonts w:ascii="Simplified Arabic" w:hAnsi="Simplified Arabic" w:cs="Simplified Arabic"/>
          <w:rtl/>
        </w:rPr>
        <w:t xml:space="preserve">؛ </w:t>
      </w:r>
      <w:r w:rsidRPr="00915B55">
        <w:rPr>
          <w:rFonts w:ascii="Simplified Arabic" w:hAnsi="Simplified Arabic" w:cs="Simplified Arabic"/>
        </w:rPr>
        <w:t>Gujar &amp; Panyam, 2024</w:t>
      </w:r>
      <w:r w:rsidRPr="00915B55">
        <w:rPr>
          <w:rFonts w:ascii="Simplified Arabic" w:hAnsi="Simplified Arabic" w:cs="Simplified Arabic"/>
          <w:rtl/>
        </w:rPr>
        <w:t>).</w:t>
      </w:r>
    </w:p>
    <w:p w14:paraId="7F10BB2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r w:rsidRPr="00915B55">
        <w:rPr>
          <w:rFonts w:ascii="Simplified Arabic" w:hAnsi="Simplified Arabic" w:cs="Simplified Arabic"/>
        </w:rPr>
        <w:t>Kshetri et al., 2023</w:t>
      </w:r>
      <w:r w:rsidRPr="00915B55">
        <w:rPr>
          <w:rFonts w:ascii="Simplified Arabic" w:hAnsi="Simplified Arabic" w:cs="Simplified Arabic"/>
          <w:rtl/>
        </w:rPr>
        <w:t>).</w:t>
      </w:r>
    </w:p>
    <w:p w14:paraId="3FE978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sidRPr="00915B55">
        <w:rPr>
          <w:rFonts w:ascii="Simplified Arabic" w:hAnsi="Simplified Arabic" w:cs="Simplified Arabic"/>
        </w:rPr>
        <w:t>IAB Tech Lab, 2024</w:t>
      </w:r>
      <w:r w:rsidRPr="00915B55">
        <w:rPr>
          <w:rFonts w:ascii="Simplified Arabic" w:hAnsi="Simplified Arabic" w:cs="Simplified Arabic"/>
          <w:rtl/>
        </w:rPr>
        <w:t xml:space="preserve">؛ </w:t>
      </w:r>
      <w:r w:rsidRPr="00915B55">
        <w:rPr>
          <w:rFonts w:ascii="Simplified Arabic" w:hAnsi="Simplified Arabic" w:cs="Simplified Arabic"/>
        </w:rPr>
        <w:t>Heitmann, 2024</w:t>
      </w:r>
      <w:r w:rsidRPr="00915B55">
        <w:rPr>
          <w:rFonts w:ascii="Simplified Arabic" w:hAnsi="Simplified Arabic" w:cs="Simplified Arabic"/>
          <w:rtl/>
        </w:rPr>
        <w:t>).</w:t>
      </w:r>
    </w:p>
    <w:p w14:paraId="7ACF06C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2. </w:t>
      </w:r>
      <w:r w:rsidRPr="00915B55">
        <w:rPr>
          <w:rFonts w:ascii="Simplified Arabic" w:hAnsi="Simplified Arabic" w:cs="Simplified Arabic"/>
          <w:rtl/>
        </w:rPr>
        <w:t>مسار التخصيص الدقيق للرسائل وتحسين الاستهداف</w:t>
      </w:r>
    </w:p>
    <w:p w14:paraId="73452071"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أن الذكاء الاصطناعي التوليدي يتيح إنتاج نسخ متعددة من الرسائل التسويقية بسرعة وكفاءة، مع إمكان تكييف الصياغة والأسلوب والعرض بحسب خصائص الشرائح المختلفة والمنصات الرقمية المتنوعة (</w:t>
      </w:r>
      <w:r w:rsidRPr="00915B55">
        <w:rPr>
          <w:rFonts w:ascii="Simplified Arabic" w:hAnsi="Simplified Arabic" w:cs="Simplified Arabic"/>
        </w:rPr>
        <w:t>Mendoza et al., 2025</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rtl/>
        </w:rPr>
        <w:t>).</w:t>
      </w:r>
    </w:p>
    <w:p w14:paraId="3DFA88F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w:t>
      </w:r>
      <w:r w:rsidRPr="00915B55">
        <w:rPr>
          <w:rFonts w:ascii="Simplified Arabic" w:hAnsi="Simplified Arabic" w:cs="Simplified Arabic"/>
        </w:rPr>
        <w:t>Wang et al., 2025</w:t>
      </w:r>
      <w:r w:rsidRPr="00915B55">
        <w:rPr>
          <w:rFonts w:ascii="Simplified Arabic" w:hAnsi="Simplified Arabic" w:cs="Simplified Arabic"/>
          <w:rtl/>
        </w:rPr>
        <w:t>).</w:t>
      </w:r>
    </w:p>
    <w:p w14:paraId="4F650D39"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 الهيئة السعودية للبيانات والذكاء الاصطناعي [سدايا]، 2024).</w:t>
      </w:r>
    </w:p>
    <w:p w14:paraId="72B924F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ومع ذلك، فإن أثر التخصيص في الأداء لا يكون إيجابيًا تلقائيًا؛ إذ يعتمد على جودة البيانات، ودقة فهم الشرائح، وحسن صياغة الأوامر، ومراجعة المخرجات قبل النشر، حتى لا يتحول التخصيص إلى رسائل شكلية أو غير مناسبة (</w:t>
      </w:r>
      <w:r w:rsidRPr="00915B55">
        <w:rPr>
          <w:rFonts w:ascii="Simplified Arabic" w:hAnsi="Simplified Arabic" w:cs="Simplified Arabic"/>
        </w:rPr>
        <w:t>SDAIA, 2024</w:t>
      </w:r>
      <w:r w:rsidRPr="00915B55">
        <w:rPr>
          <w:rFonts w:ascii="Simplified Arabic" w:hAnsi="Simplified Arabic" w:cs="Simplified Arabic"/>
          <w:rtl/>
        </w:rPr>
        <w:t>).</w:t>
      </w:r>
    </w:p>
    <w:p w14:paraId="43CBE8B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3. </w:t>
      </w:r>
      <w:r w:rsidRPr="00915B55">
        <w:rPr>
          <w:rFonts w:ascii="Simplified Arabic" w:hAnsi="Simplified Arabic" w:cs="Simplified Arabic"/>
          <w:rtl/>
        </w:rPr>
        <w:t>مسار التحليل والتحسين المستمر للقرارات أثناء الحملة</w:t>
      </w:r>
    </w:p>
    <w:p w14:paraId="00AC0F0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Doshi et al., 2025</w:t>
      </w:r>
      <w:r w:rsidRPr="00915B55">
        <w:rPr>
          <w:rFonts w:ascii="Simplified Arabic" w:hAnsi="Simplified Arabic" w:cs="Simplified Arabic"/>
          <w:rtl/>
        </w:rPr>
        <w:t>).</w:t>
      </w:r>
    </w:p>
    <w:p w14:paraId="63CA134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Wang et al., 2025</w:t>
      </w:r>
      <w:r w:rsidRPr="00915B55">
        <w:rPr>
          <w:rFonts w:ascii="Simplified Arabic" w:hAnsi="Simplified Arabic" w:cs="Simplified Arabic"/>
          <w:rtl/>
        </w:rPr>
        <w:t>).</w:t>
      </w:r>
    </w:p>
    <w:p w14:paraId="5A52756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w:t>
      </w:r>
      <w:r w:rsidRPr="00915B55">
        <w:rPr>
          <w:rFonts w:ascii="Simplified Arabic" w:hAnsi="Simplified Arabic" w:cs="Simplified Arabic"/>
        </w:rPr>
        <w:t>Nguyen et al., 2025</w:t>
      </w:r>
      <w:r w:rsidRPr="00915B55">
        <w:rPr>
          <w:rFonts w:ascii="Simplified Arabic" w:hAnsi="Simplified Arabic" w:cs="Simplified Arabic"/>
          <w:rtl/>
        </w:rPr>
        <w:t>). وبغير هذا التنظيم، قد تزداد سرعة إنتاج البدائل دون أن يتحسن القرار فعليًا أو دون أن تظهر قيمة واضحة على مستوى الأداء.</w:t>
      </w:r>
    </w:p>
    <w:p w14:paraId="286F5B05" w14:textId="77777777" w:rsidR="00915B55" w:rsidRPr="00915B55" w:rsidRDefault="00915B55" w:rsidP="00915B55">
      <w:pPr>
        <w:bidi/>
        <w:jc w:val="both"/>
        <w:rPr>
          <w:rFonts w:ascii="Simplified Arabic" w:hAnsi="Simplified Arabic" w:cs="Simplified Arabic"/>
          <w:b/>
          <w:bCs/>
          <w:rtl/>
        </w:rPr>
      </w:pPr>
      <w:r w:rsidRPr="00915B55">
        <w:rPr>
          <w:rFonts w:ascii="Simplified Arabic" w:hAnsi="Simplified Arabic" w:cs="Simplified Arabic" w:hint="cs"/>
          <w:b/>
          <w:bCs/>
          <w:rtl/>
        </w:rPr>
        <w:t xml:space="preserve">ثانياً: </w:t>
      </w:r>
      <w:r w:rsidRPr="00915B55">
        <w:rPr>
          <w:rFonts w:ascii="Simplified Arabic" w:hAnsi="Simplified Arabic" w:cs="Simplified Arabic"/>
          <w:b/>
          <w:bCs/>
          <w:rtl/>
        </w:rPr>
        <w:t>ذكر نماذج أو نظريات داعمة مع إبراز أثر الذكاء الاصطناعي على الكفاءة والإبداع</w:t>
      </w:r>
    </w:p>
    <w:p w14:paraId="53039DC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تساعد على تنظيم مسارات الأثر</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Wang et al., 2025</w:t>
      </w:r>
      <w:r w:rsidRPr="00915B55">
        <w:rPr>
          <w:rFonts w:ascii="Simplified Arabic" w:hAnsi="Simplified Arabic" w:cs="Simplified Arabic"/>
          <w:rtl/>
        </w:rPr>
        <w:t>).</w:t>
      </w:r>
    </w:p>
    <w:p w14:paraId="4CC9397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منطق “القيمة التسويقية المتولدة” من الذكاء الاصطناعي</w:t>
      </w:r>
    </w:p>
    <w:p w14:paraId="5EAE06A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وتنسجم هذه الفكرة مع ما تعرضه تقارير </w:t>
      </w:r>
      <w:r w:rsidRPr="00915B55">
        <w:rPr>
          <w:rFonts w:ascii="Simplified Arabic" w:hAnsi="Simplified Arabic" w:cs="Simplified Arabic"/>
        </w:rPr>
        <w:t>Nuremberg Institute for Market Decisions</w:t>
      </w:r>
      <w:r w:rsidRPr="00915B55">
        <w:rPr>
          <w:rFonts w:ascii="Simplified Arabic" w:hAnsi="Simplified Arabic" w:cs="Simplified Arabic"/>
          <w:rtl/>
        </w:rPr>
        <w:t xml:space="preserve"> (2024) حول خلق قيمة تسويقية باستخدام الذكاء الاصطناعي التوليدي، حيث يظهر الأثر عندما يُوظف الذكاء الاصطناعي ضمن منطق إنتاجي/تحسيني منظم، لا كحل تجريبي معزول.</w:t>
      </w:r>
    </w:p>
    <w:p w14:paraId="5541597B"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w:t>
      </w:r>
    </w:p>
    <w:p w14:paraId="47129B59" w14:textId="77777777" w:rsidR="00915B55" w:rsidRPr="00915B55" w:rsidRDefault="00915B55" w:rsidP="00915B55">
      <w:pPr>
        <w:numPr>
          <w:ilvl w:val="0"/>
          <w:numId w:val="72"/>
        </w:numPr>
        <w:bidi/>
        <w:jc w:val="both"/>
        <w:rPr>
          <w:rFonts w:ascii="Simplified Arabic" w:hAnsi="Simplified Arabic" w:cs="Simplified Arabic"/>
          <w:rtl/>
        </w:rPr>
      </w:pPr>
      <w:r w:rsidRPr="00915B55">
        <w:rPr>
          <w:rFonts w:ascii="Simplified Arabic" w:hAnsi="Simplified Arabic" w:cs="Simplified Arabic"/>
          <w:rtl/>
        </w:rPr>
        <w:t>عبر تحسين الكفاءة في إنتاج المحتوى وإدارته</w:t>
      </w:r>
      <w:r w:rsidRPr="00915B55">
        <w:rPr>
          <w:rFonts w:ascii="Simplified Arabic" w:hAnsi="Simplified Arabic" w:cs="Simplified Arabic" w:hint="cs"/>
          <w:rtl/>
        </w:rPr>
        <w:t>.</w:t>
      </w:r>
    </w:p>
    <w:p w14:paraId="2FDE931A" w14:textId="77777777" w:rsidR="00915B55" w:rsidRPr="00915B55" w:rsidRDefault="00915B55" w:rsidP="00915B55">
      <w:pPr>
        <w:numPr>
          <w:ilvl w:val="0"/>
          <w:numId w:val="72"/>
        </w:numPr>
        <w:bidi/>
        <w:jc w:val="both"/>
        <w:rPr>
          <w:rFonts w:ascii="Simplified Arabic" w:hAnsi="Simplified Arabic" w:cs="Simplified Arabic"/>
          <w:rtl/>
        </w:rPr>
      </w:pPr>
      <w:r w:rsidRPr="00915B55">
        <w:rPr>
          <w:rFonts w:ascii="Simplified Arabic" w:hAnsi="Simplified Arabic" w:cs="Simplified Arabic"/>
          <w:rtl/>
        </w:rPr>
        <w:t>وعبر تعزيز الإبداع العملي من خلال توسيع البدائل</w:t>
      </w:r>
      <w:r w:rsidRPr="00915B55">
        <w:rPr>
          <w:rFonts w:ascii="Simplified Arabic" w:hAnsi="Simplified Arabic" w:cs="Simplified Arabic" w:hint="cs"/>
          <w:rtl/>
        </w:rPr>
        <w:t>.</w:t>
      </w:r>
    </w:p>
    <w:p w14:paraId="08BE2A42" w14:textId="77777777" w:rsidR="00915B55" w:rsidRPr="00915B55" w:rsidRDefault="00915B55" w:rsidP="00915B55">
      <w:pPr>
        <w:numPr>
          <w:ilvl w:val="0"/>
          <w:numId w:val="72"/>
        </w:numPr>
        <w:bidi/>
        <w:jc w:val="both"/>
        <w:rPr>
          <w:rFonts w:ascii="Simplified Arabic" w:hAnsi="Simplified Arabic" w:cs="Simplified Arabic"/>
          <w:rtl/>
        </w:rPr>
      </w:pPr>
      <w:r w:rsidRPr="00915B55">
        <w:rPr>
          <w:rFonts w:ascii="Simplified Arabic" w:hAnsi="Simplified Arabic" w:cs="Simplified Arabic"/>
          <w:rtl/>
        </w:rPr>
        <w:t>وعبر رفع جودة التخصيص بما يخدم التفاعل والتحويل.</w:t>
      </w:r>
    </w:p>
    <w:p w14:paraId="0267E95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منطق التبني–الدمج–الأثر في فرق التسويق</w:t>
      </w:r>
    </w:p>
    <w:p w14:paraId="676F6D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sidRPr="00915B55">
        <w:rPr>
          <w:rFonts w:ascii="Simplified Arabic" w:hAnsi="Simplified Arabic" w:cs="Simplified Arabic"/>
        </w:rPr>
        <w:t>Nguyen et al., 2025</w:t>
      </w:r>
      <w:r w:rsidRPr="00915B55">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38C49DC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69E59CD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منطق الثقة/التجربة في تفسير الاستجابة للمخرجات الذكية</w:t>
      </w:r>
    </w:p>
    <w:p w14:paraId="28BF54E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رغم أن بعض الأدبيات مثل </w:t>
      </w:r>
      <w:r w:rsidRPr="00915B55">
        <w:rPr>
          <w:rFonts w:ascii="Simplified Arabic" w:hAnsi="Simplified Arabic" w:cs="Simplified Arabic"/>
        </w:rPr>
        <w:t>Ameen et al</w:t>
      </w:r>
      <w:r w:rsidRPr="00915B55">
        <w:rPr>
          <w:rFonts w:ascii="Simplified Arabic" w:hAnsi="Simplified Arabic" w:cs="Simplified Arabic" w:hint="cs"/>
          <w:rtl/>
        </w:rPr>
        <w:t xml:space="preserve"> </w:t>
      </w:r>
      <w:r w:rsidRPr="00915B55">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sidRPr="00915B55">
        <w:rPr>
          <w:rFonts w:ascii="Simplified Arabic" w:hAnsi="Simplified Arabic" w:cs="Simplified Arabic"/>
        </w:rPr>
        <w:t>Ameen et al., 2021</w:t>
      </w:r>
      <w:r w:rsidRPr="00915B55">
        <w:rPr>
          <w:rFonts w:ascii="Simplified Arabic" w:hAnsi="Simplified Arabic" w:cs="Simplified Arabic"/>
          <w:rtl/>
        </w:rPr>
        <w:t xml:space="preserve">؛ </w:t>
      </w:r>
      <w:r w:rsidRPr="00915B55">
        <w:rPr>
          <w:rFonts w:ascii="Simplified Arabic" w:hAnsi="Simplified Arabic" w:cs="Simplified Arabic"/>
        </w:rPr>
        <w:t>Wang et al.,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2E064325" w14:textId="77777777" w:rsidR="00A20BAB" w:rsidRPr="00A20BAB" w:rsidRDefault="00A20BAB" w:rsidP="00A20BAB">
      <w:pPr>
        <w:bidi/>
        <w:rPr>
          <w:rFonts w:ascii="Simplified Arabic" w:hAnsi="Simplified Arabic" w:cs="Simplified Arabic"/>
          <w:rtl/>
        </w:rPr>
      </w:pPr>
    </w:p>
    <w:p w14:paraId="2D5C99FC" w14:textId="3457DF6C"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الدراسات ال</w:t>
      </w:r>
      <w:r w:rsidR="000343D5">
        <w:rPr>
          <w:rFonts w:ascii="Sakkal Majalla" w:hAnsi="Sakkal Majalla" w:cs="Sakkal Majalla" w:hint="cs"/>
          <w:b/>
          <w:bCs/>
          <w:color w:val="00B0F0"/>
          <w:sz w:val="32"/>
          <w:szCs w:val="32"/>
          <w:u w:val="single"/>
          <w:rtl/>
        </w:rPr>
        <w:t>سابقة</w:t>
      </w:r>
      <w:r w:rsidRPr="004F1607">
        <w:rPr>
          <w:rFonts w:ascii="Sakkal Majalla" w:hAnsi="Sakkal Majalla" w:cs="Sakkal Majalla"/>
          <w:b/>
          <w:bCs/>
          <w:color w:val="00B0F0"/>
          <w:sz w:val="32"/>
          <w:szCs w:val="32"/>
          <w:u w:val="single"/>
          <w:rtl/>
        </w:rPr>
        <w:t>:</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sidRPr="00675F33">
        <w:rPr>
          <w:rFonts w:ascii="Sakkal Majalla" w:hAnsi="Sakkal Majalla" w:cs="Sakkal Majalla"/>
          <w:b/>
          <w:bCs/>
          <w:color w:val="1F497D" w:themeColor="text2"/>
          <w:sz w:val="32"/>
          <w:szCs w:val="32"/>
          <w:u w:val="single"/>
          <w:rtl/>
        </w:rPr>
        <w:t xml:space="preserve">المحور الأول: </w:t>
      </w:r>
      <w:r w:rsidR="000343D5" w:rsidRPr="000343D5">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68690A1C" w14:textId="4802617B" w:rsidR="00644BCE" w:rsidRDefault="00837EBE" w:rsidP="000D3CD0">
      <w:pPr>
        <w:bidi/>
        <w:spacing w:after="200" w:line="240" w:lineRule="auto"/>
        <w:jc w:val="both"/>
        <w:rPr>
          <w:rFonts w:ascii="Simplified Arabic" w:hAnsi="Simplified Arabic" w:cs="Simplified Arabic"/>
          <w:rtl/>
        </w:rPr>
      </w:pPr>
      <w:bookmarkStart w:id="2" w:name="_Hlk213567627"/>
      <w:r w:rsidRPr="00837EBE">
        <w:rPr>
          <w:rFonts w:ascii="Simplified Arabic" w:hAnsi="Simplified Arabic" w:cs="Simplified Arabic"/>
          <w:rtl/>
        </w:rPr>
        <w:t>أجرى</w:t>
      </w:r>
      <w:bookmarkEnd w:id="2"/>
      <w:r w:rsidRPr="00837EBE">
        <w:rPr>
          <w:rFonts w:ascii="Simplified Arabic" w:hAnsi="Simplified Arabic" w:cs="Simplified Arabic"/>
          <w:rtl/>
        </w:rPr>
        <w:t xml:space="preserve"> الخطيب </w:t>
      </w:r>
      <w:r>
        <w:rPr>
          <w:rFonts w:ascii="Simplified Arabic" w:hAnsi="Simplified Arabic" w:cs="Simplified Arabic"/>
        </w:rPr>
        <w:t xml:space="preserve"> </w:t>
      </w:r>
      <w:r w:rsidRPr="00837EBE">
        <w:rPr>
          <w:rFonts w:ascii="Simplified Arabic" w:hAnsi="Simplified Arabic" w:cs="Simplified Arabic"/>
        </w:rPr>
        <w:t xml:space="preserve">(2024) </w:t>
      </w:r>
      <w:r w:rsidRPr="00837EBE">
        <w:rPr>
          <w:rFonts w:ascii="Simplified Arabic" w:hAnsi="Simplified Arabic" w:cs="Simplified Arabic"/>
          <w:rtl/>
        </w:rPr>
        <w:t xml:space="preserve">دراسة بعنوان </w:t>
      </w:r>
      <w:r w:rsidRPr="00837EBE">
        <w:rPr>
          <w:rFonts w:ascii="Simplified Arabic" w:hAnsi="Simplified Arabic" w:cs="Simplified Arabic"/>
        </w:rPr>
        <w:t>"</w:t>
      </w:r>
      <w:r w:rsidRPr="00837EBE">
        <w:rPr>
          <w:rFonts w:ascii="Simplified Arabic" w:hAnsi="Simplified Arabic" w:cs="Simplified Arabic"/>
          <w:rtl/>
        </w:rPr>
        <w:t>تأثير تقنيات التسويق الرقمى المدعومة بالذكاء االصطناعي في السلوك الشرائي دراسة ميدانية على عمالء المتاجر اإللكترونية</w:t>
      </w:r>
      <w:r w:rsidRPr="00837EBE">
        <w:rPr>
          <w:rFonts w:ascii="Simplified Arabic" w:hAnsi="Simplified Arabic" w:cs="Simplified Arabic"/>
        </w:rPr>
        <w:t xml:space="preserve">". </w:t>
      </w:r>
      <w:r w:rsidRPr="00837EBE">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sidR="0005238F">
        <w:rPr>
          <w:rFonts w:ascii="Simplified Arabic" w:hAnsi="Simplified Arabic" w:cs="Simplified Arabic"/>
        </w:rPr>
        <w:t xml:space="preserve"> </w:t>
      </w:r>
      <w:r w:rsidRPr="00837EBE">
        <w:rPr>
          <w:rFonts w:ascii="Simplified Arabic" w:hAnsi="Simplified Arabic" w:cs="Simplified Arabic"/>
        </w:rPr>
        <w:t xml:space="preserve">. </w:t>
      </w:r>
      <w:r w:rsidRPr="00837EBE">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sidRPr="00837EBE">
        <w:rPr>
          <w:rFonts w:ascii="Simplified Arabic" w:hAnsi="Simplified Arabic" w:cs="Simplified Arabic"/>
        </w:rPr>
        <w:t>.</w:t>
      </w:r>
      <w:r w:rsidR="000D3CD0">
        <w:rPr>
          <w:rFonts w:ascii="Simplified Arabic" w:hAnsi="Simplified Arabic" w:cs="Simplified Arabic" w:hint="cs"/>
          <w:rtl/>
        </w:rPr>
        <w:t xml:space="preserve"> </w:t>
      </w:r>
      <w:r w:rsidRPr="00837EBE">
        <w:rPr>
          <w:rFonts w:ascii="Simplified Arabic" w:hAnsi="Simplified Arabic" w:cs="Simplified Arabic"/>
          <w:rtl/>
        </w:rPr>
        <w:t>اعتمد الباحث على المنهج الوصفي التحليلي، وطُبقت الدراسة على عينة عمالء المتاجر الإلكترونية في مصر</w:t>
      </w:r>
      <w:r w:rsidRPr="00837EBE">
        <w:rPr>
          <w:rFonts w:ascii="Simplified Arabic" w:hAnsi="Simplified Arabic" w:cs="Simplified Arabic"/>
        </w:rPr>
        <w:t xml:space="preserve">. </w:t>
      </w:r>
      <w:r w:rsidRPr="00837EBE">
        <w:rPr>
          <w:rFonts w:ascii="Simplified Arabic" w:hAnsi="Simplified Arabic" w:cs="Simplified Arabic"/>
          <w:rtl/>
        </w:rPr>
        <w:t xml:space="preserve">بلغ حجم العينة (الحد الأدنى) </w:t>
      </w:r>
      <w:r w:rsidR="000D3CD0">
        <w:rPr>
          <w:rFonts w:ascii="Simplified Arabic" w:hAnsi="Simplified Arabic" w:cs="Simplified Arabic"/>
        </w:rPr>
        <w:t xml:space="preserve"> </w:t>
      </w:r>
      <w:r w:rsidRPr="00837EBE">
        <w:rPr>
          <w:rFonts w:ascii="Simplified Arabic" w:hAnsi="Simplified Arabic" w:cs="Simplified Arabic"/>
        </w:rPr>
        <w:t xml:space="preserve">384 </w:t>
      </w:r>
      <w:r w:rsidRPr="00837EBE">
        <w:rPr>
          <w:rFonts w:ascii="Simplified Arabic" w:hAnsi="Simplified Arabic" w:cs="Simplified Arabic"/>
          <w:rtl/>
        </w:rPr>
        <w:t>مفردة من العملاء، وتم جمع البيانات الأولية من خلال استمارة إلكترونية باستخدام عينة كرة الثلج</w:t>
      </w:r>
      <w:r w:rsidRPr="00837EBE">
        <w:rPr>
          <w:rFonts w:ascii="Simplified Arabic" w:hAnsi="Simplified Arabic" w:cs="Simplified Arabic"/>
        </w:rPr>
        <w:t>(Snowball Sample)</w:t>
      </w:r>
      <w:r w:rsidR="0005238F">
        <w:rPr>
          <w:rFonts w:ascii="Simplified Arabic" w:hAnsi="Simplified Arabic" w:cs="Simplified Arabic"/>
        </w:rPr>
        <w:t xml:space="preserve"> </w:t>
      </w:r>
      <w:r>
        <w:rPr>
          <w:rFonts w:ascii="Simplified Arabic" w:hAnsi="Simplified Arabic" w:cs="Simplified Arabic" w:hint="cs"/>
          <w:rtl/>
        </w:rPr>
        <w:t xml:space="preserve">. </w:t>
      </w:r>
      <w:r w:rsidRPr="00837EBE">
        <w:rPr>
          <w:rFonts w:ascii="Simplified Arabic" w:hAnsi="Simplified Arabic" w:cs="Simplified Arabic"/>
          <w:rtl/>
        </w:rPr>
        <w:t>وقد تضمنت أدوات التحليل الإحصائي المستخدمة معامل الثبات ألفا كرونباخ</w:t>
      </w:r>
      <w:r w:rsidRPr="00837EBE">
        <w:rPr>
          <w:rFonts w:ascii="Simplified Arabic" w:hAnsi="Simplified Arabic" w:cs="Simplified Arabic"/>
        </w:rPr>
        <w:t>(Cronbach's Alpha)</w:t>
      </w:r>
      <w:r w:rsidR="0005238F">
        <w:rPr>
          <w:rFonts w:ascii="Simplified Arabic" w:hAnsi="Simplified Arabic" w:cs="Simplified Arabic"/>
        </w:rPr>
        <w:t xml:space="preserve"> </w:t>
      </w:r>
      <w:r w:rsidRPr="00837EBE">
        <w:rPr>
          <w:rFonts w:ascii="Simplified Arabic" w:hAnsi="Simplified Arabic" w:cs="Simplified Arabic"/>
          <w:rtl/>
        </w:rPr>
        <w:t>، ومعامل الارتباط بيرسون، بالإضافة إلى تحليل الانحدار</w:t>
      </w:r>
      <w:r w:rsidRPr="00837EBE">
        <w:rPr>
          <w:rFonts w:ascii="Simplified Arabic" w:hAnsi="Simplified Arabic" w:cs="Simplified Arabic"/>
        </w:rPr>
        <w:t xml:space="preserve"> (Regression Analysis) </w:t>
      </w:r>
      <w:r w:rsidRPr="00837EBE">
        <w:rPr>
          <w:rFonts w:ascii="Simplified Arabic" w:hAnsi="Simplified Arabic" w:cs="Simplified Arabic"/>
          <w:rtl/>
        </w:rPr>
        <w:t>واختبارات</w:t>
      </w:r>
      <w:r w:rsidRPr="00837EBE">
        <w:rPr>
          <w:rFonts w:ascii="Simplified Arabic" w:hAnsi="Simplified Arabic" w:cs="Simplified Arabic"/>
        </w:rPr>
        <w:t xml:space="preserve"> T-Test </w:t>
      </w:r>
      <w:r w:rsidRPr="00837EBE">
        <w:rPr>
          <w:rFonts w:ascii="Simplified Arabic" w:hAnsi="Simplified Arabic" w:cs="Simplified Arabic"/>
          <w:rtl/>
        </w:rPr>
        <w:t>و</w:t>
      </w:r>
      <w:r w:rsidRPr="00837EBE">
        <w:rPr>
          <w:rFonts w:ascii="Simplified Arabic" w:hAnsi="Simplified Arabic" w:cs="Simplified Arabic"/>
        </w:rPr>
        <w:t xml:space="preserve"> F-</w:t>
      </w:r>
      <w:r>
        <w:rPr>
          <w:rFonts w:ascii="Simplified Arabic" w:hAnsi="Simplified Arabic" w:cs="Simplified Arabic"/>
        </w:rPr>
        <w:t xml:space="preserve"> </w:t>
      </w:r>
      <w:r w:rsidRPr="00837EBE">
        <w:rPr>
          <w:rFonts w:ascii="Simplified Arabic" w:hAnsi="Simplified Arabic" w:cs="Simplified Arabic"/>
        </w:rPr>
        <w:t xml:space="preserve">Test </w:t>
      </w:r>
      <w:r>
        <w:rPr>
          <w:rFonts w:ascii="Simplified Arabic" w:hAnsi="Simplified Arabic" w:cs="Simplified Arabic" w:hint="cs"/>
          <w:rtl/>
        </w:rPr>
        <w:t xml:space="preserve"> </w:t>
      </w:r>
      <w:r w:rsidRPr="00837EBE">
        <w:rPr>
          <w:rFonts w:ascii="Simplified Arabic" w:hAnsi="Simplified Arabic" w:cs="Simplified Arabic"/>
          <w:rtl/>
        </w:rPr>
        <w:t>لاختبار فروض الدراسة</w:t>
      </w:r>
      <w:r w:rsidRPr="00837EBE">
        <w:rPr>
          <w:rFonts w:ascii="Simplified Arabic" w:hAnsi="Simplified Arabic" w:cs="Simplified Arabic"/>
        </w:rPr>
        <w:t>.</w:t>
      </w:r>
      <w:r w:rsidR="000D3CD0">
        <w:rPr>
          <w:rFonts w:ascii="Simplified Arabic" w:hAnsi="Simplified Arabic" w:cs="Simplified Arabic" w:hint="cs"/>
          <w:rtl/>
        </w:rPr>
        <w:t xml:space="preserve"> كما </w:t>
      </w:r>
      <w:r w:rsidRPr="00837EBE">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لعمالء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sidRPr="00837EBE">
        <w:rPr>
          <w:rFonts w:ascii="Simplified Arabic" w:hAnsi="Simplified Arabic" w:cs="Simplified Arabic"/>
        </w:rPr>
        <w:t xml:space="preserve">: </w:t>
      </w:r>
      <w:r w:rsidRPr="00837EBE">
        <w:rPr>
          <w:rFonts w:ascii="Simplified Arabic" w:hAnsi="Simplified Arabic" w:cs="Simplified Arabic"/>
          <w:rtl/>
        </w:rPr>
        <w:t>جذب الانتباه، خلق الاهتمام، إثارة الرغبة، والشراء الفعلي</w:t>
      </w:r>
      <w:r w:rsidRPr="00837EBE">
        <w:rPr>
          <w:rFonts w:ascii="Simplified Arabic" w:hAnsi="Simplified Arabic" w:cs="Simplified Arabic"/>
        </w:rPr>
        <w:t>.</w:t>
      </w:r>
      <w:r>
        <w:rPr>
          <w:rFonts w:ascii="Simplified Arabic" w:hAnsi="Simplified Arabic" w:cs="Simplified Arabic" w:hint="cs"/>
          <w:rtl/>
        </w:rPr>
        <w:t xml:space="preserve"> </w:t>
      </w:r>
      <w:r w:rsidRPr="00837EBE">
        <w:rPr>
          <w:rFonts w:ascii="Simplified Arabic" w:hAnsi="Simplified Arabic" w:cs="Simplified Arabic"/>
          <w:rtl/>
        </w:rPr>
        <w:t>ومن أهم التوصيات التي قدمتها الدراسة، ضرورة إجراء استطلاعات دورية لآراء العمالء والمتعاملين في المتاجر الإلكترونية، والتعامل اللائق مع مشاكل العمالء والاهتمام بها وتنمية الإحساس بالتعاطف معهم من جانب الفريق التسويقي</w:t>
      </w:r>
      <w:r w:rsidRPr="00837EBE">
        <w:rPr>
          <w:rFonts w:ascii="Simplified Arabic" w:hAnsi="Simplified Arabic" w:cs="Simplified Arabic"/>
        </w:rPr>
        <w:t xml:space="preserve">. </w:t>
      </w:r>
      <w:r w:rsidRPr="00837EBE">
        <w:rPr>
          <w:rFonts w:ascii="Simplified Arabic" w:hAnsi="Simplified Arabic" w:cs="Simplified Arabic"/>
          <w:rtl/>
        </w:rPr>
        <w:t>كما أوصت بالتدريب المستمر للمسوقين على تقنية تحسين محركات البحث</w:t>
      </w:r>
      <w:r w:rsidRPr="00837EBE">
        <w:rPr>
          <w:rFonts w:ascii="Simplified Arabic" w:hAnsi="Simplified Arabic" w:cs="Simplified Arabic"/>
        </w:rPr>
        <w:t xml:space="preserve"> (SEO) </w:t>
      </w:r>
      <w:r w:rsidRPr="00837EBE">
        <w:rPr>
          <w:rFonts w:ascii="Simplified Arabic" w:hAnsi="Simplified Arabic" w:cs="Simplified Arabic"/>
          <w:rtl/>
        </w:rPr>
        <w:t>وروبوتات الدردشة</w:t>
      </w:r>
      <w:r w:rsidRPr="00837EBE">
        <w:rPr>
          <w:rFonts w:ascii="Simplified Arabic" w:hAnsi="Simplified Arabic" w:cs="Simplified Arabic"/>
        </w:rPr>
        <w:t>.</w:t>
      </w:r>
    </w:p>
    <w:p w14:paraId="65215C04" w14:textId="6CD21E2D"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 xml:space="preserve">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w:t>
      </w:r>
      <w:r w:rsidRPr="0005238F">
        <w:rPr>
          <w:rFonts w:ascii="Simplified Arabic" w:hAnsi="Simplified Arabic" w:cs="Simplified Arabic"/>
          <w:rtl/>
        </w:rPr>
        <w:lastRenderedPageBreak/>
        <w:t>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Default="00644BCE" w:rsidP="00361EA9">
      <w:pPr>
        <w:bidi/>
        <w:spacing w:after="200" w:line="240" w:lineRule="auto"/>
        <w:jc w:val="both"/>
        <w:rPr>
          <w:rFonts w:ascii="Simplified Arabic" w:hAnsi="Simplified Arabic" w:cs="Simplified Arabic"/>
          <w:rtl/>
        </w:rPr>
      </w:pPr>
      <w:r w:rsidRPr="00644BCE">
        <w:rPr>
          <w:rFonts w:ascii="Simplified Arabic" w:hAnsi="Simplified Arabic" w:cs="Simplified Arabic"/>
        </w:rPr>
        <w:t xml:space="preserve"> </w:t>
      </w:r>
      <w:r w:rsidRPr="00644BCE">
        <w:rPr>
          <w:rFonts w:ascii="Simplified Arabic" w:hAnsi="Simplified Arabic" w:cs="Simplified Arabic"/>
          <w:rtl/>
        </w:rPr>
        <w:t>أجرى</w:t>
      </w:r>
      <w:r>
        <w:rPr>
          <w:rFonts w:ascii="Simplified Arabic" w:hAnsi="Simplified Arabic" w:cs="Simplified Arabic" w:hint="cs"/>
          <w:rtl/>
        </w:rPr>
        <w:t xml:space="preserve"> الباحثان </w:t>
      </w:r>
      <w:r w:rsidRPr="00644BCE">
        <w:rPr>
          <w:rFonts w:ascii="Simplified Arabic" w:hAnsi="Simplified Arabic" w:cs="Simplified Arabic"/>
        </w:rPr>
        <w:t>(Gujar &amp; Panyam, 2024)</w:t>
      </w:r>
      <w:r>
        <w:rPr>
          <w:rFonts w:ascii="Simplified Arabic" w:hAnsi="Simplified Arabic" w:cs="Simplified Arabic" w:hint="cs"/>
          <w:rtl/>
        </w:rPr>
        <w:t xml:space="preserve"> دراسة و</w:t>
      </w:r>
      <w:r w:rsidRPr="00644BCE">
        <w:rPr>
          <w:rFonts w:ascii="Simplified Arabic" w:hAnsi="Simplified Arabic" w:cs="Simplified Arabic"/>
          <w:rtl/>
        </w:rPr>
        <w:t>التي حملت عنوان</w:t>
      </w:r>
      <w:r w:rsidRPr="00644BCE">
        <w:rPr>
          <w:rFonts w:ascii="Simplified Arabic" w:hAnsi="Simplified Arabic" w:cs="Simplified Arabic"/>
        </w:rPr>
        <w:t xml:space="preserve"> "Generative AI in Digital Advertising Campaigns"</w:t>
      </w:r>
      <w:r w:rsidRPr="00644BCE">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sidRPr="00644BCE">
        <w:rPr>
          <w:rFonts w:ascii="Simplified Arabic" w:hAnsi="Simplified Arabic" w:cs="Simplified Arabic"/>
        </w:rPr>
        <w:t xml:space="preserve"> Netflix </w:t>
      </w:r>
      <w:r w:rsidRPr="00644BCE">
        <w:rPr>
          <w:rFonts w:ascii="Simplified Arabic" w:hAnsi="Simplified Arabic" w:cs="Simplified Arabic"/>
          <w:rtl/>
        </w:rPr>
        <w:t>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sidRPr="00644BCE">
        <w:rPr>
          <w:rFonts w:ascii="Simplified Arabic" w:hAnsi="Simplified Arabic" w:cs="Simplified Arabic"/>
        </w:rPr>
        <w:t xml:space="preserve">. </w:t>
      </w:r>
    </w:p>
    <w:p w14:paraId="5D0B1FF7" w14:textId="76FA8834" w:rsidR="00E019FE" w:rsidRPr="0005238F"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45799612" w14:textId="66CA1C04" w:rsidR="000D3CD0" w:rsidRDefault="00361EA9" w:rsidP="0085283F">
      <w:pPr>
        <w:bidi/>
        <w:spacing w:after="200" w:line="240" w:lineRule="auto"/>
        <w:jc w:val="both"/>
        <w:rPr>
          <w:rFonts w:ascii="Simplified Arabic" w:hAnsi="Simplified Arabic" w:cs="Simplified Arabic"/>
          <w:rtl/>
        </w:rPr>
      </w:pPr>
      <w:r w:rsidRPr="00361EA9">
        <w:rPr>
          <w:rFonts w:ascii="Simplified Arabic" w:hAnsi="Simplified Arabic" w:cs="Simplified Arabic"/>
          <w:rtl/>
        </w:rPr>
        <w:t>دراسة إسلام وزملاؤه (</w:t>
      </w:r>
      <w:r w:rsidRPr="00361EA9">
        <w:rPr>
          <w:rFonts w:ascii="Simplified Arabic" w:hAnsi="Simplified Arabic" w:cs="Simplified Arabic"/>
        </w:rPr>
        <w:t>Islam et al</w:t>
      </w:r>
      <w:r w:rsidRPr="00361EA9">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sidRPr="00361EA9">
        <w:rPr>
          <w:rFonts w:ascii="Simplified Arabic" w:hAnsi="Simplified Arabic" w:cs="Simplified Arabic"/>
        </w:rPr>
        <w:t>MARK-GEN</w:t>
      </w:r>
      <w:r w:rsidRPr="00361EA9">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sidRPr="00361EA9">
        <w:rPr>
          <w:rFonts w:ascii="Simplified Arabic" w:hAnsi="Simplified Arabic" w:cs="Simplified Arabic"/>
        </w:rPr>
        <w:t>MARK-GEN</w:t>
      </w:r>
      <w:r w:rsidRPr="00361EA9">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sidRPr="00361EA9">
        <w:rPr>
          <w:rFonts w:ascii="Simplified Arabic" w:hAnsi="Simplified Arabic" w:cs="Simplified Arabic"/>
        </w:rPr>
        <w:t>Conceptual Framework</w:t>
      </w:r>
      <w:r w:rsidRPr="00361EA9">
        <w:rPr>
          <w:rFonts w:ascii="Simplified Arabic" w:hAnsi="Simplified Arabic" w:cs="Simplified Arabic"/>
          <w:rtl/>
        </w:rPr>
        <w:t>)، تم تدعيمه وعرضه من خلال دراستي حالة تطبيقيتين (القياس الافتراضي للملابس (</w:t>
      </w:r>
      <w:r w:rsidRPr="00361EA9">
        <w:rPr>
          <w:rFonts w:ascii="Simplified Arabic" w:hAnsi="Simplified Arabic" w:cs="Simplified Arabic"/>
        </w:rPr>
        <w:t>Virtual Try-On</w:t>
      </w:r>
      <w:r w:rsidRPr="00361EA9">
        <w:rPr>
          <w:rFonts w:ascii="Simplified Arabic" w:hAnsi="Simplified Arabic" w:cs="Simplified Arabic"/>
          <w:rtl/>
        </w:rPr>
        <w:t xml:space="preserve">) وتوليد الصور إلى فيديوهات </w:t>
      </w:r>
      <w:r w:rsidRPr="00361EA9">
        <w:rPr>
          <w:rFonts w:ascii="Simplified Arabic" w:hAnsi="Simplified Arabic" w:cs="Simplified Arabic"/>
        </w:rPr>
        <w:t>(Image-to-Video Generation)</w:t>
      </w:r>
      <w:r w:rsidRPr="00361EA9">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sidRPr="00361EA9">
        <w:rPr>
          <w:rFonts w:ascii="Simplified Arabic" w:hAnsi="Simplified Arabic" w:cs="Simplified Arabic"/>
        </w:rPr>
        <w:t>GANs</w:t>
      </w:r>
      <w:r w:rsidRPr="00361EA9">
        <w:rPr>
          <w:rFonts w:ascii="Simplified Arabic" w:hAnsi="Simplified Arabic" w:cs="Simplified Arabic"/>
          <w:rtl/>
        </w:rPr>
        <w:t>) ونماذج الانتشار (</w:t>
      </w:r>
      <w:r w:rsidRPr="00361EA9">
        <w:rPr>
          <w:rFonts w:ascii="Simplified Arabic" w:hAnsi="Simplified Arabic" w:cs="Simplified Arabic"/>
        </w:rPr>
        <w:t>Diffusion Models</w:t>
      </w:r>
      <w:r w:rsidRPr="00361EA9">
        <w:rPr>
          <w:rFonts w:ascii="Simplified Arabic" w:hAnsi="Simplified Arabic" w:cs="Simplified Arabic"/>
          <w:rtl/>
        </w:rPr>
        <w:t>) وبنية (</w:t>
      </w:r>
      <w:r w:rsidRPr="00361EA9">
        <w:rPr>
          <w:rFonts w:ascii="Simplified Arabic" w:hAnsi="Simplified Arabic" w:cs="Simplified Arabic"/>
        </w:rPr>
        <w:t>U-Net</w:t>
      </w:r>
      <w:r w:rsidRPr="00361EA9">
        <w:rPr>
          <w:rFonts w:ascii="Simplified Arabic" w:hAnsi="Simplified Arabic" w:cs="Simplified Arabic"/>
          <w:rtl/>
        </w:rPr>
        <w:t xml:space="preserve">) (في تطوير نموذج </w:t>
      </w:r>
      <w:r w:rsidRPr="00361EA9">
        <w:rPr>
          <w:rFonts w:ascii="Simplified Arabic" w:hAnsi="Simplified Arabic" w:cs="Simplified Arabic"/>
        </w:rPr>
        <w:t>SVTON</w:t>
      </w:r>
      <w:r w:rsidRPr="00361EA9">
        <w:rPr>
          <w:rFonts w:ascii="Simplified Arabic" w:hAnsi="Simplified Arabic" w:cs="Simplified Arabic"/>
          <w:rtl/>
        </w:rPr>
        <w:t xml:space="preserve"> لعمليات القياس الافتراضي ونموذج </w:t>
      </w:r>
      <w:r w:rsidRPr="00361EA9">
        <w:rPr>
          <w:rFonts w:ascii="Simplified Arabic" w:hAnsi="Simplified Arabic" w:cs="Simplified Arabic"/>
        </w:rPr>
        <w:t>FashionFlow</w:t>
      </w:r>
      <w:r w:rsidRPr="00361EA9">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sidRPr="00361EA9">
        <w:rPr>
          <w:rFonts w:ascii="Simplified Arabic" w:hAnsi="Simplified Arabic" w:cs="Simplified Arabic"/>
        </w:rPr>
        <w:t>ground truth</w:t>
      </w:r>
      <w:r w:rsidRPr="00361EA9">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sidRPr="00361EA9">
        <w:rPr>
          <w:rFonts w:ascii="Simplified Arabic" w:hAnsi="Simplified Arabic" w:cs="Simplified Arabic"/>
        </w:rPr>
        <w:t>MARK-GEN</w:t>
      </w:r>
      <w:r w:rsidRPr="00361EA9">
        <w:rPr>
          <w:rFonts w:ascii="Simplified Arabic" w:hAnsi="Simplified Arabic" w:cs="Simplified Arabic"/>
          <w:rtl/>
        </w:rPr>
        <w:t xml:space="preserve">) </w:t>
      </w:r>
      <w:r w:rsidRPr="00361EA9">
        <w:rPr>
          <w:rFonts w:ascii="Simplified Arabic" w:hAnsi="Simplified Arabic" w:cs="Simplified Arabic"/>
          <w:rtl/>
        </w:rPr>
        <w:lastRenderedPageBreak/>
        <w:t>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sidRPr="00361EA9">
        <w:rPr>
          <w:rFonts w:ascii="Simplified Arabic" w:hAnsi="Simplified Arabic" w:cs="Simplified Arabic"/>
        </w:rPr>
        <w:t>GPUs</w:t>
      </w:r>
      <w:r w:rsidRPr="00361EA9">
        <w:rPr>
          <w:rFonts w:ascii="Simplified Arabic" w:hAnsi="Simplified Arabic" w:cs="Simplified Arabic"/>
          <w:rtl/>
        </w:rPr>
        <w:t>) وطول فترة تدريب نماذج التعلم العميق.</w:t>
      </w:r>
    </w:p>
    <w:p w14:paraId="5DCC34D8" w14:textId="27E23911"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 xml:space="preserve">تتفق دراسة </w:t>
      </w:r>
      <w:r w:rsidRPr="0005238F">
        <w:rPr>
          <w:rFonts w:ascii="Simplified Arabic" w:hAnsi="Simplified Arabic" w:cs="Simplified Arabic"/>
        </w:rPr>
        <w:t>Islam</w:t>
      </w:r>
      <w:r w:rsidRPr="0005238F">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sidRPr="0005238F">
        <w:rPr>
          <w:rFonts w:ascii="Simplified Arabic" w:hAnsi="Simplified Arabic" w:cs="Simplified Arabic"/>
        </w:rPr>
        <w:t>MARK-GEN</w:t>
      </w:r>
      <w:r w:rsidRPr="0005238F">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769615BD" w14:textId="77777777" w:rsidR="000D3CD0" w:rsidRPr="004F2B23" w:rsidRDefault="000D3CD0" w:rsidP="000D3CD0">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الثاني: </w:t>
      </w:r>
      <w:r w:rsidR="000343D5" w:rsidRPr="000343D5">
        <w:rPr>
          <w:rFonts w:ascii="Sakkal Majalla" w:hAnsi="Sakkal Majalla" w:cs="Sakkal Majalla"/>
          <w:b/>
          <w:bCs/>
          <w:color w:val="1F497D" w:themeColor="text2"/>
          <w:sz w:val="32"/>
          <w:szCs w:val="32"/>
          <w:u w:val="single"/>
          <w:rtl/>
        </w:rPr>
        <w:t>الدوافع والعوائق لتبني الذكاء الاصطناعي في وكالات التسويق السعودية</w:t>
      </w:r>
      <w:r w:rsidR="00DB23C9">
        <w:rPr>
          <w:rFonts w:ascii="Simplified Arabic" w:hAnsi="Simplified Arabic" w:cs="Simplified Arabic" w:hint="cs"/>
          <w:b/>
          <w:bCs/>
          <w:color w:val="EE0000"/>
          <w:rtl/>
        </w:rPr>
        <w:t xml:space="preserve"> </w:t>
      </w:r>
    </w:p>
    <w:p w14:paraId="738A13F1" w14:textId="4495F492"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sidR="00361EA9" w:rsidRPr="00361EA9">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w:t>
      </w:r>
      <w:r w:rsidR="00361EA9" w:rsidRPr="00361EA9">
        <w:rPr>
          <w:rFonts w:ascii="Simplified Arabic" w:hAnsi="Simplified Arabic" w:cs="Simplified Arabic"/>
        </w:rPr>
        <w:t>AI</w:t>
      </w:r>
      <w:r w:rsidR="00361EA9" w:rsidRPr="00361EA9">
        <w:rPr>
          <w:rFonts w:ascii="Simplified Arabic" w:hAnsi="Simplified Arabic" w:cs="Simplified Arabic"/>
          <w:rtl/>
        </w:rPr>
        <w:t>)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139FE416" w14:textId="4F0C41B3"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8080855" w14:textId="77777777" w:rsidR="00361EA9" w:rsidRPr="00361EA9" w:rsidRDefault="00361EA9" w:rsidP="00361EA9">
      <w:pPr>
        <w:bidi/>
        <w:jc w:val="both"/>
        <w:rPr>
          <w:rFonts w:ascii="Simplified Arabic" w:hAnsi="Simplified Arabic" w:cs="Simplified Arabic"/>
          <w:rtl/>
        </w:rPr>
      </w:pPr>
    </w:p>
    <w:p w14:paraId="3637037E" w14:textId="6B2477B3" w:rsidR="00CD177D" w:rsidRDefault="00CD177D" w:rsidP="00CD177D">
      <w:pPr>
        <w:bidi/>
        <w:spacing w:after="200" w:line="240" w:lineRule="auto"/>
        <w:jc w:val="both"/>
        <w:rPr>
          <w:rFonts w:ascii="Simplified Arabic" w:hAnsi="Simplified Arabic" w:cs="Simplified Arabic"/>
          <w:rtl/>
        </w:rPr>
      </w:pPr>
      <w:r w:rsidRPr="00CD177D">
        <w:rPr>
          <w:rFonts w:ascii="Simplified Arabic" w:hAnsi="Simplified Arabic" w:cs="Simplified Arabic"/>
          <w:rtl/>
        </w:rPr>
        <w:t xml:space="preserve">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w:t>
      </w:r>
      <w:r w:rsidRPr="00CD177D">
        <w:rPr>
          <w:rFonts w:ascii="Simplified Arabic" w:hAnsi="Simplified Arabic" w:cs="Simplified Arabic"/>
          <w:rtl/>
        </w:rPr>
        <w:lastRenderedPageBreak/>
        <w:t>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sidRPr="00CD177D">
        <w:rPr>
          <w:rFonts w:ascii="Simplified Arabic" w:hAnsi="Simplified Arabic" w:cs="Simplified Arabic"/>
        </w:rPr>
        <w:t xml:space="preserve"> (Case Study) </w:t>
      </w:r>
      <w:r w:rsidRPr="00CD177D">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sidRPr="00CD177D">
        <w:rPr>
          <w:rFonts w:ascii="Simplified Arabic" w:hAnsi="Simplified Arabic" w:cs="Simplified Arabic"/>
        </w:rPr>
        <w:t xml:space="preserve"> (Big Data) </w:t>
      </w:r>
      <w:r w:rsidRPr="00CD177D">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sidRPr="00CD177D">
        <w:rPr>
          <w:rFonts w:ascii="Simplified Arabic" w:hAnsi="Simplified Arabic" w:cs="Simplified Arabic"/>
        </w:rPr>
        <w:t>.</w:t>
      </w:r>
    </w:p>
    <w:p w14:paraId="78B88FF0" w14:textId="349085C8" w:rsidR="0005238F" w:rsidRPr="00CD177D"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0066C116" w14:textId="77777777" w:rsidR="000D3CD0" w:rsidRDefault="000D3CD0" w:rsidP="000D17E6">
      <w:pPr>
        <w:bidi/>
        <w:jc w:val="both"/>
        <w:rPr>
          <w:rFonts w:asciiTheme="majorBidi" w:hAnsiTheme="majorBidi" w:cstheme="majorBidi"/>
          <w:rtl/>
        </w:rPr>
      </w:pPr>
    </w:p>
    <w:p w14:paraId="44CF6AF4" w14:textId="7739D329" w:rsidR="000343D5" w:rsidRDefault="000D17E6" w:rsidP="000D3CD0">
      <w:pPr>
        <w:bidi/>
        <w:jc w:val="both"/>
        <w:rPr>
          <w:rFonts w:ascii="Simplified Arabic" w:hAnsi="Simplified Arabic" w:cs="Simplified Arabic"/>
          <w:rtl/>
        </w:rPr>
      </w:pPr>
      <w:r w:rsidRPr="000D17E6">
        <w:rPr>
          <w:rFonts w:ascii="Simplified Arabic" w:hAnsi="Simplified Arabic" w:cs="Simplified Arabic"/>
          <w:rtl/>
        </w:rPr>
        <w:t>تناولت دراسة كشتري وزملاؤه (</w:t>
      </w:r>
      <w:r w:rsidRPr="000D17E6">
        <w:rPr>
          <w:rFonts w:ascii="Simplified Arabic" w:hAnsi="Simplified Arabic" w:cs="Simplified Arabic"/>
        </w:rPr>
        <w:t>Kshetri et al</w:t>
      </w:r>
      <w:r w:rsidRPr="000D17E6">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sidRPr="000D17E6">
        <w:rPr>
          <w:rFonts w:ascii="Simplified Arabic" w:hAnsi="Simplified Arabic" w:cs="Simplified Arabic"/>
        </w:rPr>
        <w:t>GAI</w:t>
      </w:r>
      <w:r w:rsidRPr="000D17E6">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sidRPr="000D17E6">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w:t>
      </w:r>
      <w:r w:rsidRPr="000D17E6">
        <w:rPr>
          <w:rFonts w:ascii="Simplified Arabic" w:hAnsi="Simplified Arabic" w:cs="Simplified Arabic"/>
          <w:rtl/>
        </w:rPr>
        <w:lastRenderedPageBreak/>
        <w:t>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08528780" w14:textId="565CC364"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 xml:space="preserve">تتوافق دراسة </w:t>
      </w:r>
      <w:r w:rsidRPr="0005238F">
        <w:rPr>
          <w:rFonts w:ascii="Simplified Arabic" w:hAnsi="Simplified Arabic" w:cs="Simplified Arabic"/>
        </w:rPr>
        <w:t>Kshetri</w:t>
      </w:r>
      <w:r w:rsidRPr="0005238F">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Default="00675F33" w:rsidP="000D3CD0">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t xml:space="preserve">المحور الثالث: </w:t>
      </w:r>
      <w:r w:rsidR="000343D5" w:rsidRPr="000343D5">
        <w:rPr>
          <w:rFonts w:ascii="Sakkal Majalla" w:hAnsi="Sakkal Majalla" w:cs="Sakkal Majalla"/>
          <w:b/>
          <w:bCs/>
          <w:color w:val="1F497D" w:themeColor="text2"/>
          <w:sz w:val="32"/>
          <w:szCs w:val="32"/>
          <w:u w:val="single"/>
          <w:rtl/>
        </w:rPr>
        <w:t>أثر توظيف الذكاء الاصطناعي التوليدي في فعالية الأداء التسويقي</w:t>
      </w:r>
      <w:r w:rsidR="00DB23C9">
        <w:rPr>
          <w:rFonts w:ascii="Simplified Arabic" w:hAnsi="Simplified Arabic" w:cs="Simplified Arabic" w:hint="cs"/>
          <w:b/>
          <w:bCs/>
          <w:rtl/>
        </w:rPr>
        <w:t xml:space="preserve"> </w:t>
      </w:r>
    </w:p>
    <w:p w14:paraId="10CF38DC" w14:textId="77777777" w:rsidR="0016375F" w:rsidRDefault="003B5EAB" w:rsidP="0016375F">
      <w:pPr>
        <w:bidi/>
        <w:jc w:val="both"/>
        <w:rPr>
          <w:rFonts w:ascii="Simplified Arabic" w:hAnsi="Simplified Arabic" w:cs="Simplified Arabic"/>
          <w:rtl/>
        </w:rPr>
      </w:pPr>
      <w:r w:rsidRPr="003B5EAB">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sidRPr="003B5EAB">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sidRPr="003B5EAB">
        <w:rPr>
          <w:rFonts w:ascii="Simplified Arabic" w:hAnsi="Simplified Arabic" w:cs="Simplified Arabic"/>
        </w:rPr>
        <w:t>AI</w:t>
      </w:r>
      <w:r w:rsidRPr="003B5EAB">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sidRPr="003B5EAB">
        <w:rPr>
          <w:rFonts w:ascii="Simplified Arabic" w:hAnsi="Simplified Arabic" w:cs="Simplified Arabic"/>
        </w:rPr>
        <w:t>(TBI)</w:t>
      </w:r>
      <w:r w:rsidRPr="003B5EAB">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sidRPr="003B5EAB">
        <w:rPr>
          <w:rFonts w:ascii="Simplified Arabic" w:hAnsi="Simplified Arabic" w:cs="Simplified Arabic"/>
        </w:rPr>
        <w:t>SPSS v.25</w:t>
      </w:r>
      <w:r w:rsidRPr="003B5EAB">
        <w:rPr>
          <w:rFonts w:ascii="Simplified Arabic" w:hAnsi="Simplified Arabic" w:cs="Simplified Arabic"/>
          <w:rtl/>
        </w:rPr>
        <w:t xml:space="preserve"> و</w:t>
      </w:r>
      <w:r w:rsidRPr="003B5EAB">
        <w:rPr>
          <w:rFonts w:ascii="Simplified Arabic" w:hAnsi="Simplified Arabic" w:cs="Simplified Arabic"/>
        </w:rPr>
        <w:t>SMART PLS v.4.1.0.2</w:t>
      </w:r>
      <w:r w:rsidRPr="003B5EAB">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sidRPr="003B5EAB">
        <w:rPr>
          <w:rFonts w:ascii="Simplified Arabic" w:hAnsi="Simplified Arabic" w:cs="Simplified Arabic"/>
        </w:rPr>
        <w:t>Expert Systems</w:t>
      </w:r>
      <w:r w:rsidRPr="003B5EAB">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4FA834F9" w14:textId="5E76DB7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sidRPr="003B5EAB">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sidRPr="003B5EAB">
        <w:rPr>
          <w:rFonts w:ascii="Simplified Arabic" w:hAnsi="Simplified Arabic" w:cs="Simplified Arabic"/>
        </w:rPr>
        <w:t>Mendoza et al</w:t>
      </w:r>
      <w:r w:rsidRPr="003B5EAB">
        <w:rPr>
          <w:rFonts w:ascii="Simplified Arabic" w:hAnsi="Simplified Arabic" w:cs="Simplified Arabic"/>
          <w:rtl/>
        </w:rPr>
        <w:t xml:space="preserve">.) دراستهم في عام 2025، تحت عنوان "الذكاء الاصطناعي في التسويق الرقمي: تحليل كمي لتأثيره </w:t>
      </w:r>
      <w:r w:rsidRPr="003B5EAB">
        <w:rPr>
          <w:rFonts w:ascii="Simplified Arabic" w:hAnsi="Simplified Arabic" w:cs="Simplified Arabic"/>
          <w:rtl/>
        </w:rPr>
        <w:lastRenderedPageBreak/>
        <w:t>على تخصيص العملاء". تمثّل الهدف الأساسي لهذا البحث في إجراء تحليل منهجي وكمي لتأثير الذكاء الاصطناعي (</w:t>
      </w:r>
      <w:r w:rsidRPr="003B5EAB">
        <w:rPr>
          <w:rFonts w:ascii="Simplified Arabic" w:hAnsi="Simplified Arabic" w:cs="Simplified Arabic"/>
        </w:rPr>
        <w:t>AI</w:t>
      </w:r>
      <w:r w:rsidRPr="003B5EAB">
        <w:rPr>
          <w:rFonts w:ascii="Simplified Arabic" w:hAnsi="Simplified Arabic" w:cs="Simplified Arabic"/>
          <w:rtl/>
        </w:rPr>
        <w:t>) على تخصيص العملاء</w:t>
      </w:r>
      <w:r>
        <w:rPr>
          <w:rFonts w:ascii="Simplified Arabic" w:hAnsi="Simplified Arabic" w:cs="Simplified Arabic" w:hint="cs"/>
          <w:rtl/>
        </w:rPr>
        <w:t xml:space="preserve"> </w:t>
      </w:r>
      <w:r w:rsidRPr="003B5EAB">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sidRPr="003B5EAB">
        <w:rPr>
          <w:rFonts w:ascii="Simplified Arabic" w:hAnsi="Simplified Arabic" w:cs="Simplified Arabic"/>
        </w:rPr>
        <w:t>PRISMA</w:t>
      </w:r>
      <w:r w:rsidRPr="003B5EAB">
        <w:rPr>
          <w:rFonts w:ascii="Simplified Arabic" w:hAnsi="Simplified Arabic" w:cs="Simplified Arabic"/>
          <w:rtl/>
        </w:rPr>
        <w:t xml:space="preserve"> لإجراء البحث في قواعد بيانات متخصصة مثل </w:t>
      </w:r>
      <w:r w:rsidRPr="003B5EAB">
        <w:rPr>
          <w:rFonts w:ascii="Simplified Arabic" w:hAnsi="Simplified Arabic" w:cs="Simplified Arabic"/>
        </w:rPr>
        <w:t>Scopus</w:t>
      </w:r>
      <w:r w:rsidRPr="003B5EAB">
        <w:rPr>
          <w:rFonts w:ascii="Simplified Arabic" w:hAnsi="Simplified Arabic" w:cs="Simplified Arabic"/>
          <w:rtl/>
        </w:rPr>
        <w:t xml:space="preserve"> و </w:t>
      </w:r>
      <w:r w:rsidRPr="003B5EAB">
        <w:rPr>
          <w:rFonts w:ascii="Simplified Arabic" w:hAnsi="Simplified Arabic" w:cs="Simplified Arabic"/>
        </w:rPr>
        <w:t>Web of Science</w:t>
      </w:r>
      <w:r w:rsidRPr="003B5EAB">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379F030F" w14:textId="04B3C26F"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تتوافق دراسة </w:t>
      </w:r>
      <w:r w:rsidRPr="0016375F">
        <w:rPr>
          <w:rFonts w:ascii="Simplified Arabic" w:hAnsi="Simplified Arabic" w:cs="Simplified Arabic"/>
        </w:rPr>
        <w:t>Mendoza</w:t>
      </w:r>
      <w:r w:rsidRPr="0016375F">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sidRPr="0016375F">
        <w:rPr>
          <w:rFonts w:ascii="Simplified Arabic" w:hAnsi="Simplified Arabic" w:cs="Simplified Arabic"/>
        </w:rPr>
        <w:t>PRISMA</w:t>
      </w:r>
      <w:r w:rsidRPr="0016375F">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0E3B97C" w14:textId="09AA0776" w:rsidR="00E019FE" w:rsidRDefault="000D3CD0" w:rsidP="008203C3">
      <w:pPr>
        <w:bidi/>
        <w:jc w:val="both"/>
        <w:rPr>
          <w:rFonts w:ascii="Simplified Arabic" w:hAnsi="Simplified Arabic" w:cs="Simplified Arabic"/>
          <w:rtl/>
        </w:rPr>
      </w:pPr>
      <w:r w:rsidRPr="000D3CD0">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w:t>
      </w:r>
      <w:r w:rsidRPr="000D3CD0">
        <w:rPr>
          <w:rFonts w:ascii="Simplified Arabic" w:hAnsi="Simplified Arabic" w:cs="Simplified Arabic"/>
        </w:rPr>
        <w:t>AI</w:t>
      </w:r>
      <w:r w:rsidRPr="000D3CD0">
        <w:rPr>
          <w:rFonts w:ascii="Simplified Arabic" w:hAnsi="Simplified Arabic" w:cs="Simplified Arabic"/>
          <w:rtl/>
        </w:rPr>
        <w:t>)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sidRPr="000D3CD0">
        <w:rPr>
          <w:rFonts w:ascii="Simplified Arabic" w:hAnsi="Simplified Arabic" w:cs="Simplified Arabic"/>
        </w:rPr>
        <w:t>Purchase Intention</w:t>
      </w:r>
      <w:r w:rsidRPr="000D3CD0">
        <w:rPr>
          <w:rFonts w:ascii="Simplified Arabic" w:hAnsi="Simplified Arabic" w:cs="Simplified Arabic"/>
          <w:rtl/>
        </w:rPr>
        <w:t xml:space="preserve">)، وتفضيل العلامة التجارية </w:t>
      </w:r>
      <w:r w:rsidRPr="000D3CD0">
        <w:rPr>
          <w:rFonts w:ascii="Simplified Arabic" w:hAnsi="Simplified Arabic" w:cs="Simplified Arabic"/>
        </w:rPr>
        <w:t>(Brand Preference)</w:t>
      </w:r>
      <w:r w:rsidRPr="000D3CD0">
        <w:rPr>
          <w:rFonts w:ascii="Simplified Arabic" w:hAnsi="Simplified Arabic" w:cs="Simplified Arabic"/>
          <w:rtl/>
        </w:rPr>
        <w:t>. ولتحقيق هذا الهدف، اعتمدت الدراسة على الإطار النظري لنموذج قبول التكنولوجيا (</w:t>
      </w:r>
      <w:r w:rsidRPr="000D3CD0">
        <w:rPr>
          <w:rFonts w:ascii="Simplified Arabic" w:hAnsi="Simplified Arabic" w:cs="Simplified Arabic"/>
        </w:rPr>
        <w:t>TAM</w:t>
      </w:r>
      <w:r w:rsidRPr="000D3CD0">
        <w:rPr>
          <w:rFonts w:ascii="Simplified Arabic" w:hAnsi="Simplified Arabic" w:cs="Simplified Arabic"/>
          <w:rtl/>
        </w:rPr>
        <w:t xml:space="preserve">) ونظرية الفعل المنطقي </w:t>
      </w:r>
      <w:r w:rsidRPr="000D3CD0">
        <w:rPr>
          <w:rFonts w:ascii="Simplified Arabic" w:hAnsi="Simplified Arabic" w:cs="Simplified Arabic"/>
        </w:rPr>
        <w:t>(TRA)</w:t>
      </w:r>
      <w:r w:rsidRPr="000D3CD0">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sidRPr="000D3CD0">
        <w:rPr>
          <w:rFonts w:ascii="Simplified Arabic" w:hAnsi="Simplified Arabic" w:cs="Simplified Arabic"/>
        </w:rPr>
        <w:t>(Structural Equation Model - SEM)</w:t>
      </w:r>
      <w:r w:rsidRPr="000D3CD0">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sidRPr="000D3CD0">
        <w:rPr>
          <w:rFonts w:ascii="Simplified Arabic" w:hAnsi="Simplified Arabic" w:cs="Simplified Arabic"/>
        </w:rPr>
        <w:t>AVE</w:t>
      </w:r>
      <w:r w:rsidRPr="000D3CD0">
        <w:rPr>
          <w:rFonts w:ascii="Simplified Arabic" w:hAnsi="Simplified Arabic" w:cs="Simplified Arabic"/>
          <w:rtl/>
        </w:rPr>
        <w:t>). وأكدت النتائج الإحصائية أن النموذج الهيكلي ذو دلالة إحصائية (</w:t>
      </w:r>
      <w:r w:rsidRPr="000D3CD0">
        <w:rPr>
          <w:rFonts w:ascii="Simplified Arabic" w:hAnsi="Simplified Arabic" w:cs="Simplified Arabic"/>
        </w:rPr>
        <w:t>CMIN/DF = 3.117</w:t>
      </w:r>
      <w:r w:rsidRPr="000D3CD0">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sidRPr="000D3CD0">
        <w:rPr>
          <w:rFonts w:ascii="Cambria" w:hAnsi="Cambria" w:cs="Cambria"/>
        </w:rPr>
        <w:t>β</w:t>
      </w:r>
      <w:r w:rsidRPr="000D3CD0">
        <w:rPr>
          <w:rFonts w:ascii="Simplified Arabic" w:hAnsi="Simplified Arabic" w:cs="Simplified Arabic"/>
        </w:rPr>
        <w:t>=0.631</w:t>
      </w:r>
      <w:r w:rsidRPr="000D3CD0">
        <w:rPr>
          <w:rFonts w:ascii="Simplified Arabic" w:hAnsi="Simplified Arabic" w:cs="Simplified Arabic"/>
          <w:rtl/>
        </w:rPr>
        <w:t>) وتفضيل العلامة التجارية (</w:t>
      </w:r>
      <w:r w:rsidRPr="000D3CD0">
        <w:rPr>
          <w:rFonts w:ascii="Cambria" w:hAnsi="Cambria" w:cs="Cambria"/>
        </w:rPr>
        <w:t>β</w:t>
      </w:r>
      <w:r w:rsidRPr="000D3CD0">
        <w:rPr>
          <w:rFonts w:ascii="Simplified Arabic" w:hAnsi="Simplified Arabic" w:cs="Simplified Arabic"/>
        </w:rPr>
        <w:t>=0.733</w:t>
      </w:r>
      <w:r w:rsidRPr="000D3CD0">
        <w:rPr>
          <w:rFonts w:ascii="Simplified Arabic" w:hAnsi="Simplified Arabic" w:cs="Simplified Arabic"/>
          <w:rtl/>
        </w:rPr>
        <w:t xml:space="preserve">) مقارنة بالتعرض لوسائل التواصل الاجتماعي. كما أثبتت الدراسة أن كلاً من تفضيل العلامة التجارية والقصد الشرائي يؤثران إيجاباً وبشكل معنوي على ولاء </w:t>
      </w:r>
      <w:r w:rsidRPr="000D3CD0">
        <w:rPr>
          <w:rFonts w:ascii="Simplified Arabic" w:hAnsi="Simplified Arabic" w:cs="Simplified Arabic"/>
          <w:rtl/>
        </w:rPr>
        <w:lastRenderedPageBreak/>
        <w:t>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769AA873" w14:textId="5283104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تتفق دراسة </w:t>
      </w:r>
      <w:r w:rsidRPr="0016375F">
        <w:rPr>
          <w:rFonts w:ascii="Simplified Arabic" w:hAnsi="Simplified Arabic" w:cs="Simplified Arabic"/>
        </w:rPr>
        <w:t>Beyari</w:t>
      </w:r>
      <w:r w:rsidRPr="0016375F">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sidRPr="00D14DC7">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الخطيب</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sidRPr="00BE56D1">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384 </w:t>
            </w:r>
            <w:r w:rsidRPr="00BE56D1">
              <w:rPr>
                <w:rFonts w:ascii="Simplified Arabic" w:eastAsia="Times New Roman" w:hAnsi="Simplified Arabic" w:cs="Simplified Arabic"/>
                <w:sz w:val="20"/>
                <w:szCs w:val="20"/>
                <w:rtl/>
              </w:rPr>
              <w:t>من عملاء المتاجر الإلكترونية في مصر (عينة كرة الثلج)</w:t>
            </w:r>
            <w:r w:rsidRPr="00BE56D1">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sidRPr="00BE56D1">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sidRPr="00BE56D1">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Gujar &amp; Panyam (2024) </w:t>
            </w:r>
            <w:r w:rsidRPr="00BE56D1">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أدبيات وتحليل دراسات حالة تطبيقية</w:t>
            </w:r>
            <w:r w:rsidRPr="00BE56D1">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حملات إعلانية رقمية لشركات عالمية</w:t>
            </w:r>
            <w:r w:rsidRPr="00BE56D1">
              <w:rPr>
                <w:rFonts w:ascii="Simplified Arabic" w:eastAsia="Times New Roman" w:hAnsi="Simplified Arabic" w:cs="Simplified Arabic"/>
                <w:sz w:val="20"/>
                <w:szCs w:val="20"/>
              </w:rPr>
              <w:t xml:space="preserve"> (Netflix </w:t>
            </w:r>
            <w:r w:rsidRPr="00BE56D1">
              <w:rPr>
                <w:rFonts w:ascii="Simplified Arabic" w:eastAsia="Times New Roman" w:hAnsi="Simplified Arabic" w:cs="Simplified Arabic"/>
                <w:sz w:val="20"/>
                <w:szCs w:val="20"/>
                <w:rtl/>
              </w:rPr>
              <w:t>ومتجر أزياء</w:t>
            </w:r>
            <w:r w:rsidRPr="00BE56D1">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sidRPr="00BE56D1">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sidRPr="00BE56D1">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Islam et al. (2024) </w:t>
            </w:r>
            <w:r w:rsidRPr="00BE56D1">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مفاهيمي مدعوم بدراسات حالة</w:t>
            </w:r>
            <w:r w:rsidRPr="00BE56D1">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شركات في قطاع الأزياء والتجارة الإلكترونية</w:t>
            </w:r>
            <w:r w:rsidRPr="00BE56D1">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قدم إطار</w:t>
            </w:r>
            <w:r w:rsidRPr="00BE56D1">
              <w:rPr>
                <w:rFonts w:ascii="Simplified Arabic" w:eastAsia="Times New Roman" w:hAnsi="Simplified Arabic" w:cs="Simplified Arabic"/>
                <w:sz w:val="20"/>
                <w:szCs w:val="20"/>
              </w:rPr>
              <w:t xml:space="preserve"> MARK-GEN </w:t>
            </w:r>
            <w:r w:rsidRPr="00BE56D1">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sidRPr="00BE56D1">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يختبر الإطار ميدانياً، وتجاهل أثر جودة التصميم على الأداء التسويقي</w:t>
            </w:r>
            <w:r w:rsidRPr="00BE56D1">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آل مرعي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sidRPr="00BE56D1">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الميداني التحليلي</w:t>
            </w:r>
            <w:r w:rsidRPr="00BE56D1">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400 </w:t>
            </w:r>
            <w:r w:rsidRPr="00BE56D1">
              <w:rPr>
                <w:rFonts w:ascii="Simplified Arabic" w:eastAsia="Times New Roman" w:hAnsi="Simplified Arabic" w:cs="Simplified Arabic"/>
                <w:sz w:val="20"/>
                <w:szCs w:val="20"/>
                <w:rtl/>
              </w:rPr>
              <w:t>شاب سعودي من متابعي المحتوى المرئي</w:t>
            </w:r>
            <w:r w:rsidRPr="00BE56D1">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sidRPr="00BE56D1">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sidRPr="00BE56D1">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lastRenderedPageBreak/>
              <w:t>العتيبي واليُوبي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sidRPr="00BE56D1">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حالة</w:t>
            </w:r>
            <w:r w:rsidRPr="00BE56D1">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موظفو شركة موبايلي بالمملكة العربية السعودية</w:t>
            </w:r>
            <w:r w:rsidRPr="00BE56D1">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sidRPr="00BE56D1">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sidRPr="00BE56D1">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Kshetri et al. (2023) </w:t>
            </w:r>
            <w:r w:rsidRPr="00BE56D1">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مفاهيمية تحليلية</w:t>
            </w:r>
            <w:r w:rsidRPr="00BE56D1">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منظمات تسويق وإعلان عالمية</w:t>
            </w:r>
            <w:r w:rsidRPr="00BE56D1">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sidRPr="00BE56D1">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sidRPr="00BE56D1">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اللهيبي وآخرون</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تطبيق الذكاء الاصطناعي على الأداء التسويقي المصرفي</w:t>
            </w:r>
            <w:r w:rsidRPr="00BE56D1">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120 </w:t>
            </w:r>
            <w:r w:rsidRPr="00BE56D1">
              <w:rPr>
                <w:rFonts w:ascii="Simplified Arabic" w:eastAsia="Times New Roman" w:hAnsi="Simplified Arabic" w:cs="Simplified Arabic"/>
                <w:sz w:val="20"/>
                <w:szCs w:val="20"/>
                <w:rtl/>
              </w:rPr>
              <w:t>موظفاً في ثلاثة مصارف حكومية عراقية</w:t>
            </w:r>
            <w:r w:rsidRPr="00BE56D1">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تأثير موجبة وذات دلالة معنوية بين تطبيق</w:t>
            </w:r>
            <w:r w:rsidRPr="00BE56D1">
              <w:rPr>
                <w:rFonts w:ascii="Simplified Arabic" w:eastAsia="Times New Roman" w:hAnsi="Simplified Arabic" w:cs="Simplified Arabic"/>
                <w:sz w:val="20"/>
                <w:szCs w:val="20"/>
              </w:rPr>
              <w:t xml:space="preserve"> AI </w:t>
            </w:r>
            <w:r w:rsidRPr="00BE56D1">
              <w:rPr>
                <w:rFonts w:ascii="Simplified Arabic" w:eastAsia="Times New Roman" w:hAnsi="Simplified Arabic" w:cs="Simplified Arabic"/>
                <w:sz w:val="20"/>
                <w:szCs w:val="20"/>
                <w:rtl/>
              </w:rPr>
              <w:t>والأداء التسويقي</w:t>
            </w:r>
            <w:r w:rsidRPr="00BE56D1">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sidRPr="00BE56D1">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Mendoza et al. (2025) </w:t>
            </w:r>
            <w:r w:rsidRPr="00BE56D1">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منهجية وتحليل كمي</w:t>
            </w:r>
            <w:r w:rsidRPr="00BE56D1">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18 </w:t>
            </w:r>
            <w:r w:rsidRPr="00BE56D1">
              <w:rPr>
                <w:rFonts w:ascii="Simplified Arabic" w:eastAsia="Times New Roman" w:hAnsi="Simplified Arabic" w:cs="Simplified Arabic"/>
                <w:sz w:val="20"/>
                <w:szCs w:val="20"/>
                <w:rtl/>
              </w:rPr>
              <w:t>دراسة من</w:t>
            </w:r>
            <w:r w:rsidRPr="00BE56D1">
              <w:rPr>
                <w:rFonts w:ascii="Simplified Arabic" w:eastAsia="Times New Roman" w:hAnsi="Simplified Arabic" w:cs="Simplified Arabic"/>
                <w:sz w:val="20"/>
                <w:szCs w:val="20"/>
              </w:rPr>
              <w:t xml:space="preserve"> Scopus </w:t>
            </w:r>
            <w:r w:rsidRPr="00BE56D1">
              <w:rPr>
                <w:rFonts w:ascii="Simplified Arabic" w:eastAsia="Times New Roman" w:hAnsi="Simplified Arabic" w:cs="Simplified Arabic"/>
                <w:sz w:val="20"/>
                <w:szCs w:val="20"/>
                <w:rtl/>
              </w:rPr>
              <w:t>و</w:t>
            </w:r>
            <w:r w:rsidRPr="00BE56D1">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sidRPr="00BE56D1">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تحليل عالمي دون إسقاط على السياق السعودي أو مراحل التصميم التسويقي</w:t>
            </w:r>
            <w:r w:rsidRPr="00BE56D1">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بياري</w:t>
            </w:r>
            <w:r w:rsidRPr="00BE56D1">
              <w:rPr>
                <w:rFonts w:ascii="Simplified Arabic" w:eastAsia="Times New Roman" w:hAnsi="Simplified Arabic" w:cs="Simplified Arabic"/>
                <w:sz w:val="20"/>
                <w:szCs w:val="20"/>
              </w:rPr>
              <w:t xml:space="preserve"> (2025) </w:t>
            </w:r>
            <w:r w:rsidRPr="00BE56D1">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كمي</w:t>
            </w:r>
            <w:r w:rsidRPr="00BE56D1">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tl/>
              </w:rPr>
              <w:t>نمذجة معادلات هيكلية</w:t>
            </w:r>
            <w:r w:rsidRPr="00BE56D1">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157 </w:t>
            </w:r>
            <w:r w:rsidRPr="00BE56D1">
              <w:rPr>
                <w:rFonts w:ascii="Simplified Arabic" w:eastAsia="Times New Roman" w:hAnsi="Simplified Arabic" w:cs="Simplified Arabic"/>
                <w:sz w:val="20"/>
                <w:szCs w:val="20"/>
                <w:rtl/>
              </w:rPr>
              <w:t>مشاركاً في منصات التجارة الإلكترونية السعودية</w:t>
            </w:r>
            <w:r w:rsidRPr="00BE56D1">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sidRPr="00BE56D1">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sidRPr="00BE56D1">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2BEFE8A1" w14:textId="020A41E2" w:rsidR="004F2B23" w:rsidRPr="00E04FE4" w:rsidRDefault="00675F33" w:rsidP="00E04FE4">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مايميز الدراسة الحالية عن الدراسات السابقة</w:t>
      </w:r>
    </w:p>
    <w:p w14:paraId="7813E8F8" w14:textId="0AEB408C"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sidRPr="00E04FE4">
        <w:rPr>
          <w:rFonts w:ascii="Simplified Arabic" w:hAnsi="Simplified Arabic" w:cs="Simplified Arabic"/>
          <w:rtl/>
        </w:rPr>
        <w:t xml:space="preserve">(الخطيب، 2024؛ </w:t>
      </w:r>
      <w:r w:rsidRPr="00E04FE4">
        <w:rPr>
          <w:rFonts w:ascii="Simplified Arabic" w:hAnsi="Simplified Arabic" w:cs="Simplified Arabic"/>
        </w:rPr>
        <w:t>Gujar &amp; Panyam, 2024</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sidRPr="00E04FE4">
        <w:rPr>
          <w:rFonts w:ascii="Simplified Arabic" w:hAnsi="Simplified Arabic" w:cs="Simplified Arabic"/>
        </w:rPr>
        <w:t>.</w:t>
      </w:r>
    </w:p>
    <w:p w14:paraId="7DB65F1D" w14:textId="3185679A"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 xml:space="preserve">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w:t>
      </w:r>
      <w:r w:rsidRPr="00E04FE4">
        <w:rPr>
          <w:rFonts w:ascii="Simplified Arabic" w:hAnsi="Simplified Arabic" w:cs="Simplified Arabic"/>
          <w:rtl/>
        </w:rPr>
        <w:lastRenderedPageBreak/>
        <w:t>تجمع بين الإبداع والتحليل والأداء التسويقي. أما الدراسات المفاهيمية مثل</w:t>
      </w:r>
      <w:r>
        <w:rPr>
          <w:rFonts w:ascii="Simplified Arabic" w:hAnsi="Simplified Arabic" w:cs="Simplified Arabic"/>
        </w:rPr>
        <w:t xml:space="preserve">  </w:t>
      </w:r>
      <w:r w:rsidRPr="00E04FE4">
        <w:rPr>
          <w:rFonts w:ascii="Simplified Arabic" w:hAnsi="Simplified Arabic" w:cs="Simplified Arabic"/>
          <w:rtl/>
        </w:rPr>
        <w:t>(</w:t>
      </w:r>
      <w:r w:rsidRPr="00E04FE4">
        <w:rPr>
          <w:rFonts w:ascii="Simplified Arabic" w:hAnsi="Simplified Arabic" w:cs="Simplified Arabic"/>
        </w:rPr>
        <w:t>Kshetri et al., 2023</w:t>
      </w:r>
      <w:r w:rsidRPr="00E04FE4">
        <w:rPr>
          <w:rFonts w:ascii="Simplified Arabic" w:hAnsi="Simplified Arabic" w:cs="Simplified Arabic"/>
          <w:rtl/>
        </w:rPr>
        <w:t xml:space="preserve">؛ </w:t>
      </w:r>
      <w:r w:rsidRPr="00E04FE4">
        <w:rPr>
          <w:rFonts w:ascii="Simplified Arabic" w:hAnsi="Simplified Arabic" w:cs="Simplified Arabic"/>
        </w:rPr>
        <w:t>Mendoza et al.,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sidRPr="00E04FE4">
        <w:rPr>
          <w:rFonts w:ascii="Simplified Arabic" w:hAnsi="Simplified Arabic" w:cs="Simplified Arabic"/>
        </w:rPr>
        <w:t>.</w:t>
      </w:r>
    </w:p>
    <w:p w14:paraId="3AF3E957" w14:textId="77ABE70D"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sidRPr="00E04FE4">
        <w:rPr>
          <w:rFonts w:ascii="Simplified Arabic" w:hAnsi="Simplified Arabic" w:cs="Simplified Arabic"/>
          <w:rtl/>
        </w:rPr>
        <w:t xml:space="preserve">(اللهيبي وآخرون، 2024؛ </w:t>
      </w:r>
      <w:r w:rsidRPr="00E04FE4">
        <w:rPr>
          <w:rFonts w:ascii="Simplified Arabic" w:hAnsi="Simplified Arabic" w:cs="Simplified Arabic"/>
        </w:rPr>
        <w:t>Beyari,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sidRPr="00E04FE4">
        <w:rPr>
          <w:rFonts w:ascii="Simplified Arabic" w:hAnsi="Simplified Arabic" w:cs="Simplified Arabic"/>
        </w:rPr>
        <w:t>.</w:t>
      </w:r>
    </w:p>
    <w:p w14:paraId="7BE70FCD" w14:textId="0B0B86E8"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sidRPr="00E04FE4">
        <w:rPr>
          <w:rFonts w:ascii="Simplified Arabic" w:hAnsi="Simplified Arabic" w:cs="Simplified Arabic"/>
        </w:rPr>
        <w:t>.</w:t>
      </w:r>
    </w:p>
    <w:p w14:paraId="07CAB288" w14:textId="544338B7"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sidRPr="00E04FE4">
        <w:rPr>
          <w:rFonts w:ascii="Simplified Arabic" w:hAnsi="Simplified Arabic" w:cs="Simplified Arabic"/>
        </w:rPr>
        <w:t>.</w:t>
      </w:r>
    </w:p>
    <w:p w14:paraId="6FE8DF36" w14:textId="31E3946E"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sidRPr="00E04FE4">
        <w:rPr>
          <w:rFonts w:ascii="Simplified Arabic" w:hAnsi="Simplified Arabic" w:cs="Simplified Arabic"/>
        </w:rPr>
        <w:t>.</w:t>
      </w:r>
    </w:p>
    <w:p w14:paraId="3DBFA736" w14:textId="02C21289"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sidRPr="00E04FE4">
        <w:rPr>
          <w:rFonts w:ascii="Simplified Arabic" w:hAnsi="Simplified Arabic" w:cs="Simplified Arabic"/>
        </w:rPr>
        <w:t>.</w:t>
      </w:r>
    </w:p>
    <w:p w14:paraId="3F3F6D85" w14:textId="7C7EA944" w:rsid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02AD0F66" w14:textId="77777777" w:rsidR="00915B55" w:rsidRPr="00E04FE4" w:rsidRDefault="00915B55" w:rsidP="00915B55">
      <w:pPr>
        <w:bidi/>
        <w:spacing w:after="200" w:line="276" w:lineRule="auto"/>
        <w:jc w:val="both"/>
        <w:rPr>
          <w:rFonts w:ascii="Simplified Arabic" w:hAnsi="Simplified Arabic" w:cs="Simplified Arabic"/>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1CD929D5" w14:textId="0CEB7879" w:rsidR="00BB1CA4" w:rsidRPr="00ED07DE" w:rsidRDefault="00BB1CA4" w:rsidP="00BB1CA4">
      <w:pPr>
        <w:bidi/>
        <w:spacing w:after="200" w:line="240" w:lineRule="auto"/>
        <w:rPr>
          <w:rFonts w:ascii="Sakkal Majalla" w:hAnsi="Sakkal Majalla" w:cs="Sakkal Majalla"/>
          <w:b/>
          <w:bCs/>
          <w:color w:val="1F497D" w:themeColor="text2"/>
          <w:sz w:val="32"/>
          <w:szCs w:val="32"/>
          <w:u w:val="single"/>
          <w:rtl/>
        </w:rPr>
      </w:pPr>
      <w:r w:rsidRPr="00BB1CA4">
        <w:rPr>
          <w:rFonts w:ascii="Sakkal Majalla" w:hAnsi="Sakkal Majalla" w:cs="Sakkal Majalla"/>
          <w:b/>
          <w:bCs/>
          <w:color w:val="1F497D" w:themeColor="text2"/>
          <w:sz w:val="32"/>
          <w:szCs w:val="32"/>
          <w:u w:val="single"/>
          <w:rtl/>
        </w:rPr>
        <w:t>الم</w:t>
      </w:r>
      <w:r w:rsidRPr="00ED07DE">
        <w:rPr>
          <w:rFonts w:ascii="Sakkal Majalla" w:hAnsi="Sakkal Majalla" w:cs="Sakkal Majalla" w:hint="cs"/>
          <w:b/>
          <w:bCs/>
          <w:color w:val="1F497D" w:themeColor="text2"/>
          <w:sz w:val="32"/>
          <w:szCs w:val="32"/>
          <w:u w:val="single"/>
          <w:rtl/>
        </w:rPr>
        <w:t>راجع العربية</w:t>
      </w:r>
    </w:p>
    <w:p w14:paraId="05AC7E75" w14:textId="7FD77CCF"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الأسدودي، ن. ن. </w:t>
      </w:r>
      <w:r w:rsidRPr="00CE3F21">
        <w:rPr>
          <w:rFonts w:asciiTheme="majorBidi" w:hAnsiTheme="majorBidi" w:cs="Times New Roman"/>
          <w:rtl/>
        </w:rPr>
        <w:t xml:space="preserve">(2023). تطبيق آليات الذكاء الاصطناعي في التسويق الرقمي وآثارها في تحقيق المزايا التنافسية: دراسة ميدانية على الخبراء. </w:t>
      </w:r>
      <w:r w:rsidRPr="00CE3F21">
        <w:rPr>
          <w:rFonts w:asciiTheme="majorBidi" w:hAnsiTheme="majorBidi" w:cs="Times New Roman"/>
          <w:i/>
          <w:iCs/>
          <w:rtl/>
        </w:rPr>
        <w:t>مجلة البحوث الإعلامية، جامعة الأزهر</w:t>
      </w:r>
      <w:r w:rsidRPr="00CE3F21">
        <w:rPr>
          <w:rFonts w:asciiTheme="majorBidi" w:hAnsiTheme="majorBidi" w:cs="Times New Roman"/>
          <w:rtl/>
        </w:rPr>
        <w:t>، 67(2)، 837–902</w:t>
      </w:r>
      <w:r w:rsidRPr="00CE3F21">
        <w:rPr>
          <w:rFonts w:asciiTheme="majorBidi" w:hAnsiTheme="majorBidi" w:cstheme="majorBidi"/>
        </w:rPr>
        <w:t xml:space="preserve">. </w:t>
      </w:r>
      <w:hyperlink r:id="rId11" w:history="1">
        <w:r w:rsidRPr="00CE3F21">
          <w:rPr>
            <w:rStyle w:val="Hyperlink"/>
            <w:rFonts w:asciiTheme="majorBidi" w:hAnsiTheme="majorBidi" w:cstheme="majorBidi"/>
            <w:color w:val="auto"/>
          </w:rPr>
          <w:t>https://doi.org/10.21608/jsb.2023.230616.1633</w:t>
        </w:r>
      </w:hyperlink>
      <w:r w:rsidRPr="00CE3F21">
        <w:rPr>
          <w:rFonts w:asciiTheme="majorBidi" w:hAnsiTheme="majorBidi" w:cstheme="majorBidi"/>
        </w:rPr>
        <w:t xml:space="preserve"> </w:t>
      </w:r>
    </w:p>
    <w:p w14:paraId="7E33556D" w14:textId="166CBE9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البخيت، م. (2025).</w:t>
      </w:r>
      <w:r w:rsidRPr="00CE3F21">
        <w:rPr>
          <w:rFonts w:asciiTheme="majorBidi" w:hAnsiTheme="majorBidi" w:cs="Times New Roman"/>
          <w:rtl/>
        </w:rPr>
        <w:t xml:space="preserve"> واقع استخدام تطبيقات الذكاء الاصطناعي لدى أعضاء هيئة التدريس بكلية الآداب والفنون بجامعة حائل: دراسة ميدانية. </w:t>
      </w:r>
      <w:r w:rsidRPr="00CE3F21">
        <w:rPr>
          <w:rFonts w:asciiTheme="majorBidi" w:hAnsiTheme="majorBidi" w:cs="Times New Roman"/>
          <w:i/>
          <w:iCs/>
          <w:rtl/>
        </w:rPr>
        <w:t>مجلة جامعة الملك عبد العزيز: الاتصال والدراسات الإعلامية،</w:t>
      </w:r>
      <w:r w:rsidRPr="00CE3F21">
        <w:rPr>
          <w:rFonts w:asciiTheme="majorBidi" w:hAnsiTheme="majorBidi" w:cs="Times New Roman"/>
          <w:rtl/>
        </w:rPr>
        <w:t xml:space="preserve"> 2(1)، 178–203</w:t>
      </w:r>
      <w:r w:rsidRPr="00CE3F21">
        <w:rPr>
          <w:rFonts w:asciiTheme="majorBidi" w:hAnsiTheme="majorBidi" w:cstheme="majorBidi"/>
        </w:rPr>
        <w:t xml:space="preserve">. </w:t>
      </w:r>
      <w:hyperlink r:id="rId12" w:history="1">
        <w:r w:rsidRPr="00CE3F21">
          <w:rPr>
            <w:rStyle w:val="Hyperlink"/>
            <w:rFonts w:asciiTheme="majorBidi" w:hAnsiTheme="majorBidi" w:cstheme="majorBidi"/>
            <w:color w:val="auto"/>
          </w:rPr>
          <w:t>https://doi.org/10.4197/Comm.2-1.5</w:t>
        </w:r>
      </w:hyperlink>
      <w:r w:rsidRPr="00CE3F21">
        <w:rPr>
          <w:rFonts w:asciiTheme="majorBidi" w:hAnsiTheme="majorBidi" w:cstheme="majorBidi"/>
        </w:rPr>
        <w:t xml:space="preserve"> </w:t>
      </w:r>
    </w:p>
    <w:p w14:paraId="313877BA" w14:textId="17CD480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الخطيب، أ. س. م. ع. </w:t>
      </w:r>
      <w:r w:rsidRPr="00CE3F21">
        <w:rPr>
          <w:rFonts w:asciiTheme="majorBidi" w:hAnsiTheme="majorBidi" w:cs="Times New Roman"/>
          <w:rtl/>
        </w:rPr>
        <w:t xml:space="preserve">(2024). تأثير تقنيات التسويق الرقمي المدعومة بالذكاء الاصطناعي في السلوك الشرائي: دراسة ميدانية على عملاء المتاجر الإلكترونية. </w:t>
      </w:r>
      <w:r w:rsidRPr="00CE3F21">
        <w:rPr>
          <w:rFonts w:asciiTheme="majorBidi" w:hAnsiTheme="majorBidi" w:cs="Times New Roman"/>
          <w:i/>
          <w:iCs/>
          <w:rtl/>
        </w:rPr>
        <w:t xml:space="preserve">مجلة جامعة الصالحية الجديدة للعلوم الإدارية والاقتصادية، </w:t>
      </w:r>
      <w:r w:rsidRPr="00CE3F21">
        <w:rPr>
          <w:rFonts w:asciiTheme="majorBidi" w:hAnsiTheme="majorBidi" w:cs="Times New Roman"/>
          <w:rtl/>
        </w:rPr>
        <w:t>1(2)، 159–219</w:t>
      </w:r>
      <w:r w:rsidRPr="00CE3F21">
        <w:rPr>
          <w:rFonts w:asciiTheme="majorBidi" w:hAnsiTheme="majorBidi" w:cstheme="majorBidi"/>
        </w:rPr>
        <w:t xml:space="preserve">. </w:t>
      </w:r>
      <w:hyperlink r:id="rId13" w:history="1">
        <w:r w:rsidRPr="00CE3F21">
          <w:rPr>
            <w:rStyle w:val="Hyperlink"/>
            <w:rFonts w:asciiTheme="majorBidi" w:hAnsiTheme="majorBidi" w:cstheme="majorBidi"/>
            <w:color w:val="auto"/>
          </w:rPr>
          <w:t>https://doi.org/10.21608/jsasc.2024.335098.1016</w:t>
        </w:r>
      </w:hyperlink>
      <w:r w:rsidRPr="00CE3F21">
        <w:rPr>
          <w:rFonts w:asciiTheme="majorBidi" w:hAnsiTheme="majorBidi" w:cstheme="majorBidi"/>
        </w:rPr>
        <w:t xml:space="preserve"> </w:t>
      </w:r>
    </w:p>
    <w:p w14:paraId="355AF569" w14:textId="2FF0B61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رمضان، ن. </w:t>
      </w:r>
      <w:r w:rsidRPr="00CE3F21">
        <w:rPr>
          <w:rFonts w:asciiTheme="majorBidi" w:hAnsiTheme="majorBidi" w:cs="Times New Roman"/>
          <w:rtl/>
        </w:rPr>
        <w:t>(2025، 27 مايو). من العام إلى الفردي… كيف يغيّر الذكاء الاصطناعي قواعد التسويق في السعودية؟ الشرق الأوسط</w:t>
      </w:r>
      <w:r w:rsidRPr="00CE3F21">
        <w:rPr>
          <w:rFonts w:asciiTheme="majorBidi" w:hAnsiTheme="majorBidi" w:cstheme="majorBidi" w:hint="cs"/>
          <w:rtl/>
        </w:rPr>
        <w:t>.</w:t>
      </w:r>
    </w:p>
    <w:p w14:paraId="3FD54B93" w14:textId="5466B1A1"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سماكة، ع. م.، &amp; اللهيبي، س. ع. ر. </w:t>
      </w:r>
      <w:r w:rsidRPr="00CE3F21">
        <w:rPr>
          <w:rFonts w:asciiTheme="majorBidi" w:hAnsiTheme="majorBidi" w:cs="Times New Roman"/>
          <w:rtl/>
        </w:rPr>
        <w:t xml:space="preserve">(2024). أثر تطبيق الذكاء الاصطناعي على الأداء التسويقي المصرفي: دراسة تطبيقية. </w:t>
      </w:r>
      <w:r w:rsidRPr="00CE3F21">
        <w:rPr>
          <w:rFonts w:asciiTheme="majorBidi" w:hAnsiTheme="majorBidi" w:cs="Times New Roman"/>
          <w:i/>
          <w:iCs/>
          <w:rtl/>
        </w:rPr>
        <w:t>مجلة الغري للعلوم الاقتصادية والإدارية،</w:t>
      </w:r>
      <w:r w:rsidRPr="00CE3F21">
        <w:rPr>
          <w:rFonts w:asciiTheme="majorBidi" w:hAnsiTheme="majorBidi" w:cs="Times New Roman"/>
          <w:rtl/>
        </w:rPr>
        <w:t xml:space="preserve"> 20(3)، 438–469</w:t>
      </w:r>
      <w:r w:rsidRPr="00CE3F21">
        <w:rPr>
          <w:rFonts w:asciiTheme="majorBidi" w:hAnsiTheme="majorBidi" w:cstheme="majorBidi"/>
        </w:rPr>
        <w:t xml:space="preserve">. </w:t>
      </w:r>
      <w:hyperlink r:id="rId14" w:history="1">
        <w:r w:rsidRPr="00CE3F21">
          <w:rPr>
            <w:rStyle w:val="Hyperlink"/>
            <w:rFonts w:asciiTheme="majorBidi" w:hAnsiTheme="majorBidi" w:cstheme="majorBidi"/>
            <w:color w:val="auto"/>
          </w:rPr>
          <w:t>https://doi.org/10.36325/ghjec.v20i3.16786</w:t>
        </w:r>
      </w:hyperlink>
      <w:r w:rsidRPr="00CE3F21">
        <w:rPr>
          <w:rFonts w:asciiTheme="majorBidi" w:hAnsiTheme="majorBidi" w:cstheme="majorBidi"/>
        </w:rPr>
        <w:t xml:space="preserve"> </w:t>
      </w:r>
    </w:p>
    <w:p w14:paraId="10DE7EFD" w14:textId="0C2DDED7"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آل مرعي، ع. </w:t>
      </w:r>
      <w:r w:rsidRPr="00CE3F21">
        <w:rPr>
          <w:rFonts w:asciiTheme="majorBidi" w:hAnsiTheme="majorBidi" w:cs="Times New Roman"/>
          <w:rtl/>
        </w:rPr>
        <w:t>(2024). إدراك الشباب السعودي لتقنيات الذكاء الاصطناعي وتأثيراتها على تحقيق جودة المحتوى المرئي عبر وسائل الإعلام: دراسة ميدانية. مجلة البحوث الإعلامية، جامعة الأزهر، 72(2)، 901–950</w:t>
      </w:r>
      <w:r w:rsidRPr="00CE3F21">
        <w:rPr>
          <w:rFonts w:asciiTheme="majorBidi" w:hAnsiTheme="majorBidi" w:cstheme="majorBidi"/>
        </w:rPr>
        <w:t xml:space="preserve">. </w:t>
      </w:r>
      <w:hyperlink r:id="rId15" w:history="1">
        <w:r w:rsidRPr="00CE3F21">
          <w:rPr>
            <w:rStyle w:val="Hyperlink"/>
            <w:rFonts w:asciiTheme="majorBidi" w:hAnsiTheme="majorBidi" w:cstheme="majorBidi"/>
            <w:color w:val="auto"/>
          </w:rPr>
          <w:t>https://doi.org/10.21608/jsb.2024.307517.1782</w:t>
        </w:r>
      </w:hyperlink>
      <w:r w:rsidRPr="00CE3F21">
        <w:rPr>
          <w:rFonts w:asciiTheme="majorBidi" w:hAnsiTheme="majorBidi" w:cstheme="majorBidi"/>
        </w:rPr>
        <w:t xml:space="preserve"> </w:t>
      </w:r>
    </w:p>
    <w:p w14:paraId="6A7EA46E" w14:textId="3A0F42C8"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عبد الرازق، م. م. </w:t>
      </w:r>
      <w:r w:rsidRPr="00CE3F21">
        <w:rPr>
          <w:rFonts w:asciiTheme="majorBidi" w:hAnsiTheme="majorBidi" w:cs="Times New Roman"/>
          <w:rtl/>
        </w:rPr>
        <w:t>(2022). تقنيات الذكاء الاصطناعي في الإعلام: الواقع والتطورات المستقبلية: دراسة تطبيقية على القائمين بالاتصال بالوسائل الإعلامية المصرية والعربية. المجلة المصرية لبحوث الإعلام، 81، 1–74</w:t>
      </w:r>
      <w:r w:rsidRPr="00CE3F21">
        <w:rPr>
          <w:rFonts w:asciiTheme="majorBidi" w:hAnsiTheme="majorBidi" w:cstheme="majorBidi"/>
        </w:rPr>
        <w:t xml:space="preserve">. </w:t>
      </w:r>
      <w:hyperlink r:id="rId16" w:history="1">
        <w:r w:rsidRPr="00CE3F21">
          <w:rPr>
            <w:rStyle w:val="Hyperlink"/>
            <w:rFonts w:asciiTheme="majorBidi" w:hAnsiTheme="majorBidi" w:cstheme="majorBidi"/>
            <w:color w:val="auto"/>
          </w:rPr>
          <w:t>https://doi.org/10.21608/ejsc.2022.272038</w:t>
        </w:r>
      </w:hyperlink>
      <w:r w:rsidRPr="00CE3F21">
        <w:rPr>
          <w:rFonts w:asciiTheme="majorBidi" w:hAnsiTheme="majorBidi" w:cstheme="majorBidi"/>
        </w:rPr>
        <w:t xml:space="preserve"> </w:t>
      </w:r>
    </w:p>
    <w:p w14:paraId="5A356609" w14:textId="15ECC574" w:rsidR="00CE3F21" w:rsidRPr="00CE3F21" w:rsidRDefault="00CE3F21"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العتيبي، ع. </w:t>
      </w:r>
      <w:r w:rsidRPr="00CE3F21">
        <w:rPr>
          <w:rFonts w:asciiTheme="majorBidi" w:hAnsiTheme="majorBidi" w:cs="Times New Roman"/>
          <w:rtl/>
        </w:rPr>
        <w:t>(2024). أهم إحصائيات عن التسويق الإلكتروني 2024. عبد الرحمن العتيبي</w:t>
      </w:r>
      <w:r w:rsidRPr="00CE3F21">
        <w:rPr>
          <w:rFonts w:asciiTheme="majorBidi" w:hAnsiTheme="majorBidi" w:cstheme="majorBidi"/>
        </w:rPr>
        <w:t xml:space="preserve">. </w:t>
      </w:r>
    </w:p>
    <w:p w14:paraId="699B7C28" w14:textId="2E0BC4A9"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غباشي، ن. أ. </w:t>
      </w:r>
      <w:r w:rsidRPr="00CE3F21">
        <w:rPr>
          <w:rFonts w:asciiTheme="majorBidi" w:hAnsiTheme="majorBidi" w:cs="Times New Roman"/>
          <w:rtl/>
        </w:rPr>
        <w:t>(2022). اتجاهات الجمهور نحو استخدام تطبيقات الذكاء الاصطناعي في تسويق الخدمات المصرفية في البنوك المصرية: دراسة ميدانية. المجلة المصرية لبحوث الرأي العام، 21(1)، 703–752</w:t>
      </w:r>
      <w:r w:rsidRPr="00CE3F21">
        <w:rPr>
          <w:rFonts w:asciiTheme="majorBidi" w:hAnsiTheme="majorBidi" w:cstheme="majorBidi"/>
        </w:rPr>
        <w:t>.</w:t>
      </w:r>
    </w:p>
    <w:p w14:paraId="3CA6CD00" w14:textId="25B1C61D"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الفرَّا، أ. </w:t>
      </w:r>
      <w:r w:rsidRPr="00CE3F21">
        <w:rPr>
          <w:rFonts w:asciiTheme="majorBidi" w:hAnsiTheme="majorBidi" w:cs="Times New Roman"/>
          <w:rtl/>
        </w:rPr>
        <w:t>(2025، 17 أبريل). أحدث توجهات التسويق الرقمي والتجارة الإلكترونية في 2025. أبو الكمبوز</w:t>
      </w:r>
      <w:r w:rsidRPr="00CE3F21">
        <w:rPr>
          <w:rFonts w:asciiTheme="majorBidi" w:hAnsiTheme="majorBidi" w:cstheme="majorBidi"/>
        </w:rPr>
        <w:t>.</w:t>
      </w:r>
    </w:p>
    <w:p w14:paraId="29396A47" w14:textId="16BA541E"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محيسن، ح. أ.، مجاهد، ح.، &amp; بصبوص، ر. </w:t>
      </w:r>
      <w:r w:rsidRPr="00CE3F21">
        <w:rPr>
          <w:rFonts w:asciiTheme="majorBidi" w:hAnsiTheme="majorBidi" w:cs="Times New Roman"/>
          <w:rtl/>
        </w:rPr>
        <w:t>(2025). أثر هندسة التلقين لأدوات الذكاء الاصطناعي التوليدي في جودة إنتاج المحتوى النصي التسويقي العربي. المجلة الدولية للبحوث في العلوم التربوية والنفسية، جامعة القدس، فلسطين، 4(2)، 675–680</w:t>
      </w:r>
      <w:r w:rsidRPr="00CE3F21">
        <w:rPr>
          <w:rFonts w:asciiTheme="majorBidi" w:hAnsiTheme="majorBidi" w:cstheme="majorBidi"/>
        </w:rPr>
        <w:t xml:space="preserve">. </w:t>
      </w:r>
      <w:hyperlink r:id="rId17" w:history="1">
        <w:r w:rsidRPr="00CE3F21">
          <w:rPr>
            <w:rStyle w:val="Hyperlink"/>
            <w:rFonts w:asciiTheme="majorBidi" w:hAnsiTheme="majorBidi" w:cstheme="majorBidi"/>
            <w:color w:val="auto"/>
          </w:rPr>
          <w:t>https://doi.org/10.59994/pau.2025.2.161</w:t>
        </w:r>
      </w:hyperlink>
    </w:p>
    <w:p w14:paraId="48579835" w14:textId="7CB7D2E8" w:rsidR="00947CBD"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ملتقى أسبار.</w:t>
      </w:r>
      <w:r w:rsidRPr="00CE3F21">
        <w:rPr>
          <w:rFonts w:asciiTheme="majorBidi" w:hAnsiTheme="majorBidi" w:cs="Times New Roman"/>
          <w:rtl/>
        </w:rPr>
        <w:t xml:space="preserve"> (2023، 30 أكتوبر). استشراف تطبيقات الذكاء الاصطناعي في خدمة الإعلام السعودي وقضايا المملكة (تقرير رقم 115). ملتقى أسبار. </w:t>
      </w:r>
    </w:p>
    <w:p w14:paraId="69D52027" w14:textId="7777777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الهيئة السعودية للبيانات والذكاء الاصطناعي (سدايا).</w:t>
      </w:r>
      <w:r w:rsidRPr="00CE3F21">
        <w:rPr>
          <w:rFonts w:asciiTheme="majorBidi" w:hAnsiTheme="majorBidi" w:cs="Times New Roman"/>
          <w:rtl/>
        </w:rPr>
        <w:t xml:space="preserve"> (2024). معادلة النمو الجديدة: فرصة الذكاء الاصطناعي التوليدي في المملكة العربية السعودية. سدايا</w:t>
      </w:r>
      <w:r w:rsidRPr="00CE3F21">
        <w:rPr>
          <w:rFonts w:asciiTheme="majorBidi" w:hAnsiTheme="majorBidi" w:cstheme="majorBidi" w:hint="cs"/>
          <w:rtl/>
        </w:rPr>
        <w:t>.</w:t>
      </w:r>
    </w:p>
    <w:p w14:paraId="4893D166" w14:textId="77777777" w:rsidR="00F14098" w:rsidRDefault="00F14098" w:rsidP="00F14098">
      <w:pPr>
        <w:bidi/>
        <w:spacing w:after="200" w:line="276" w:lineRule="auto"/>
        <w:rPr>
          <w:rFonts w:asciiTheme="majorBidi" w:hAnsiTheme="majorBidi" w:cstheme="majorBidi"/>
          <w:rtl/>
        </w:rPr>
      </w:pPr>
    </w:p>
    <w:p w14:paraId="38D20247" w14:textId="77777777" w:rsidR="00F14098" w:rsidRDefault="00F14098" w:rsidP="00F14098">
      <w:pPr>
        <w:bidi/>
        <w:spacing w:after="200" w:line="240" w:lineRule="auto"/>
        <w:rPr>
          <w:rFonts w:asciiTheme="majorBidi" w:hAnsiTheme="majorBidi" w:cstheme="majorBidi"/>
          <w:rtl/>
        </w:rPr>
      </w:pPr>
    </w:p>
    <w:p w14:paraId="136E637D" w14:textId="01F1DFCF" w:rsidR="00F14098" w:rsidRPr="00ED07DE" w:rsidRDefault="00F14098" w:rsidP="00F14098">
      <w:pPr>
        <w:bidi/>
        <w:spacing w:after="200" w:line="240" w:lineRule="auto"/>
        <w:rPr>
          <w:rFonts w:ascii="Sakkal Majalla" w:hAnsi="Sakkal Majalla" w:cs="Sakkal Majalla"/>
          <w:b/>
          <w:bCs/>
          <w:color w:val="1F497D" w:themeColor="text2"/>
          <w:sz w:val="32"/>
          <w:szCs w:val="32"/>
          <w:u w:val="single"/>
          <w:rtl/>
        </w:rPr>
      </w:pPr>
      <w:r w:rsidRPr="00ED07DE">
        <w:rPr>
          <w:rFonts w:ascii="Sakkal Majalla" w:hAnsi="Sakkal Majalla" w:cs="Sakkal Majalla" w:hint="cs"/>
          <w:b/>
          <w:bCs/>
          <w:color w:val="1F497D" w:themeColor="text2"/>
          <w:sz w:val="32"/>
          <w:szCs w:val="32"/>
          <w:u w:val="single"/>
          <w:rtl/>
        </w:rPr>
        <w:lastRenderedPageBreak/>
        <w:t xml:space="preserve">المراجع الأجنبية </w:t>
      </w:r>
    </w:p>
    <w:p w14:paraId="5F28D573"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w:t>
      </w:r>
      <w:r w:rsidRPr="00CE3F21">
        <w:rPr>
          <w:rFonts w:asciiTheme="majorBidi" w:hAnsiTheme="majorBidi" w:cstheme="majorBidi"/>
          <w:b/>
          <w:bCs/>
        </w:rPr>
        <w:noBreakHyphen/>
        <w:t>Emran, M., Al</w:t>
      </w:r>
      <w:r w:rsidRPr="00CE3F21">
        <w:rPr>
          <w:rFonts w:asciiTheme="majorBidi" w:hAnsiTheme="majorBidi" w:cstheme="majorBidi"/>
          <w:b/>
          <w:bCs/>
        </w:rPr>
        <w:noBreakHyphen/>
        <w:t>Qaysi, N., Al</w:t>
      </w:r>
      <w:r w:rsidRPr="00CE3F21">
        <w:rPr>
          <w:rFonts w:asciiTheme="majorBidi" w:hAnsiTheme="majorBidi" w:cstheme="majorBidi"/>
          <w:b/>
          <w:bCs/>
        </w:rPr>
        <w:noBreakHyphen/>
        <w:t>Sharafi, M. A., Khoshkam, M., Foroughi, B., &amp; Ghobakhloo, M.</w:t>
      </w:r>
      <w:r w:rsidRPr="00CE3F21">
        <w:rPr>
          <w:rFonts w:asciiTheme="majorBidi" w:hAnsiTheme="majorBidi" w:cstheme="majorBidi"/>
        </w:rPr>
        <w:t xml:space="preserve"> (2025). Role of perceived threats and knowledge management in shaping generative AI use in education and its impact on social sustainability. </w:t>
      </w:r>
      <w:r w:rsidRPr="00CE3F21">
        <w:rPr>
          <w:rFonts w:asciiTheme="majorBidi" w:hAnsiTheme="majorBidi" w:cstheme="majorBidi"/>
          <w:i/>
          <w:iCs/>
        </w:rPr>
        <w:t>International Journal of Management Education, 23</w:t>
      </w:r>
      <w:r w:rsidRPr="00CE3F21">
        <w:rPr>
          <w:rFonts w:asciiTheme="majorBidi" w:hAnsiTheme="majorBidi" w:cstheme="majorBidi"/>
        </w:rPr>
        <w:t xml:space="preserve">(1), Article 101105. </w:t>
      </w:r>
      <w:hyperlink r:id="rId18" w:tgtFrame="_new" w:history="1">
        <w:r w:rsidRPr="00CE3F21">
          <w:rPr>
            <w:rStyle w:val="Hyperlink"/>
            <w:rFonts w:asciiTheme="majorBidi" w:hAnsiTheme="majorBidi" w:cstheme="majorBidi"/>
            <w:color w:val="auto"/>
          </w:rPr>
          <w:t>https://doi.org/10.1016/j.ijme.2024.101105</w:t>
        </w:r>
      </w:hyperlink>
      <w:r w:rsidRPr="00CE3F21">
        <w:rPr>
          <w:rFonts w:asciiTheme="majorBidi" w:hAnsiTheme="majorBidi" w:cstheme="majorBidi"/>
        </w:rPr>
        <w:t xml:space="preserve"> </w:t>
      </w:r>
    </w:p>
    <w:p w14:paraId="3C9186E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Aljabari, M., Althuwaini, S., Bouguerra, A., Sharabati, A., Allahham, M., &amp; Allan, M.</w:t>
      </w:r>
      <w:r w:rsidRPr="00CE3F21">
        <w:rPr>
          <w:rFonts w:asciiTheme="majorBidi" w:hAnsiTheme="majorBidi" w:cstheme="majorBidi"/>
        </w:rPr>
        <w:t xml:space="preserve"> (2024). The impact of digital marketing strategies on innovation: The mediating role of AI: A critical study of SMEs in the KSA market. </w:t>
      </w:r>
      <w:r w:rsidRPr="00CE3F21">
        <w:rPr>
          <w:rFonts w:asciiTheme="majorBidi" w:hAnsiTheme="majorBidi" w:cstheme="majorBidi"/>
          <w:i/>
          <w:iCs/>
        </w:rPr>
        <w:t>International Journal of Data and Network Science, 8</w:t>
      </w:r>
      <w:r w:rsidRPr="00CE3F21">
        <w:rPr>
          <w:rFonts w:asciiTheme="majorBidi" w:hAnsiTheme="majorBidi" w:cstheme="majorBidi"/>
        </w:rPr>
        <w:t xml:space="preserve">, 2029–2036. </w:t>
      </w:r>
      <w:hyperlink r:id="rId19" w:tgtFrame="_new" w:history="1">
        <w:r w:rsidRPr="00CE3F21">
          <w:rPr>
            <w:rStyle w:val="Hyperlink"/>
            <w:rFonts w:asciiTheme="majorBidi" w:hAnsiTheme="majorBidi" w:cstheme="majorBidi"/>
            <w:color w:val="auto"/>
          </w:rPr>
          <w:t>https://doi.org/10.5267/j.ijdns.2024.7.006</w:t>
        </w:r>
      </w:hyperlink>
      <w:r w:rsidRPr="00CE3F21">
        <w:rPr>
          <w:rFonts w:asciiTheme="majorBidi" w:hAnsiTheme="majorBidi" w:cstheme="majorBidi"/>
        </w:rPr>
        <w:t xml:space="preserve"> </w:t>
      </w:r>
    </w:p>
    <w:p w14:paraId="35F02102" w14:textId="772EB31B"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Alotaibi, M. M., &amp; Al Youbi, L. A.</w:t>
      </w:r>
      <w:r w:rsidRPr="00CE3F21">
        <w:rPr>
          <w:rFonts w:asciiTheme="majorBidi" w:hAnsiTheme="majorBidi" w:cstheme="majorBidi"/>
        </w:rPr>
        <w:t xml:space="preserve"> (2024). The impact of artificial intelligence techniques on marketing innovation: An applied study on Mobily company in Saudi Arabia. </w:t>
      </w:r>
      <w:r w:rsidRPr="00CE3F21">
        <w:rPr>
          <w:rFonts w:asciiTheme="majorBidi" w:hAnsiTheme="majorBidi" w:cstheme="majorBidi"/>
          <w:i/>
          <w:iCs/>
        </w:rPr>
        <w:t>Journal of Humanities &amp; Social Sciences, 8</w:t>
      </w:r>
      <w:r w:rsidRPr="00CE3F21">
        <w:rPr>
          <w:rFonts w:asciiTheme="majorBidi" w:hAnsiTheme="majorBidi" w:cstheme="majorBidi"/>
        </w:rPr>
        <w:t>(11), 10–26.</w:t>
      </w:r>
    </w:p>
    <w:p w14:paraId="582F173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Ameen, N., Tarhini, A., Reppel, A., &amp; Anand, A.</w:t>
      </w:r>
      <w:r w:rsidRPr="00CE3F21">
        <w:rPr>
          <w:rFonts w:asciiTheme="majorBidi" w:hAnsiTheme="majorBidi" w:cstheme="majorBidi"/>
        </w:rPr>
        <w:t xml:space="preserve"> (2021). Role of cognitive absorption in building user trust and experience. </w:t>
      </w:r>
      <w:r w:rsidRPr="00CE3F21">
        <w:rPr>
          <w:rFonts w:asciiTheme="majorBidi" w:hAnsiTheme="majorBidi" w:cstheme="majorBidi"/>
          <w:i/>
          <w:iCs/>
        </w:rPr>
        <w:t>Computers in Human Behavior, 114</w:t>
      </w:r>
      <w:r w:rsidRPr="00CE3F21">
        <w:rPr>
          <w:rFonts w:asciiTheme="majorBidi" w:hAnsiTheme="majorBidi" w:cstheme="majorBidi"/>
        </w:rPr>
        <w:t xml:space="preserve">, Article 106548. </w:t>
      </w:r>
      <w:hyperlink r:id="rId20" w:tgtFrame="_new" w:history="1">
        <w:r w:rsidRPr="00CE3F21">
          <w:rPr>
            <w:rStyle w:val="Hyperlink"/>
            <w:rFonts w:asciiTheme="majorBidi" w:hAnsiTheme="majorBidi" w:cstheme="majorBidi"/>
            <w:color w:val="auto"/>
          </w:rPr>
          <w:t>https://doi.org/10.1016/j.chb.2020.106548</w:t>
        </w:r>
      </w:hyperlink>
      <w:r w:rsidRPr="00CE3F21">
        <w:rPr>
          <w:rFonts w:asciiTheme="majorBidi" w:hAnsiTheme="majorBidi" w:cstheme="majorBidi"/>
        </w:rPr>
        <w:t xml:space="preserve"> </w:t>
      </w:r>
    </w:p>
    <w:p w14:paraId="2199F8B0" w14:textId="32C5984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Ben Khalifa, W. A., Alshorman, B. A., Seddik, W. A. S., Zahou, A. M. E., Torky, M. S., Rizk, M. F., … &amp; Yousif, M. A. B. A.</w:t>
      </w:r>
      <w:r w:rsidRPr="00CE3F21">
        <w:rPr>
          <w:rFonts w:asciiTheme="majorBidi" w:hAnsiTheme="majorBidi" w:cstheme="majorBidi"/>
        </w:rPr>
        <w:t xml:space="preserve"> (2023). The reality of using artificial intelligence applications in developing e</w:t>
      </w:r>
      <w:r w:rsidRPr="00CE3F21">
        <w:rPr>
          <w:rFonts w:asciiTheme="majorBidi" w:hAnsiTheme="majorBidi" w:cstheme="majorBidi"/>
        </w:rPr>
        <w:noBreakHyphen/>
        <w:t xml:space="preserve">marketing in the Kingdom of Saudi Arabia. </w:t>
      </w:r>
      <w:r w:rsidRPr="00CE3F21">
        <w:rPr>
          <w:rFonts w:asciiTheme="majorBidi" w:hAnsiTheme="majorBidi" w:cstheme="majorBidi"/>
          <w:i/>
          <w:iCs/>
        </w:rPr>
        <w:t>Migration Letters, 20</w:t>
      </w:r>
      <w:r w:rsidRPr="00CE3F21">
        <w:rPr>
          <w:rFonts w:asciiTheme="majorBidi" w:hAnsiTheme="majorBidi" w:cstheme="majorBidi"/>
        </w:rPr>
        <w:t xml:space="preserve">(S3), 146–158. </w:t>
      </w:r>
      <w:hyperlink r:id="rId21" w:history="1">
        <w:r w:rsidRPr="00CE3F21">
          <w:rPr>
            <w:rStyle w:val="Hyperlink"/>
            <w:rFonts w:asciiTheme="majorBidi" w:hAnsiTheme="majorBidi" w:cstheme="majorBidi"/>
            <w:color w:val="auto"/>
          </w:rPr>
          <w:t>https://doi.org/10.59670/ml.v20iS3.3768</w:t>
        </w:r>
      </w:hyperlink>
      <w:r w:rsidRPr="00CE3F21">
        <w:rPr>
          <w:rFonts w:asciiTheme="majorBidi" w:hAnsiTheme="majorBidi" w:cstheme="majorBidi"/>
        </w:rPr>
        <w:t xml:space="preserve"> </w:t>
      </w:r>
    </w:p>
    <w:p w14:paraId="2AE646C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Beyari, H.</w:t>
      </w:r>
      <w:r w:rsidRPr="00CE3F21">
        <w:rPr>
          <w:rFonts w:asciiTheme="majorBidi" w:hAnsiTheme="majorBidi" w:cstheme="majorBidi"/>
        </w:rPr>
        <w:t xml:space="preserve"> (2025). Assessing artificial intelligence’s impact on e</w:t>
      </w:r>
      <w:r w:rsidRPr="00CE3F21">
        <w:rPr>
          <w:rFonts w:asciiTheme="majorBidi" w:hAnsiTheme="majorBidi" w:cstheme="majorBidi"/>
        </w:rPr>
        <w:noBreakHyphen/>
        <w:t xml:space="preserve">customer loyalty in the Saudi Arabian market. </w:t>
      </w:r>
      <w:r w:rsidRPr="00CE3F21">
        <w:rPr>
          <w:rFonts w:asciiTheme="majorBidi" w:hAnsiTheme="majorBidi" w:cstheme="majorBidi"/>
          <w:i/>
          <w:iCs/>
        </w:rPr>
        <w:t>Frontiers in Artificial Intelligence, 8</w:t>
      </w:r>
      <w:r w:rsidRPr="00CE3F21">
        <w:rPr>
          <w:rFonts w:asciiTheme="majorBidi" w:hAnsiTheme="majorBidi" w:cstheme="majorBidi"/>
        </w:rPr>
        <w:t xml:space="preserve">, Article 1541678. </w:t>
      </w:r>
      <w:hyperlink r:id="rId22" w:tgtFrame="_new" w:history="1">
        <w:r w:rsidRPr="00CE3F21">
          <w:rPr>
            <w:rStyle w:val="Hyperlink"/>
            <w:rFonts w:asciiTheme="majorBidi" w:hAnsiTheme="majorBidi" w:cstheme="majorBidi"/>
            <w:color w:val="auto"/>
          </w:rPr>
          <w:t>https://doi.org/10.3389/frai.2025.1541678</w:t>
        </w:r>
      </w:hyperlink>
      <w:r w:rsidRPr="00CE3F21">
        <w:rPr>
          <w:rFonts w:asciiTheme="majorBidi" w:hAnsiTheme="majorBidi" w:cstheme="majorBidi"/>
        </w:rPr>
        <w:t xml:space="preserve"> </w:t>
      </w:r>
    </w:p>
    <w:p w14:paraId="5F3583F9" w14:textId="1394C8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Dimitrieska, S.</w:t>
      </w:r>
      <w:r w:rsidRPr="00CE3F21">
        <w:rPr>
          <w:rFonts w:asciiTheme="majorBidi" w:hAnsiTheme="majorBidi" w:cstheme="majorBidi"/>
        </w:rPr>
        <w:t xml:space="preserve"> (2024). Generative artificial intelligence and advertising. </w:t>
      </w:r>
      <w:r w:rsidRPr="00CE3F21">
        <w:rPr>
          <w:rFonts w:asciiTheme="majorBidi" w:hAnsiTheme="majorBidi" w:cstheme="majorBidi"/>
          <w:i/>
          <w:iCs/>
        </w:rPr>
        <w:t>Trends in Economics, Finance and Management Journal, 6</w:t>
      </w:r>
      <w:r w:rsidRPr="00CE3F21">
        <w:rPr>
          <w:rFonts w:asciiTheme="majorBidi" w:hAnsiTheme="majorBidi" w:cstheme="majorBidi"/>
        </w:rPr>
        <w:t xml:space="preserve">(1), 23–33. </w:t>
      </w:r>
      <w:hyperlink r:id="rId23" w:history="1">
        <w:r w:rsidRPr="00CE3F21">
          <w:rPr>
            <w:rStyle w:val="Hyperlink"/>
            <w:rFonts w:asciiTheme="majorBidi" w:hAnsiTheme="majorBidi" w:cstheme="majorBidi"/>
            <w:color w:val="auto"/>
          </w:rPr>
          <w:t>https://doi.org/10.69648/EYZI2281</w:t>
        </w:r>
      </w:hyperlink>
      <w:r w:rsidRPr="00CE3F21">
        <w:rPr>
          <w:rFonts w:asciiTheme="majorBidi" w:hAnsiTheme="majorBidi" w:cstheme="majorBidi"/>
        </w:rPr>
        <w:t xml:space="preserve">   </w:t>
      </w:r>
    </w:p>
    <w:p w14:paraId="2314DF32"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Doshi, A. R., Bell, J. J., Mirzayev, E., &amp; Vanneste, B. S.</w:t>
      </w:r>
      <w:r w:rsidRPr="00CE3F21">
        <w:rPr>
          <w:rFonts w:asciiTheme="majorBidi" w:hAnsiTheme="majorBidi" w:cstheme="majorBidi"/>
        </w:rPr>
        <w:t xml:space="preserve"> (2025). Generative artificial intelligence and evaluating strategic decisions. </w:t>
      </w:r>
      <w:r w:rsidRPr="00CE3F21">
        <w:rPr>
          <w:rFonts w:asciiTheme="majorBidi" w:hAnsiTheme="majorBidi" w:cstheme="majorBidi"/>
          <w:i/>
          <w:iCs/>
        </w:rPr>
        <w:t>Strategic Management Journal, 46</w:t>
      </w:r>
      <w:r w:rsidRPr="00CE3F21">
        <w:rPr>
          <w:rFonts w:asciiTheme="majorBidi" w:hAnsiTheme="majorBidi" w:cstheme="majorBidi"/>
        </w:rPr>
        <w:t xml:space="preserve">(3), 583–610. </w:t>
      </w:r>
      <w:hyperlink r:id="rId24" w:tgtFrame="_new" w:history="1">
        <w:r w:rsidRPr="00CE3F21">
          <w:rPr>
            <w:rStyle w:val="Hyperlink"/>
            <w:rFonts w:asciiTheme="majorBidi" w:hAnsiTheme="majorBidi" w:cstheme="majorBidi"/>
            <w:color w:val="auto"/>
          </w:rPr>
          <w:t>https://doi.org/10.1002/smj.3677</w:t>
        </w:r>
      </w:hyperlink>
    </w:p>
    <w:p w14:paraId="72C33EAD"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Dwivedi, Y. K., Kshetri, N., Hughes, L., Slade, E. L., Jeyaraj, A., Kar, A. K., &amp; Baabdullah, A. M.</w:t>
      </w:r>
      <w:r w:rsidRPr="00CE3F21">
        <w:rPr>
          <w:rFonts w:asciiTheme="majorBidi" w:hAnsiTheme="majorBidi" w:cstheme="majorBidi"/>
        </w:rPr>
        <w:t xml:space="preserve"> (2023). Opinion paper: “So what if ChatGPT wrote it?” Multidisciplinary perspectives on opportunities, challenges and implications of generative conversational AI for research, practice and policy. </w:t>
      </w:r>
      <w:r w:rsidRPr="00CE3F21">
        <w:rPr>
          <w:rFonts w:asciiTheme="majorBidi" w:hAnsiTheme="majorBidi" w:cstheme="majorBidi"/>
          <w:i/>
          <w:iCs/>
        </w:rPr>
        <w:t>International Journal of Information Management, 71</w:t>
      </w:r>
      <w:r w:rsidRPr="00CE3F21">
        <w:rPr>
          <w:rFonts w:asciiTheme="majorBidi" w:hAnsiTheme="majorBidi" w:cstheme="majorBidi"/>
        </w:rPr>
        <w:t xml:space="preserve">, Article 102642. </w:t>
      </w:r>
      <w:hyperlink r:id="rId25" w:tgtFrame="_new" w:history="1">
        <w:r w:rsidRPr="00CE3F21">
          <w:rPr>
            <w:rStyle w:val="Hyperlink"/>
            <w:rFonts w:asciiTheme="majorBidi" w:hAnsiTheme="majorBidi" w:cstheme="majorBidi"/>
            <w:color w:val="auto"/>
          </w:rPr>
          <w:t>https://doi.org/10.1016/j.ijinfomgt.2023.102642</w:t>
        </w:r>
      </w:hyperlink>
    </w:p>
    <w:p w14:paraId="474877E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Kujore, V., Adebayo, A., Sambakiu, O., &amp; Segbenu, B. S.</w:t>
      </w:r>
      <w:r w:rsidRPr="00CE3F21">
        <w:rPr>
          <w:rFonts w:asciiTheme="majorBidi" w:hAnsiTheme="majorBidi" w:cstheme="majorBidi"/>
        </w:rPr>
        <w:t xml:space="preserve"> (2025). Transformative role of generative AI in marketing content creation and brand engagement strategies. </w:t>
      </w:r>
      <w:r w:rsidRPr="00CE3F21">
        <w:rPr>
          <w:rFonts w:asciiTheme="majorBidi" w:hAnsiTheme="majorBidi" w:cstheme="majorBidi"/>
          <w:i/>
          <w:iCs/>
        </w:rPr>
        <w:t>GSC Advanced Research and Reviews, 23</w:t>
      </w:r>
      <w:r w:rsidRPr="00CE3F21">
        <w:rPr>
          <w:rFonts w:asciiTheme="majorBidi" w:hAnsiTheme="majorBidi" w:cstheme="majorBidi"/>
        </w:rPr>
        <w:t xml:space="preserve">(3), 1–11. </w:t>
      </w:r>
      <w:hyperlink r:id="rId26" w:tgtFrame="_new" w:history="1">
        <w:r w:rsidRPr="00CE3F21">
          <w:rPr>
            <w:rStyle w:val="Hyperlink"/>
            <w:rFonts w:asciiTheme="majorBidi" w:hAnsiTheme="majorBidi" w:cstheme="majorBidi"/>
            <w:color w:val="auto"/>
          </w:rPr>
          <w:t>https://doi.org/10.30574/gscarr.2025.23.3.0145</w:t>
        </w:r>
      </w:hyperlink>
      <w:r w:rsidRPr="00CE3F21">
        <w:rPr>
          <w:rFonts w:asciiTheme="majorBidi" w:hAnsiTheme="majorBidi" w:cstheme="majorBidi"/>
        </w:rPr>
        <w:t xml:space="preserve"> </w:t>
      </w:r>
    </w:p>
    <w:p w14:paraId="422D62FD" w14:textId="4D24F7D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Gujar, P., &amp; Panyam, S.</w:t>
      </w:r>
      <w:r w:rsidRPr="00CE3F21">
        <w:rPr>
          <w:rFonts w:asciiTheme="majorBidi" w:hAnsiTheme="majorBidi" w:cstheme="majorBidi"/>
        </w:rPr>
        <w:t xml:space="preserve"> (2024). Generative AI in digital advertising campaigns. </w:t>
      </w:r>
      <w:r w:rsidRPr="00CE3F21">
        <w:rPr>
          <w:rFonts w:asciiTheme="majorBidi" w:hAnsiTheme="majorBidi" w:cstheme="majorBidi"/>
          <w:i/>
          <w:iCs/>
        </w:rPr>
        <w:t>International Journal of Computer Trends and Technology, 72</w:t>
      </w:r>
      <w:r w:rsidRPr="00CE3F21">
        <w:rPr>
          <w:rFonts w:asciiTheme="majorBidi" w:hAnsiTheme="majorBidi" w:cstheme="majorBidi"/>
        </w:rPr>
        <w:t xml:space="preserve">(5), 51–55. </w:t>
      </w:r>
      <w:hyperlink r:id="rId27" w:tgtFrame="_new" w:history="1">
        <w:r w:rsidRPr="00CE3F21">
          <w:rPr>
            <w:rStyle w:val="Hyperlink"/>
            <w:rFonts w:asciiTheme="majorBidi" w:hAnsiTheme="majorBidi" w:cstheme="majorBidi"/>
            <w:color w:val="auto"/>
          </w:rPr>
          <w:t>https://doi.org/10.14445/22312803/IJCTT-V72I5P106</w:t>
        </w:r>
      </w:hyperlink>
      <w:r w:rsidRPr="00CE3F21">
        <w:rPr>
          <w:rFonts w:asciiTheme="majorBidi" w:hAnsiTheme="majorBidi" w:cstheme="majorBidi"/>
        </w:rPr>
        <w:t xml:space="preserve">  </w:t>
      </w:r>
    </w:p>
    <w:p w14:paraId="623B5DF9"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Heitmann, M.</w:t>
      </w:r>
      <w:r w:rsidRPr="00CE3F21">
        <w:rPr>
          <w:rFonts w:asciiTheme="majorBidi" w:hAnsiTheme="majorBidi" w:cstheme="majorBidi"/>
        </w:rPr>
        <w:t xml:space="preserve"> (2024). Generative AI for marketing content creation: New rules for an old game. </w:t>
      </w:r>
      <w:r w:rsidRPr="00CE3F21">
        <w:rPr>
          <w:rFonts w:asciiTheme="majorBidi" w:hAnsiTheme="majorBidi" w:cstheme="majorBidi"/>
          <w:i/>
          <w:iCs/>
        </w:rPr>
        <w:t>NIM Marketing Intelligence Review, 16</w:t>
      </w:r>
      <w:r w:rsidRPr="00CE3F21">
        <w:rPr>
          <w:rFonts w:asciiTheme="majorBidi" w:hAnsiTheme="majorBidi" w:cstheme="majorBidi"/>
        </w:rPr>
        <w:t xml:space="preserve">(1), 10–17. </w:t>
      </w:r>
      <w:hyperlink r:id="rId28" w:tgtFrame="_new" w:history="1">
        <w:r w:rsidRPr="00CE3F21">
          <w:rPr>
            <w:rStyle w:val="Hyperlink"/>
            <w:rFonts w:asciiTheme="majorBidi" w:hAnsiTheme="majorBidi" w:cstheme="majorBidi"/>
            <w:color w:val="auto"/>
          </w:rPr>
          <w:t>https://doi.org/10.2478/nimmir-2024-0002</w:t>
        </w:r>
      </w:hyperlink>
      <w:r w:rsidRPr="00CE3F21">
        <w:rPr>
          <w:rFonts w:asciiTheme="majorBidi" w:hAnsiTheme="majorBidi" w:cstheme="majorBidi"/>
        </w:rPr>
        <w:t xml:space="preserve"> </w:t>
      </w:r>
    </w:p>
    <w:p w14:paraId="1A910009" w14:textId="12635EA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IAB Tech Lab.</w:t>
      </w:r>
      <w:r w:rsidRPr="00CE3F21">
        <w:rPr>
          <w:rFonts w:asciiTheme="majorBidi" w:hAnsiTheme="majorBidi" w:cstheme="majorBidi"/>
        </w:rPr>
        <w:t xml:space="preserve"> (2024). </w:t>
      </w:r>
      <w:r w:rsidRPr="00CE3F21">
        <w:rPr>
          <w:rFonts w:asciiTheme="majorBidi" w:hAnsiTheme="majorBidi" w:cstheme="majorBidi"/>
          <w:i/>
          <w:iCs/>
        </w:rPr>
        <w:t>AI in advertising primer</w:t>
      </w:r>
      <w:r w:rsidRPr="00CE3F21">
        <w:rPr>
          <w:rFonts w:asciiTheme="majorBidi" w:hAnsiTheme="majorBidi" w:cstheme="majorBidi"/>
        </w:rPr>
        <w:t xml:space="preserve">. </w:t>
      </w:r>
    </w:p>
    <w:p w14:paraId="47BB264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Islam, T., Miron, A., Nandy, M., Choudrie, J., Liu, X., &amp; Li, Y.</w:t>
      </w:r>
      <w:r w:rsidRPr="00CE3F21">
        <w:rPr>
          <w:rFonts w:asciiTheme="majorBidi" w:hAnsiTheme="majorBidi" w:cstheme="majorBidi"/>
        </w:rPr>
        <w:t xml:space="preserve"> (2024). Transforming digital marketing with generative AI. </w:t>
      </w:r>
      <w:r w:rsidRPr="00CE3F21">
        <w:rPr>
          <w:rFonts w:asciiTheme="majorBidi" w:hAnsiTheme="majorBidi" w:cstheme="majorBidi"/>
          <w:i/>
          <w:iCs/>
        </w:rPr>
        <w:t>Computers, 13</w:t>
      </w:r>
      <w:r w:rsidRPr="00CE3F21">
        <w:rPr>
          <w:rFonts w:asciiTheme="majorBidi" w:hAnsiTheme="majorBidi" w:cstheme="majorBidi"/>
        </w:rPr>
        <w:t xml:space="preserve">(7), 168. </w:t>
      </w:r>
      <w:hyperlink r:id="rId29" w:tgtFrame="_new" w:history="1">
        <w:r w:rsidRPr="00CE3F21">
          <w:rPr>
            <w:rStyle w:val="Hyperlink"/>
            <w:rFonts w:asciiTheme="majorBidi" w:hAnsiTheme="majorBidi" w:cstheme="majorBidi"/>
            <w:color w:val="auto"/>
          </w:rPr>
          <w:t>https://doi.org/10.3390/computers13070168</w:t>
        </w:r>
      </w:hyperlink>
    </w:p>
    <w:p w14:paraId="71B900F5"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Kılınç, H. K., &amp; Keçecioğlu, Ö. F.</w:t>
      </w:r>
      <w:r w:rsidRPr="00CE3F21">
        <w:rPr>
          <w:rFonts w:asciiTheme="majorBidi" w:hAnsiTheme="majorBidi" w:cstheme="majorBidi"/>
        </w:rPr>
        <w:t xml:space="preserve"> (2024). Generative artificial intelligence: A historical and future perspective. </w:t>
      </w:r>
      <w:r w:rsidRPr="00CE3F21">
        <w:rPr>
          <w:rFonts w:asciiTheme="majorBidi" w:hAnsiTheme="majorBidi" w:cstheme="majorBidi"/>
          <w:i/>
          <w:iCs/>
        </w:rPr>
        <w:t>Academic Platform Journal of Engineering and Smart Systems, 12</w:t>
      </w:r>
      <w:r w:rsidRPr="00CE3F21">
        <w:rPr>
          <w:rFonts w:asciiTheme="majorBidi" w:hAnsiTheme="majorBidi" w:cstheme="majorBidi"/>
        </w:rPr>
        <w:t xml:space="preserve">(2), 47–58. </w:t>
      </w:r>
      <w:hyperlink r:id="rId30" w:tgtFrame="_new" w:history="1">
        <w:r w:rsidRPr="00CE3F21">
          <w:rPr>
            <w:rStyle w:val="Hyperlink"/>
            <w:rFonts w:asciiTheme="majorBidi" w:hAnsiTheme="majorBidi" w:cstheme="majorBidi"/>
            <w:color w:val="auto"/>
          </w:rPr>
          <w:t>https://doi.org/10.21541/apjess.1398155</w:t>
        </w:r>
      </w:hyperlink>
    </w:p>
    <w:p w14:paraId="61669E8E"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Kshetri, N., Dwivedi, Y., Davenport, T., &amp; Panteli, N.</w:t>
      </w:r>
      <w:r w:rsidRPr="00CE3F21">
        <w:rPr>
          <w:rFonts w:asciiTheme="majorBidi" w:hAnsiTheme="majorBidi" w:cstheme="majorBidi"/>
        </w:rPr>
        <w:t xml:space="preserve"> (2023). Generative artificial intelligence in marketing: Applications, opportunities, challenges, and research agenda. </w:t>
      </w:r>
      <w:r w:rsidRPr="00CE3F21">
        <w:rPr>
          <w:rFonts w:asciiTheme="majorBidi" w:hAnsiTheme="majorBidi" w:cstheme="majorBidi"/>
          <w:i/>
          <w:iCs/>
        </w:rPr>
        <w:t>International Journal of Information Management, 75</w:t>
      </w:r>
      <w:r w:rsidRPr="00CE3F21">
        <w:rPr>
          <w:rFonts w:asciiTheme="majorBidi" w:hAnsiTheme="majorBidi" w:cstheme="majorBidi"/>
        </w:rPr>
        <w:t xml:space="preserve">, Article 102716. </w:t>
      </w:r>
      <w:hyperlink r:id="rId31" w:tgtFrame="_new" w:history="1">
        <w:r w:rsidRPr="00CE3F21">
          <w:rPr>
            <w:rStyle w:val="Hyperlink"/>
            <w:rFonts w:asciiTheme="majorBidi" w:hAnsiTheme="majorBidi" w:cstheme="majorBidi"/>
            <w:color w:val="auto"/>
          </w:rPr>
          <w:t>https://doi.org/10.1016/j.ijinfomgt.2023.102716</w:t>
        </w:r>
      </w:hyperlink>
    </w:p>
    <w:p w14:paraId="38DD88A0" w14:textId="0931FD7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Marketing AI Institute, &amp; Drift.</w:t>
      </w:r>
      <w:r w:rsidRPr="00CE3F21">
        <w:rPr>
          <w:rFonts w:asciiTheme="majorBidi" w:hAnsiTheme="majorBidi" w:cstheme="majorBidi"/>
        </w:rPr>
        <w:t xml:space="preserve"> (2024). </w:t>
      </w:r>
      <w:r w:rsidRPr="00CE3F21">
        <w:rPr>
          <w:rFonts w:asciiTheme="majorBidi" w:hAnsiTheme="majorBidi" w:cstheme="majorBidi"/>
          <w:i/>
          <w:iCs/>
        </w:rPr>
        <w:t>2024 State of Marketing AI report</w:t>
      </w:r>
      <w:r w:rsidRPr="00CE3F21">
        <w:rPr>
          <w:rFonts w:asciiTheme="majorBidi" w:hAnsiTheme="majorBidi" w:cstheme="majorBidi"/>
        </w:rPr>
        <w:t>. Marketing AI Institute.</w:t>
      </w:r>
    </w:p>
    <w:p w14:paraId="25CF303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Masnita, Y., Kasuma Ali, J., Zahra, A., Wilson, N., &amp; Murwonugroho, W.</w:t>
      </w:r>
      <w:r w:rsidRPr="00CE3F21">
        <w:rPr>
          <w:rFonts w:asciiTheme="majorBidi" w:hAnsiTheme="majorBidi" w:cstheme="majorBidi"/>
        </w:rPr>
        <w:t xml:space="preserve"> (2024). Artificial intelligence in marketing: Literature review and future research agenda. </w:t>
      </w:r>
      <w:r w:rsidRPr="00CE3F21">
        <w:rPr>
          <w:rFonts w:asciiTheme="majorBidi" w:hAnsiTheme="majorBidi" w:cstheme="majorBidi"/>
          <w:i/>
          <w:iCs/>
        </w:rPr>
        <w:t>Journal of System and Management Sciences, 14</w:t>
      </w:r>
      <w:r w:rsidRPr="00CE3F21">
        <w:rPr>
          <w:rFonts w:asciiTheme="majorBidi" w:hAnsiTheme="majorBidi" w:cstheme="majorBidi"/>
        </w:rPr>
        <w:t xml:space="preserve">(1), 120–140. </w:t>
      </w:r>
      <w:hyperlink r:id="rId32" w:tgtFrame="_new" w:history="1">
        <w:r w:rsidRPr="00CE3F21">
          <w:rPr>
            <w:rStyle w:val="Hyperlink"/>
            <w:rFonts w:asciiTheme="majorBidi" w:hAnsiTheme="majorBidi" w:cstheme="majorBidi"/>
            <w:color w:val="auto"/>
          </w:rPr>
          <w:t>https://doi.org/10.33168/JSMS.2024.0108</w:t>
        </w:r>
      </w:hyperlink>
    </w:p>
    <w:p w14:paraId="1878F8B6" w14:textId="5DD66453"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McKinsey &amp; Company.</w:t>
      </w:r>
      <w:r w:rsidRPr="00CE3F21">
        <w:rPr>
          <w:rFonts w:asciiTheme="majorBidi" w:hAnsiTheme="majorBidi" w:cstheme="majorBidi"/>
        </w:rPr>
        <w:t xml:space="preserve"> (2024). </w:t>
      </w:r>
      <w:r w:rsidRPr="00CE3F21">
        <w:rPr>
          <w:rFonts w:asciiTheme="majorBidi" w:hAnsiTheme="majorBidi" w:cstheme="majorBidi"/>
          <w:i/>
          <w:iCs/>
        </w:rPr>
        <w:t>The state of gen AI in the Middle East’s GCC countries: A 2024 report card</w:t>
      </w:r>
      <w:r w:rsidRPr="00CE3F21">
        <w:rPr>
          <w:rFonts w:asciiTheme="majorBidi" w:hAnsiTheme="majorBidi" w:cstheme="majorBidi"/>
        </w:rPr>
        <w:t>.</w:t>
      </w:r>
    </w:p>
    <w:p w14:paraId="73EA0BF8"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Mendoza, J. A. G., Torres, O. A. P., &amp; Franco, H. H. M.</w:t>
      </w:r>
      <w:r w:rsidRPr="00CE3F21">
        <w:rPr>
          <w:rFonts w:asciiTheme="majorBidi" w:hAnsiTheme="majorBidi" w:cstheme="majorBidi"/>
        </w:rPr>
        <w:t xml:space="preserve"> (2025). Artificial intelligence in digital marketing: Quantitative analysis of its impact on customer personalization. </w:t>
      </w:r>
      <w:r w:rsidRPr="00CE3F21">
        <w:rPr>
          <w:rFonts w:asciiTheme="majorBidi" w:hAnsiTheme="majorBidi" w:cstheme="majorBidi"/>
          <w:i/>
          <w:iCs/>
        </w:rPr>
        <w:t>Journal of Posthumanism, 5</w:t>
      </w:r>
      <w:r w:rsidRPr="00CE3F21">
        <w:rPr>
          <w:rFonts w:asciiTheme="majorBidi" w:hAnsiTheme="majorBidi" w:cstheme="majorBidi"/>
        </w:rPr>
        <w:t xml:space="preserve">(6), 4206–4218. </w:t>
      </w:r>
      <w:hyperlink r:id="rId33" w:tgtFrame="_new" w:history="1">
        <w:r w:rsidRPr="00CE3F21">
          <w:rPr>
            <w:rStyle w:val="Hyperlink"/>
            <w:rFonts w:asciiTheme="majorBidi" w:hAnsiTheme="majorBidi" w:cstheme="majorBidi"/>
            <w:color w:val="auto"/>
          </w:rPr>
          <w:t>https://doi.org/10.63332/joph.v5i6.2596</w:t>
        </w:r>
      </w:hyperlink>
    </w:p>
    <w:p w14:paraId="74DA2F96" w14:textId="04D39BA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Nguyen, M., Langan, R., &amp; Anderson, K.</w:t>
      </w:r>
      <w:r w:rsidRPr="00CE3F21">
        <w:rPr>
          <w:rFonts w:asciiTheme="majorBidi" w:hAnsiTheme="majorBidi" w:cstheme="majorBidi"/>
        </w:rPr>
        <w:t xml:space="preserve"> (2025). </w:t>
      </w:r>
      <w:r w:rsidRPr="00CE3F21">
        <w:rPr>
          <w:rFonts w:asciiTheme="majorBidi" w:hAnsiTheme="majorBidi" w:cstheme="majorBidi"/>
          <w:i/>
          <w:iCs/>
        </w:rPr>
        <w:t>Integrating generative AI into team</w:t>
      </w:r>
      <w:r w:rsidRPr="00CE3F21">
        <w:rPr>
          <w:rFonts w:asciiTheme="majorBidi" w:hAnsiTheme="majorBidi" w:cstheme="majorBidi"/>
          <w:i/>
          <w:iCs/>
        </w:rPr>
        <w:noBreakHyphen/>
        <w:t>based marketing workflows: The AI collaboration maturity model</w:t>
      </w:r>
      <w:r w:rsidRPr="00CE3F21">
        <w:rPr>
          <w:rFonts w:asciiTheme="majorBidi" w:hAnsiTheme="majorBidi" w:cstheme="majorBidi"/>
        </w:rPr>
        <w:t xml:space="preserve">. California State University, Los Angeles. </w:t>
      </w:r>
    </w:p>
    <w:p w14:paraId="71608F7D" w14:textId="5EA0423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Nuremberg Institute for Market Decisions.</w:t>
      </w:r>
      <w:r w:rsidRPr="00CE3F21">
        <w:rPr>
          <w:rFonts w:asciiTheme="majorBidi" w:hAnsiTheme="majorBidi" w:cstheme="majorBidi"/>
        </w:rPr>
        <w:t xml:space="preserve"> (2024). </w:t>
      </w:r>
      <w:r w:rsidRPr="00CE3F21">
        <w:rPr>
          <w:rFonts w:asciiTheme="majorBidi" w:hAnsiTheme="majorBidi" w:cstheme="majorBidi"/>
          <w:i/>
          <w:iCs/>
        </w:rPr>
        <w:t>Creating marketing value with generative AI</w:t>
      </w:r>
      <w:r w:rsidRPr="00CE3F21">
        <w:rPr>
          <w:rFonts w:asciiTheme="majorBidi" w:hAnsiTheme="majorBidi" w:cstheme="majorBidi"/>
        </w:rPr>
        <w:t xml:space="preserve">. </w:t>
      </w:r>
      <w:hyperlink r:id="rId34" w:tgtFrame="_new" w:history="1"/>
      <w:r w:rsidRPr="00CE3F21">
        <w:rPr>
          <w:rFonts w:asciiTheme="majorBidi" w:hAnsiTheme="majorBidi" w:cstheme="majorBidi"/>
        </w:rPr>
        <w:t xml:space="preserve"> </w:t>
      </w:r>
    </w:p>
    <w:p w14:paraId="206DB44F" w14:textId="5053EA7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SDAIA (Saudi Data &amp; AI Authority).</w:t>
      </w:r>
      <w:r w:rsidRPr="00CE3F21">
        <w:rPr>
          <w:rFonts w:asciiTheme="majorBidi" w:hAnsiTheme="majorBidi" w:cstheme="majorBidi"/>
        </w:rPr>
        <w:t xml:space="preserve"> (2024). </w:t>
      </w:r>
      <w:r w:rsidRPr="00CE3F21">
        <w:rPr>
          <w:rFonts w:asciiTheme="majorBidi" w:hAnsiTheme="majorBidi" w:cstheme="majorBidi"/>
          <w:i/>
          <w:iCs/>
        </w:rPr>
        <w:t>Generative artificial intelligence guidelines</w:t>
      </w:r>
      <w:r w:rsidRPr="00CE3F21">
        <w:rPr>
          <w:rFonts w:asciiTheme="majorBidi" w:hAnsiTheme="majorBidi" w:cstheme="majorBidi"/>
        </w:rPr>
        <w:t xml:space="preserve">. SADAIA. </w:t>
      </w:r>
    </w:p>
    <w:p w14:paraId="2BAB04F4" w14:textId="579B4CB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Sharabati, A.-A. A., Ali, A. A. A., Allahham, M. I., Hussein, A. A., Alheet, A. F., &amp; Mohammad, A. S.</w:t>
      </w:r>
      <w:r w:rsidRPr="00CE3F21">
        <w:rPr>
          <w:rFonts w:asciiTheme="majorBidi" w:hAnsiTheme="majorBidi" w:cstheme="majorBidi"/>
        </w:rPr>
        <w:t xml:space="preserve"> (2024). The impact of digital marketing on the performance of SMEs: An analytical study in light of modern digital transformations. </w:t>
      </w:r>
      <w:r w:rsidRPr="00CE3F21">
        <w:rPr>
          <w:rFonts w:asciiTheme="majorBidi" w:hAnsiTheme="majorBidi" w:cstheme="majorBidi"/>
          <w:i/>
          <w:iCs/>
        </w:rPr>
        <w:t>Sustainability, 16</w:t>
      </w:r>
      <w:r w:rsidRPr="00CE3F21">
        <w:rPr>
          <w:rFonts w:asciiTheme="majorBidi" w:hAnsiTheme="majorBidi" w:cstheme="majorBidi"/>
        </w:rPr>
        <w:t xml:space="preserve">(19), 8667. </w:t>
      </w:r>
      <w:hyperlink r:id="rId35" w:tgtFrame="_new" w:history="1">
        <w:r w:rsidRPr="00CE3F21">
          <w:rPr>
            <w:rStyle w:val="Hyperlink"/>
            <w:rFonts w:asciiTheme="majorBidi" w:hAnsiTheme="majorBidi" w:cstheme="majorBidi"/>
            <w:color w:val="auto"/>
          </w:rPr>
          <w:t>https://doi.org/10.3390/su16198667</w:t>
        </w:r>
      </w:hyperlink>
      <w:r w:rsidRPr="00CE3F21">
        <w:rPr>
          <w:rFonts w:asciiTheme="majorBidi" w:hAnsiTheme="majorBidi" w:cstheme="majorBidi"/>
        </w:rPr>
        <w:t xml:space="preserve">  </w:t>
      </w:r>
    </w:p>
    <w:p w14:paraId="5AE9DEB4" w14:textId="3E55C9C4"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Social Media Today.</w:t>
      </w:r>
      <w:r w:rsidRPr="00CE3F21">
        <w:rPr>
          <w:rFonts w:asciiTheme="majorBidi" w:hAnsiTheme="majorBidi" w:cstheme="majorBidi"/>
        </w:rPr>
        <w:t xml:space="preserve"> (2025). Digital marketing statistics of 2025: H1 by the numbers. </w:t>
      </w:r>
      <w:r w:rsidRPr="00CE3F21">
        <w:rPr>
          <w:rFonts w:asciiTheme="majorBidi" w:hAnsiTheme="majorBidi" w:cstheme="majorBidi"/>
          <w:i/>
          <w:iCs/>
        </w:rPr>
        <w:t>Social Media Today</w:t>
      </w:r>
      <w:r w:rsidRPr="00CE3F21">
        <w:rPr>
          <w:rFonts w:asciiTheme="majorBidi" w:hAnsiTheme="majorBidi" w:cstheme="majorBidi"/>
        </w:rPr>
        <w:t xml:space="preserve">. </w:t>
      </w:r>
    </w:p>
    <w:p w14:paraId="591185F7" w14:textId="7C2A4070"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Strategy&amp; (PwC Middle East).</w:t>
      </w:r>
      <w:r w:rsidRPr="00CE3F21">
        <w:rPr>
          <w:rFonts w:asciiTheme="majorBidi" w:hAnsiTheme="majorBidi" w:cstheme="majorBidi"/>
        </w:rPr>
        <w:t xml:space="preserve"> (2024). </w:t>
      </w:r>
      <w:r w:rsidRPr="00CE3F21">
        <w:rPr>
          <w:rFonts w:asciiTheme="majorBidi" w:hAnsiTheme="majorBidi" w:cstheme="majorBidi"/>
          <w:i/>
          <w:iCs/>
        </w:rPr>
        <w:t>Overcoming regional ecosystem challenges in AI</w:t>
      </w:r>
      <w:r w:rsidRPr="00CE3F21">
        <w:rPr>
          <w:rFonts w:asciiTheme="majorBidi" w:hAnsiTheme="majorBidi" w:cstheme="majorBidi"/>
        </w:rPr>
        <w:t xml:space="preserve">. </w:t>
      </w:r>
    </w:p>
    <w:p w14:paraId="104D482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Tawalbeh, A. K.</w:t>
      </w:r>
      <w:r w:rsidRPr="00CE3F21">
        <w:rPr>
          <w:rFonts w:asciiTheme="majorBidi" w:hAnsiTheme="majorBidi" w:cstheme="majorBidi"/>
        </w:rPr>
        <w:t xml:space="preserve"> (2025). Influence of AI on marketing strategies for university libraries. </w:t>
      </w:r>
      <w:r w:rsidRPr="00CE3F21">
        <w:rPr>
          <w:rFonts w:asciiTheme="majorBidi" w:hAnsiTheme="majorBidi" w:cstheme="majorBidi"/>
          <w:i/>
          <w:iCs/>
        </w:rPr>
        <w:t>International Journal of Advanced and Applied Sciences, 12</w:t>
      </w:r>
      <w:r w:rsidRPr="00CE3F21">
        <w:rPr>
          <w:rFonts w:asciiTheme="majorBidi" w:hAnsiTheme="majorBidi" w:cstheme="majorBidi"/>
        </w:rPr>
        <w:t xml:space="preserve">(8), 191–201. </w:t>
      </w:r>
      <w:hyperlink r:id="rId36" w:tgtFrame="_new" w:history="1">
        <w:r w:rsidRPr="00CE3F21">
          <w:rPr>
            <w:rStyle w:val="Hyperlink"/>
            <w:rFonts w:asciiTheme="majorBidi" w:hAnsiTheme="majorBidi" w:cstheme="majorBidi"/>
            <w:color w:val="auto"/>
          </w:rPr>
          <w:t>https://doi.org/10.21833/ijaas.2025.08.018</w:t>
        </w:r>
      </w:hyperlink>
      <w:r w:rsidRPr="00CE3F21">
        <w:rPr>
          <w:rFonts w:asciiTheme="majorBidi" w:hAnsiTheme="majorBidi" w:cstheme="majorBidi"/>
        </w:rPr>
        <w:t xml:space="preserve"> </w:t>
      </w:r>
    </w:p>
    <w:p w14:paraId="7FD49C9B"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Wang, Y., Sauka, K., &amp; Situmeang, F. B. I.</w:t>
      </w:r>
      <w:r w:rsidRPr="00CE3F21">
        <w:rPr>
          <w:rFonts w:asciiTheme="majorBidi" w:hAnsiTheme="majorBidi" w:cstheme="majorBidi"/>
        </w:rPr>
        <w:t xml:space="preserve"> (2025). Anthropomorphism and transparency interplay on consumer behaviour in generative AI</w:t>
      </w:r>
      <w:r w:rsidRPr="00CE3F21">
        <w:rPr>
          <w:rFonts w:asciiTheme="majorBidi" w:hAnsiTheme="majorBidi" w:cstheme="majorBidi"/>
        </w:rPr>
        <w:noBreakHyphen/>
        <w:t xml:space="preserve">driven marketing communication. </w:t>
      </w:r>
      <w:r w:rsidRPr="00CE3F21">
        <w:rPr>
          <w:rFonts w:asciiTheme="majorBidi" w:hAnsiTheme="majorBidi" w:cstheme="majorBidi"/>
          <w:i/>
          <w:iCs/>
        </w:rPr>
        <w:t>Journal of Consumer Marketing, 42</w:t>
      </w:r>
      <w:r w:rsidRPr="00CE3F21">
        <w:rPr>
          <w:rFonts w:asciiTheme="majorBidi" w:hAnsiTheme="majorBidi" w:cstheme="majorBidi"/>
        </w:rPr>
        <w:t xml:space="preserve">(4), 512–536. </w:t>
      </w:r>
      <w:hyperlink r:id="rId37" w:tgtFrame="_new" w:history="1">
        <w:r w:rsidRPr="00CE3F21">
          <w:rPr>
            <w:rStyle w:val="Hyperlink"/>
            <w:rFonts w:asciiTheme="majorBidi" w:hAnsiTheme="majorBidi" w:cstheme="majorBidi"/>
            <w:color w:val="auto"/>
          </w:rPr>
          <w:t>https://doi.org/10.1108/JCM-04-2024-6806</w:t>
        </w:r>
      </w:hyperlink>
      <w:r w:rsidRPr="00CE3F21">
        <w:rPr>
          <w:rFonts w:asciiTheme="majorBidi" w:hAnsiTheme="majorBidi" w:cstheme="majorBidi"/>
        </w:rPr>
        <w:t xml:space="preserve"> </w:t>
      </w:r>
    </w:p>
    <w:p w14:paraId="1A88F43A"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Zhong, Y., &amp; Rosli, M. S. B.</w:t>
      </w:r>
      <w:r w:rsidRPr="00CE3F21">
        <w:rPr>
          <w:rFonts w:asciiTheme="majorBidi" w:hAnsiTheme="majorBidi" w:cstheme="majorBidi"/>
        </w:rPr>
        <w:t xml:space="preserve"> (2025). Generative artificial intelligence in higher education: Opportunities, challenges, and future directions. </w:t>
      </w:r>
      <w:r w:rsidRPr="00CE3F21">
        <w:rPr>
          <w:rFonts w:asciiTheme="majorBidi" w:hAnsiTheme="majorBidi" w:cstheme="majorBidi"/>
          <w:i/>
          <w:iCs/>
        </w:rPr>
        <w:t>International Journal of Academic Research in Progressive Education and Development, 14</w:t>
      </w:r>
      <w:r w:rsidRPr="00CE3F21">
        <w:rPr>
          <w:rFonts w:asciiTheme="majorBidi" w:hAnsiTheme="majorBidi" w:cstheme="majorBidi"/>
        </w:rPr>
        <w:t xml:space="preserve">(3), 301–312. </w:t>
      </w:r>
      <w:hyperlink r:id="rId38" w:tgtFrame="_new" w:history="1">
        <w:r w:rsidRPr="00CE3F21">
          <w:rPr>
            <w:rStyle w:val="Hyperlink"/>
            <w:rFonts w:asciiTheme="majorBidi" w:hAnsiTheme="majorBidi" w:cstheme="majorBidi"/>
            <w:color w:val="auto"/>
          </w:rPr>
          <w:t>https://doi.org/10.6007/IJARPED/v14-i3/25813</w:t>
        </w:r>
      </w:hyperlink>
      <w:r w:rsidRPr="00CE3F21">
        <w:rPr>
          <w:rFonts w:asciiTheme="majorBidi" w:hAnsiTheme="majorBidi" w:cstheme="majorBidi"/>
        </w:rPr>
        <w:t xml:space="preserve"> </w:t>
      </w:r>
    </w:p>
    <w:p w14:paraId="2AFF7D01" w14:textId="77777777" w:rsidR="00CE3F21" w:rsidRDefault="00CE3F21" w:rsidP="00CE3F21">
      <w:pPr>
        <w:spacing w:after="200" w:line="240" w:lineRule="auto"/>
        <w:rPr>
          <w:rFonts w:asciiTheme="majorBidi" w:hAnsiTheme="majorBidi" w:cstheme="majorBidi"/>
        </w:rPr>
      </w:pPr>
    </w:p>
    <w:p w14:paraId="0184A382" w14:textId="77777777" w:rsidR="00CE3F21" w:rsidRDefault="00CE3F21" w:rsidP="00CE3F21">
      <w:pPr>
        <w:spacing w:after="200" w:line="240" w:lineRule="auto"/>
        <w:rPr>
          <w:rFonts w:asciiTheme="majorBidi" w:hAnsiTheme="majorBidi" w:cstheme="majorBidi"/>
        </w:rPr>
      </w:pPr>
    </w:p>
    <w:p w14:paraId="74DA3693" w14:textId="77777777" w:rsidR="00CE3F21" w:rsidRDefault="00CE3F21" w:rsidP="00CE3F21">
      <w:pPr>
        <w:spacing w:after="200" w:line="240" w:lineRule="auto"/>
        <w:rPr>
          <w:rFonts w:asciiTheme="majorBidi" w:hAnsiTheme="majorBidi" w:cstheme="majorBidi"/>
        </w:rPr>
      </w:pPr>
    </w:p>
    <w:p w14:paraId="49206AD6" w14:textId="77777777" w:rsidR="00CE3F21" w:rsidRDefault="00CE3F21" w:rsidP="00CE3F21">
      <w:pPr>
        <w:spacing w:after="200" w:line="240" w:lineRule="auto"/>
        <w:rPr>
          <w:rFonts w:asciiTheme="majorBidi" w:hAnsiTheme="majorBidi" w:cstheme="majorBidi"/>
        </w:rPr>
      </w:pPr>
    </w:p>
    <w:p w14:paraId="1530F19D" w14:textId="77777777" w:rsidR="00CE3F21" w:rsidRDefault="00CE3F21" w:rsidP="00CE3F21">
      <w:pPr>
        <w:spacing w:after="200" w:line="240" w:lineRule="auto"/>
        <w:rPr>
          <w:rFonts w:asciiTheme="majorBidi" w:hAnsiTheme="majorBidi" w:cstheme="majorBidi"/>
        </w:rPr>
      </w:pPr>
    </w:p>
    <w:p w14:paraId="6C6DBC31" w14:textId="77777777" w:rsidR="00CE3F21" w:rsidRPr="00CE3F21" w:rsidRDefault="00CE3F21" w:rsidP="00CE3F21">
      <w:pPr>
        <w:spacing w:after="200" w:line="240" w:lineRule="auto"/>
        <w:rPr>
          <w:rFonts w:asciiTheme="majorBidi" w:hAnsiTheme="majorBidi" w:cstheme="majorBidi"/>
        </w:rPr>
      </w:pPr>
    </w:p>
    <w:p w14:paraId="6F963C85" w14:textId="77777777" w:rsidR="00F14098" w:rsidRDefault="00F14098" w:rsidP="00F14098">
      <w:pPr>
        <w:bidi/>
        <w:spacing w:after="200" w:line="240" w:lineRule="auto"/>
        <w:rPr>
          <w:rFonts w:asciiTheme="majorBidi" w:hAnsiTheme="majorBidi" w:cstheme="majorBidi"/>
          <w:rtl/>
        </w:rPr>
      </w:pPr>
    </w:p>
    <w:p w14:paraId="50B67222" w14:textId="77777777" w:rsidR="00F14098" w:rsidRPr="00BB1CA4" w:rsidRDefault="00F14098" w:rsidP="00F14098">
      <w:pPr>
        <w:bidi/>
        <w:spacing w:after="200" w:line="240" w:lineRule="auto"/>
        <w:rPr>
          <w:rFonts w:asciiTheme="majorBidi" w:hAnsiTheme="majorBidi" w:cstheme="majorBidi"/>
          <w:rtl/>
        </w:rPr>
      </w:pPr>
    </w:p>
    <w:sectPr w:rsidR="00F14098" w:rsidRPr="00BB1CA4" w:rsidSect="00395E1F">
      <w:headerReference w:type="even" r:id="rId39"/>
      <w:headerReference w:type="default" r:id="rId40"/>
      <w:footerReference w:type="default" r:id="rId41"/>
      <w:headerReference w:type="first" r:id="rId42"/>
      <w:footerReference w:type="first" r:id="rId4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6C78D" w14:textId="77777777" w:rsidR="00994DB2" w:rsidRDefault="00994DB2" w:rsidP="00F628F0">
      <w:pPr>
        <w:spacing w:after="0" w:line="240" w:lineRule="auto"/>
      </w:pPr>
      <w:r>
        <w:separator/>
      </w:r>
    </w:p>
  </w:endnote>
  <w:endnote w:type="continuationSeparator" w:id="0">
    <w:p w14:paraId="6E8323E0" w14:textId="77777777" w:rsidR="00994DB2" w:rsidRDefault="00994DB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Monotype Koufi">
    <w:altName w:val="Arial"/>
    <w:panose1 w:val="020B0604020202020204"/>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6008630" w:rsidR="00883E09" w:rsidRPr="004566ED" w:rsidRDefault="00264677" w:rsidP="00883E09">
    <w:pPr>
      <w:pStyle w:val="a5"/>
      <w:bidi/>
      <w:rPr>
        <w:sz w:val="18"/>
        <w:szCs w:val="18"/>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4566ED" w:rsidRPr="004566ED">
      <w:rPr>
        <w:rFonts w:ascii="Arial" w:hAnsi="Arial" w:cs="Arial"/>
        <w:b/>
        <w:bCs/>
        <w:color w:val="365F91" w:themeColor="accent1" w:themeShade="BF"/>
        <w:szCs w:val="28"/>
        <w:rtl/>
      </w:rPr>
      <w:t xml:space="preserve"> </w:t>
    </w:r>
    <w:r w:rsidR="004566ED" w:rsidRPr="004566ED">
      <w:rPr>
        <w:rFonts w:ascii="Arial" w:hAnsi="Arial" w:cs="Arial"/>
        <w:b/>
        <w:bCs/>
        <w:color w:val="365F91" w:themeColor="accent1" w:themeShade="BF"/>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97D8" w14:textId="77777777" w:rsidR="00994DB2" w:rsidRDefault="00994DB2" w:rsidP="00F628F0">
      <w:pPr>
        <w:spacing w:after="0" w:line="240" w:lineRule="auto"/>
      </w:pPr>
      <w:r>
        <w:separator/>
      </w:r>
    </w:p>
  </w:footnote>
  <w:footnote w:type="continuationSeparator" w:id="0">
    <w:p w14:paraId="4D8B02D2" w14:textId="77777777" w:rsidR="00994DB2" w:rsidRDefault="00994DB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994DB2">
    <w:pPr>
      <w:pStyle w:val="a4"/>
    </w:pPr>
    <w:r>
      <w:rPr>
        <w:noProof/>
      </w:rPr>
      <w:pict w14:anchorId="0ED56E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994DB2">
    <w:pPr>
      <w:pStyle w:val="a4"/>
    </w:pPr>
    <w:r>
      <w:rPr>
        <w:noProof/>
      </w:rPr>
      <w:pict w14:anchorId="532FC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994DB2">
        <w:pPr>
          <w:pStyle w:val="a4"/>
        </w:pPr>
        <w:r>
          <w:rPr>
            <w:noProof/>
          </w:rPr>
          <w:pict w14:anchorId="751CA4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35321"/>
    <w:multiLevelType w:val="hybridMultilevel"/>
    <w:tmpl w:val="CE62FBE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22BFE"/>
    <w:multiLevelType w:val="hybridMultilevel"/>
    <w:tmpl w:val="C7D0024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8204C"/>
    <w:multiLevelType w:val="hybridMultilevel"/>
    <w:tmpl w:val="540E1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CD3693"/>
    <w:multiLevelType w:val="hybridMultilevel"/>
    <w:tmpl w:val="B0A06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DB373E"/>
    <w:multiLevelType w:val="hybridMultilevel"/>
    <w:tmpl w:val="F3DCE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12A27"/>
    <w:multiLevelType w:val="hybridMultilevel"/>
    <w:tmpl w:val="880E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C85C38"/>
    <w:multiLevelType w:val="multilevel"/>
    <w:tmpl w:val="420A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20F46874"/>
    <w:multiLevelType w:val="hybridMultilevel"/>
    <w:tmpl w:val="FBF8E0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D23763"/>
    <w:multiLevelType w:val="hybridMultilevel"/>
    <w:tmpl w:val="1A4A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052480"/>
    <w:multiLevelType w:val="hybridMultilevel"/>
    <w:tmpl w:val="D86AF61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1A570F"/>
    <w:multiLevelType w:val="hybridMultilevel"/>
    <w:tmpl w:val="55BE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FB5DAB"/>
    <w:multiLevelType w:val="hybridMultilevel"/>
    <w:tmpl w:val="49A4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0400EC"/>
    <w:multiLevelType w:val="hybridMultilevel"/>
    <w:tmpl w:val="3AB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A2F22"/>
    <w:multiLevelType w:val="hybridMultilevel"/>
    <w:tmpl w:val="438486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22861DA"/>
    <w:multiLevelType w:val="hybridMultilevel"/>
    <w:tmpl w:val="56F0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671DC5"/>
    <w:multiLevelType w:val="hybridMultilevel"/>
    <w:tmpl w:val="9C980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7D3361"/>
    <w:multiLevelType w:val="hybridMultilevel"/>
    <w:tmpl w:val="BCB4D1F0"/>
    <w:lvl w:ilvl="0" w:tplc="4D52CF8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634238D"/>
    <w:multiLevelType w:val="hybridMultilevel"/>
    <w:tmpl w:val="1C12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C05E5C"/>
    <w:multiLevelType w:val="multilevel"/>
    <w:tmpl w:val="5B4E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4C63BE"/>
    <w:multiLevelType w:val="hybridMultilevel"/>
    <w:tmpl w:val="8ED2B73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AFE56A5"/>
    <w:multiLevelType w:val="multilevel"/>
    <w:tmpl w:val="6BDEA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B47935"/>
    <w:multiLevelType w:val="hybridMultilevel"/>
    <w:tmpl w:val="6E505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5F1491"/>
    <w:multiLevelType w:val="hybridMultilevel"/>
    <w:tmpl w:val="44A60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1D7AED"/>
    <w:multiLevelType w:val="hybridMultilevel"/>
    <w:tmpl w:val="2E1E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F26A51"/>
    <w:multiLevelType w:val="hybridMultilevel"/>
    <w:tmpl w:val="65529A4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D3C3281"/>
    <w:multiLevelType w:val="hybridMultilevel"/>
    <w:tmpl w:val="79903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8F3341"/>
    <w:multiLevelType w:val="hybridMultilevel"/>
    <w:tmpl w:val="E91A276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5C504B"/>
    <w:multiLevelType w:val="multilevel"/>
    <w:tmpl w:val="1CC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FE32A5"/>
    <w:multiLevelType w:val="hybridMultilevel"/>
    <w:tmpl w:val="2F600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EFC2909"/>
    <w:multiLevelType w:val="multilevel"/>
    <w:tmpl w:val="F0F0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F3A75E9"/>
    <w:multiLevelType w:val="multilevel"/>
    <w:tmpl w:val="6BD8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10A1733"/>
    <w:multiLevelType w:val="hybridMultilevel"/>
    <w:tmpl w:val="8DA2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6A7C88"/>
    <w:multiLevelType w:val="hybridMultilevel"/>
    <w:tmpl w:val="A1E0927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313C4A"/>
    <w:multiLevelType w:val="hybridMultilevel"/>
    <w:tmpl w:val="4724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4601542"/>
    <w:multiLevelType w:val="hybridMultilevel"/>
    <w:tmpl w:val="50CAC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6841A30"/>
    <w:multiLevelType w:val="hybridMultilevel"/>
    <w:tmpl w:val="A1F0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492C9C"/>
    <w:multiLevelType w:val="hybridMultilevel"/>
    <w:tmpl w:val="1EE8EA0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B5B4437"/>
    <w:multiLevelType w:val="hybridMultilevel"/>
    <w:tmpl w:val="6FCAF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DE25002"/>
    <w:multiLevelType w:val="hybridMultilevel"/>
    <w:tmpl w:val="4328E95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9F160A"/>
    <w:multiLevelType w:val="hybridMultilevel"/>
    <w:tmpl w:val="4834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1CB3978"/>
    <w:multiLevelType w:val="hybridMultilevel"/>
    <w:tmpl w:val="DB4C6FC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266155C"/>
    <w:multiLevelType w:val="hybridMultilevel"/>
    <w:tmpl w:val="9F8A00AE"/>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36B0F63"/>
    <w:multiLevelType w:val="hybridMultilevel"/>
    <w:tmpl w:val="070EDC6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3A56188"/>
    <w:multiLevelType w:val="multilevel"/>
    <w:tmpl w:val="E504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726764"/>
    <w:multiLevelType w:val="hybridMultilevel"/>
    <w:tmpl w:val="5F466D1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E32C0D"/>
    <w:multiLevelType w:val="hybridMultilevel"/>
    <w:tmpl w:val="2C5A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DC847F9"/>
    <w:multiLevelType w:val="hybridMultilevel"/>
    <w:tmpl w:val="C4AEF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2C320A"/>
    <w:multiLevelType w:val="hybridMultilevel"/>
    <w:tmpl w:val="B7C6A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412DEE"/>
    <w:multiLevelType w:val="hybridMultilevel"/>
    <w:tmpl w:val="82043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45"/>
  </w:num>
  <w:num w:numId="2" w16cid:durableId="1213615309">
    <w:abstractNumId w:val="19"/>
  </w:num>
  <w:num w:numId="3" w16cid:durableId="1061750911">
    <w:abstractNumId w:val="43"/>
  </w:num>
  <w:num w:numId="4" w16cid:durableId="148207661">
    <w:abstractNumId w:val="12"/>
  </w:num>
  <w:num w:numId="5" w16cid:durableId="2123457670">
    <w:abstractNumId w:val="41"/>
  </w:num>
  <w:num w:numId="6" w16cid:durableId="1936791680">
    <w:abstractNumId w:val="3"/>
  </w:num>
  <w:num w:numId="7" w16cid:durableId="1620378805">
    <w:abstractNumId w:val="37"/>
  </w:num>
  <w:num w:numId="8" w16cid:durableId="246621359">
    <w:abstractNumId w:val="68"/>
  </w:num>
  <w:num w:numId="9" w16cid:durableId="1767268777">
    <w:abstractNumId w:val="40"/>
  </w:num>
  <w:num w:numId="10" w16cid:durableId="1286740924">
    <w:abstractNumId w:val="21"/>
  </w:num>
  <w:num w:numId="11" w16cid:durableId="897742524">
    <w:abstractNumId w:val="52"/>
  </w:num>
  <w:num w:numId="12" w16cid:durableId="708996760">
    <w:abstractNumId w:val="2"/>
  </w:num>
  <w:num w:numId="13" w16cid:durableId="595017054">
    <w:abstractNumId w:val="63"/>
  </w:num>
  <w:num w:numId="14" w16cid:durableId="528567405">
    <w:abstractNumId w:val="32"/>
  </w:num>
  <w:num w:numId="15" w16cid:durableId="517084287">
    <w:abstractNumId w:val="1"/>
  </w:num>
  <w:num w:numId="16" w16cid:durableId="1982340269">
    <w:abstractNumId w:val="51"/>
  </w:num>
  <w:num w:numId="17" w16cid:durableId="354967483">
    <w:abstractNumId w:val="42"/>
  </w:num>
  <w:num w:numId="18" w16cid:durableId="388499680">
    <w:abstractNumId w:val="20"/>
  </w:num>
  <w:num w:numId="19" w16cid:durableId="2005431347">
    <w:abstractNumId w:val="13"/>
  </w:num>
  <w:num w:numId="20" w16cid:durableId="1624730493">
    <w:abstractNumId w:val="53"/>
  </w:num>
  <w:num w:numId="21" w16cid:durableId="877206252">
    <w:abstractNumId w:val="73"/>
  </w:num>
  <w:num w:numId="22" w16cid:durableId="1377388595">
    <w:abstractNumId w:val="8"/>
  </w:num>
  <w:num w:numId="23" w16cid:durableId="1791590340">
    <w:abstractNumId w:val="56"/>
  </w:num>
  <w:num w:numId="24" w16cid:durableId="675964291">
    <w:abstractNumId w:val="7"/>
  </w:num>
  <w:num w:numId="25" w16cid:durableId="1526408677">
    <w:abstractNumId w:val="59"/>
  </w:num>
  <w:num w:numId="26" w16cid:durableId="2050644861">
    <w:abstractNumId w:val="23"/>
  </w:num>
  <w:num w:numId="27" w16cid:durableId="1521509006">
    <w:abstractNumId w:val="28"/>
  </w:num>
  <w:num w:numId="28" w16cid:durableId="745759222">
    <w:abstractNumId w:val="60"/>
  </w:num>
  <w:num w:numId="29" w16cid:durableId="1687637523">
    <w:abstractNumId w:val="57"/>
  </w:num>
  <w:num w:numId="30" w16cid:durableId="944114682">
    <w:abstractNumId w:val="26"/>
  </w:num>
  <w:num w:numId="31" w16cid:durableId="1276908201">
    <w:abstractNumId w:val="14"/>
  </w:num>
  <w:num w:numId="32" w16cid:durableId="1188254765">
    <w:abstractNumId w:val="5"/>
  </w:num>
  <w:num w:numId="33" w16cid:durableId="1769353887">
    <w:abstractNumId w:val="39"/>
  </w:num>
  <w:num w:numId="34" w16cid:durableId="2051421409">
    <w:abstractNumId w:val="54"/>
  </w:num>
  <w:num w:numId="35" w16cid:durableId="421146416">
    <w:abstractNumId w:val="71"/>
  </w:num>
  <w:num w:numId="36" w16cid:durableId="385564831">
    <w:abstractNumId w:val="47"/>
  </w:num>
  <w:num w:numId="37" w16cid:durableId="163475304">
    <w:abstractNumId w:val="18"/>
  </w:num>
  <w:num w:numId="38" w16cid:durableId="1854802837">
    <w:abstractNumId w:val="6"/>
  </w:num>
  <w:num w:numId="39" w16cid:durableId="1568691085">
    <w:abstractNumId w:val="4"/>
  </w:num>
  <w:num w:numId="40" w16cid:durableId="629243096">
    <w:abstractNumId w:val="35"/>
  </w:num>
  <w:num w:numId="41" w16cid:durableId="1231767678">
    <w:abstractNumId w:val="36"/>
  </w:num>
  <w:num w:numId="42" w16cid:durableId="1794594010">
    <w:abstractNumId w:val="55"/>
  </w:num>
  <w:num w:numId="43" w16cid:durableId="435365445">
    <w:abstractNumId w:val="62"/>
  </w:num>
  <w:num w:numId="44" w16cid:durableId="1564179510">
    <w:abstractNumId w:val="66"/>
  </w:num>
  <w:num w:numId="45" w16cid:durableId="1938899289">
    <w:abstractNumId w:val="17"/>
  </w:num>
  <w:num w:numId="46" w16cid:durableId="112141762">
    <w:abstractNumId w:val="27"/>
  </w:num>
  <w:num w:numId="47" w16cid:durableId="1616018448">
    <w:abstractNumId w:val="24"/>
  </w:num>
  <w:num w:numId="48" w16cid:durableId="2138450155">
    <w:abstractNumId w:val="31"/>
  </w:num>
  <w:num w:numId="49" w16cid:durableId="1592005962">
    <w:abstractNumId w:val="46"/>
  </w:num>
  <w:num w:numId="50" w16cid:durableId="1539509467">
    <w:abstractNumId w:val="58"/>
  </w:num>
  <w:num w:numId="51" w16cid:durableId="1909067862">
    <w:abstractNumId w:val="44"/>
  </w:num>
  <w:num w:numId="52" w16cid:durableId="1679650334">
    <w:abstractNumId w:val="38"/>
  </w:num>
  <w:num w:numId="53" w16cid:durableId="1268387733">
    <w:abstractNumId w:val="64"/>
  </w:num>
  <w:num w:numId="54" w16cid:durableId="1807432287">
    <w:abstractNumId w:val="72"/>
  </w:num>
  <w:num w:numId="55" w16cid:durableId="592784671">
    <w:abstractNumId w:val="69"/>
  </w:num>
  <w:num w:numId="56" w16cid:durableId="394397746">
    <w:abstractNumId w:val="49"/>
  </w:num>
  <w:num w:numId="57" w16cid:durableId="1836797958">
    <w:abstractNumId w:val="48"/>
  </w:num>
  <w:num w:numId="58" w16cid:durableId="435633386">
    <w:abstractNumId w:val="9"/>
  </w:num>
  <w:num w:numId="59" w16cid:durableId="1979451528">
    <w:abstractNumId w:val="0"/>
  </w:num>
  <w:num w:numId="60" w16cid:durableId="1548103228">
    <w:abstractNumId w:val="70"/>
  </w:num>
  <w:num w:numId="61" w16cid:durableId="589242404">
    <w:abstractNumId w:val="25"/>
  </w:num>
  <w:num w:numId="62" w16cid:durableId="1600747370">
    <w:abstractNumId w:val="65"/>
  </w:num>
  <w:num w:numId="63" w16cid:durableId="948900132">
    <w:abstractNumId w:val="29"/>
  </w:num>
  <w:num w:numId="64" w16cid:durableId="1683118732">
    <w:abstractNumId w:val="61"/>
  </w:num>
  <w:num w:numId="65" w16cid:durableId="1541357767">
    <w:abstractNumId w:val="33"/>
  </w:num>
  <w:num w:numId="66" w16cid:durableId="1862162929">
    <w:abstractNumId w:val="22"/>
  </w:num>
  <w:num w:numId="67" w16cid:durableId="2129277972">
    <w:abstractNumId w:val="16"/>
  </w:num>
  <w:num w:numId="68" w16cid:durableId="954756250">
    <w:abstractNumId w:val="11"/>
  </w:num>
  <w:num w:numId="69" w16cid:durableId="2140219028">
    <w:abstractNumId w:val="15"/>
  </w:num>
  <w:num w:numId="70" w16cid:durableId="2119525575">
    <w:abstractNumId w:val="67"/>
  </w:num>
  <w:num w:numId="71" w16cid:durableId="949312272">
    <w:abstractNumId w:val="30"/>
  </w:num>
  <w:num w:numId="72" w16cid:durableId="919213346">
    <w:abstractNumId w:val="50"/>
  </w:num>
  <w:num w:numId="73" w16cid:durableId="234821524">
    <w:abstractNumId w:val="34"/>
  </w:num>
  <w:num w:numId="74" w16cid:durableId="35966949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2442"/>
    <w:rsid w:val="000252C0"/>
    <w:rsid w:val="00027A34"/>
    <w:rsid w:val="000322E7"/>
    <w:rsid w:val="000343D5"/>
    <w:rsid w:val="00044CFD"/>
    <w:rsid w:val="0005238F"/>
    <w:rsid w:val="000528E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CB8"/>
    <w:rsid w:val="002010FC"/>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51522"/>
    <w:rsid w:val="003520BE"/>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510D"/>
    <w:rsid w:val="004104AA"/>
    <w:rsid w:val="0043449E"/>
    <w:rsid w:val="00436B59"/>
    <w:rsid w:val="004413CD"/>
    <w:rsid w:val="0044258D"/>
    <w:rsid w:val="00443A60"/>
    <w:rsid w:val="00444B1D"/>
    <w:rsid w:val="00444B3C"/>
    <w:rsid w:val="004566ED"/>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50023D"/>
    <w:rsid w:val="0050451B"/>
    <w:rsid w:val="005144E3"/>
    <w:rsid w:val="00515088"/>
    <w:rsid w:val="0052019E"/>
    <w:rsid w:val="00525AD1"/>
    <w:rsid w:val="005262B1"/>
    <w:rsid w:val="00527C05"/>
    <w:rsid w:val="0053336F"/>
    <w:rsid w:val="00533AA9"/>
    <w:rsid w:val="00535ED5"/>
    <w:rsid w:val="0053681E"/>
    <w:rsid w:val="005433BE"/>
    <w:rsid w:val="00545742"/>
    <w:rsid w:val="00546BB3"/>
    <w:rsid w:val="005532E5"/>
    <w:rsid w:val="00555B7A"/>
    <w:rsid w:val="005609F8"/>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4745A"/>
    <w:rsid w:val="007507AF"/>
    <w:rsid w:val="00750F2F"/>
    <w:rsid w:val="00754496"/>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94DB2"/>
    <w:rsid w:val="009A22B4"/>
    <w:rsid w:val="009B7B1F"/>
    <w:rsid w:val="009C2244"/>
    <w:rsid w:val="009C3C7B"/>
    <w:rsid w:val="009D1D31"/>
    <w:rsid w:val="009E4604"/>
    <w:rsid w:val="009E7CA3"/>
    <w:rsid w:val="009F0570"/>
    <w:rsid w:val="009F0B28"/>
    <w:rsid w:val="009F1183"/>
    <w:rsid w:val="009F1514"/>
    <w:rsid w:val="009F2F7B"/>
    <w:rsid w:val="009F3BDA"/>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62C2"/>
    <w:rsid w:val="00B00D76"/>
    <w:rsid w:val="00B03D10"/>
    <w:rsid w:val="00B05FDA"/>
    <w:rsid w:val="00B146C0"/>
    <w:rsid w:val="00B154C6"/>
    <w:rsid w:val="00B16B50"/>
    <w:rsid w:val="00B32E4E"/>
    <w:rsid w:val="00B40794"/>
    <w:rsid w:val="00B4283F"/>
    <w:rsid w:val="00B43F32"/>
    <w:rsid w:val="00B4456F"/>
    <w:rsid w:val="00B61F61"/>
    <w:rsid w:val="00B63BBC"/>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64DD"/>
    <w:rsid w:val="00DC7903"/>
    <w:rsid w:val="00DD4E9D"/>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3246"/>
    <w:rsid w:val="00E940F8"/>
    <w:rsid w:val="00EA0044"/>
    <w:rsid w:val="00EA16F8"/>
    <w:rsid w:val="00EA2C08"/>
    <w:rsid w:val="00EA69AC"/>
    <w:rsid w:val="00EB684E"/>
    <w:rsid w:val="00EC25CF"/>
    <w:rsid w:val="00EC36A7"/>
    <w:rsid w:val="00EC4694"/>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43BA7"/>
    <w:rsid w:val="00F4536C"/>
    <w:rsid w:val="00F45910"/>
    <w:rsid w:val="00F55531"/>
    <w:rsid w:val="00F5781A"/>
    <w:rsid w:val="00F62327"/>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4160"/>
    <w:rsid w:val="00FB1E42"/>
    <w:rsid w:val="00FB40CE"/>
    <w:rsid w:val="00FB4EC1"/>
    <w:rsid w:val="00FB5943"/>
    <w:rsid w:val="00FB599B"/>
    <w:rsid w:val="00FB67F2"/>
    <w:rsid w:val="00FB7B59"/>
    <w:rsid w:val="00FC3BCE"/>
    <w:rsid w:val="00FC4679"/>
    <w:rsid w:val="00FD057B"/>
    <w:rsid w:val="00FD131E"/>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sasc.2024.335098.1016" TargetMode="External"/><Relationship Id="rId18" Type="http://schemas.openxmlformats.org/officeDocument/2006/relationships/hyperlink" Target="https://doi.org/10.1016/j.ijme.2024.101105" TargetMode="External"/><Relationship Id="rId26" Type="http://schemas.openxmlformats.org/officeDocument/2006/relationships/hyperlink" Target="https://doi.org/10.30574/gscarr.2025.23.3.0145" TargetMode="External"/><Relationship Id="rId39" Type="http://schemas.openxmlformats.org/officeDocument/2006/relationships/header" Target="header1.xml"/><Relationship Id="rId21" Type="http://schemas.openxmlformats.org/officeDocument/2006/relationships/hyperlink" Target="https://doi.org/10.59670/ml.v20iS3.3768" TargetMode="External"/><Relationship Id="rId34" Type="http://schemas.openxmlformats.org/officeDocument/2006/relationships/hyperlink" Target="https://www.nim.org"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3390/computers130701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jsb.2023.230616.1633" TargetMode="External"/><Relationship Id="rId24" Type="http://schemas.openxmlformats.org/officeDocument/2006/relationships/hyperlink" Target="https://doi.org/10.1002/smj.3677" TargetMode="External"/><Relationship Id="rId32" Type="http://schemas.openxmlformats.org/officeDocument/2006/relationships/hyperlink" Target="https://doi.org/10.33168/JSMS.2024.0108" TargetMode="External"/><Relationship Id="rId37" Type="http://schemas.openxmlformats.org/officeDocument/2006/relationships/hyperlink" Target="https://doi.org/10.1108/JCM-04-2024-6806" TargetMode="External"/><Relationship Id="rId40" Type="http://schemas.openxmlformats.org/officeDocument/2006/relationships/header" Target="header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1608/jsb.2024.307517.1782" TargetMode="External"/><Relationship Id="rId23" Type="http://schemas.openxmlformats.org/officeDocument/2006/relationships/hyperlink" Target="https://doi.org/10.69648/EYZI2281" TargetMode="External"/><Relationship Id="rId28" Type="http://schemas.openxmlformats.org/officeDocument/2006/relationships/hyperlink" Target="https://doi.org/10.2478/nimmir-2024-0002" TargetMode="External"/><Relationship Id="rId36" Type="http://schemas.openxmlformats.org/officeDocument/2006/relationships/hyperlink" Target="https://doi.org/10.21833/ijaas.2025.08.018" TargetMode="External"/><Relationship Id="rId10" Type="http://schemas.microsoft.com/office/2007/relationships/hdphoto" Target="media/hdphoto1.wdp"/><Relationship Id="rId19" Type="http://schemas.openxmlformats.org/officeDocument/2006/relationships/hyperlink" Target="https://doi.org/10.5267/j.ijdns.2024.7.006" TargetMode="External"/><Relationship Id="rId31" Type="http://schemas.openxmlformats.org/officeDocument/2006/relationships/hyperlink" Target="https://doi.org/10.1016/j.ijinfomgt.2023.10271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325/ghjec.v20i3.16786" TargetMode="External"/><Relationship Id="rId22" Type="http://schemas.openxmlformats.org/officeDocument/2006/relationships/hyperlink" Target="https://doi.org/10.3389/frai.2025.1541678" TargetMode="External"/><Relationship Id="rId27" Type="http://schemas.openxmlformats.org/officeDocument/2006/relationships/hyperlink" Target="https://doi.org/10.14445/22312803/IJCTT-V72I5P106" TargetMode="External"/><Relationship Id="rId30" Type="http://schemas.openxmlformats.org/officeDocument/2006/relationships/hyperlink" Target="https://doi.org/10.21541/apjess.1398155" TargetMode="External"/><Relationship Id="rId35" Type="http://schemas.openxmlformats.org/officeDocument/2006/relationships/hyperlink" Target="https://doi.org/10.3390/su16198667"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4197/Comm.2-1.5" TargetMode="External"/><Relationship Id="rId17" Type="http://schemas.openxmlformats.org/officeDocument/2006/relationships/hyperlink" Target="https://doi.org/10.59994/pau.2025.2.161" TargetMode="External"/><Relationship Id="rId25" Type="http://schemas.openxmlformats.org/officeDocument/2006/relationships/hyperlink" Target="https://doi.org/10.1016/j.ijinfomgt.2023.102642" TargetMode="External"/><Relationship Id="rId33" Type="http://schemas.openxmlformats.org/officeDocument/2006/relationships/hyperlink" Target="https://doi.org/10.63332/joph.v5i6.2596" TargetMode="External"/><Relationship Id="rId38" Type="http://schemas.openxmlformats.org/officeDocument/2006/relationships/hyperlink" Target="https://doi.org/10.6007/IJARPED/v14-i3/25813" TargetMode="External"/><Relationship Id="rId20" Type="http://schemas.openxmlformats.org/officeDocument/2006/relationships/hyperlink" Target="https://doi.org/10.1016/j.chb.2020.106548" TargetMode="External"/><Relationship Id="rId41"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45</Pages>
  <Words>16679</Words>
  <Characters>95076</Characters>
  <Application>Microsoft Office Word</Application>
  <DocSecurity>0</DocSecurity>
  <Lines>792</Lines>
  <Paragraphs>223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111532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4</cp:revision>
  <cp:lastPrinted>2025-07-06T06:14:00Z</cp:lastPrinted>
  <dcterms:created xsi:type="dcterms:W3CDTF">2026-02-27T21:54:00Z</dcterms:created>
  <dcterms:modified xsi:type="dcterms:W3CDTF">2026-02-27T22:14:00Z</dcterms:modified>
</cp:coreProperties>
</file>