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FE160A" w:rsidR="002C1A51" w:rsidP="240D044D" w:rsidRDefault="002C1A51" w14:textId="1BD5D674" w14:paraId="4DE63FEE">
      <w:pPr>
        <w:spacing w:line="276" w:lineRule="auto"/>
        <w:jc w:val="center"/>
        <w:rPr>
          <w:rFonts w:ascii="Arial" w:hAnsi="Arial" w:eastAsia="Arial" w:cs="Arial"/>
          <w:color w:val="000000" w:themeColor="text1" w:themeTint="FF" w:themeShade="FF"/>
          <w:sz w:val="28"/>
          <w:szCs w:val="28"/>
          <w:rtl w:val="1"/>
          <w:lang w:bidi="ar-DZ"/>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7590EFC9">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rsidRPr="00FE160A" w:rsidR="002C1A51" w:rsidP="240D044D" w:rsidRDefault="002C1A51" w14:paraId="02A46CD7" w14:textId="2B943596">
      <w:pPr>
        <w:spacing w:line="276" w:lineRule="auto"/>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b w:val="1"/>
          <w:bCs w:val="1"/>
          <w:noProof w:val="0"/>
          <w:sz w:val="26"/>
          <w:szCs w:val="26"/>
          <w:rtl w:val="1"/>
          <w:lang w:bidi="ar-LB"/>
        </w:rPr>
        <w:t>المقاربة النظرية للدراسة</w:t>
      </w:r>
      <w:r w:rsidRPr="240D044D" w:rsidR="2AE10E88">
        <w:rPr>
          <w:rFonts w:ascii="Times New Roman" w:hAnsi="Times New Roman" w:eastAsia="Times New Roman" w:cs="Times New Roman"/>
          <w:b w:val="1"/>
          <w:bCs w:val="1"/>
          <w:noProof w:val="0"/>
          <w:sz w:val="26"/>
          <w:szCs w:val="26"/>
          <w:lang w:bidi="ar-LB"/>
        </w:rPr>
        <w:t>:</w:t>
      </w:r>
    </w:p>
    <w:p w:rsidRPr="00FE160A" w:rsidR="002C1A51" w:rsidP="240D044D" w:rsidRDefault="002C1A51" w14:paraId="46C84BCB" w14:textId="6A38A927">
      <w:pPr>
        <w:spacing w:line="276" w:lineRule="auto"/>
        <w:jc w:val="center"/>
        <w:rPr>
          <w:rFonts w:ascii="Times New Roman" w:hAnsi="Times New Roman" w:eastAsia="Times New Roman" w:cs="Times New Roman"/>
          <w:b w:val="1"/>
          <w:bCs w:val="1"/>
          <w:noProof w:val="0"/>
          <w:sz w:val="26"/>
          <w:szCs w:val="26"/>
          <w:u w:val="single"/>
          <w:lang w:bidi="ar-SA"/>
        </w:rPr>
      </w:pPr>
      <w:r w:rsidRPr="240D044D" w:rsidR="2AE10E88">
        <w:rPr>
          <w:rFonts w:ascii="Times New Roman" w:hAnsi="Times New Roman" w:eastAsia="Times New Roman" w:cs="Times New Roman"/>
          <w:b w:val="1"/>
          <w:bCs w:val="1"/>
          <w:noProof w:val="0"/>
          <w:sz w:val="26"/>
          <w:szCs w:val="26"/>
          <w:u w:val="single"/>
          <w:rtl w:val="1"/>
          <w:lang w:bidi="ar-LB"/>
        </w:rPr>
        <w:t>التأطير الاعلامي</w:t>
      </w:r>
    </w:p>
    <w:p w:rsidRPr="00FE160A" w:rsidR="002C1A51" w:rsidP="240D044D" w:rsidRDefault="002C1A51" w14:paraId="5C958771" w14:textId="27476CD1">
      <w:pPr>
        <w:spacing w:before="0" w:beforeAutospacing="off" w:after="160" w:afterAutospacing="off" w:line="276" w:lineRule="auto"/>
        <w:ind w:left="0" w:right="0"/>
        <w:jc w:val="center"/>
        <w:rPr>
          <w:rFonts w:ascii="Times New Roman" w:hAnsi="Times New Roman" w:eastAsia="Times New Roman" w:cs="Times New Roman"/>
          <w:noProof w:val="0"/>
          <w:color w:val="000000" w:themeColor="text1" w:themeTint="FF" w:themeShade="FF"/>
          <w:sz w:val="26"/>
          <w:szCs w:val="26"/>
          <w:lang w:bidi="ar-SA"/>
        </w:rPr>
      </w:pPr>
      <w:r w:rsidRPr="240D044D" w:rsidR="2AE10E88">
        <w:rPr>
          <w:rFonts w:ascii="Arial" w:hAnsi="Arial" w:eastAsia="Arial" w:cs="Arial"/>
          <w:noProof w:val="0"/>
          <w:color w:val="000000" w:themeColor="text1" w:themeTint="FF" w:themeShade="FF"/>
          <w:sz w:val="24"/>
          <w:szCs w:val="24"/>
          <w:rtl w:val="1"/>
          <w:lang w:bidi="ar-LB"/>
        </w:rPr>
        <w:t xml:space="preserve">تعتمد </w:t>
      </w:r>
      <w:r w:rsidRPr="240D044D" w:rsidR="2AE10E88">
        <w:rPr>
          <w:rFonts w:ascii="Calibri" w:hAnsi="Calibri" w:eastAsia="Calibri" w:cs="Calibri"/>
          <w:noProof w:val="0"/>
          <w:color w:val="000000" w:themeColor="text1" w:themeTint="FF" w:themeShade="FF"/>
          <w:sz w:val="24"/>
          <w:szCs w:val="24"/>
          <w:rtl w:val="1"/>
          <w:lang w:bidi="ar-LB"/>
        </w:rPr>
        <w:t xml:space="preserve">نظرية التأطير الاعلامي </w:t>
      </w:r>
      <w:r w:rsidRPr="240D044D" w:rsidR="2AE10E88">
        <w:rPr>
          <w:rFonts w:ascii="Times New Roman" w:hAnsi="Times New Roman" w:eastAsia="Times New Roman" w:cs="Times New Roman"/>
          <w:noProof w:val="0"/>
          <w:color w:val="000000" w:themeColor="text1" w:themeTint="FF" w:themeShade="FF"/>
          <w:sz w:val="26"/>
          <w:szCs w:val="26"/>
          <w:rtl w:val="1"/>
          <w:lang w:bidi="ar-LB"/>
        </w:rPr>
        <w:t xml:space="preserve">على </w:t>
      </w:r>
      <w:r w:rsidRPr="240D044D" w:rsidR="2AE10E88">
        <w:rPr>
          <w:rFonts w:ascii="Arial" w:hAnsi="Arial" w:eastAsia="Arial" w:cs="Arial"/>
          <w:noProof w:val="0"/>
          <w:sz w:val="24"/>
          <w:szCs w:val="24"/>
          <w:rtl w:val="1"/>
          <w:lang w:bidi="ar-LB"/>
        </w:rPr>
        <w:t>فكرة أن وسائل الإعلام لا تقتصر على إخبار الجمهور "بماذا يفكر" فحسب، بل تحدد لهم "كيف يفكرون" في القضايا والأحداث؛ من خلال إبراز جوانب معينة وإخفاء أخرى، ووضع الأخبار في سياق يوجه تفسيرات الجمهور، فلذلك نستعين في هذه الدراسة على تحليل الأطر الاعلامية المستخدمة في معالجة قضية النسوية من خلال هذه الحلقتين</w:t>
      </w:r>
      <w:r w:rsidRPr="240D044D" w:rsidR="2AE10E88">
        <w:rPr>
          <w:rFonts w:ascii="Times New Roman" w:hAnsi="Times New Roman" w:eastAsia="Times New Roman" w:cs="Times New Roman"/>
          <w:noProof w:val="0"/>
          <w:color w:val="000000" w:themeColor="text1" w:themeTint="FF" w:themeShade="FF"/>
          <w:sz w:val="26"/>
          <w:szCs w:val="26"/>
          <w:lang w:bidi="ar-LB"/>
        </w:rPr>
        <w:t>.</w:t>
      </w:r>
    </w:p>
    <w:p w:rsidRPr="00FE160A" w:rsidR="002C1A51" w:rsidP="240D044D" w:rsidRDefault="002C1A51" w14:paraId="4939368E" w14:textId="51DDAC88">
      <w:pPr>
        <w:spacing w:line="276" w:lineRule="auto"/>
        <w:jc w:val="center"/>
        <w:rPr>
          <w:rFonts w:ascii="Times New Roman" w:hAnsi="Times New Roman" w:eastAsia="Times New Roman" w:cs="Times New Roman"/>
          <w:noProof w:val="0"/>
          <w:sz w:val="26"/>
          <w:szCs w:val="26"/>
          <w:lang w:bidi="ar-SA"/>
        </w:rPr>
      </w:pPr>
    </w:p>
    <w:p w:rsidRPr="00FE160A" w:rsidR="002C1A51" w:rsidP="240D044D" w:rsidRDefault="002C1A51" w14:paraId="0B4BF2EA" w14:textId="57D680E9">
      <w:pPr>
        <w:spacing w:line="276" w:lineRule="auto"/>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b w:val="1"/>
          <w:bCs w:val="1"/>
          <w:noProof w:val="0"/>
          <w:sz w:val="26"/>
          <w:szCs w:val="26"/>
          <w:rtl w:val="1"/>
          <w:lang w:bidi="ar-LB"/>
        </w:rPr>
        <w:t>منهج ونوع الدراسة</w:t>
      </w:r>
      <w:r w:rsidRPr="240D044D" w:rsidR="2AE10E88">
        <w:rPr>
          <w:rFonts w:ascii="Times New Roman" w:hAnsi="Times New Roman" w:eastAsia="Times New Roman" w:cs="Times New Roman"/>
          <w:b w:val="1"/>
          <w:bCs w:val="1"/>
          <w:noProof w:val="0"/>
          <w:sz w:val="26"/>
          <w:szCs w:val="26"/>
          <w:lang w:bidi="ar-LB"/>
        </w:rPr>
        <w:t>:</w:t>
      </w:r>
    </w:p>
    <w:p w:rsidRPr="00FE160A" w:rsidR="002C1A51" w:rsidP="240D044D" w:rsidRDefault="002C1A51" w14:paraId="3540F270" w14:textId="4776F983">
      <w:pPr>
        <w:spacing w:line="276" w:lineRule="auto"/>
        <w:jc w:val="center"/>
        <w:rPr>
          <w:rFonts w:ascii="Times New Roman" w:hAnsi="Times New Roman" w:eastAsia="Times New Roman" w:cs="Times New Roman"/>
          <w:b w:val="1"/>
          <w:bCs w:val="1"/>
          <w:noProof w:val="0"/>
          <w:sz w:val="26"/>
          <w:szCs w:val="26"/>
          <w:u w:val="single"/>
          <w:lang w:bidi="ar-SA"/>
        </w:rPr>
      </w:pPr>
      <w:r w:rsidRPr="240D044D" w:rsidR="2AE10E88">
        <w:rPr>
          <w:rFonts w:ascii="Times New Roman" w:hAnsi="Times New Roman" w:eastAsia="Times New Roman" w:cs="Times New Roman"/>
          <w:b w:val="1"/>
          <w:bCs w:val="1"/>
          <w:noProof w:val="0"/>
          <w:sz w:val="26"/>
          <w:szCs w:val="26"/>
          <w:u w:val="single"/>
          <w:rtl w:val="1"/>
          <w:lang w:bidi="ar-LB"/>
        </w:rPr>
        <w:t>المنهج الوصفي التحليلية</w:t>
      </w:r>
      <w:r w:rsidRPr="240D044D" w:rsidR="2AE10E88">
        <w:rPr>
          <w:rFonts w:ascii="Times New Roman" w:hAnsi="Times New Roman" w:eastAsia="Times New Roman" w:cs="Times New Roman"/>
          <w:b w:val="1"/>
          <w:bCs w:val="1"/>
          <w:noProof w:val="0"/>
          <w:sz w:val="26"/>
          <w:szCs w:val="26"/>
          <w:u w:val="single"/>
          <w:lang w:bidi="ar-LB"/>
        </w:rPr>
        <w:t xml:space="preserve"> .</w:t>
      </w:r>
    </w:p>
    <w:p w:rsidRPr="00FE160A" w:rsidR="002C1A51" w:rsidP="240D044D" w:rsidRDefault="002C1A51" w14:paraId="02FBDA79" w14:textId="67A358D3">
      <w:pPr>
        <w:spacing w:line="276" w:lineRule="auto"/>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noProof w:val="0"/>
          <w:sz w:val="26"/>
          <w:szCs w:val="26"/>
          <w:rtl w:val="1"/>
          <w:lang w:bidi="ar-LB"/>
        </w:rPr>
        <w:t>اعتمدت على المنهج الوصفي التحليلي؛ بهدف وصف وتحليل كيفية معالجة برنامج مربع لقضية النسوية في الحلقتين، والكشف عن الأطر الإعلامية والخطاب والأساليب الإقناعية المستخدمة</w:t>
      </w:r>
      <w:r w:rsidRPr="240D044D" w:rsidR="2AE10E88">
        <w:rPr>
          <w:rFonts w:ascii="Times New Roman" w:hAnsi="Times New Roman" w:eastAsia="Times New Roman" w:cs="Times New Roman"/>
          <w:noProof w:val="0"/>
          <w:sz w:val="26"/>
          <w:szCs w:val="26"/>
          <w:lang w:bidi="ar-LB"/>
        </w:rPr>
        <w:t>.</w:t>
      </w:r>
    </w:p>
    <w:p w:rsidRPr="00FE160A" w:rsidR="002C1A51" w:rsidP="240D044D" w:rsidRDefault="002C1A51" w14:paraId="781DB4AD" w14:textId="05207A26">
      <w:pPr>
        <w:spacing w:line="276" w:lineRule="auto"/>
        <w:jc w:val="center"/>
        <w:rPr>
          <w:rFonts w:ascii="Times New Roman" w:hAnsi="Times New Roman" w:eastAsia="Times New Roman" w:cs="Times New Roman"/>
          <w:noProof w:val="0"/>
          <w:sz w:val="26"/>
          <w:szCs w:val="26"/>
          <w:lang w:bidi="ar-SA"/>
        </w:rPr>
      </w:pPr>
    </w:p>
    <w:p w:rsidRPr="00FE160A" w:rsidR="002C1A51" w:rsidP="240D044D" w:rsidRDefault="002C1A51" w14:paraId="276A50CF" w14:textId="5D6A1C89">
      <w:pPr>
        <w:spacing w:line="276" w:lineRule="auto"/>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b w:val="1"/>
          <w:bCs w:val="1"/>
          <w:noProof w:val="0"/>
          <w:sz w:val="26"/>
          <w:szCs w:val="26"/>
          <w:rtl w:val="1"/>
          <w:lang w:bidi="ar-LB"/>
        </w:rPr>
        <w:t>عينة الدراسة</w:t>
      </w:r>
      <w:r w:rsidRPr="240D044D" w:rsidR="2AE10E88">
        <w:rPr>
          <w:rFonts w:ascii="Times New Roman" w:hAnsi="Times New Roman" w:eastAsia="Times New Roman" w:cs="Times New Roman"/>
          <w:b w:val="1"/>
          <w:bCs w:val="1"/>
          <w:noProof w:val="0"/>
          <w:sz w:val="26"/>
          <w:szCs w:val="26"/>
          <w:lang w:bidi="ar-LB"/>
        </w:rPr>
        <w:t>:</w:t>
      </w:r>
    </w:p>
    <w:p w:rsidRPr="00FE160A" w:rsidR="002C1A51" w:rsidP="240D044D" w:rsidRDefault="002C1A51" w14:paraId="4F3489D5" w14:textId="09085528">
      <w:pPr>
        <w:spacing w:before="0" w:beforeAutospacing="off" w:after="160" w:afterAutospacing="off" w:line="276" w:lineRule="auto"/>
        <w:ind w:left="0" w:right="0"/>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noProof w:val="0"/>
          <w:sz w:val="26"/>
          <w:szCs w:val="26"/>
          <w:rtl w:val="1"/>
          <w:lang w:bidi="ar-LB"/>
        </w:rPr>
        <w:t>اعتمدت الدراسة على العينة القصدية، التي تُعنى ب</w:t>
      </w:r>
      <w:r w:rsidRPr="240D044D" w:rsidR="2AE10E88">
        <w:rPr>
          <w:rFonts w:ascii="Arial" w:hAnsi="Arial" w:eastAsia="Arial" w:cs="Arial"/>
          <w:noProof w:val="0"/>
          <w:sz w:val="24"/>
          <w:szCs w:val="24"/>
          <w:rtl w:val="1"/>
          <w:lang w:bidi="ar-LB"/>
        </w:rPr>
        <w:t>اختيار العينة في البحث العلمي بناءً على حكم الباحث ومعرفته بخصائص مجتمع الدراسة</w:t>
      </w:r>
      <w:r w:rsidRPr="240D044D" w:rsidR="2AE10E88">
        <w:rPr>
          <w:rFonts w:ascii="Times New Roman" w:hAnsi="Times New Roman" w:eastAsia="Times New Roman" w:cs="Times New Roman"/>
          <w:noProof w:val="0"/>
          <w:color w:val="000000" w:themeColor="text1" w:themeTint="FF" w:themeShade="FF"/>
          <w:sz w:val="26"/>
          <w:szCs w:val="26"/>
          <w:rtl w:val="1"/>
          <w:lang w:bidi="ar-LB"/>
        </w:rPr>
        <w:t>، وليس بطريقة عشوائية.</w:t>
      </w:r>
      <w:r w:rsidRPr="240D044D" w:rsidR="2AE10E88">
        <w:rPr>
          <w:rFonts w:ascii="Times New Roman" w:hAnsi="Times New Roman" w:eastAsia="Times New Roman" w:cs="Times New Roman"/>
          <w:noProof w:val="0"/>
          <w:sz w:val="26"/>
          <w:szCs w:val="26"/>
          <w:rtl w:val="1"/>
          <w:lang w:bidi="ar-LB"/>
        </w:rPr>
        <w:t xml:space="preserve"> وتمثلت هذه العينة في حلقتي “النسوية دين بلا إله” (68 و69) من برنامج مربع التابع لقناة ثمانية السعودية؛ لكونهما تتناولان قضية النسوية بصورة متعمقة من جوانب متعددة</w:t>
      </w:r>
      <w:r w:rsidRPr="240D044D" w:rsidR="2AE10E88">
        <w:rPr>
          <w:rFonts w:ascii="Times New Roman" w:hAnsi="Times New Roman" w:eastAsia="Times New Roman" w:cs="Times New Roman"/>
          <w:noProof w:val="0"/>
          <w:sz w:val="26"/>
          <w:szCs w:val="26"/>
          <w:lang w:bidi="ar-LB"/>
        </w:rPr>
        <w:t>.</w:t>
      </w:r>
    </w:p>
    <w:p w:rsidRPr="00FE160A" w:rsidR="002C1A51" w:rsidP="240D044D" w:rsidRDefault="002C1A51" w14:paraId="07C28ADB" w14:textId="17B80823">
      <w:pPr>
        <w:spacing w:before="0" w:beforeAutospacing="off" w:after="160" w:afterAutospacing="off" w:line="276" w:lineRule="auto"/>
        <w:ind w:left="0" w:right="0"/>
        <w:jc w:val="center"/>
        <w:rPr>
          <w:rFonts w:ascii="Times New Roman" w:hAnsi="Times New Roman" w:eastAsia="Times New Roman" w:cs="Times New Roman"/>
          <w:noProof w:val="0"/>
          <w:sz w:val="26"/>
          <w:szCs w:val="26"/>
          <w:lang w:bidi="ar-SA"/>
        </w:rPr>
      </w:pPr>
    </w:p>
    <w:p w:rsidRPr="00FE160A" w:rsidR="002C1A51" w:rsidP="240D044D" w:rsidRDefault="002C1A51" w14:paraId="2DD2FB9C" w14:textId="519608DB">
      <w:pPr>
        <w:spacing w:line="276" w:lineRule="auto"/>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b w:val="1"/>
          <w:bCs w:val="1"/>
          <w:noProof w:val="0"/>
          <w:sz w:val="26"/>
          <w:szCs w:val="26"/>
          <w:rtl w:val="1"/>
          <w:lang w:bidi="ar-LB"/>
        </w:rPr>
        <w:t>أدوات جمع البيانات</w:t>
      </w:r>
      <w:r w:rsidRPr="240D044D" w:rsidR="2AE10E88">
        <w:rPr>
          <w:rFonts w:ascii="Times New Roman" w:hAnsi="Times New Roman" w:eastAsia="Times New Roman" w:cs="Times New Roman"/>
          <w:b w:val="1"/>
          <w:bCs w:val="1"/>
          <w:noProof w:val="0"/>
          <w:sz w:val="26"/>
          <w:szCs w:val="26"/>
          <w:lang w:bidi="ar-LB"/>
        </w:rPr>
        <w:t>:</w:t>
      </w:r>
    </w:p>
    <w:p w:rsidRPr="00FE160A" w:rsidR="002C1A51" w:rsidP="240D044D" w:rsidRDefault="002C1A51" w14:paraId="06F30FE4" w14:textId="081F0D94">
      <w:pPr>
        <w:spacing w:line="276" w:lineRule="auto"/>
        <w:jc w:val="center"/>
        <w:rPr>
          <w:rFonts w:ascii="Times New Roman" w:hAnsi="Times New Roman" w:eastAsia="Times New Roman" w:cs="Times New Roman"/>
          <w:b w:val="1"/>
          <w:bCs w:val="1"/>
          <w:noProof w:val="0"/>
          <w:sz w:val="26"/>
          <w:szCs w:val="26"/>
          <w:u w:val="single"/>
          <w:lang w:bidi="ar-SA"/>
        </w:rPr>
      </w:pPr>
      <w:r w:rsidRPr="240D044D" w:rsidR="2AE10E88">
        <w:rPr>
          <w:rFonts w:ascii="Times New Roman" w:hAnsi="Times New Roman" w:eastAsia="Times New Roman" w:cs="Times New Roman"/>
          <w:b w:val="1"/>
          <w:bCs w:val="1"/>
          <w:noProof w:val="0"/>
          <w:sz w:val="26"/>
          <w:szCs w:val="26"/>
          <w:u w:val="single"/>
          <w:rtl w:val="1"/>
          <w:lang w:bidi="ar-LB"/>
        </w:rPr>
        <w:t>تحليل الحلقة</w:t>
      </w:r>
      <w:r w:rsidRPr="240D044D" w:rsidR="2AE10E88">
        <w:rPr>
          <w:rFonts w:ascii="Times New Roman" w:hAnsi="Times New Roman" w:eastAsia="Times New Roman" w:cs="Times New Roman"/>
          <w:b w:val="1"/>
          <w:bCs w:val="1"/>
          <w:noProof w:val="0"/>
          <w:sz w:val="26"/>
          <w:szCs w:val="26"/>
          <w:u w:val="single"/>
          <w:lang w:bidi="ar-LB"/>
        </w:rPr>
        <w:t>:</w:t>
      </w:r>
    </w:p>
    <w:p w:rsidRPr="00FE160A" w:rsidR="002C1A51" w:rsidP="240D044D" w:rsidRDefault="002C1A51" w14:paraId="76041D49" w14:textId="43A335A2">
      <w:pPr>
        <w:spacing w:line="276" w:lineRule="auto"/>
        <w:jc w:val="center"/>
        <w:rPr>
          <w:rFonts w:ascii="Times New Roman" w:hAnsi="Times New Roman" w:eastAsia="Times New Roman" w:cs="Times New Roman"/>
          <w:noProof w:val="0"/>
          <w:sz w:val="26"/>
          <w:szCs w:val="26"/>
          <w:lang w:bidi="ar-SA"/>
        </w:rPr>
      </w:pPr>
      <w:r w:rsidRPr="240D044D" w:rsidR="2AE10E88">
        <w:rPr>
          <w:rFonts w:ascii="Times New Roman" w:hAnsi="Times New Roman" w:eastAsia="Times New Roman" w:cs="Times New Roman"/>
          <w:noProof w:val="0"/>
          <w:sz w:val="26"/>
          <w:szCs w:val="26"/>
          <w:rtl w:val="1"/>
          <w:lang w:bidi="ar-LB"/>
        </w:rPr>
        <w:t>اعتمدت الدراسة على تحليل الحلقتين (68 و69) من برنامج مربع، وذلك من خلال تحليل محتوى الحوار الذي دار بين مقدم البرنامج والضيف، بهدف التعرف على الأطر الإعلامية، والموضوعات، والأساليب الإقناعية، وطبيعة الخطاب الإعلامي المستخدم في معالجة قضية النسوية</w:t>
      </w:r>
      <w:r w:rsidRPr="240D044D" w:rsidR="2AE10E88">
        <w:rPr>
          <w:rFonts w:ascii="Times New Roman" w:hAnsi="Times New Roman" w:eastAsia="Times New Roman" w:cs="Times New Roman"/>
          <w:noProof w:val="0"/>
          <w:sz w:val="26"/>
          <w:szCs w:val="26"/>
          <w:lang w:bidi="ar-LB"/>
        </w:rPr>
        <w:t>.</w:t>
      </w:r>
    </w:p>
    <w:p w:rsidRPr="00FE160A" w:rsidR="002C1A51" w:rsidP="240D044D" w:rsidRDefault="002C1A51" w14:paraId="191323CD" w14:textId="529439D9">
      <w:pPr>
        <w:spacing w:line="276" w:lineRule="auto"/>
        <w:jc w:val="center"/>
        <w:rPr>
          <w:rFonts w:ascii="Times New Roman" w:hAnsi="Times New Roman" w:eastAsia="Times New Roman" w:cs="Times New Roman"/>
          <w:noProof w:val="0"/>
          <w:sz w:val="26"/>
          <w:szCs w:val="26"/>
          <w:lang w:bidi="ar-SA"/>
        </w:rPr>
      </w:pPr>
    </w:p>
    <w:p w:rsidRPr="00FE160A" w:rsidR="002C1A51" w:rsidP="240D044D" w:rsidRDefault="002C1A51" w14:paraId="78AD282B" w14:textId="37E6BE2D">
      <w:pPr>
        <w:spacing w:line="276" w:lineRule="auto"/>
        <w:jc w:val="center"/>
        <w:rPr>
          <w:rFonts w:ascii="Times New Roman" w:hAnsi="Times New Roman" w:eastAsia="Times New Roman" w:cs="Times New Roman"/>
          <w:b w:val="1"/>
          <w:bCs w:val="1"/>
          <w:noProof w:val="0"/>
          <w:sz w:val="26"/>
          <w:szCs w:val="26"/>
          <w:u w:val="single"/>
          <w:lang w:bidi="ar-SA"/>
        </w:rPr>
      </w:pPr>
      <w:r w:rsidRPr="240D044D" w:rsidR="2AE10E88">
        <w:rPr>
          <w:rFonts w:ascii="Times New Roman" w:hAnsi="Times New Roman" w:eastAsia="Times New Roman" w:cs="Times New Roman"/>
          <w:b w:val="1"/>
          <w:bCs w:val="1"/>
          <w:noProof w:val="0"/>
          <w:sz w:val="26"/>
          <w:szCs w:val="26"/>
          <w:u w:val="single"/>
          <w:rtl w:val="1"/>
          <w:lang w:bidi="ar-LB"/>
        </w:rPr>
        <w:t>الملاحظة</w:t>
      </w:r>
      <w:r w:rsidRPr="240D044D" w:rsidR="2AE10E88">
        <w:rPr>
          <w:rFonts w:ascii="Times New Roman" w:hAnsi="Times New Roman" w:eastAsia="Times New Roman" w:cs="Times New Roman"/>
          <w:b w:val="1"/>
          <w:bCs w:val="1"/>
          <w:noProof w:val="0"/>
          <w:sz w:val="26"/>
          <w:szCs w:val="26"/>
          <w:u w:val="single"/>
          <w:lang w:bidi="ar-LB"/>
        </w:rPr>
        <w:t>:</w:t>
      </w:r>
    </w:p>
    <w:p w:rsidRPr="00FE160A" w:rsidR="002C1A51" w:rsidP="240D044D" w:rsidRDefault="002C1A51" w14:paraId="72687BA0" w14:textId="72E2CDC1">
      <w:pPr>
        <w:pStyle w:val="a"/>
        <w:jc w:val="center"/>
      </w:pPr>
      <w:r w:rsidRPr="240D044D" w:rsidR="2AE10E88">
        <w:rPr>
          <w:rFonts w:ascii="Times New Roman" w:hAnsi="Times New Roman" w:eastAsia="Times New Roman" w:cs="Times New Roman"/>
          <w:noProof w:val="0"/>
          <w:sz w:val="26"/>
          <w:szCs w:val="26"/>
          <w:rtl w:val="1"/>
          <w:lang w:bidi="ar-LB"/>
        </w:rPr>
        <w:t>استعنت في هذه الدراسة على الملاحظة العلمية أثناء مشاهدتي للحلقتين، وذلك بتسجيل الملاحظات المتعلقة بطريقة إدارة الحوار، وتسلسل الأفكار، وأسلوب الطرح، والتفاعل بين مقدم البرنامج والضيف، بما يدعم لي عملية التحليل</w:t>
      </w:r>
    </w:p>
    <w:sectPr w:rsidR="59BE32DC" w:rsidSect="002C1A51">
      <w:pgSz w:w="11906" w:h="16838" w:orient="portrait"/>
      <w:pgMar w:top="1440" w:right="1440" w:bottom="1440" w:left="1440" w:header="720" w:footer="720" w:gutter="0"/>
      <w:pgBorders w:offsetFrom="page">
        <w:top w:val="dotted" w:color="auto" w:sz="4" w:space="24"/>
        <w:left w:val="dotted" w:color="auto" w:sz="4" w:space="24"/>
        <w:bottom w:val="dotted" w:color="auto" w:sz="4" w:space="24"/>
        <w:right w:val="dotted" w:color="auto" w:sz="4" w:space="24"/>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00297"/>
    <w:rsid w:val="00201ADB"/>
    <w:rsid w:val="002C1A51"/>
    <w:rsid w:val="006836C4"/>
    <w:rsid w:val="007465CB"/>
    <w:rsid w:val="00BD2E07"/>
    <w:rsid w:val="00C85437"/>
    <w:rsid w:val="00CA1762"/>
    <w:rsid w:val="00FE160A"/>
    <w:rsid w:val="013E36D4"/>
    <w:rsid w:val="0343576C"/>
    <w:rsid w:val="04175A56"/>
    <w:rsid w:val="0450BDA7"/>
    <w:rsid w:val="04983997"/>
    <w:rsid w:val="062F6707"/>
    <w:rsid w:val="0742EE5C"/>
    <w:rsid w:val="07560676"/>
    <w:rsid w:val="0825C0FE"/>
    <w:rsid w:val="088B7B3A"/>
    <w:rsid w:val="095E8CD5"/>
    <w:rsid w:val="09F36ACE"/>
    <w:rsid w:val="0A81EF35"/>
    <w:rsid w:val="0A8671B1"/>
    <w:rsid w:val="0AA15357"/>
    <w:rsid w:val="0ADE3E25"/>
    <w:rsid w:val="0AE56D91"/>
    <w:rsid w:val="0AF97BCD"/>
    <w:rsid w:val="0B4D25F8"/>
    <w:rsid w:val="0BF107E2"/>
    <w:rsid w:val="0C29A99C"/>
    <w:rsid w:val="0C58EB51"/>
    <w:rsid w:val="0C6317DD"/>
    <w:rsid w:val="0D4744A6"/>
    <w:rsid w:val="0F8111C3"/>
    <w:rsid w:val="10150C4B"/>
    <w:rsid w:val="106428A3"/>
    <w:rsid w:val="1076DD2A"/>
    <w:rsid w:val="11F2139F"/>
    <w:rsid w:val="12552333"/>
    <w:rsid w:val="12DA9365"/>
    <w:rsid w:val="13828C49"/>
    <w:rsid w:val="14D9DB8A"/>
    <w:rsid w:val="162A52A5"/>
    <w:rsid w:val="169AAC15"/>
    <w:rsid w:val="16EB1EE2"/>
    <w:rsid w:val="16F15BCB"/>
    <w:rsid w:val="1850BFDC"/>
    <w:rsid w:val="19951FDD"/>
    <w:rsid w:val="1A0BFD19"/>
    <w:rsid w:val="1A5ADBC7"/>
    <w:rsid w:val="1AA99205"/>
    <w:rsid w:val="1AF4684F"/>
    <w:rsid w:val="1BF0FFB0"/>
    <w:rsid w:val="1E549AAE"/>
    <w:rsid w:val="1E9A77A9"/>
    <w:rsid w:val="1F0608A2"/>
    <w:rsid w:val="1FDC5131"/>
    <w:rsid w:val="20250F05"/>
    <w:rsid w:val="21134A27"/>
    <w:rsid w:val="214E2F71"/>
    <w:rsid w:val="2267878C"/>
    <w:rsid w:val="22CECD78"/>
    <w:rsid w:val="22D280C6"/>
    <w:rsid w:val="234D6829"/>
    <w:rsid w:val="240D044D"/>
    <w:rsid w:val="256195DB"/>
    <w:rsid w:val="2583BAB4"/>
    <w:rsid w:val="272613E9"/>
    <w:rsid w:val="28024971"/>
    <w:rsid w:val="285B0F0C"/>
    <w:rsid w:val="290994E0"/>
    <w:rsid w:val="2941BC59"/>
    <w:rsid w:val="29CDAB41"/>
    <w:rsid w:val="2A56ADE0"/>
    <w:rsid w:val="2AE10E88"/>
    <w:rsid w:val="2B8DD14C"/>
    <w:rsid w:val="2C3E27C7"/>
    <w:rsid w:val="2CCA9793"/>
    <w:rsid w:val="2D952E27"/>
    <w:rsid w:val="2FF16CED"/>
    <w:rsid w:val="3019487F"/>
    <w:rsid w:val="305E3152"/>
    <w:rsid w:val="308A6CBB"/>
    <w:rsid w:val="31119114"/>
    <w:rsid w:val="31B7BF82"/>
    <w:rsid w:val="32AD1DF1"/>
    <w:rsid w:val="33687274"/>
    <w:rsid w:val="3369FBE2"/>
    <w:rsid w:val="3384F7F8"/>
    <w:rsid w:val="3490CC7E"/>
    <w:rsid w:val="34F9E876"/>
    <w:rsid w:val="3571514B"/>
    <w:rsid w:val="36921ABC"/>
    <w:rsid w:val="36BA1553"/>
    <w:rsid w:val="36DCA3D8"/>
    <w:rsid w:val="373DAE59"/>
    <w:rsid w:val="3790F01E"/>
    <w:rsid w:val="38454B00"/>
    <w:rsid w:val="38C0BAAD"/>
    <w:rsid w:val="38F53CF7"/>
    <w:rsid w:val="39185EAA"/>
    <w:rsid w:val="3A748A36"/>
    <w:rsid w:val="3A89283D"/>
    <w:rsid w:val="3B415F19"/>
    <w:rsid w:val="3B8AEB40"/>
    <w:rsid w:val="3B8F2402"/>
    <w:rsid w:val="3BE95224"/>
    <w:rsid w:val="3C41A438"/>
    <w:rsid w:val="3D026D61"/>
    <w:rsid w:val="3ECD3906"/>
    <w:rsid w:val="3F4F34B5"/>
    <w:rsid w:val="4136C30B"/>
    <w:rsid w:val="42B67A2A"/>
    <w:rsid w:val="433198AF"/>
    <w:rsid w:val="44066DF6"/>
    <w:rsid w:val="44976C66"/>
    <w:rsid w:val="455ACD1D"/>
    <w:rsid w:val="464A63D5"/>
    <w:rsid w:val="467968D4"/>
    <w:rsid w:val="46E415A4"/>
    <w:rsid w:val="47659C28"/>
    <w:rsid w:val="479B6A87"/>
    <w:rsid w:val="47C44424"/>
    <w:rsid w:val="4875EBC5"/>
    <w:rsid w:val="492573A4"/>
    <w:rsid w:val="496F50E9"/>
    <w:rsid w:val="4974070A"/>
    <w:rsid w:val="4AD5C41B"/>
    <w:rsid w:val="4B1987CD"/>
    <w:rsid w:val="4BB84417"/>
    <w:rsid w:val="4D3F1E76"/>
    <w:rsid w:val="4D93EA0B"/>
    <w:rsid w:val="4DF51DAA"/>
    <w:rsid w:val="4E053551"/>
    <w:rsid w:val="4E5A07CB"/>
    <w:rsid w:val="4E62DF7D"/>
    <w:rsid w:val="4E9C2169"/>
    <w:rsid w:val="4F361B1D"/>
    <w:rsid w:val="4F88A2AB"/>
    <w:rsid w:val="50671455"/>
    <w:rsid w:val="50E0BE24"/>
    <w:rsid w:val="51A99C96"/>
    <w:rsid w:val="52384DBC"/>
    <w:rsid w:val="531B6878"/>
    <w:rsid w:val="534B854E"/>
    <w:rsid w:val="53567BE3"/>
    <w:rsid w:val="536453F8"/>
    <w:rsid w:val="568F09C6"/>
    <w:rsid w:val="56FE7121"/>
    <w:rsid w:val="57EBDF64"/>
    <w:rsid w:val="57F3ECCC"/>
    <w:rsid w:val="582F0417"/>
    <w:rsid w:val="58525FFC"/>
    <w:rsid w:val="5983BC4D"/>
    <w:rsid w:val="59BE32DC"/>
    <w:rsid w:val="5A7957D8"/>
    <w:rsid w:val="5AF826E7"/>
    <w:rsid w:val="5BEB9D79"/>
    <w:rsid w:val="5DD11804"/>
    <w:rsid w:val="5E0C0687"/>
    <w:rsid w:val="6093DB4A"/>
    <w:rsid w:val="62D3B56F"/>
    <w:rsid w:val="646B8211"/>
    <w:rsid w:val="64E15AAC"/>
    <w:rsid w:val="656913B4"/>
    <w:rsid w:val="65731963"/>
    <w:rsid w:val="66B14C59"/>
    <w:rsid w:val="67E0F1EF"/>
    <w:rsid w:val="68E1D125"/>
    <w:rsid w:val="68E58AEF"/>
    <w:rsid w:val="6912D882"/>
    <w:rsid w:val="6935AC10"/>
    <w:rsid w:val="6992C4BF"/>
    <w:rsid w:val="6A8C6CB1"/>
    <w:rsid w:val="6AC00887"/>
    <w:rsid w:val="6DF9702D"/>
    <w:rsid w:val="6F879FDD"/>
    <w:rsid w:val="705A18B1"/>
    <w:rsid w:val="70CD5D96"/>
    <w:rsid w:val="70D57F24"/>
    <w:rsid w:val="7145B89A"/>
    <w:rsid w:val="718C639C"/>
    <w:rsid w:val="725410DF"/>
    <w:rsid w:val="725D159D"/>
    <w:rsid w:val="73B7717F"/>
    <w:rsid w:val="741400F5"/>
    <w:rsid w:val="74288621"/>
    <w:rsid w:val="7456FDFC"/>
    <w:rsid w:val="753627A2"/>
    <w:rsid w:val="75E7EC6A"/>
    <w:rsid w:val="777F6745"/>
    <w:rsid w:val="7881C665"/>
    <w:rsid w:val="7906AB0B"/>
    <w:rsid w:val="7993741A"/>
    <w:rsid w:val="79BF848F"/>
    <w:rsid w:val="79D4C59E"/>
    <w:rsid w:val="7A390D76"/>
    <w:rsid w:val="7AD2CB76"/>
    <w:rsid w:val="7CC3C91E"/>
    <w:rsid w:val="7CDE730D"/>
    <w:rsid w:val="7D1CB638"/>
    <w:rsid w:val="7DD1F746"/>
    <w:rsid w:val="7ED9E980"/>
    <w:rsid w:val="7EDCA5AB"/>
    <w:rsid w:val="7F79ADB7"/>
    <w:rsid w:val="7F9E34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hAnsiTheme="majorHAnsi" w:eastAsiaTheme="majorEastAsia"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hAnsiTheme="majorHAnsi" w:eastAsiaTheme="majorEastAsia"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character" w:styleId="1Char" w:customStyle="1">
    <w:name w:val="العنوان 1 Char"/>
    <w:basedOn w:val="a0"/>
    <w:link w:val="1"/>
    <w:uiPriority w:val="9"/>
    <w:rsid w:val="00CA1762"/>
    <w:rPr>
      <w:rFonts w:asciiTheme="majorHAnsi" w:hAnsiTheme="majorHAnsi" w:eastAsiaTheme="majorEastAsia" w:cstheme="majorBidi"/>
      <w:color w:val="2F5496" w:themeColor="accent1" w:themeShade="BF"/>
      <w:sz w:val="40"/>
      <w:szCs w:val="40"/>
    </w:rPr>
  </w:style>
  <w:style w:type="character" w:styleId="2Char" w:customStyle="1">
    <w:name w:val="عنوان 2 Char"/>
    <w:basedOn w:val="a0"/>
    <w:link w:val="2"/>
    <w:uiPriority w:val="9"/>
    <w:semiHidden/>
    <w:rsid w:val="00CA1762"/>
    <w:rPr>
      <w:rFonts w:asciiTheme="majorHAnsi" w:hAnsiTheme="majorHAnsi" w:eastAsiaTheme="majorEastAsia" w:cstheme="majorBidi"/>
      <w:color w:val="2F5496" w:themeColor="accent1" w:themeShade="BF"/>
      <w:sz w:val="32"/>
      <w:szCs w:val="32"/>
    </w:rPr>
  </w:style>
  <w:style w:type="character" w:styleId="3Char" w:customStyle="1">
    <w:name w:val="عنوان 3 Char"/>
    <w:basedOn w:val="a0"/>
    <w:link w:val="3"/>
    <w:uiPriority w:val="9"/>
    <w:semiHidden/>
    <w:rsid w:val="00CA1762"/>
    <w:rPr>
      <w:rFonts w:eastAsiaTheme="majorEastAsia" w:cstheme="majorBidi"/>
      <w:color w:val="2F5496" w:themeColor="accent1" w:themeShade="BF"/>
      <w:sz w:val="28"/>
      <w:szCs w:val="28"/>
    </w:rPr>
  </w:style>
  <w:style w:type="character" w:styleId="4Char" w:customStyle="1">
    <w:name w:val="عنوان 4 Char"/>
    <w:basedOn w:val="a0"/>
    <w:link w:val="4"/>
    <w:uiPriority w:val="9"/>
    <w:semiHidden/>
    <w:rsid w:val="00CA1762"/>
    <w:rPr>
      <w:rFonts w:eastAsiaTheme="majorEastAsia" w:cstheme="majorBidi"/>
      <w:i/>
      <w:iCs/>
      <w:color w:val="2F5496" w:themeColor="accent1" w:themeShade="BF"/>
    </w:rPr>
  </w:style>
  <w:style w:type="character" w:styleId="5Char" w:customStyle="1">
    <w:name w:val="عنوان 5 Char"/>
    <w:basedOn w:val="a0"/>
    <w:link w:val="5"/>
    <w:uiPriority w:val="9"/>
    <w:semiHidden/>
    <w:rsid w:val="00CA1762"/>
    <w:rPr>
      <w:rFonts w:eastAsiaTheme="majorEastAsia" w:cstheme="majorBidi"/>
      <w:color w:val="2F5496" w:themeColor="accent1" w:themeShade="BF"/>
    </w:rPr>
  </w:style>
  <w:style w:type="character" w:styleId="6Char" w:customStyle="1">
    <w:name w:val="عنوان 6 Char"/>
    <w:basedOn w:val="a0"/>
    <w:link w:val="6"/>
    <w:uiPriority w:val="9"/>
    <w:semiHidden/>
    <w:rsid w:val="00CA1762"/>
    <w:rPr>
      <w:rFonts w:eastAsiaTheme="majorEastAsia" w:cstheme="majorBidi"/>
      <w:i/>
      <w:iCs/>
      <w:color w:val="595959" w:themeColor="text1" w:themeTint="A6"/>
    </w:rPr>
  </w:style>
  <w:style w:type="character" w:styleId="7Char" w:customStyle="1">
    <w:name w:val="عنوان 7 Char"/>
    <w:basedOn w:val="a0"/>
    <w:link w:val="7"/>
    <w:uiPriority w:val="9"/>
    <w:semiHidden/>
    <w:rsid w:val="00CA1762"/>
    <w:rPr>
      <w:rFonts w:eastAsiaTheme="majorEastAsia" w:cstheme="majorBidi"/>
      <w:color w:val="595959" w:themeColor="text1" w:themeTint="A6"/>
    </w:rPr>
  </w:style>
  <w:style w:type="character" w:styleId="8Char" w:customStyle="1">
    <w:name w:val="عنوان 8 Char"/>
    <w:basedOn w:val="a0"/>
    <w:link w:val="8"/>
    <w:uiPriority w:val="9"/>
    <w:semiHidden/>
    <w:rsid w:val="00CA1762"/>
    <w:rPr>
      <w:rFonts w:eastAsiaTheme="majorEastAsia" w:cstheme="majorBidi"/>
      <w:i/>
      <w:iCs/>
      <w:color w:val="272727" w:themeColor="text1" w:themeTint="D8"/>
    </w:rPr>
  </w:style>
  <w:style w:type="character" w:styleId="9Char" w:customStyle="1">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hAnsiTheme="majorHAnsi" w:eastAsiaTheme="majorEastAsia" w:cstheme="majorBidi"/>
      <w:spacing w:val="-10"/>
      <w:kern w:val="28"/>
      <w:sz w:val="56"/>
      <w:szCs w:val="56"/>
    </w:rPr>
  </w:style>
  <w:style w:type="character" w:styleId="Char" w:customStyle="1">
    <w:name w:val="العنوان Char"/>
    <w:basedOn w:val="a0"/>
    <w:link w:val="a3"/>
    <w:uiPriority w:val="10"/>
    <w:rsid w:val="00CA1762"/>
    <w:rPr>
      <w:rFonts w:asciiTheme="majorHAnsi" w:hAnsiTheme="majorHAnsi" w:eastAsiaTheme="majorEastAsia"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styleId="Char0" w:customStyle="1">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styleId="Char1" w:customStyle="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color="2F5496" w:themeColor="accent1" w:themeShade="BF" w:sz="4" w:space="10"/>
        <w:bottom w:val="single" w:color="2F5496" w:themeColor="accent1" w:themeShade="BF" w:sz="4" w:space="10"/>
      </w:pBdr>
      <w:spacing w:before="360" w:after="360" w:line="278" w:lineRule="auto"/>
      <w:ind w:left="864" w:right="864"/>
      <w:jc w:val="center"/>
    </w:pPr>
    <w:rPr>
      <w:i/>
      <w:iCs/>
      <w:color w:val="2F5496" w:themeColor="accent1" w:themeShade="BF"/>
    </w:rPr>
  </w:style>
  <w:style w:type="character" w:styleId="Char2" w:customStyle="1">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jpeg" Id="rId4" /></Relationships>
</file>

<file path=word/theme/theme1.xml><?xml version="1.0" encoding="utf-8"?>
<a:theme xmlns:a="http://schemas.openxmlformats.org/drawingml/2006/main" xmlns:thm15="http://schemas.microsoft.com/office/thememl/2012/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Ragad Issa</dc:creator>
  <keywords/>
  <dc:description/>
  <lastModifiedBy>عبير</lastModifiedBy>
  <revision>4</revision>
  <dcterms:created xsi:type="dcterms:W3CDTF">2026-06-22T14:00:00.0000000Z</dcterms:created>
  <dcterms:modified xsi:type="dcterms:W3CDTF">2026-06-28T22:41:19.3276131Z</dcterms:modified>
</coreProperties>
</file>