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A2C58" w14:textId="77777777" w:rsidR="004672F6" w:rsidRDefault="004672F6">
      <w:pPr>
        <w:spacing w:before="1200"/>
      </w:pPr>
    </w:p>
    <w:p w14:paraId="3F841CD0" w14:textId="77777777" w:rsidR="004672F6" w:rsidRDefault="003B356D">
      <w:pPr>
        <w:spacing w:after="100" w:line="360" w:lineRule="auto"/>
        <w:jc w:val="center"/>
      </w:pPr>
      <w:r>
        <w:rPr>
          <w:rFonts w:ascii="Arial" w:eastAsia="Arial" w:hAnsi="Arial" w:cs="Arial"/>
          <w:b/>
          <w:bCs/>
          <w:sz w:val="32"/>
          <w:szCs w:val="32"/>
          <w:rtl/>
        </w:rPr>
        <w:t>جامعة ميدأوشن</w:t>
      </w:r>
    </w:p>
    <w:p w14:paraId="4A52202B" w14:textId="77777777" w:rsidR="004672F6" w:rsidRDefault="003B356D">
      <w:pPr>
        <w:spacing w:after="100" w:line="360" w:lineRule="auto"/>
        <w:jc w:val="center"/>
      </w:pPr>
      <w:r>
        <w:rPr>
          <w:rFonts w:ascii="Arial" w:eastAsia="Arial" w:hAnsi="Arial" w:cs="Arial"/>
          <w:b/>
          <w:bCs/>
          <w:sz w:val="26"/>
          <w:szCs w:val="26"/>
          <w:rtl/>
        </w:rPr>
        <w:t>كلية الإدارة</w:t>
      </w:r>
    </w:p>
    <w:p w14:paraId="4BA8EBD6" w14:textId="77777777" w:rsidR="004672F6" w:rsidRDefault="003B356D">
      <w:pPr>
        <w:spacing w:after="600" w:line="360" w:lineRule="auto"/>
        <w:jc w:val="center"/>
      </w:pPr>
      <w:r>
        <w:rPr>
          <w:rFonts w:ascii="Arial" w:eastAsia="Arial" w:hAnsi="Arial" w:cs="Arial"/>
          <w:b/>
          <w:bCs/>
          <w:sz w:val="26"/>
          <w:szCs w:val="26"/>
          <w:rtl/>
        </w:rPr>
        <w:t>قسم إدارة الأعمال</w:t>
      </w:r>
    </w:p>
    <w:p w14:paraId="2A6C3EE5" w14:textId="77777777" w:rsidR="004672F6" w:rsidRDefault="003B356D">
      <w:pPr>
        <w:spacing w:after="100" w:line="360" w:lineRule="auto"/>
        <w:jc w:val="center"/>
      </w:pPr>
      <w:r>
        <w:rPr>
          <w:rFonts w:ascii="Arial" w:eastAsia="Arial" w:hAnsi="Arial" w:cs="Arial"/>
          <w:b/>
          <w:bCs/>
          <w:color w:val="1F4E79"/>
          <w:sz w:val="30"/>
          <w:szCs w:val="30"/>
          <w:rtl/>
        </w:rPr>
        <w:t>الإطار النظري للدراسة</w:t>
      </w:r>
    </w:p>
    <w:p w14:paraId="15B59BFA" w14:textId="77777777" w:rsidR="004672F6" w:rsidRDefault="003B356D">
      <w:pPr>
        <w:spacing w:after="600" w:line="360" w:lineRule="auto"/>
        <w:jc w:val="center"/>
      </w:pPr>
      <w:r>
        <w:rPr>
          <w:rFonts w:ascii="Arial" w:eastAsia="Arial" w:hAnsi="Arial" w:cs="Arial"/>
          <w:b/>
          <w:bCs/>
          <w:color w:val="1F4E79"/>
          <w:sz w:val="24"/>
          <w:szCs w:val="24"/>
          <w:rtl/>
        </w:rPr>
        <w:t>(الفصل الأول والفصل الثاني)</w:t>
      </w:r>
    </w:p>
    <w:p w14:paraId="732D95EA" w14:textId="77777777" w:rsidR="004672F6" w:rsidRDefault="003B356D">
      <w:pPr>
        <w:spacing w:after="60" w:line="360" w:lineRule="auto"/>
        <w:jc w:val="center"/>
      </w:pPr>
      <w:r>
        <w:rPr>
          <w:rFonts w:ascii="Arial" w:eastAsia="Arial" w:hAnsi="Arial" w:cs="Arial"/>
          <w:b/>
          <w:bCs/>
          <w:sz w:val="26"/>
          <w:szCs w:val="26"/>
          <w:rtl/>
        </w:rPr>
        <w:t>أثر تطبيق إدارة المخاطر المؤسسية على نجاح المشاريع الاستراتيجية</w:t>
      </w:r>
    </w:p>
    <w:p w14:paraId="36DD38E1" w14:textId="77777777" w:rsidR="004672F6" w:rsidRDefault="003B356D">
      <w:pPr>
        <w:spacing w:after="100" w:line="360" w:lineRule="auto"/>
        <w:jc w:val="center"/>
      </w:pPr>
      <w:r>
        <w:rPr>
          <w:rFonts w:ascii="Arial" w:eastAsia="Arial" w:hAnsi="Arial" w:cs="Arial"/>
          <w:b/>
          <w:bCs/>
          <w:sz w:val="26"/>
          <w:szCs w:val="26"/>
          <w:rtl/>
        </w:rPr>
        <w:t>في المنظمات داخل المملكة العربية السعودية</w:t>
      </w:r>
    </w:p>
    <w:p w14:paraId="5FDBE7C7" w14:textId="77777777" w:rsidR="004672F6" w:rsidRDefault="003B356D">
      <w:pPr>
        <w:spacing w:after="700" w:line="360" w:lineRule="auto"/>
        <w:jc w:val="center"/>
      </w:pPr>
      <w:r>
        <w:rPr>
          <w:rFonts w:ascii="Arial" w:eastAsia="Arial" w:hAnsi="Arial" w:cs="Arial"/>
          <w:i/>
          <w:iCs/>
          <w:sz w:val="22"/>
          <w:szCs w:val="22"/>
          <w:rtl/>
        </w:rPr>
        <w:t>The Impact of Implementing Enterprise Risk Management on the Success of Strategic Projects in Organizations within the Kingdom of Saudi Arabia</w:t>
      </w:r>
    </w:p>
    <w:p w14:paraId="1257A78B" w14:textId="77777777" w:rsidR="004672F6" w:rsidRDefault="003B356D">
      <w:pPr>
        <w:spacing w:after="60" w:line="360" w:lineRule="auto"/>
        <w:jc w:val="center"/>
      </w:pPr>
      <w:r>
        <w:rPr>
          <w:rFonts w:ascii="Arial" w:eastAsia="Arial" w:hAnsi="Arial" w:cs="Arial"/>
          <w:b/>
          <w:bCs/>
          <w:sz w:val="24"/>
          <w:szCs w:val="24"/>
          <w:rtl/>
        </w:rPr>
        <w:t>إعداد الطالب:</w:t>
      </w:r>
    </w:p>
    <w:p w14:paraId="47C348B3" w14:textId="77777777" w:rsidR="004672F6" w:rsidRDefault="003B356D">
      <w:pPr>
        <w:spacing w:after="40" w:line="360" w:lineRule="auto"/>
        <w:jc w:val="center"/>
      </w:pPr>
      <w:r>
        <w:rPr>
          <w:rFonts w:ascii="Arial" w:eastAsia="Arial" w:hAnsi="Arial" w:cs="Arial"/>
          <w:sz w:val="24"/>
          <w:szCs w:val="24"/>
          <w:rtl/>
        </w:rPr>
        <w:t>تركي سعيد الغامدي</w:t>
      </w:r>
    </w:p>
    <w:p w14:paraId="29C8E6A0" w14:textId="77777777" w:rsidR="004672F6" w:rsidRDefault="003B356D">
      <w:pPr>
        <w:spacing w:after="500" w:line="360" w:lineRule="auto"/>
        <w:jc w:val="center"/>
      </w:pPr>
      <w:r>
        <w:rPr>
          <w:rFonts w:ascii="Arial" w:eastAsia="Arial" w:hAnsi="Arial" w:cs="Arial"/>
          <w:sz w:val="24"/>
          <w:szCs w:val="24"/>
          <w:rtl/>
        </w:rPr>
        <w:t>الرقم الجامعي: 253001046</w:t>
      </w:r>
    </w:p>
    <w:p w14:paraId="1B445BAC" w14:textId="77777777" w:rsidR="004672F6" w:rsidRDefault="003B356D">
      <w:pPr>
        <w:spacing w:after="60" w:line="360" w:lineRule="auto"/>
        <w:jc w:val="center"/>
      </w:pPr>
      <w:r>
        <w:rPr>
          <w:rFonts w:ascii="Arial" w:eastAsia="Arial" w:hAnsi="Arial" w:cs="Arial"/>
          <w:b/>
          <w:bCs/>
          <w:sz w:val="24"/>
          <w:szCs w:val="24"/>
          <w:rtl/>
        </w:rPr>
        <w:t>إشراف:</w:t>
      </w:r>
    </w:p>
    <w:p w14:paraId="287D9D44" w14:textId="77777777" w:rsidR="004672F6" w:rsidRDefault="003B356D">
      <w:pPr>
        <w:spacing w:after="700" w:line="360" w:lineRule="auto"/>
        <w:jc w:val="center"/>
      </w:pPr>
      <w:r>
        <w:rPr>
          <w:rFonts w:ascii="Arial" w:eastAsia="Arial" w:hAnsi="Arial" w:cs="Arial"/>
          <w:sz w:val="24"/>
          <w:szCs w:val="24"/>
          <w:rtl/>
        </w:rPr>
        <w:t>د. فايز جراد  —  د. الفيصل عبد الحميد</w:t>
      </w:r>
    </w:p>
    <w:p w14:paraId="760713FD" w14:textId="77777777" w:rsidR="004672F6" w:rsidRDefault="003B356D">
      <w:pPr>
        <w:spacing w:after="40" w:line="360" w:lineRule="auto"/>
        <w:jc w:val="center"/>
      </w:pPr>
      <w:r>
        <w:rPr>
          <w:rFonts w:ascii="Arial" w:eastAsia="Arial" w:hAnsi="Arial" w:cs="Arial"/>
          <w:sz w:val="22"/>
          <w:szCs w:val="22"/>
          <w:rtl/>
        </w:rPr>
        <w:t>ماجستير إدارة الأعمال | مشروع تخرج - 2</w:t>
      </w:r>
    </w:p>
    <w:p w14:paraId="0896CC65" w14:textId="77777777" w:rsidR="004672F6" w:rsidRDefault="003B356D">
      <w:pPr>
        <w:spacing w:after="200" w:line="360" w:lineRule="auto"/>
        <w:jc w:val="center"/>
      </w:pPr>
      <w:r>
        <w:rPr>
          <w:rFonts w:ascii="Arial" w:eastAsia="Arial" w:hAnsi="Arial" w:cs="Arial"/>
          <w:sz w:val="22"/>
          <w:szCs w:val="22"/>
          <w:rtl/>
        </w:rPr>
        <w:t>العام الدراسي: 2025 – 2026م</w:t>
      </w:r>
    </w:p>
    <w:p w14:paraId="1C2BFF5B" w14:textId="77777777" w:rsidR="004672F6" w:rsidRDefault="003B356D">
      <w:r>
        <w:br w:type="page"/>
      </w:r>
    </w:p>
    <w:p w14:paraId="5EF01688" w14:textId="6E9CA9B6" w:rsidR="004672F6" w:rsidRDefault="003B356D">
      <w:pPr>
        <w:pStyle w:val="1"/>
        <w:pBdr>
          <w:bottom w:val="single" w:sz="8" w:space="4" w:color="1F4E79"/>
        </w:pBdr>
        <w:bidi/>
        <w:spacing w:before="400" w:after="300"/>
        <w:jc w:val="center"/>
      </w:pPr>
      <w:r>
        <w:rPr>
          <w:rFonts w:ascii="Arial" w:eastAsia="Arial" w:hAnsi="Arial" w:cs="Arial"/>
          <w:b/>
          <w:bCs/>
          <w:color w:val="1F4E79"/>
          <w:rtl/>
        </w:rPr>
        <w:t xml:space="preserve">الفصل الأول: </w:t>
      </w:r>
      <w:r w:rsidR="004077C0">
        <w:rPr>
          <w:rFonts w:ascii="Arial" w:eastAsia="Arial" w:hAnsi="Arial" w:cs="Arial" w:hint="cs"/>
          <w:b/>
          <w:bCs/>
          <w:color w:val="1F4E79"/>
          <w:rtl/>
        </w:rPr>
        <w:t>الـمقـدمة</w:t>
      </w:r>
      <w:r>
        <w:rPr>
          <w:rFonts w:ascii="Arial" w:eastAsia="Arial" w:hAnsi="Arial" w:cs="Arial"/>
          <w:b/>
          <w:bCs/>
          <w:color w:val="1F4E79"/>
          <w:rtl/>
        </w:rPr>
        <w:t xml:space="preserve"> والإطار النظري</w:t>
      </w:r>
    </w:p>
    <w:p w14:paraId="3B9D3C65" w14:textId="77777777" w:rsidR="004672F6" w:rsidRDefault="003B356D">
      <w:pPr>
        <w:pStyle w:val="2"/>
        <w:bidi/>
        <w:spacing w:before="360" w:after="200"/>
        <w:jc w:val="right"/>
      </w:pPr>
      <w:r>
        <w:rPr>
          <w:rFonts w:ascii="Arial" w:eastAsia="Arial" w:hAnsi="Arial" w:cs="Arial"/>
          <w:b/>
          <w:bCs/>
          <w:color w:val="1F4E79"/>
          <w:sz w:val="28"/>
          <w:szCs w:val="28"/>
          <w:rtl/>
        </w:rPr>
        <w:t>أ</w:t>
      </w:r>
      <w:r>
        <w:rPr>
          <w:rFonts w:ascii="Arial" w:eastAsia="Arial" w:hAnsi="Arial" w:cs="Arial"/>
          <w:b/>
          <w:bCs/>
          <w:color w:val="1F4E79"/>
          <w:sz w:val="28"/>
          <w:szCs w:val="28"/>
          <w:rtl/>
        </w:rPr>
        <w:t>ولاً: المقدمة</w:t>
      </w:r>
    </w:p>
    <w:p w14:paraId="1A22B221" w14:textId="77777777" w:rsidR="004672F6" w:rsidRDefault="003B356D">
      <w:pPr>
        <w:spacing w:after="200" w:line="360" w:lineRule="auto"/>
        <w:jc w:val="both"/>
      </w:pPr>
      <w:r>
        <w:rPr>
          <w:rFonts w:ascii="Arial" w:eastAsia="Arial" w:hAnsi="Arial" w:cs="Arial"/>
          <w:sz w:val="24"/>
          <w:szCs w:val="24"/>
          <w:rtl/>
        </w:rPr>
        <w:t>تشهد بيئة الأعمال المعاصرة تحولات متسارعة تتسم بارتفاع مستويات عدم اليقين، وتزايد تعقيد العمليات التنظيمية، وتشابك المخاطر الاقتصادية والتشغيلية والاستراتيجية. وقد أسهمت هذه التحولات في توسيع نطاق المخاطر التي تواجه المنظمات الحديثة، مما يستلزم تبني أطر إدارية متكاملة قادرة على التعامل مع تلك المخاطر بصورة منهجية ومنضبطة، بما يضمن تحقيق الأهداف الاستراتيجية وتقليل احتمالات الإخفاق.</w:t>
      </w:r>
    </w:p>
    <w:p w14:paraId="401861BF" w14:textId="77777777" w:rsidR="004672F6" w:rsidRDefault="003B356D">
      <w:pPr>
        <w:spacing w:after="200" w:line="360" w:lineRule="auto"/>
        <w:jc w:val="both"/>
      </w:pPr>
      <w:r>
        <w:rPr>
          <w:rFonts w:ascii="Arial" w:eastAsia="Arial" w:hAnsi="Arial" w:cs="Arial"/>
          <w:sz w:val="24"/>
          <w:szCs w:val="24"/>
          <w:rtl/>
        </w:rPr>
        <w:t>وفي هذا السياق، برز مفهوم إدارة المخاطر المؤسسية (ERM) بوصفه إطاراً إدارياً متكاملاً يهدف إلى تحديد المخاطر المحتملة وتحليلها وتقييمها ووضع استجابات فعالة لها، ضمن منظور شامل يأخذ في الاعتبار جميع وحدات المنظمة. ويتميز هذا المفهوم بأنه ينظر إلى المخاطر باعتبارها عناصر مترابطة تؤثر في الاستراتيجية والأداء والحوكمة بصورة متزامنة.</w:t>
      </w:r>
    </w:p>
    <w:p w14:paraId="026ABA5A" w14:textId="77777777" w:rsidR="004672F6" w:rsidRDefault="003B356D">
      <w:pPr>
        <w:spacing w:after="200" w:line="360" w:lineRule="auto"/>
        <w:jc w:val="both"/>
      </w:pPr>
      <w:r>
        <w:rPr>
          <w:rFonts w:ascii="Arial" w:eastAsia="Arial" w:hAnsi="Arial" w:cs="Arial"/>
          <w:sz w:val="24"/>
          <w:szCs w:val="24"/>
          <w:rtl/>
        </w:rPr>
        <w:t>وعلى صعيد المملكة العربية السعودية، تشهد المنظمات توسعاً غير مسبوق في تنفيذ المشاريع الاستراتيجية الكبرى المرتبطة برؤية 2030. وتُعدّ إدارة المخاطر المؤسسية في هذا السياق الوطني ممكِّناً جوهرياً لضمان استدامة هذا التحول وتحقيق مستهدفاته الطموحة.</w:t>
      </w:r>
    </w:p>
    <w:p w14:paraId="537BB9A1" w14:textId="77777777" w:rsidR="004672F6" w:rsidRDefault="003B356D">
      <w:pPr>
        <w:spacing w:after="200" w:line="360" w:lineRule="auto"/>
        <w:jc w:val="both"/>
      </w:pPr>
      <w:r>
        <w:rPr>
          <w:rFonts w:ascii="Arial" w:eastAsia="Arial" w:hAnsi="Arial" w:cs="Arial"/>
          <w:sz w:val="24"/>
          <w:szCs w:val="24"/>
          <w:rtl/>
        </w:rPr>
        <w:t>ونظراً لأهمية هذا الموضوع، يتناول هذا الفصل الإطار النظري الذي تستند إليه الدراسة، بدءاً بتعريف المخاطر ومفهومها، مروراً بأنواعها وتصنيفاتها ومصادرها، وصولاً إلى خطوات إدارتها ضمن الإطار المؤسسي الشامل، بما يوفر للقارئ الأرضية المعرفية اللازمة لفهم الجزء الذي يتناوله البحث.</w:t>
      </w:r>
    </w:p>
    <w:p w14:paraId="4C8D3267" w14:textId="77777777" w:rsidR="004672F6" w:rsidRDefault="003B356D">
      <w:pPr>
        <w:pStyle w:val="2"/>
        <w:bidi/>
        <w:spacing w:before="360" w:after="200"/>
        <w:jc w:val="right"/>
      </w:pPr>
      <w:r>
        <w:rPr>
          <w:rFonts w:ascii="Arial" w:eastAsia="Arial" w:hAnsi="Arial" w:cs="Arial"/>
          <w:b/>
          <w:bCs/>
          <w:color w:val="1F4E79"/>
          <w:sz w:val="28"/>
          <w:szCs w:val="28"/>
          <w:rtl/>
        </w:rPr>
        <w:t>ثانياً: الإطار النظري</w:t>
      </w:r>
    </w:p>
    <w:p w14:paraId="5FD36CE3" w14:textId="77777777" w:rsidR="004672F6" w:rsidRDefault="003B356D">
      <w:pPr>
        <w:pStyle w:val="3"/>
        <w:bidi/>
        <w:spacing w:before="260" w:after="160"/>
        <w:jc w:val="right"/>
      </w:pPr>
      <w:r>
        <w:rPr>
          <w:rFonts w:ascii="Arial" w:eastAsia="Arial" w:hAnsi="Arial" w:cs="Arial"/>
          <w:b/>
          <w:bCs/>
          <w:color w:val="2E75B6"/>
          <w:sz w:val="26"/>
          <w:szCs w:val="26"/>
          <w:rtl/>
        </w:rPr>
        <w:t>1. تعريف المخاطر (Risk)</w:t>
      </w:r>
    </w:p>
    <w:p w14:paraId="4D0527A4" w14:textId="77777777" w:rsidR="004672F6" w:rsidRDefault="003B356D">
      <w:pPr>
        <w:spacing w:after="200" w:line="360" w:lineRule="auto"/>
        <w:jc w:val="both"/>
      </w:pPr>
      <w:r>
        <w:rPr>
          <w:rFonts w:ascii="Arial" w:eastAsia="Arial" w:hAnsi="Arial" w:cs="Arial"/>
          <w:sz w:val="24"/>
          <w:szCs w:val="24"/>
          <w:rtl/>
        </w:rPr>
        <w:t>تُعرَّف المخاطر بوجه عام بأنها احتمال وقوع حدث أو ظرف غير مؤكد قد يؤثر، في حال حدوثه، على تحقيق أهداف المنظمة، سواء بصورة سلبية تتمثل في التهديد، أو بصورة إيجابية تتمثل في الفرصة. وتتضمن المخاطر عنصرين أساسيين مترابطين: الأول هو درجة عدم اليقين المرتبطة بوقوع الحدث، والثاني هو حجم الأثر الناتج عن هذا الحدث في حال وقوعه.</w:t>
      </w:r>
    </w:p>
    <w:p w14:paraId="59CE9CFD" w14:textId="77777777" w:rsidR="004672F6" w:rsidRDefault="003B356D">
      <w:pPr>
        <w:spacing w:after="200" w:line="360" w:lineRule="auto"/>
        <w:jc w:val="both"/>
      </w:pPr>
      <w:r>
        <w:rPr>
          <w:rFonts w:ascii="Arial" w:eastAsia="Arial" w:hAnsi="Arial" w:cs="Arial"/>
          <w:sz w:val="24"/>
          <w:szCs w:val="24"/>
          <w:rtl/>
        </w:rPr>
        <w:t>ووفقاً لإطار COSO (2017)، تُعرَّف المخاطر بأنها إمكانية وقوع أحداث تؤثر في تحقيق الاستراتيجية وأهداف العمل. وتتميز هذه الرؤية الحديثة بأنها لا تقتصر على الجانب السلبي للمخاطر (التهديدات)، بل تمتد لتشمل الجانب الإيجابي منها (الفرص)، بما ينسجم مع مفهوم إدارة المخاطر المؤسسية بوصفها أداة لخلق القيمة وحمايتها في آنٍ واحد.</w:t>
      </w:r>
    </w:p>
    <w:p w14:paraId="66696AA7" w14:textId="77777777" w:rsidR="004672F6" w:rsidRDefault="003B356D">
      <w:pPr>
        <w:spacing w:after="200" w:line="360" w:lineRule="auto"/>
        <w:jc w:val="both"/>
      </w:pPr>
      <w:r>
        <w:rPr>
          <w:rFonts w:ascii="Arial" w:eastAsia="Arial" w:hAnsi="Arial" w:cs="Arial"/>
          <w:sz w:val="24"/>
          <w:szCs w:val="24"/>
          <w:rtl/>
        </w:rPr>
        <w:t>أما من منظور إدارة المشاريع، فيُعرِّف دليل PMBOK (الإصدار السابع، 2021) الصادر عن معهد إدارة المشاريع (PMI) المخاطرة بأنها حدث أو ظرف غير مؤكد، إذا وقع، فإن له أثراً إيجابياً أو سلبياً على واحد أو أكثر من أهداف المشروع، كالنطاق أو الجدول الزمني أو التكلفة أو الجودة.</w:t>
      </w:r>
    </w:p>
    <w:p w14:paraId="752D7337" w14:textId="77777777" w:rsidR="004672F6" w:rsidRDefault="003B356D">
      <w:pPr>
        <w:spacing w:after="200" w:line="360" w:lineRule="auto"/>
        <w:jc w:val="both"/>
      </w:pPr>
      <w:r>
        <w:rPr>
          <w:rFonts w:ascii="Arial" w:eastAsia="Arial" w:hAnsi="Arial" w:cs="Arial"/>
          <w:sz w:val="24"/>
          <w:szCs w:val="24"/>
          <w:rtl/>
        </w:rPr>
        <w:t>ومما سبق، يمكن استخلاص أن المخاطر تتسم بثلاث خصائص جوهرية: عدم اليقين في وقوعها، وارتباطها المباشر بالأهداف التنظيمية، وقابليتها للقياس والإدارة من خلال منهجيات علمية منظمة.</w:t>
      </w:r>
    </w:p>
    <w:p w14:paraId="6BA9EA0E" w14:textId="77777777" w:rsidR="004672F6" w:rsidRDefault="003B356D">
      <w:pPr>
        <w:pStyle w:val="3"/>
        <w:bidi/>
        <w:spacing w:before="260" w:after="160"/>
        <w:jc w:val="right"/>
      </w:pPr>
      <w:r>
        <w:rPr>
          <w:rFonts w:ascii="Arial" w:eastAsia="Arial" w:hAnsi="Arial" w:cs="Arial"/>
          <w:b/>
          <w:bCs/>
          <w:color w:val="2E75B6"/>
          <w:sz w:val="26"/>
          <w:szCs w:val="26"/>
          <w:rtl/>
        </w:rPr>
        <w:t>2. أنواع المخاطر</w:t>
      </w:r>
    </w:p>
    <w:p w14:paraId="70851CA2" w14:textId="77777777" w:rsidR="004672F6" w:rsidRDefault="003B356D">
      <w:pPr>
        <w:spacing w:after="200" w:line="360" w:lineRule="auto"/>
        <w:jc w:val="both"/>
      </w:pPr>
      <w:r>
        <w:rPr>
          <w:rFonts w:ascii="Arial" w:eastAsia="Arial" w:hAnsi="Arial" w:cs="Arial"/>
          <w:sz w:val="24"/>
          <w:szCs w:val="24"/>
          <w:rtl/>
        </w:rPr>
        <w:t>تتعدد أنواع المخاطر التي تواجه المنظمات باختلاف طبيعة نشاطها وحجمها وبيئتها التشغيلية، ويمكن استعراض أبرز هذه الأنواع على النحو الآتي:</w:t>
      </w:r>
    </w:p>
    <w:p w14:paraId="3DA8754D" w14:textId="77777777" w:rsidR="004672F6" w:rsidRDefault="003B356D">
      <w:pPr>
        <w:pStyle w:val="a4"/>
        <w:numPr>
          <w:ilvl w:val="0"/>
          <w:numId w:val="2"/>
        </w:numPr>
        <w:bidi/>
        <w:spacing w:after="140" w:line="360" w:lineRule="auto"/>
        <w:jc w:val="both"/>
      </w:pPr>
      <w:r>
        <w:rPr>
          <w:rFonts w:ascii="Arial" w:eastAsia="Arial" w:hAnsi="Arial" w:cs="Arial"/>
          <w:b/>
          <w:bCs/>
          <w:sz w:val="24"/>
          <w:szCs w:val="24"/>
          <w:rtl/>
        </w:rPr>
        <w:t>المخاطر الاستراتيجية: وهي المخاطر المرتبطة بالقرارات الكبرى للمنظمة، كاختيار السوق المستهدف، أو التوسع، أو الدمج والاستحواذ، أو التغيرات في النموذج التنافسي. وتتصف بأنها بعيدة المدى وذات تأثير جوهري على مسار المنظمة ككل.</w:t>
      </w:r>
    </w:p>
    <w:p w14:paraId="02A8EDF5" w14:textId="77777777" w:rsidR="004672F6" w:rsidRDefault="003B356D">
      <w:pPr>
        <w:pStyle w:val="a4"/>
        <w:numPr>
          <w:ilvl w:val="0"/>
          <w:numId w:val="2"/>
        </w:numPr>
        <w:bidi/>
        <w:spacing w:after="140" w:line="360" w:lineRule="auto"/>
        <w:jc w:val="both"/>
      </w:pPr>
      <w:r>
        <w:rPr>
          <w:rFonts w:ascii="Arial" w:eastAsia="Arial" w:hAnsi="Arial" w:cs="Arial"/>
          <w:b/>
          <w:bCs/>
          <w:sz w:val="24"/>
          <w:szCs w:val="24"/>
          <w:rtl/>
        </w:rPr>
        <w:t>المخاطر التشغيلية: وتنشأ عن قصور أو فشل في العمليات الداخلية، أو الأنظمة، أو الأفراد، أو الأحداث الخارجية المؤثرة في سير العمل اليومي، مثل أعطال الأنظمة التقنية أو الأخطاء الإجرائية.</w:t>
      </w:r>
    </w:p>
    <w:p w14:paraId="25BD8175" w14:textId="77777777" w:rsidR="004672F6" w:rsidRDefault="003B356D">
      <w:pPr>
        <w:pStyle w:val="a4"/>
        <w:numPr>
          <w:ilvl w:val="0"/>
          <w:numId w:val="2"/>
        </w:numPr>
        <w:bidi/>
        <w:spacing w:after="140" w:line="360" w:lineRule="auto"/>
        <w:jc w:val="both"/>
      </w:pPr>
      <w:r>
        <w:rPr>
          <w:rFonts w:ascii="Arial" w:eastAsia="Arial" w:hAnsi="Arial" w:cs="Arial"/>
          <w:b/>
          <w:bCs/>
          <w:sz w:val="24"/>
          <w:szCs w:val="24"/>
          <w:rtl/>
        </w:rPr>
        <w:t>المخاطر المالية: وتتعلق بالتقلبات في أسعار الفائدة أو الصرف، ومخاطر السيولة، ومخاطر الائتمان، وأي عوامل قد تؤثر في المركز المالي للمنظمة أو قدرتها على الوفاء بالتزاماتها.</w:t>
      </w:r>
    </w:p>
    <w:p w14:paraId="721C3AD9" w14:textId="77777777" w:rsidR="004672F6" w:rsidRDefault="003B356D">
      <w:pPr>
        <w:pStyle w:val="a4"/>
        <w:numPr>
          <w:ilvl w:val="0"/>
          <w:numId w:val="2"/>
        </w:numPr>
        <w:bidi/>
        <w:spacing w:after="140" w:line="360" w:lineRule="auto"/>
        <w:jc w:val="both"/>
      </w:pPr>
      <w:r>
        <w:rPr>
          <w:rFonts w:ascii="Arial" w:eastAsia="Arial" w:hAnsi="Arial" w:cs="Arial"/>
          <w:b/>
          <w:bCs/>
          <w:sz w:val="24"/>
          <w:szCs w:val="24"/>
          <w:rtl/>
        </w:rPr>
        <w:t>مخاطر الامتثال (النظامية والقانونية): وتنجم عن عدم الالتزام بالأنظمة واللوائح والقوانين المحلية والدولية، وقد تُعرِّض المنظمة لغرامات أو مساءلة قانونية أو إضرار بسمعتها.</w:t>
      </w:r>
    </w:p>
    <w:p w14:paraId="400A8367" w14:textId="77777777" w:rsidR="004672F6" w:rsidRDefault="003B356D">
      <w:pPr>
        <w:pStyle w:val="a4"/>
        <w:numPr>
          <w:ilvl w:val="0"/>
          <w:numId w:val="2"/>
        </w:numPr>
        <w:bidi/>
        <w:spacing w:after="140" w:line="360" w:lineRule="auto"/>
        <w:jc w:val="both"/>
      </w:pPr>
      <w:r>
        <w:rPr>
          <w:rFonts w:ascii="Arial" w:eastAsia="Arial" w:hAnsi="Arial" w:cs="Arial"/>
          <w:b/>
          <w:bCs/>
          <w:sz w:val="24"/>
          <w:szCs w:val="24"/>
          <w:rtl/>
        </w:rPr>
        <w:t>مخاطر السمعة: وتتصل بأي حدث أو تصرف قد يُلحق ضرراً بصورة المنظمة أمام أصحاب المصلحة، سواء كان مصدره داخلياً أم خارجياً، وغالباً ما تكون نتيجة تراكمية لمخاطر أخرى غير مُدارة.</w:t>
      </w:r>
    </w:p>
    <w:p w14:paraId="6E5FE7E6" w14:textId="77777777" w:rsidR="004672F6" w:rsidRDefault="003B356D">
      <w:pPr>
        <w:pStyle w:val="a4"/>
        <w:numPr>
          <w:ilvl w:val="0"/>
          <w:numId w:val="2"/>
        </w:numPr>
        <w:bidi/>
        <w:spacing w:after="140" w:line="360" w:lineRule="auto"/>
        <w:jc w:val="both"/>
      </w:pPr>
      <w:r>
        <w:rPr>
          <w:rFonts w:ascii="Arial" w:eastAsia="Arial" w:hAnsi="Arial" w:cs="Arial"/>
          <w:b/>
          <w:bCs/>
          <w:sz w:val="24"/>
          <w:szCs w:val="24"/>
          <w:rtl/>
        </w:rPr>
        <w:t>مخاطر المشاريع: وهي المخاطر المرتبطة تحديداً بتنفيذ مشروع معين، كتأخر الجدول الزمني، أو تجاوز الميزانية، أو التغيير في نطاق العمل، أو نقص الموارد، وهي محور اهتمام رئيسي في سياق المشاريع الاستراتيجية.</w:t>
      </w:r>
    </w:p>
    <w:p w14:paraId="70504874" w14:textId="77777777" w:rsidR="004672F6" w:rsidRDefault="003B356D">
      <w:pPr>
        <w:pStyle w:val="a4"/>
        <w:numPr>
          <w:ilvl w:val="0"/>
          <w:numId w:val="2"/>
        </w:numPr>
        <w:bidi/>
        <w:spacing w:after="140" w:line="360" w:lineRule="auto"/>
        <w:jc w:val="both"/>
      </w:pPr>
      <w:r>
        <w:rPr>
          <w:rFonts w:ascii="Arial" w:eastAsia="Arial" w:hAnsi="Arial" w:cs="Arial"/>
          <w:b/>
          <w:bCs/>
          <w:sz w:val="24"/>
          <w:szCs w:val="24"/>
          <w:rtl/>
        </w:rPr>
        <w:t>المخاطر التقنية: وتشمل مخاطر الأمن السيبراني، وتقادم الأنظمة، وفشل البنية التحتية التقنية، وهي مخاطر تتزايد أهميتها مع التحول الرقمي المتسارع في المنظمات.</w:t>
      </w:r>
    </w:p>
    <w:p w14:paraId="52F88B8A" w14:textId="77777777" w:rsidR="004672F6" w:rsidRDefault="003B356D">
      <w:pPr>
        <w:pStyle w:val="3"/>
        <w:bidi/>
        <w:spacing w:before="260" w:after="160"/>
        <w:jc w:val="right"/>
      </w:pPr>
      <w:r>
        <w:rPr>
          <w:rFonts w:ascii="Arial" w:eastAsia="Arial" w:hAnsi="Arial" w:cs="Arial"/>
          <w:b/>
          <w:bCs/>
          <w:color w:val="2E75B6"/>
          <w:sz w:val="26"/>
          <w:szCs w:val="26"/>
          <w:rtl/>
        </w:rPr>
        <w:t>3. تصنيف المخاطر حسب نوع المشروع أو المؤسسة</w:t>
      </w:r>
    </w:p>
    <w:p w14:paraId="240E21A6" w14:textId="77777777" w:rsidR="004672F6" w:rsidRDefault="003B356D">
      <w:pPr>
        <w:spacing w:after="200" w:line="360" w:lineRule="auto"/>
        <w:jc w:val="both"/>
      </w:pPr>
      <w:r>
        <w:rPr>
          <w:rFonts w:ascii="Arial" w:eastAsia="Arial" w:hAnsi="Arial" w:cs="Arial"/>
          <w:sz w:val="24"/>
          <w:szCs w:val="24"/>
          <w:rtl/>
        </w:rPr>
        <w:t>يختلف تصنيف المخاطر وترتيب أولوياتها باختلاف طبيعة المشروع أو المؤسسة، ويمكن تناول هذا التصنيف من زاويتين رئيسيتين:</w:t>
      </w:r>
    </w:p>
    <w:p w14:paraId="4D2DA217" w14:textId="77777777" w:rsidR="004672F6" w:rsidRDefault="003B356D">
      <w:pPr>
        <w:spacing w:after="200" w:line="360" w:lineRule="auto"/>
        <w:jc w:val="both"/>
      </w:pPr>
      <w:r>
        <w:rPr>
          <w:rFonts w:ascii="Arial" w:eastAsia="Arial" w:hAnsi="Arial" w:cs="Arial"/>
          <w:sz w:val="24"/>
          <w:szCs w:val="24"/>
          <w:rtl/>
        </w:rPr>
        <w:t>من حيث نوع المشروع: تختلف طبيعة المخاطر في المشاريع الإنشائية عنها في المشاريع التقنية أو المشاريع الخدمية. ففي المشاريع الإنشائية، تغلب المخاطر التشغيلية والمرتبطة بالمواد والعمالة والسلامة، بينما تغلب في المشاريع التقنية مخاطر التطور السريع للتقنية والأمن السيبراني، في حين تغلب في المشاريع الاستراتيجية الكبرى (كمشاريع رؤية 2030) المخاطر المركّبة التي تجمع بين البعد الاستراتيجي والتشغيلي والمالي معاً نظراً لضخامة حجمها وتعدد أطرافها.</w:t>
      </w:r>
    </w:p>
    <w:p w14:paraId="6AB01C74" w14:textId="77777777" w:rsidR="004672F6" w:rsidRDefault="003B356D">
      <w:pPr>
        <w:spacing w:after="200" w:line="360" w:lineRule="auto"/>
        <w:jc w:val="both"/>
      </w:pPr>
      <w:r>
        <w:rPr>
          <w:rFonts w:ascii="Arial" w:eastAsia="Arial" w:hAnsi="Arial" w:cs="Arial"/>
          <w:sz w:val="24"/>
          <w:szCs w:val="24"/>
          <w:rtl/>
        </w:rPr>
        <w:t>من حيث نوع المؤسسة أو القطاع: تختلف أولويات المخاطر بين القطاع العام والقطاع الخاص؛ ففي القطاع العام تبرز مخاطر الامتثال النظامي وتحقيق الأهداف التنموية، بينما تبرز في القطاع الخاص المخاطر المالية والتنافسية والسوقية بصورة أكبر. كما تختلف درجة تعقيد إدارة المخاطر تبعاً لحجم المؤسسة؛ إذ تتطلب المؤسسات الكبرى أنظمة إدارة مخاطر أكثر تعقيداً وتكاملاً مقارنةً بالمؤسسات الصغيرة والمتوسطة.</w:t>
      </w:r>
    </w:p>
    <w:p w14:paraId="01406EA7" w14:textId="77777777" w:rsidR="004672F6" w:rsidRDefault="003B356D">
      <w:pPr>
        <w:spacing w:after="200" w:line="360" w:lineRule="auto"/>
        <w:jc w:val="both"/>
      </w:pPr>
      <w:r>
        <w:rPr>
          <w:rFonts w:ascii="Arial" w:eastAsia="Arial" w:hAnsi="Arial" w:cs="Arial"/>
          <w:sz w:val="24"/>
          <w:szCs w:val="24"/>
          <w:rtl/>
        </w:rPr>
        <w:t>ويمكن أيضاً تصنيف المخاطر من حيث مصدرها إلى مخاطر داخلية تنشأ من داخل المنظمة نفسها (كضعف الأنظمة أو نقص الكفاءات)، ومخاطر خارجية تنشأ من البيئة المحيطة (كالتغيرات الاقتصادية أو التشريعية أو التقنية)، وهو ما يقودنا إلى تناول مصادر الخطر بشيء من التفصيل.</w:t>
      </w:r>
    </w:p>
    <w:p w14:paraId="1FE1AE59" w14:textId="77777777" w:rsidR="004672F6" w:rsidRDefault="003B356D">
      <w:pPr>
        <w:pStyle w:val="3"/>
        <w:bidi/>
        <w:spacing w:before="260" w:after="160"/>
        <w:jc w:val="right"/>
      </w:pPr>
      <w:r>
        <w:rPr>
          <w:rFonts w:ascii="Arial" w:eastAsia="Arial" w:hAnsi="Arial" w:cs="Arial"/>
          <w:b/>
          <w:bCs/>
          <w:color w:val="2E75B6"/>
          <w:sz w:val="26"/>
          <w:szCs w:val="26"/>
          <w:rtl/>
        </w:rPr>
        <w:t>4. مصادر الخطر</w:t>
      </w:r>
    </w:p>
    <w:p w14:paraId="2FEA5038" w14:textId="77777777" w:rsidR="004672F6" w:rsidRDefault="003B356D">
      <w:pPr>
        <w:spacing w:after="200" w:line="360" w:lineRule="auto"/>
        <w:jc w:val="both"/>
      </w:pPr>
      <w:r>
        <w:rPr>
          <w:rFonts w:ascii="Arial" w:eastAsia="Arial" w:hAnsi="Arial" w:cs="Arial"/>
          <w:sz w:val="24"/>
          <w:szCs w:val="24"/>
          <w:rtl/>
        </w:rPr>
        <w:t>تتعدد مصادر المخاطر التي تواجه المنظمات والمشاريع، ويمكن تصنيفها إلى مصادر داخلية ومصادر خارجية على النحو التالي:</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8"/>
        <w:gridCol w:w="4508"/>
      </w:tblGrid>
      <w:tr w:rsidR="004672F6" w14:paraId="04B84D4F" w14:textId="77777777">
        <w:tblPrEx>
          <w:tblCellMar>
            <w:top w:w="0" w:type="dxa"/>
            <w:bottom w:w="0" w:type="dxa"/>
          </w:tblCellMar>
        </w:tblPrEx>
        <w:trPr>
          <w:tblHeader/>
        </w:trPr>
        <w:tc>
          <w:tcPr>
            <w:tcW w:w="2500" w:type="pct"/>
            <w:shd w:val="clear" w:color="auto" w:fill="1F4E79"/>
            <w:tcMar>
              <w:top w:w="100" w:type="dxa"/>
              <w:left w:w="150" w:type="dxa"/>
              <w:bottom w:w="100" w:type="dxa"/>
              <w:right w:w="150" w:type="dxa"/>
            </w:tcMar>
            <w:vAlign w:val="center"/>
          </w:tcPr>
          <w:p w14:paraId="4B14490D" w14:textId="77777777" w:rsidR="004672F6" w:rsidRDefault="003B356D">
            <w:pPr>
              <w:jc w:val="center"/>
            </w:pPr>
            <w:r>
              <w:rPr>
                <w:rFonts w:ascii="Arial" w:eastAsia="Arial" w:hAnsi="Arial" w:cs="Arial"/>
                <w:b/>
                <w:bCs/>
                <w:color w:val="FFFFFF"/>
                <w:sz w:val="22"/>
                <w:szCs w:val="22"/>
                <w:rtl/>
              </w:rPr>
              <w:t>مصدر الخطر</w:t>
            </w:r>
          </w:p>
        </w:tc>
        <w:tc>
          <w:tcPr>
            <w:tcW w:w="2500" w:type="pct"/>
            <w:shd w:val="clear" w:color="auto" w:fill="1F4E79"/>
            <w:tcMar>
              <w:top w:w="100" w:type="dxa"/>
              <w:left w:w="150" w:type="dxa"/>
              <w:bottom w:w="100" w:type="dxa"/>
              <w:right w:w="150" w:type="dxa"/>
            </w:tcMar>
            <w:vAlign w:val="center"/>
          </w:tcPr>
          <w:p w14:paraId="64434B9A" w14:textId="77777777" w:rsidR="004672F6" w:rsidRDefault="003B356D">
            <w:pPr>
              <w:jc w:val="center"/>
            </w:pPr>
            <w:r>
              <w:rPr>
                <w:rFonts w:ascii="Arial" w:eastAsia="Arial" w:hAnsi="Arial" w:cs="Arial"/>
                <w:b/>
                <w:bCs/>
                <w:color w:val="FFFFFF"/>
                <w:sz w:val="22"/>
                <w:szCs w:val="22"/>
                <w:rtl/>
              </w:rPr>
              <w:t>الوصف</w:t>
            </w:r>
          </w:p>
        </w:tc>
      </w:tr>
      <w:tr w:rsidR="004672F6" w14:paraId="3DCE1B87" w14:textId="77777777">
        <w:tblPrEx>
          <w:tblCellMar>
            <w:top w:w="0" w:type="dxa"/>
            <w:bottom w:w="0" w:type="dxa"/>
          </w:tblCellMar>
        </w:tblPrEx>
        <w:tc>
          <w:tcPr>
            <w:tcW w:w="2500" w:type="pct"/>
            <w:shd w:val="clear" w:color="auto" w:fill="F2F6FA"/>
            <w:tcMar>
              <w:top w:w="100" w:type="dxa"/>
              <w:left w:w="150" w:type="dxa"/>
              <w:bottom w:w="100" w:type="dxa"/>
              <w:right w:w="150" w:type="dxa"/>
            </w:tcMar>
            <w:vAlign w:val="center"/>
          </w:tcPr>
          <w:p w14:paraId="2D7A7491" w14:textId="77777777" w:rsidR="004672F6" w:rsidRDefault="003B356D">
            <w:pPr>
              <w:jc w:val="both"/>
            </w:pPr>
            <w:r>
              <w:rPr>
                <w:rFonts w:ascii="Arial" w:eastAsia="Arial" w:hAnsi="Arial" w:cs="Arial"/>
                <w:sz w:val="22"/>
                <w:szCs w:val="22"/>
                <w:rtl/>
              </w:rPr>
              <w:t>ضعف الأنظمة والإجراءات الداخلية</w:t>
            </w:r>
          </w:p>
        </w:tc>
        <w:tc>
          <w:tcPr>
            <w:tcW w:w="2500" w:type="pct"/>
            <w:shd w:val="clear" w:color="auto" w:fill="F2F6FA"/>
            <w:tcMar>
              <w:top w:w="100" w:type="dxa"/>
              <w:left w:w="150" w:type="dxa"/>
              <w:bottom w:w="100" w:type="dxa"/>
              <w:right w:w="150" w:type="dxa"/>
            </w:tcMar>
            <w:vAlign w:val="center"/>
          </w:tcPr>
          <w:p w14:paraId="4DD6A03D" w14:textId="77777777" w:rsidR="004672F6" w:rsidRDefault="003B356D">
            <w:pPr>
              <w:jc w:val="both"/>
            </w:pPr>
            <w:r>
              <w:rPr>
                <w:rFonts w:ascii="Arial" w:eastAsia="Arial" w:hAnsi="Arial" w:cs="Arial"/>
                <w:sz w:val="22"/>
                <w:szCs w:val="22"/>
                <w:rtl/>
              </w:rPr>
              <w:t>قصور في السياسات أو غياب الإجراءات الواضحة لتنظيم العمليات</w:t>
            </w:r>
          </w:p>
        </w:tc>
      </w:tr>
      <w:tr w:rsidR="004672F6" w14:paraId="5FCD7AE8" w14:textId="77777777">
        <w:tblPrEx>
          <w:tblCellMar>
            <w:top w:w="0" w:type="dxa"/>
            <w:bottom w:w="0" w:type="dxa"/>
          </w:tblCellMar>
        </w:tblPrEx>
        <w:tc>
          <w:tcPr>
            <w:tcW w:w="2500" w:type="pct"/>
            <w:shd w:val="clear" w:color="auto" w:fill="FFFFFF"/>
            <w:tcMar>
              <w:top w:w="100" w:type="dxa"/>
              <w:left w:w="150" w:type="dxa"/>
              <w:bottom w:w="100" w:type="dxa"/>
              <w:right w:w="150" w:type="dxa"/>
            </w:tcMar>
            <w:vAlign w:val="center"/>
          </w:tcPr>
          <w:p w14:paraId="2702DBF1" w14:textId="77777777" w:rsidR="004672F6" w:rsidRDefault="003B356D">
            <w:pPr>
              <w:jc w:val="both"/>
            </w:pPr>
            <w:r>
              <w:rPr>
                <w:rFonts w:ascii="Arial" w:eastAsia="Arial" w:hAnsi="Arial" w:cs="Arial"/>
                <w:sz w:val="22"/>
                <w:szCs w:val="22"/>
                <w:rtl/>
              </w:rPr>
              <w:t>نقص الكفاءات والموارد البشرية</w:t>
            </w:r>
          </w:p>
        </w:tc>
        <w:tc>
          <w:tcPr>
            <w:tcW w:w="2500" w:type="pct"/>
            <w:shd w:val="clear" w:color="auto" w:fill="FFFFFF"/>
            <w:tcMar>
              <w:top w:w="100" w:type="dxa"/>
              <w:left w:w="150" w:type="dxa"/>
              <w:bottom w:w="100" w:type="dxa"/>
              <w:right w:w="150" w:type="dxa"/>
            </w:tcMar>
            <w:vAlign w:val="center"/>
          </w:tcPr>
          <w:p w14:paraId="33BC747C" w14:textId="77777777" w:rsidR="004672F6" w:rsidRDefault="003B356D">
            <w:pPr>
              <w:jc w:val="both"/>
            </w:pPr>
            <w:r>
              <w:rPr>
                <w:rFonts w:ascii="Arial" w:eastAsia="Arial" w:hAnsi="Arial" w:cs="Arial"/>
                <w:sz w:val="22"/>
                <w:szCs w:val="22"/>
                <w:rtl/>
              </w:rPr>
              <w:t>غياب المهارات أو الخبرات اللازمة لتنفيذ المشاريع بكفاءة</w:t>
            </w:r>
          </w:p>
        </w:tc>
      </w:tr>
      <w:tr w:rsidR="004672F6" w14:paraId="65A73126" w14:textId="77777777">
        <w:tblPrEx>
          <w:tblCellMar>
            <w:top w:w="0" w:type="dxa"/>
            <w:bottom w:w="0" w:type="dxa"/>
          </w:tblCellMar>
        </w:tblPrEx>
        <w:tc>
          <w:tcPr>
            <w:tcW w:w="2500" w:type="pct"/>
            <w:shd w:val="clear" w:color="auto" w:fill="F2F6FA"/>
            <w:tcMar>
              <w:top w:w="100" w:type="dxa"/>
              <w:left w:w="150" w:type="dxa"/>
              <w:bottom w:w="100" w:type="dxa"/>
              <w:right w:w="150" w:type="dxa"/>
            </w:tcMar>
            <w:vAlign w:val="center"/>
          </w:tcPr>
          <w:p w14:paraId="68F10985" w14:textId="77777777" w:rsidR="004672F6" w:rsidRDefault="003B356D">
            <w:pPr>
              <w:jc w:val="both"/>
            </w:pPr>
            <w:r>
              <w:rPr>
                <w:rFonts w:ascii="Arial" w:eastAsia="Arial" w:hAnsi="Arial" w:cs="Arial"/>
                <w:sz w:val="22"/>
                <w:szCs w:val="22"/>
                <w:rtl/>
              </w:rPr>
              <w:t>ضعف أنظمة المعلومات والتقنية</w:t>
            </w:r>
          </w:p>
        </w:tc>
        <w:tc>
          <w:tcPr>
            <w:tcW w:w="2500" w:type="pct"/>
            <w:shd w:val="clear" w:color="auto" w:fill="F2F6FA"/>
            <w:tcMar>
              <w:top w:w="100" w:type="dxa"/>
              <w:left w:w="150" w:type="dxa"/>
              <w:bottom w:w="100" w:type="dxa"/>
              <w:right w:w="150" w:type="dxa"/>
            </w:tcMar>
            <w:vAlign w:val="center"/>
          </w:tcPr>
          <w:p w14:paraId="02071B19" w14:textId="77777777" w:rsidR="004672F6" w:rsidRDefault="003B356D">
            <w:pPr>
              <w:jc w:val="both"/>
            </w:pPr>
            <w:r>
              <w:rPr>
                <w:rFonts w:ascii="Arial" w:eastAsia="Arial" w:hAnsi="Arial" w:cs="Arial"/>
                <w:sz w:val="22"/>
                <w:szCs w:val="22"/>
                <w:rtl/>
              </w:rPr>
              <w:t>قصور البنية التقنية أو أنظمة إدارة البيانات داخل المنظمة</w:t>
            </w:r>
          </w:p>
        </w:tc>
      </w:tr>
      <w:tr w:rsidR="004672F6" w14:paraId="6BB01748" w14:textId="77777777">
        <w:tblPrEx>
          <w:tblCellMar>
            <w:top w:w="0" w:type="dxa"/>
            <w:bottom w:w="0" w:type="dxa"/>
          </w:tblCellMar>
        </w:tblPrEx>
        <w:tc>
          <w:tcPr>
            <w:tcW w:w="2500" w:type="pct"/>
            <w:shd w:val="clear" w:color="auto" w:fill="FFFFFF"/>
            <w:tcMar>
              <w:top w:w="100" w:type="dxa"/>
              <w:left w:w="150" w:type="dxa"/>
              <w:bottom w:w="100" w:type="dxa"/>
              <w:right w:w="150" w:type="dxa"/>
            </w:tcMar>
            <w:vAlign w:val="center"/>
          </w:tcPr>
          <w:p w14:paraId="5A1558F2" w14:textId="77777777" w:rsidR="004672F6" w:rsidRDefault="003B356D">
            <w:pPr>
              <w:jc w:val="both"/>
            </w:pPr>
            <w:r>
              <w:rPr>
                <w:rFonts w:ascii="Arial" w:eastAsia="Arial" w:hAnsi="Arial" w:cs="Arial"/>
                <w:sz w:val="22"/>
                <w:szCs w:val="22"/>
                <w:rtl/>
              </w:rPr>
              <w:t>ضعف التخطيط والتنسيق</w:t>
            </w:r>
          </w:p>
        </w:tc>
        <w:tc>
          <w:tcPr>
            <w:tcW w:w="2500" w:type="pct"/>
            <w:shd w:val="clear" w:color="auto" w:fill="FFFFFF"/>
            <w:tcMar>
              <w:top w:w="100" w:type="dxa"/>
              <w:left w:w="150" w:type="dxa"/>
              <w:bottom w:w="100" w:type="dxa"/>
              <w:right w:w="150" w:type="dxa"/>
            </w:tcMar>
            <w:vAlign w:val="center"/>
          </w:tcPr>
          <w:p w14:paraId="00021A1A" w14:textId="77777777" w:rsidR="004672F6" w:rsidRDefault="003B356D">
            <w:pPr>
              <w:jc w:val="both"/>
            </w:pPr>
            <w:r>
              <w:rPr>
                <w:rFonts w:ascii="Arial" w:eastAsia="Arial" w:hAnsi="Arial" w:cs="Arial"/>
                <w:sz w:val="22"/>
                <w:szCs w:val="22"/>
                <w:rtl/>
              </w:rPr>
              <w:t>غياب التكامل بين الإدارات أو عدم وضوح الأدوار والمسؤوليات</w:t>
            </w:r>
          </w:p>
        </w:tc>
      </w:tr>
      <w:tr w:rsidR="004672F6" w14:paraId="2BED4BBE" w14:textId="77777777">
        <w:tblPrEx>
          <w:tblCellMar>
            <w:top w:w="0" w:type="dxa"/>
            <w:bottom w:w="0" w:type="dxa"/>
          </w:tblCellMar>
        </w:tblPrEx>
        <w:tc>
          <w:tcPr>
            <w:tcW w:w="2500" w:type="pct"/>
            <w:shd w:val="clear" w:color="auto" w:fill="F2F6FA"/>
            <w:tcMar>
              <w:top w:w="100" w:type="dxa"/>
              <w:left w:w="150" w:type="dxa"/>
              <w:bottom w:w="100" w:type="dxa"/>
              <w:right w:w="150" w:type="dxa"/>
            </w:tcMar>
            <w:vAlign w:val="center"/>
          </w:tcPr>
          <w:p w14:paraId="5D7A1C11" w14:textId="77777777" w:rsidR="004672F6" w:rsidRDefault="003B356D">
            <w:pPr>
              <w:jc w:val="both"/>
            </w:pPr>
            <w:r>
              <w:rPr>
                <w:rFonts w:ascii="Arial" w:eastAsia="Arial" w:hAnsi="Arial" w:cs="Arial"/>
                <w:sz w:val="22"/>
                <w:szCs w:val="22"/>
                <w:rtl/>
              </w:rPr>
              <w:t>التغيرات الاقتصادية</w:t>
            </w:r>
          </w:p>
        </w:tc>
        <w:tc>
          <w:tcPr>
            <w:tcW w:w="2500" w:type="pct"/>
            <w:shd w:val="clear" w:color="auto" w:fill="F2F6FA"/>
            <w:tcMar>
              <w:top w:w="100" w:type="dxa"/>
              <w:left w:w="150" w:type="dxa"/>
              <w:bottom w:w="100" w:type="dxa"/>
              <w:right w:w="150" w:type="dxa"/>
            </w:tcMar>
            <w:vAlign w:val="center"/>
          </w:tcPr>
          <w:p w14:paraId="3093A9FE" w14:textId="77777777" w:rsidR="004672F6" w:rsidRDefault="003B356D">
            <w:pPr>
              <w:jc w:val="both"/>
            </w:pPr>
            <w:r>
              <w:rPr>
                <w:rFonts w:ascii="Arial" w:eastAsia="Arial" w:hAnsi="Arial" w:cs="Arial"/>
                <w:sz w:val="22"/>
                <w:szCs w:val="22"/>
                <w:rtl/>
              </w:rPr>
              <w:t>تقلبات الأسواق، وأسعار الفائدة والصرف، والتضخم</w:t>
            </w:r>
          </w:p>
        </w:tc>
      </w:tr>
      <w:tr w:rsidR="004672F6" w14:paraId="141B560C" w14:textId="77777777">
        <w:tblPrEx>
          <w:tblCellMar>
            <w:top w:w="0" w:type="dxa"/>
            <w:bottom w:w="0" w:type="dxa"/>
          </w:tblCellMar>
        </w:tblPrEx>
        <w:tc>
          <w:tcPr>
            <w:tcW w:w="2500" w:type="pct"/>
            <w:shd w:val="clear" w:color="auto" w:fill="FFFFFF"/>
            <w:tcMar>
              <w:top w:w="100" w:type="dxa"/>
              <w:left w:w="150" w:type="dxa"/>
              <w:bottom w:w="100" w:type="dxa"/>
              <w:right w:w="150" w:type="dxa"/>
            </w:tcMar>
            <w:vAlign w:val="center"/>
          </w:tcPr>
          <w:p w14:paraId="497F8307" w14:textId="77777777" w:rsidR="004672F6" w:rsidRDefault="003B356D">
            <w:pPr>
              <w:jc w:val="both"/>
            </w:pPr>
            <w:r>
              <w:rPr>
                <w:rFonts w:ascii="Arial" w:eastAsia="Arial" w:hAnsi="Arial" w:cs="Arial"/>
                <w:sz w:val="22"/>
                <w:szCs w:val="22"/>
                <w:rtl/>
              </w:rPr>
              <w:t>التغيرات التشريعية والنظامية</w:t>
            </w:r>
          </w:p>
        </w:tc>
        <w:tc>
          <w:tcPr>
            <w:tcW w:w="2500" w:type="pct"/>
            <w:shd w:val="clear" w:color="auto" w:fill="FFFFFF"/>
            <w:tcMar>
              <w:top w:w="100" w:type="dxa"/>
              <w:left w:w="150" w:type="dxa"/>
              <w:bottom w:w="100" w:type="dxa"/>
              <w:right w:w="150" w:type="dxa"/>
            </w:tcMar>
            <w:vAlign w:val="center"/>
          </w:tcPr>
          <w:p w14:paraId="3BD27690" w14:textId="77777777" w:rsidR="004672F6" w:rsidRDefault="003B356D">
            <w:pPr>
              <w:jc w:val="both"/>
            </w:pPr>
            <w:r>
              <w:rPr>
                <w:rFonts w:ascii="Arial" w:eastAsia="Arial" w:hAnsi="Arial" w:cs="Arial"/>
                <w:sz w:val="22"/>
                <w:szCs w:val="22"/>
                <w:rtl/>
              </w:rPr>
              <w:t>صدور أنظمة أو لوائح جديدة تؤثر في طبيعة عمل المنظمة</w:t>
            </w:r>
          </w:p>
        </w:tc>
      </w:tr>
      <w:tr w:rsidR="004672F6" w14:paraId="59B28B33" w14:textId="77777777">
        <w:tblPrEx>
          <w:tblCellMar>
            <w:top w:w="0" w:type="dxa"/>
            <w:bottom w:w="0" w:type="dxa"/>
          </w:tblCellMar>
        </w:tblPrEx>
        <w:tc>
          <w:tcPr>
            <w:tcW w:w="2500" w:type="pct"/>
            <w:shd w:val="clear" w:color="auto" w:fill="F2F6FA"/>
            <w:tcMar>
              <w:top w:w="100" w:type="dxa"/>
              <w:left w:w="150" w:type="dxa"/>
              <w:bottom w:w="100" w:type="dxa"/>
              <w:right w:w="150" w:type="dxa"/>
            </w:tcMar>
            <w:vAlign w:val="center"/>
          </w:tcPr>
          <w:p w14:paraId="77C0B4C4" w14:textId="77777777" w:rsidR="004672F6" w:rsidRDefault="003B356D">
            <w:pPr>
              <w:jc w:val="both"/>
            </w:pPr>
            <w:r>
              <w:rPr>
                <w:rFonts w:ascii="Arial" w:eastAsia="Arial" w:hAnsi="Arial" w:cs="Arial"/>
                <w:sz w:val="22"/>
                <w:szCs w:val="22"/>
                <w:rtl/>
              </w:rPr>
              <w:t>التطورات التقنية المتسارعة</w:t>
            </w:r>
          </w:p>
        </w:tc>
        <w:tc>
          <w:tcPr>
            <w:tcW w:w="2500" w:type="pct"/>
            <w:shd w:val="clear" w:color="auto" w:fill="F2F6FA"/>
            <w:tcMar>
              <w:top w:w="100" w:type="dxa"/>
              <w:left w:w="150" w:type="dxa"/>
              <w:bottom w:w="100" w:type="dxa"/>
              <w:right w:w="150" w:type="dxa"/>
            </w:tcMar>
            <w:vAlign w:val="center"/>
          </w:tcPr>
          <w:p w14:paraId="36E3BC10" w14:textId="77777777" w:rsidR="004672F6" w:rsidRDefault="003B356D">
            <w:pPr>
              <w:jc w:val="both"/>
            </w:pPr>
            <w:r>
              <w:rPr>
                <w:rFonts w:ascii="Arial" w:eastAsia="Arial" w:hAnsi="Arial" w:cs="Arial"/>
                <w:sz w:val="22"/>
                <w:szCs w:val="22"/>
                <w:rtl/>
              </w:rPr>
              <w:t>التحول الرقمي وتقادم الأنظمة ومخاطر الأمن السيبراني</w:t>
            </w:r>
          </w:p>
        </w:tc>
      </w:tr>
      <w:tr w:rsidR="004672F6" w14:paraId="6E9F8CA5" w14:textId="77777777">
        <w:tblPrEx>
          <w:tblCellMar>
            <w:top w:w="0" w:type="dxa"/>
            <w:bottom w:w="0" w:type="dxa"/>
          </w:tblCellMar>
        </w:tblPrEx>
        <w:tc>
          <w:tcPr>
            <w:tcW w:w="2500" w:type="pct"/>
            <w:shd w:val="clear" w:color="auto" w:fill="FFFFFF"/>
            <w:tcMar>
              <w:top w:w="100" w:type="dxa"/>
              <w:left w:w="150" w:type="dxa"/>
              <w:bottom w:w="100" w:type="dxa"/>
              <w:right w:w="150" w:type="dxa"/>
            </w:tcMar>
            <w:vAlign w:val="center"/>
          </w:tcPr>
          <w:p w14:paraId="3193181E" w14:textId="77777777" w:rsidR="004672F6" w:rsidRDefault="003B356D">
            <w:pPr>
              <w:jc w:val="both"/>
            </w:pPr>
            <w:r>
              <w:rPr>
                <w:rFonts w:ascii="Arial" w:eastAsia="Arial" w:hAnsi="Arial" w:cs="Arial"/>
                <w:sz w:val="22"/>
                <w:szCs w:val="22"/>
                <w:rtl/>
              </w:rPr>
              <w:t>العوامل البيئية والجيوسياسية</w:t>
            </w:r>
          </w:p>
        </w:tc>
        <w:tc>
          <w:tcPr>
            <w:tcW w:w="2500" w:type="pct"/>
            <w:shd w:val="clear" w:color="auto" w:fill="FFFFFF"/>
            <w:tcMar>
              <w:top w:w="100" w:type="dxa"/>
              <w:left w:w="150" w:type="dxa"/>
              <w:bottom w:w="100" w:type="dxa"/>
              <w:right w:w="150" w:type="dxa"/>
            </w:tcMar>
            <w:vAlign w:val="center"/>
          </w:tcPr>
          <w:p w14:paraId="731102A6" w14:textId="77777777" w:rsidR="004672F6" w:rsidRDefault="003B356D">
            <w:pPr>
              <w:jc w:val="both"/>
            </w:pPr>
            <w:r>
              <w:rPr>
                <w:rFonts w:ascii="Arial" w:eastAsia="Arial" w:hAnsi="Arial" w:cs="Arial"/>
                <w:sz w:val="22"/>
                <w:szCs w:val="22"/>
                <w:rtl/>
              </w:rPr>
              <w:t>الكوارث الطبيعية، والاضطرابات السياسية، وسلاسل الإمداد العالمية</w:t>
            </w:r>
          </w:p>
        </w:tc>
      </w:tr>
    </w:tbl>
    <w:p w14:paraId="79E376D2" w14:textId="77777777" w:rsidR="004672F6" w:rsidRDefault="003B356D">
      <w:pPr>
        <w:spacing w:after="300" w:line="360" w:lineRule="auto"/>
        <w:jc w:val="both"/>
      </w:pPr>
      <w:r>
        <w:rPr>
          <w:rFonts w:ascii="Arial" w:eastAsia="Arial" w:hAnsi="Arial" w:cs="Arial"/>
          <w:sz w:val="24"/>
          <w:szCs w:val="24"/>
          <w:rtl/>
        </w:rPr>
        <w:t>ويُلاحظ أن كثيراً من المخاطر التي تواجه المشاريع الاستراتيجية الكبرى في المملكة العربية السعودية تنشأ من تداخل هذه المصادر الداخلية والخارجية معاً، مما يستدعي وجود إطار شامل للتعامل معها بدلاً من الاكتفاء بمعالجة كل مصدر بمعزل عن الآخر — وهو ما توفره إدارة المخاطر المؤسسية.</w:t>
      </w:r>
    </w:p>
    <w:p w14:paraId="26525140" w14:textId="77777777" w:rsidR="004672F6" w:rsidRDefault="003B356D">
      <w:pPr>
        <w:pStyle w:val="3"/>
        <w:bidi/>
        <w:spacing w:before="260" w:after="160"/>
        <w:jc w:val="right"/>
      </w:pPr>
      <w:r>
        <w:rPr>
          <w:rFonts w:ascii="Arial" w:eastAsia="Arial" w:hAnsi="Arial" w:cs="Arial"/>
          <w:b/>
          <w:bCs/>
          <w:color w:val="2E75B6"/>
          <w:sz w:val="26"/>
          <w:szCs w:val="26"/>
          <w:rtl/>
        </w:rPr>
        <w:t>5. مفهوم إدارة المخاطر المؤسسية (ERM)</w:t>
      </w:r>
    </w:p>
    <w:p w14:paraId="3F03BA93" w14:textId="77777777" w:rsidR="004672F6" w:rsidRDefault="003B356D">
      <w:pPr>
        <w:spacing w:after="200" w:line="360" w:lineRule="auto"/>
        <w:jc w:val="both"/>
      </w:pPr>
      <w:r>
        <w:rPr>
          <w:rFonts w:ascii="Arial" w:eastAsia="Arial" w:hAnsi="Arial" w:cs="Arial"/>
          <w:sz w:val="24"/>
          <w:szCs w:val="24"/>
          <w:rtl/>
        </w:rPr>
        <w:t>تُعرَّف إدارة المخاطر المؤسسية وفق إطار COSO (2017) بأنها: الثقافة والقدرات والممارسات التي تدمجها المنظمة مع وضع الاستراتيجية وتطبيقها، للإدارة المتكاملة للمخاطر بهدف إيجاد قيمة مستدامة وتعزيزها. وتتسم إدارة المخاطر المؤسسية بأنها شاملة لجميع مستويات المنظمة، ومتكاملة مع الاستراتيجية والأداء والحوكمة، واستباقية تسعى لتحديد المخاطر قبل وقوعها، ومستمرة من خلال تحديث دوري لسجلات المخاطر.</w:t>
      </w:r>
    </w:p>
    <w:p w14:paraId="0D196755" w14:textId="77777777" w:rsidR="004672F6" w:rsidRDefault="003B356D">
      <w:pPr>
        <w:spacing w:after="200" w:line="360" w:lineRule="auto"/>
        <w:jc w:val="both"/>
      </w:pPr>
      <w:r>
        <w:rPr>
          <w:rFonts w:ascii="Arial" w:eastAsia="Arial" w:hAnsi="Arial" w:cs="Arial"/>
          <w:sz w:val="24"/>
          <w:szCs w:val="24"/>
          <w:rtl/>
        </w:rPr>
        <w:t>وتختلف إدارة المخاطر المؤسسية عن إدارة المخاطر التقليدية في كونها تنظر إلى المخاطر بمنظور شامل ومترابط عبر كافة وحدات المنظمة، بدلاً من التعامل معها بصورة معزولة داخل كل إدارة على حدة، بما يحقق تكاملاً بين إدارة المخاطر والتخطيط الاستراتيجي.</w:t>
      </w:r>
    </w:p>
    <w:p w14:paraId="229DD7C3" w14:textId="77777777" w:rsidR="004672F6" w:rsidRDefault="003B356D">
      <w:pPr>
        <w:pStyle w:val="3"/>
        <w:bidi/>
        <w:spacing w:before="260" w:after="160"/>
        <w:jc w:val="right"/>
      </w:pPr>
      <w:r>
        <w:rPr>
          <w:rFonts w:ascii="Arial" w:eastAsia="Arial" w:hAnsi="Arial" w:cs="Arial"/>
          <w:b/>
          <w:bCs/>
          <w:color w:val="2E75B6"/>
          <w:sz w:val="26"/>
          <w:szCs w:val="26"/>
          <w:rtl/>
        </w:rPr>
        <w:t>6. خطوات إدارة المخاطر</w:t>
      </w:r>
    </w:p>
    <w:p w14:paraId="1C6B09F1" w14:textId="77777777" w:rsidR="004672F6" w:rsidRDefault="003B356D">
      <w:pPr>
        <w:spacing w:after="200" w:line="360" w:lineRule="auto"/>
        <w:jc w:val="both"/>
      </w:pPr>
      <w:r>
        <w:rPr>
          <w:rFonts w:ascii="Arial" w:eastAsia="Arial" w:hAnsi="Arial" w:cs="Arial"/>
          <w:sz w:val="24"/>
          <w:szCs w:val="24"/>
          <w:rtl/>
        </w:rPr>
        <w:t>تمر عملية إدارة المخاطر، سواء على مستوى المشروع أو على المستوى المؤسسي الشامل، بخطوات متسلسلة ومترابطة، يمكن إيجازها فيما يلي:</w:t>
      </w:r>
    </w:p>
    <w:p w14:paraId="51691B92" w14:textId="77777777" w:rsidR="004672F6" w:rsidRDefault="003B356D">
      <w:pPr>
        <w:pStyle w:val="a4"/>
        <w:numPr>
          <w:ilvl w:val="0"/>
          <w:numId w:val="3"/>
        </w:numPr>
        <w:bidi/>
        <w:spacing w:after="140" w:line="360" w:lineRule="auto"/>
        <w:jc w:val="both"/>
      </w:pPr>
      <w:r>
        <w:rPr>
          <w:rFonts w:ascii="Arial" w:eastAsia="Arial" w:hAnsi="Arial" w:cs="Arial"/>
          <w:b/>
          <w:bCs/>
          <w:sz w:val="24"/>
          <w:szCs w:val="24"/>
          <w:rtl/>
        </w:rPr>
        <w:t>تحديد المخاطر (Risk Identification): وهي الخطوة الأولى التي تُعنى برصد المخاطر المحتملة المرتبطة بأهداف المنظمة أو المشروع، من خلال أدوات متعددة كالعصف الذهني، وتحليل السجلات التاريخية، ومراجعة آراء الخبراء وأصحاب المصلحة.</w:t>
      </w:r>
    </w:p>
    <w:p w14:paraId="485392A5" w14:textId="77777777" w:rsidR="004672F6" w:rsidRDefault="003B356D">
      <w:pPr>
        <w:pStyle w:val="a4"/>
        <w:numPr>
          <w:ilvl w:val="0"/>
          <w:numId w:val="3"/>
        </w:numPr>
        <w:bidi/>
        <w:spacing w:after="140" w:line="360" w:lineRule="auto"/>
        <w:jc w:val="both"/>
      </w:pPr>
      <w:r>
        <w:rPr>
          <w:rFonts w:ascii="Arial" w:eastAsia="Arial" w:hAnsi="Arial" w:cs="Arial"/>
          <w:b/>
          <w:bCs/>
          <w:sz w:val="24"/>
          <w:szCs w:val="24"/>
          <w:rtl/>
        </w:rPr>
        <w:t>تحليل المخاطر (Risk Analysis): وتهدف إلى فهم طبيعة كل خطر وأسبابه المحتملة والعوامل المرتبطة به، تمهيداً لتقييمه بصورة دقيقة.</w:t>
      </w:r>
    </w:p>
    <w:p w14:paraId="492D9F47" w14:textId="77777777" w:rsidR="004672F6" w:rsidRDefault="003B356D">
      <w:pPr>
        <w:pStyle w:val="a4"/>
        <w:numPr>
          <w:ilvl w:val="0"/>
          <w:numId w:val="3"/>
        </w:numPr>
        <w:bidi/>
        <w:spacing w:after="140" w:line="360" w:lineRule="auto"/>
        <w:jc w:val="both"/>
      </w:pPr>
      <w:r>
        <w:rPr>
          <w:rFonts w:ascii="Arial" w:eastAsia="Arial" w:hAnsi="Arial" w:cs="Arial"/>
          <w:b/>
          <w:bCs/>
          <w:sz w:val="24"/>
          <w:szCs w:val="24"/>
          <w:rtl/>
        </w:rPr>
        <w:t>تقييم المخاطر (Risk Assessment): وتتضمن تقدير احتمالية وقوع كل خطر ومدى شدة أثره على الأهداف، غالباً باستخدام مصفوفة تجمع بين بُعدي الاحتمالية والأثر لتحديد أولوية التعامل مع كل خطر.</w:t>
      </w:r>
    </w:p>
    <w:p w14:paraId="764450BD" w14:textId="77777777" w:rsidR="004672F6" w:rsidRDefault="003B356D">
      <w:pPr>
        <w:pStyle w:val="a4"/>
        <w:numPr>
          <w:ilvl w:val="0"/>
          <w:numId w:val="3"/>
        </w:numPr>
        <w:bidi/>
        <w:spacing w:after="140" w:line="360" w:lineRule="auto"/>
        <w:jc w:val="both"/>
      </w:pPr>
      <w:r>
        <w:rPr>
          <w:rFonts w:ascii="Arial" w:eastAsia="Arial" w:hAnsi="Arial" w:cs="Arial"/>
          <w:b/>
          <w:bCs/>
          <w:sz w:val="24"/>
          <w:szCs w:val="24"/>
          <w:rtl/>
        </w:rPr>
        <w:t>الاستجابة للمخاطر (Risk Response): وتشمل اختيار الاستراتيجية المناسبة للتعامل مع كل خطر، وتتوزع عادة بين أربع استراتيجيات رئيسية: تجنب الخطر، أو تخفيف أثره، أو نقله (كالتأمين)، أو قبوله عند كون كلفة المعالجة أعلى من الأثر المحتمل.</w:t>
      </w:r>
    </w:p>
    <w:p w14:paraId="35DA5CB8" w14:textId="77777777" w:rsidR="004672F6" w:rsidRDefault="003B356D">
      <w:pPr>
        <w:pStyle w:val="a4"/>
        <w:numPr>
          <w:ilvl w:val="0"/>
          <w:numId w:val="3"/>
        </w:numPr>
        <w:bidi/>
        <w:spacing w:after="140" w:line="360" w:lineRule="auto"/>
        <w:jc w:val="both"/>
      </w:pPr>
      <w:r>
        <w:rPr>
          <w:rFonts w:ascii="Arial" w:eastAsia="Arial" w:hAnsi="Arial" w:cs="Arial"/>
          <w:b/>
          <w:bCs/>
          <w:sz w:val="24"/>
          <w:szCs w:val="24"/>
          <w:rtl/>
        </w:rPr>
        <w:t>المراقبة والمتابعة (Monitoring &amp; Review): وتتمثل في المتابعة الدورية لفعالية إجراءات الاستجابة، وتحديث سجل المخاطر باستمرار، ورصد أي مخاطر جديدة قد تنشأ خلال دورة حياة المشروع أو النشاط التنظيمي.</w:t>
      </w:r>
    </w:p>
    <w:p w14:paraId="1523D4A4" w14:textId="77777777" w:rsidR="004672F6" w:rsidRDefault="003B356D">
      <w:pPr>
        <w:pStyle w:val="a4"/>
        <w:numPr>
          <w:ilvl w:val="0"/>
          <w:numId w:val="3"/>
        </w:numPr>
        <w:bidi/>
        <w:spacing w:after="140" w:line="360" w:lineRule="auto"/>
        <w:jc w:val="both"/>
      </w:pPr>
      <w:r>
        <w:rPr>
          <w:rFonts w:ascii="Arial" w:eastAsia="Arial" w:hAnsi="Arial" w:cs="Arial"/>
          <w:b/>
          <w:bCs/>
          <w:sz w:val="24"/>
          <w:szCs w:val="24"/>
          <w:rtl/>
        </w:rPr>
        <w:t>التواصل والإبلاغ (Communication &amp; Reporting): وهي عملية مستمرة توازي جميع الخطوات السابقة، وتضمن تدفق المعلومات المتعلقة بالمخاطر بين مختلف مستويات المنظمة ورفعها لصناع القرار في الوقت المناسب.</w:t>
      </w:r>
    </w:p>
    <w:p w14:paraId="1AA14A3B" w14:textId="77777777" w:rsidR="004672F6" w:rsidRDefault="003B356D">
      <w:pPr>
        <w:spacing w:after="200" w:line="360" w:lineRule="auto"/>
        <w:jc w:val="both"/>
      </w:pPr>
      <w:r>
        <w:rPr>
          <w:rFonts w:ascii="Arial" w:eastAsia="Arial" w:hAnsi="Arial" w:cs="Arial"/>
          <w:sz w:val="24"/>
          <w:szCs w:val="24"/>
          <w:rtl/>
        </w:rPr>
        <w:t>وتنسجم هذه الخطوات مع مكونات إطار COSO (2017) الخمسة التي تستند إليها هذه الدراسة نظرياً، وهي: الحوكمة والثقافة، والاستراتيجية ووضع الأهداف، والأداء (ويشمل تحديد المخاطر وتحليلها وتقييمها ووضع الاستجابات)، والمراجعة والتحسين، والمعلومات والتقارير. وبذلك يتضح أن إطار COSO لا يقتصر على البعد الإجرائي لإدارة المخاطر، بل يمتد ليشمل بُعدها الثقافي والحوكمي والمعلوماتي، بما يجعله الإطار الأكثر شمولاً وقبولاً على المستوى الدولي، والأنسب لتناول العلاقة بين إدارة المخاطر المؤسسية ونجاح المشاريع الاستراتيجية في هذه ا</w:t>
      </w:r>
      <w:r>
        <w:rPr>
          <w:rFonts w:ascii="Arial" w:eastAsia="Arial" w:hAnsi="Arial" w:cs="Arial"/>
          <w:sz w:val="24"/>
          <w:szCs w:val="24"/>
          <w:rtl/>
        </w:rPr>
        <w:t>لدراسة.</w:t>
      </w:r>
    </w:p>
    <w:p w14:paraId="38A98B2E" w14:textId="77777777" w:rsidR="004672F6" w:rsidRDefault="003B356D">
      <w:r>
        <w:br w:type="page"/>
      </w:r>
    </w:p>
    <w:p w14:paraId="5B4D4411" w14:textId="77777777" w:rsidR="004672F6" w:rsidRDefault="003B356D">
      <w:pPr>
        <w:pStyle w:val="1"/>
        <w:pBdr>
          <w:bottom w:val="single" w:sz="8" w:space="4" w:color="1F4E79"/>
        </w:pBdr>
        <w:bidi/>
        <w:spacing w:before="400" w:after="300"/>
        <w:jc w:val="center"/>
      </w:pPr>
      <w:r>
        <w:rPr>
          <w:rFonts w:ascii="Arial" w:eastAsia="Arial" w:hAnsi="Arial" w:cs="Arial"/>
          <w:b/>
          <w:bCs/>
          <w:color w:val="1F4E79"/>
          <w:rtl/>
        </w:rPr>
        <w:t>الفصل الثاني: الدراسات السابقة</w:t>
      </w:r>
    </w:p>
    <w:p w14:paraId="3E3930A5" w14:textId="77777777" w:rsidR="004672F6" w:rsidRDefault="003B356D">
      <w:pPr>
        <w:pStyle w:val="2"/>
        <w:bidi/>
        <w:spacing w:before="360" w:after="200"/>
        <w:jc w:val="right"/>
      </w:pPr>
      <w:r>
        <w:rPr>
          <w:rFonts w:ascii="Arial" w:eastAsia="Arial" w:hAnsi="Arial" w:cs="Arial"/>
          <w:b/>
          <w:bCs/>
          <w:color w:val="1F4E79"/>
          <w:sz w:val="28"/>
          <w:szCs w:val="28"/>
          <w:rtl/>
        </w:rPr>
        <w:t>مقدمة</w:t>
      </w:r>
    </w:p>
    <w:p w14:paraId="330BF612" w14:textId="77777777" w:rsidR="004672F6" w:rsidRDefault="003B356D">
      <w:pPr>
        <w:spacing w:after="200" w:line="360" w:lineRule="auto"/>
        <w:jc w:val="both"/>
      </w:pPr>
      <w:r>
        <w:rPr>
          <w:rFonts w:ascii="Arial" w:eastAsia="Arial" w:hAnsi="Arial" w:cs="Arial"/>
          <w:sz w:val="24"/>
          <w:szCs w:val="24"/>
          <w:rtl/>
        </w:rPr>
        <w:t>تناولت الأدبيات العلمية موضوع إدارة المخاطر من زوايا متعددة، وتُصنَّف الدراسات السابقة في اتجاهين رئيسيين: الأول يركّز على إدارة مخاطر المشاريع وعلاقتها بنجاح التنفيذ، والثاني يتناول إدارة المخاطر المؤسسية وعلاقتها بالأداء المؤسسي أو القيمة السوقية.</w:t>
      </w:r>
    </w:p>
    <w:p w14:paraId="6CEBD8FE" w14:textId="77777777" w:rsidR="004672F6" w:rsidRDefault="003B356D">
      <w:pPr>
        <w:pStyle w:val="2"/>
        <w:bidi/>
        <w:spacing w:before="360" w:after="200"/>
        <w:jc w:val="right"/>
      </w:pPr>
      <w:r>
        <w:rPr>
          <w:rFonts w:ascii="Arial" w:eastAsia="Arial" w:hAnsi="Arial" w:cs="Arial"/>
          <w:b/>
          <w:bCs/>
          <w:color w:val="1F4E79"/>
          <w:sz w:val="28"/>
          <w:szCs w:val="28"/>
          <w:rtl/>
        </w:rPr>
        <w:t>أولاً: الدراسات السابقة</w:t>
      </w:r>
    </w:p>
    <w:p w14:paraId="2EF07AEA" w14:textId="77777777" w:rsidR="004672F6" w:rsidRDefault="003B356D">
      <w:pPr>
        <w:pStyle w:val="3"/>
        <w:bidi/>
        <w:spacing w:before="260" w:after="160"/>
        <w:jc w:val="right"/>
      </w:pPr>
      <w:r>
        <w:rPr>
          <w:rFonts w:ascii="Arial" w:eastAsia="Arial" w:hAnsi="Arial" w:cs="Arial"/>
          <w:b/>
          <w:bCs/>
          <w:color w:val="2E75B6"/>
          <w:sz w:val="26"/>
          <w:szCs w:val="26"/>
          <w:rtl/>
        </w:rPr>
        <w:t>1. إدارة مخاطر المشاريع</w:t>
      </w:r>
    </w:p>
    <w:p w14:paraId="5AA83966" w14:textId="77777777" w:rsidR="004672F6" w:rsidRDefault="003B356D">
      <w:pPr>
        <w:spacing w:after="200" w:line="360" w:lineRule="auto"/>
        <w:jc w:val="both"/>
      </w:pPr>
      <w:r>
        <w:rPr>
          <w:rFonts w:ascii="Arial" w:eastAsia="Arial" w:hAnsi="Arial" w:cs="Arial"/>
          <w:sz w:val="24"/>
          <w:szCs w:val="24"/>
          <w:rtl/>
        </w:rPr>
        <w:t>أظهرت دراسة Rabechini وMonteiro de Carvalho (2013) المنشورة في Journal of Technology Management &amp; Innovation وجود علاقة إيجابية ذات دلالة إحصائية بين تطبيق عمليات إدارة المخاطر على مستوى المشروع وتحقيق النجاح من حيث الالتزام بالجدول الزمني وضبط التكاليف وتحقيق الأهداف. وقد اعتمدت الدراسة منهجاً كمياً باستخدام استبانة موجهة إلى مديري المشاريع في شركات برازيلية.</w:t>
      </w:r>
    </w:p>
    <w:p w14:paraId="02AEE875" w14:textId="77777777" w:rsidR="004672F6" w:rsidRDefault="003B356D">
      <w:pPr>
        <w:pStyle w:val="3"/>
        <w:bidi/>
        <w:spacing w:before="260" w:after="160"/>
        <w:jc w:val="right"/>
      </w:pPr>
      <w:r>
        <w:rPr>
          <w:rFonts w:ascii="Arial" w:eastAsia="Arial" w:hAnsi="Arial" w:cs="Arial"/>
          <w:b/>
          <w:bCs/>
          <w:color w:val="2E75B6"/>
          <w:sz w:val="26"/>
          <w:szCs w:val="26"/>
          <w:rtl/>
        </w:rPr>
        <w:t>2. إدارة المخاطر المؤسسية والأداء المؤسسي</w:t>
      </w:r>
    </w:p>
    <w:p w14:paraId="0B188149" w14:textId="77777777" w:rsidR="004672F6" w:rsidRDefault="003B356D">
      <w:pPr>
        <w:spacing w:after="200" w:line="360" w:lineRule="auto"/>
        <w:jc w:val="both"/>
      </w:pPr>
      <w:r>
        <w:rPr>
          <w:rFonts w:ascii="Arial" w:eastAsia="Arial" w:hAnsi="Arial" w:cs="Arial"/>
          <w:sz w:val="24"/>
          <w:szCs w:val="24"/>
          <w:rtl/>
        </w:rPr>
        <w:t>تناولت دراسة Beasley وClune وHermanson (2005) في Managerial Auditing Journal العوامل التنظيمية المؤثرة في تبني إدارة المخاطر المؤسسية، وأشارت إلى أن دعم الإدارة العليا وحجم المنظمة وتعقيد العمليات يمثلون عوامل حاسمة في نجاح التطبيق.</w:t>
      </w:r>
    </w:p>
    <w:p w14:paraId="46248A83" w14:textId="77777777" w:rsidR="004672F6" w:rsidRDefault="003B356D">
      <w:pPr>
        <w:spacing w:after="200" w:line="360" w:lineRule="auto"/>
        <w:jc w:val="both"/>
      </w:pPr>
      <w:r>
        <w:rPr>
          <w:rFonts w:ascii="Arial" w:eastAsia="Arial" w:hAnsi="Arial" w:cs="Arial"/>
          <w:sz w:val="24"/>
          <w:szCs w:val="24"/>
          <w:rtl/>
        </w:rPr>
        <w:t>كما بيّنت دراسة Hoyt وLiebenberg (2011) في Journal of Risk and Insurance وجود تأثير إيجابي لتبني إدارة المخاطر المؤسسية على قيمة الشركة. وفي السياق ذاته، توصلت دراسة Florio وLeoni (2017) في Journal of Accounting, Auditing &amp; Finance، والتي تناولت الحالة الإيطالية، إلى نتائج مماثلة تدعم العلاقة الإيجابية بين تبني إدارة المخاطر المؤسسية وتحسّن الأداء المؤسسي.</w:t>
      </w:r>
    </w:p>
    <w:p w14:paraId="02E2AEE2" w14:textId="77777777" w:rsidR="004672F6" w:rsidRDefault="003B356D">
      <w:pPr>
        <w:pStyle w:val="3"/>
        <w:bidi/>
        <w:spacing w:before="260" w:after="160"/>
        <w:jc w:val="right"/>
      </w:pPr>
      <w:r>
        <w:rPr>
          <w:rFonts w:ascii="Arial" w:eastAsia="Arial" w:hAnsi="Arial" w:cs="Arial"/>
          <w:b/>
          <w:bCs/>
          <w:color w:val="2E75B6"/>
          <w:sz w:val="26"/>
          <w:szCs w:val="26"/>
          <w:rtl/>
        </w:rPr>
        <w:t>3. الدراسات في السياق السعودي</w:t>
      </w:r>
    </w:p>
    <w:p w14:paraId="4D5BBC7D" w14:textId="77777777" w:rsidR="004672F6" w:rsidRDefault="003B356D">
      <w:pPr>
        <w:spacing w:after="200" w:line="360" w:lineRule="auto"/>
        <w:jc w:val="both"/>
      </w:pPr>
      <w:r>
        <w:rPr>
          <w:rFonts w:ascii="Arial" w:eastAsia="Arial" w:hAnsi="Arial" w:cs="Arial"/>
          <w:sz w:val="24"/>
          <w:szCs w:val="24"/>
          <w:rtl/>
        </w:rPr>
        <w:t>عالجت أطروحة الدكتوراه لـ Aleisa (2017) بجامعة Liverpool واقع تطبيق إدارة المخاطر المؤسسية في المنظمات السعودية، وأظهرت تفاوتاً ملحوظاً في درجة التطبيق مع تأكيد أهمية دعم الإدارة العليا. كما أثبتت دراسة Faisal وAbidin وHaryanto (2021) في Cogent Economics &amp; Finance أن إدارة المخاطر المؤسسية تُسهم في تحسين قيمة الشركة من خلال تعزيز جودة قرارات الاستثمار.</w:t>
      </w:r>
    </w:p>
    <w:p w14:paraId="535ADD94" w14:textId="77777777" w:rsidR="004672F6" w:rsidRDefault="003B356D">
      <w:pPr>
        <w:pStyle w:val="2"/>
        <w:bidi/>
        <w:spacing w:before="360" w:after="200"/>
        <w:jc w:val="right"/>
      </w:pPr>
      <w:r>
        <w:rPr>
          <w:rFonts w:ascii="Arial" w:eastAsia="Arial" w:hAnsi="Arial" w:cs="Arial"/>
          <w:b/>
          <w:bCs/>
          <w:color w:val="1F4E79"/>
          <w:sz w:val="28"/>
          <w:szCs w:val="28"/>
          <w:rtl/>
        </w:rPr>
        <w:t>ثانياً: أوجه التشابه بين الدراسات السابقة</w:t>
      </w:r>
    </w:p>
    <w:p w14:paraId="5FF36343" w14:textId="77777777" w:rsidR="004672F6" w:rsidRDefault="003B356D">
      <w:pPr>
        <w:pStyle w:val="a4"/>
        <w:numPr>
          <w:ilvl w:val="0"/>
          <w:numId w:val="3"/>
        </w:numPr>
        <w:bidi/>
        <w:spacing w:after="140" w:line="360" w:lineRule="auto"/>
        <w:jc w:val="both"/>
      </w:pPr>
      <w:r>
        <w:rPr>
          <w:rFonts w:ascii="Arial" w:eastAsia="Arial" w:hAnsi="Arial" w:cs="Arial"/>
          <w:sz w:val="24"/>
          <w:szCs w:val="24"/>
          <w:rtl/>
        </w:rPr>
        <w:t>اتفاق معظم الدراسات على وجود علاقة إيجابية بين تطبيق إدارة المخاطر وتحسّن النتائج والأداء.</w:t>
      </w:r>
    </w:p>
    <w:p w14:paraId="1733DBC8" w14:textId="77777777" w:rsidR="004672F6" w:rsidRDefault="003B356D">
      <w:pPr>
        <w:pStyle w:val="a4"/>
        <w:numPr>
          <w:ilvl w:val="0"/>
          <w:numId w:val="3"/>
        </w:numPr>
        <w:bidi/>
        <w:spacing w:after="140" w:line="360" w:lineRule="auto"/>
        <w:jc w:val="both"/>
      </w:pPr>
      <w:r>
        <w:rPr>
          <w:rFonts w:ascii="Arial" w:eastAsia="Arial" w:hAnsi="Arial" w:cs="Arial"/>
          <w:sz w:val="24"/>
          <w:szCs w:val="24"/>
          <w:rtl/>
        </w:rPr>
        <w:t>اعتماد غالبية الدراسات على المنهج الكمي واستخدام أدوات استبيانية وتحليل إحصائي.</w:t>
      </w:r>
    </w:p>
    <w:p w14:paraId="3B834459" w14:textId="77777777" w:rsidR="004672F6" w:rsidRDefault="003B356D">
      <w:pPr>
        <w:pStyle w:val="a4"/>
        <w:numPr>
          <w:ilvl w:val="0"/>
          <w:numId w:val="3"/>
        </w:numPr>
        <w:bidi/>
        <w:spacing w:after="140" w:line="360" w:lineRule="auto"/>
        <w:jc w:val="both"/>
      </w:pPr>
      <w:r>
        <w:rPr>
          <w:rFonts w:ascii="Arial" w:eastAsia="Arial" w:hAnsi="Arial" w:cs="Arial"/>
          <w:sz w:val="24"/>
          <w:szCs w:val="24"/>
          <w:rtl/>
        </w:rPr>
        <w:t>التأكيد على دور الإدارة العليا بوصفها عاملاً رئيساً في نجاح تطبيق إدارة المخاطر المؤسسية.</w:t>
      </w:r>
    </w:p>
    <w:p w14:paraId="35E1E91E" w14:textId="77777777" w:rsidR="004672F6" w:rsidRDefault="003B356D">
      <w:pPr>
        <w:pStyle w:val="a4"/>
        <w:numPr>
          <w:ilvl w:val="0"/>
          <w:numId w:val="3"/>
        </w:numPr>
        <w:bidi/>
        <w:spacing w:after="140" w:line="360" w:lineRule="auto"/>
        <w:jc w:val="both"/>
      </w:pPr>
      <w:r>
        <w:rPr>
          <w:rFonts w:ascii="Arial" w:eastAsia="Arial" w:hAnsi="Arial" w:cs="Arial"/>
          <w:sz w:val="24"/>
          <w:szCs w:val="24"/>
          <w:rtl/>
        </w:rPr>
        <w:t>اعتبار إدارة المخاطر المؤسسية إطاراً استراتيجياً يتجاوز البُعد التشغيلي التقليدي.</w:t>
      </w:r>
    </w:p>
    <w:p w14:paraId="36B8F51F" w14:textId="77777777" w:rsidR="004672F6" w:rsidRDefault="003B356D">
      <w:pPr>
        <w:pStyle w:val="2"/>
        <w:bidi/>
        <w:spacing w:before="360" w:after="200"/>
        <w:jc w:val="right"/>
      </w:pPr>
      <w:r>
        <w:rPr>
          <w:rFonts w:ascii="Arial" w:eastAsia="Arial" w:hAnsi="Arial" w:cs="Arial"/>
          <w:b/>
          <w:bCs/>
          <w:color w:val="1F4E79"/>
          <w:sz w:val="28"/>
          <w:szCs w:val="28"/>
          <w:rtl/>
        </w:rPr>
        <w:t>ثالثاً: الفجوة البحثية وما يميز الدراسة الحالية</w:t>
      </w:r>
    </w:p>
    <w:p w14:paraId="70A07C34" w14:textId="77777777" w:rsidR="004672F6" w:rsidRDefault="003B356D">
      <w:pPr>
        <w:spacing w:after="200" w:line="360" w:lineRule="auto"/>
        <w:jc w:val="both"/>
      </w:pPr>
      <w:r>
        <w:rPr>
          <w:rFonts w:ascii="Arial" w:eastAsia="Arial" w:hAnsi="Arial" w:cs="Arial"/>
          <w:sz w:val="24"/>
          <w:szCs w:val="24"/>
          <w:rtl/>
        </w:rPr>
        <w:t>على الرغم من الإسهامات القيّمة التي قدمتها الدراسات السابقة، إلا أنه يمكن رصد عدد من الفجوات البحثية التي تسعى هذه الدراسة إلى معالجتها، وهو ما يميزها عن الدراسات السابقة:</w:t>
      </w:r>
    </w:p>
    <w:p w14:paraId="57C9BDD7" w14:textId="77777777" w:rsidR="004672F6" w:rsidRDefault="003B356D">
      <w:pPr>
        <w:pStyle w:val="a4"/>
        <w:numPr>
          <w:ilvl w:val="0"/>
          <w:numId w:val="3"/>
        </w:numPr>
        <w:bidi/>
        <w:spacing w:after="140" w:line="360" w:lineRule="auto"/>
        <w:jc w:val="both"/>
      </w:pPr>
      <w:r>
        <w:rPr>
          <w:rFonts w:ascii="Arial" w:eastAsia="Arial" w:hAnsi="Arial" w:cs="Arial"/>
          <w:sz w:val="24"/>
          <w:szCs w:val="24"/>
          <w:rtl/>
        </w:rPr>
        <w:t>ركّزت بعض الدراسات، كدراسة Rabechini وMonteiro de Carvalho (2013)، على مخاطر المشاريع بمعزل عن الإطار المؤسسي الشامل، في حين تتناول الدراسة الحالية العلاقة المباشرة بين إدارة المخاطر المؤسسية (على المستوى الكلي للمنظمة وفق إطار COSO 2017) ونجاح المشاريع الاستراتيجية تحديداً، وهي علاقة لم تُختبر كافياً في الأدبيات السابقة.</w:t>
      </w:r>
    </w:p>
    <w:p w14:paraId="7184D0F9" w14:textId="77777777" w:rsidR="004672F6" w:rsidRDefault="003B356D">
      <w:pPr>
        <w:pStyle w:val="a4"/>
        <w:numPr>
          <w:ilvl w:val="0"/>
          <w:numId w:val="3"/>
        </w:numPr>
        <w:bidi/>
        <w:spacing w:after="140" w:line="360" w:lineRule="auto"/>
        <w:jc w:val="both"/>
      </w:pPr>
      <w:r>
        <w:rPr>
          <w:rFonts w:ascii="Arial" w:eastAsia="Arial" w:hAnsi="Arial" w:cs="Arial"/>
          <w:sz w:val="24"/>
          <w:szCs w:val="24"/>
          <w:rtl/>
        </w:rPr>
        <w:t>تناولت كثير من الدراسات، كدراسة Hoyt وLiebenberg (2011) وFlorio وLeoni (2017)، الأداء المالي أو القيمة السوقية للشركات، دون التعمق في أثر إدارة المخاطر المؤسسية على نجاح المشاريع بوصفها الأداة التنفيذية لتحقيق الاستراتيجية؛ بينما تتبنى الدراسة الحالية مقياساً متعدد الأبعاد لنجاح المشاريع الاستراتيجية يشمل الكفاءة والفاعلية والجودة والمرونة.</w:t>
      </w:r>
    </w:p>
    <w:p w14:paraId="0F51C191" w14:textId="77777777" w:rsidR="004672F6" w:rsidRDefault="003B356D">
      <w:pPr>
        <w:pStyle w:val="a4"/>
        <w:numPr>
          <w:ilvl w:val="0"/>
          <w:numId w:val="3"/>
        </w:numPr>
        <w:bidi/>
        <w:spacing w:after="140" w:line="360" w:lineRule="auto"/>
        <w:jc w:val="both"/>
      </w:pPr>
      <w:r>
        <w:rPr>
          <w:rFonts w:ascii="Arial" w:eastAsia="Arial" w:hAnsi="Arial" w:cs="Arial"/>
          <w:sz w:val="24"/>
          <w:szCs w:val="24"/>
          <w:rtl/>
        </w:rPr>
        <w:t>جاءت معظم الدراسات، كدراسة Beasley وآخرون (2005) وFlorio وLeoni (2017)، في بيئات غربية، في حين ركّزت دراسة Aleisa (2017) على واقع التطبيق في السياق السعودي دون اختبار أثره الكمي المباشر على نجاح المشاريع؛ وتأتي الدراسة الحالية لتسد هذه الفجوة من خلال اختبار تجريبي كمي مباشر يربط بين المتغيرين داخل البيئة السعودية، في ظل التحولات الاستراتيجية الكبرى المصاحبة لرؤية 2030.</w:t>
      </w:r>
    </w:p>
    <w:p w14:paraId="4E7B9ABC" w14:textId="77777777" w:rsidR="004672F6" w:rsidRDefault="003B356D">
      <w:pPr>
        <w:pStyle w:val="a4"/>
        <w:numPr>
          <w:ilvl w:val="0"/>
          <w:numId w:val="3"/>
        </w:numPr>
        <w:bidi/>
        <w:spacing w:after="140" w:line="360" w:lineRule="auto"/>
        <w:jc w:val="both"/>
      </w:pPr>
      <w:r>
        <w:rPr>
          <w:rFonts w:ascii="Arial" w:eastAsia="Arial" w:hAnsi="Arial" w:cs="Arial"/>
          <w:sz w:val="24"/>
          <w:szCs w:val="24"/>
          <w:rtl/>
        </w:rPr>
        <w:t>لم تُرصد دراسات عربية مباشرة تتناول العلاقة بين إدارة المخاطر المؤسسية ونجاح المشاريع الاستراتيجية في السياق السعودي بأدوات كمية مماثلة، مما يجعل هذه الدراسة إسهاماً في سدّ هذه الفجوة البحثية وتوفير نموذج تحليلي قابل للتطبيق في دراسات لاحقة.</w:t>
      </w:r>
    </w:p>
    <w:p w14:paraId="76EC0DF0" w14:textId="77777777" w:rsidR="004672F6" w:rsidRDefault="003B356D">
      <w:pPr>
        <w:spacing w:after="100" w:line="360" w:lineRule="auto"/>
        <w:jc w:val="both"/>
      </w:pPr>
      <w:r>
        <w:rPr>
          <w:rFonts w:ascii="Arial" w:eastAsia="Arial" w:hAnsi="Arial" w:cs="Arial"/>
          <w:sz w:val="24"/>
          <w:szCs w:val="24"/>
          <w:rtl/>
        </w:rPr>
        <w:t>وبناءً على ما سبق من استعراض للإطار النظري والدراسات السابقة، تسعى هذه الدراسة إلى تقديم اختبار تجريبي مباشر للعلاقة بين إدارة المخاطر المؤسسية ونجاح المشاريع الاستراتيجية في المنظمات داخل المملكة العربية السعودية، بما يسهم في إثراء الأدبيات العلمية في هذا المجال وتقديم قيمة تطبيقية لصانعي القرار.</w:t>
      </w:r>
    </w:p>
    <w:sectPr w:rsidR="004672F6">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F7292" w14:textId="77777777" w:rsidR="003B356D" w:rsidRDefault="003B356D">
      <w:r>
        <w:separator/>
      </w:r>
    </w:p>
  </w:endnote>
  <w:endnote w:type="continuationSeparator" w:id="0">
    <w:p w14:paraId="0142889C" w14:textId="77777777" w:rsidR="003B356D" w:rsidRDefault="003B3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FB6A3" w14:textId="77777777" w:rsidR="004672F6" w:rsidRDefault="003B356D">
    <w:pPr>
      <w:jc w:val="center"/>
    </w:pPr>
    <w:r>
      <w:rPr>
        <w:rFonts w:ascii="Arial" w:eastAsia="Arial" w:hAnsi="Arial" w:cs="Arial"/>
        <w:sz w:val="18"/>
        <w:szCs w:val="18"/>
        <w:rtl/>
      </w:rPr>
      <w:fldChar w:fldCharType="begin"/>
    </w:r>
    <w:r>
      <w:rPr>
        <w:rFonts w:ascii="Arial" w:eastAsia="Arial" w:hAnsi="Arial" w:cs="Arial"/>
        <w:sz w:val="18"/>
        <w:szCs w:val="18"/>
        <w:rtl/>
      </w:rPr>
      <w:instrText>PAGE</w:instrText>
    </w:r>
    <w:r>
      <w:rPr>
        <w:rFonts w:ascii="Arial" w:eastAsia="Arial" w:hAnsi="Arial" w:cs="Arial"/>
        <w:sz w:val="18"/>
        <w:szCs w:val="18"/>
        <w:rtl/>
      </w:rPr>
      <w:fldChar w:fldCharType="separate"/>
    </w:r>
    <w:r>
      <w:rPr>
        <w:rFonts w:ascii="Arial" w:eastAsia="Arial" w:hAnsi="Arial" w:cs="Arial"/>
        <w:sz w:val="18"/>
        <w:szCs w:val="18"/>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F7728" w14:textId="77777777" w:rsidR="003B356D" w:rsidRDefault="003B356D">
      <w:r>
        <w:separator/>
      </w:r>
    </w:p>
  </w:footnote>
  <w:footnote w:type="continuationSeparator" w:id="0">
    <w:p w14:paraId="1A5EBF76" w14:textId="77777777" w:rsidR="003B356D" w:rsidRDefault="003B3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71845" w14:textId="77777777" w:rsidR="004672F6" w:rsidRDefault="003B356D">
    <w:pPr>
      <w:pBdr>
        <w:bottom w:val="single" w:sz="4" w:space="4" w:color="BFBFBF"/>
      </w:pBdr>
      <w:jc w:val="center"/>
    </w:pPr>
    <w:r>
      <w:rPr>
        <w:rFonts w:ascii="Arial" w:eastAsia="Arial" w:hAnsi="Arial" w:cs="Arial"/>
        <w:color w:val="808080"/>
        <w:sz w:val="18"/>
        <w:szCs w:val="18"/>
        <w:rtl/>
      </w:rPr>
      <w:t>أثر تطبيق إدارة المخاطر المؤسسية على نجاح المشاريع الاستراتيجية</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54BC6"/>
    <w:multiLevelType w:val="hybridMultilevel"/>
    <w:tmpl w:val="FFFFFFFF"/>
    <w:lvl w:ilvl="0" w:tplc="791CBBE2">
      <w:start w:val="1"/>
      <w:numFmt w:val="decimal"/>
      <w:lvlText w:val="%1."/>
      <w:lvlJc w:val="right"/>
      <w:pPr>
        <w:ind w:right="720" w:hanging="360"/>
      </w:pPr>
    </w:lvl>
    <w:lvl w:ilvl="1" w:tplc="44B68D1C">
      <w:numFmt w:val="decimal"/>
      <w:lvlText w:val=""/>
      <w:lvlJc w:val="left"/>
    </w:lvl>
    <w:lvl w:ilvl="2" w:tplc="F202D36A">
      <w:numFmt w:val="decimal"/>
      <w:lvlText w:val=""/>
      <w:lvlJc w:val="left"/>
    </w:lvl>
    <w:lvl w:ilvl="3" w:tplc="3BD85BAE">
      <w:numFmt w:val="decimal"/>
      <w:lvlText w:val=""/>
      <w:lvlJc w:val="left"/>
    </w:lvl>
    <w:lvl w:ilvl="4" w:tplc="C01EF1D8">
      <w:numFmt w:val="decimal"/>
      <w:lvlText w:val=""/>
      <w:lvlJc w:val="left"/>
    </w:lvl>
    <w:lvl w:ilvl="5" w:tplc="A82C2700">
      <w:numFmt w:val="decimal"/>
      <w:lvlText w:val=""/>
      <w:lvlJc w:val="left"/>
    </w:lvl>
    <w:lvl w:ilvl="6" w:tplc="90A212C6">
      <w:numFmt w:val="decimal"/>
      <w:lvlText w:val=""/>
      <w:lvlJc w:val="left"/>
    </w:lvl>
    <w:lvl w:ilvl="7" w:tplc="7C44D4CC">
      <w:numFmt w:val="decimal"/>
      <w:lvlText w:val=""/>
      <w:lvlJc w:val="left"/>
    </w:lvl>
    <w:lvl w:ilvl="8" w:tplc="4BF4323C">
      <w:numFmt w:val="decimal"/>
      <w:lvlText w:val=""/>
      <w:lvlJc w:val="left"/>
    </w:lvl>
  </w:abstractNum>
  <w:abstractNum w:abstractNumId="1" w15:restartNumberingAfterBreak="0">
    <w:nsid w:val="5961363C"/>
    <w:multiLevelType w:val="hybridMultilevel"/>
    <w:tmpl w:val="FFFFFFFF"/>
    <w:lvl w:ilvl="0" w:tplc="94505838">
      <w:start w:val="1"/>
      <w:numFmt w:val="bullet"/>
      <w:lvlText w:val="●"/>
      <w:lvlJc w:val="right"/>
      <w:pPr>
        <w:ind w:right="720" w:hanging="360"/>
      </w:pPr>
    </w:lvl>
    <w:lvl w:ilvl="1" w:tplc="DC10E16E">
      <w:numFmt w:val="decimal"/>
      <w:lvlText w:val=""/>
      <w:lvlJc w:val="left"/>
    </w:lvl>
    <w:lvl w:ilvl="2" w:tplc="DC02F1DA">
      <w:numFmt w:val="decimal"/>
      <w:lvlText w:val=""/>
      <w:lvlJc w:val="left"/>
    </w:lvl>
    <w:lvl w:ilvl="3" w:tplc="C75C92CC">
      <w:numFmt w:val="decimal"/>
      <w:lvlText w:val=""/>
      <w:lvlJc w:val="left"/>
    </w:lvl>
    <w:lvl w:ilvl="4" w:tplc="29B8D15A">
      <w:numFmt w:val="decimal"/>
      <w:lvlText w:val=""/>
      <w:lvlJc w:val="left"/>
    </w:lvl>
    <w:lvl w:ilvl="5" w:tplc="1812C2E2">
      <w:numFmt w:val="decimal"/>
      <w:lvlText w:val=""/>
      <w:lvlJc w:val="left"/>
    </w:lvl>
    <w:lvl w:ilvl="6" w:tplc="02C80B80">
      <w:numFmt w:val="decimal"/>
      <w:lvlText w:val=""/>
      <w:lvlJc w:val="left"/>
    </w:lvl>
    <w:lvl w:ilvl="7" w:tplc="95C8AE54">
      <w:numFmt w:val="decimal"/>
      <w:lvlText w:val=""/>
      <w:lvlJc w:val="left"/>
    </w:lvl>
    <w:lvl w:ilvl="8" w:tplc="6938E182">
      <w:numFmt w:val="decimal"/>
      <w:lvlText w:val=""/>
      <w:lvlJc w:val="left"/>
    </w:lvl>
  </w:abstractNum>
  <w:abstractNum w:abstractNumId="2" w15:restartNumberingAfterBreak="0">
    <w:nsid w:val="7DBA0F7F"/>
    <w:multiLevelType w:val="hybridMultilevel"/>
    <w:tmpl w:val="FFFFFFFF"/>
    <w:lvl w:ilvl="0" w:tplc="497C994C">
      <w:start w:val="1"/>
      <w:numFmt w:val="bullet"/>
      <w:lvlText w:val="●"/>
      <w:lvlJc w:val="left"/>
      <w:pPr>
        <w:ind w:left="720" w:hanging="360"/>
      </w:pPr>
    </w:lvl>
    <w:lvl w:ilvl="1" w:tplc="9AC85F18">
      <w:start w:val="1"/>
      <w:numFmt w:val="bullet"/>
      <w:lvlText w:val="○"/>
      <w:lvlJc w:val="left"/>
      <w:pPr>
        <w:ind w:left="1440" w:hanging="360"/>
      </w:pPr>
    </w:lvl>
    <w:lvl w:ilvl="2" w:tplc="8CAE9452">
      <w:start w:val="1"/>
      <w:numFmt w:val="bullet"/>
      <w:lvlText w:val="■"/>
      <w:lvlJc w:val="left"/>
      <w:pPr>
        <w:ind w:left="2160" w:hanging="360"/>
      </w:pPr>
    </w:lvl>
    <w:lvl w:ilvl="3" w:tplc="B46C190A">
      <w:start w:val="1"/>
      <w:numFmt w:val="bullet"/>
      <w:lvlText w:val="●"/>
      <w:lvlJc w:val="left"/>
      <w:pPr>
        <w:ind w:left="2880" w:hanging="360"/>
      </w:pPr>
    </w:lvl>
    <w:lvl w:ilvl="4" w:tplc="E44CF872">
      <w:start w:val="1"/>
      <w:numFmt w:val="bullet"/>
      <w:lvlText w:val="○"/>
      <w:lvlJc w:val="left"/>
      <w:pPr>
        <w:ind w:left="3600" w:hanging="360"/>
      </w:pPr>
    </w:lvl>
    <w:lvl w:ilvl="5" w:tplc="D94A643C">
      <w:start w:val="1"/>
      <w:numFmt w:val="bullet"/>
      <w:lvlText w:val="■"/>
      <w:lvlJc w:val="left"/>
      <w:pPr>
        <w:ind w:left="4320" w:hanging="360"/>
      </w:pPr>
    </w:lvl>
    <w:lvl w:ilvl="6" w:tplc="D41A7C42">
      <w:start w:val="1"/>
      <w:numFmt w:val="bullet"/>
      <w:lvlText w:val="●"/>
      <w:lvlJc w:val="left"/>
      <w:pPr>
        <w:ind w:left="5040" w:hanging="360"/>
      </w:pPr>
    </w:lvl>
    <w:lvl w:ilvl="7" w:tplc="92EE1CA4">
      <w:start w:val="1"/>
      <w:numFmt w:val="bullet"/>
      <w:lvlText w:val="●"/>
      <w:lvlJc w:val="left"/>
      <w:pPr>
        <w:ind w:left="5760" w:hanging="360"/>
      </w:pPr>
    </w:lvl>
    <w:lvl w:ilvl="8" w:tplc="04882082">
      <w:start w:val="1"/>
      <w:numFmt w:val="bullet"/>
      <w:lvlText w:val="●"/>
      <w:lvlJc w:val="left"/>
      <w:pPr>
        <w:ind w:left="6480" w:hanging="360"/>
      </w:pPr>
    </w:lvl>
  </w:abstractNum>
  <w:num w:numId="1" w16cid:durableId="2051103593">
    <w:abstractNumId w:val="2"/>
    <w:lvlOverride w:ilvl="0">
      <w:startOverride w:val="1"/>
    </w:lvlOverride>
  </w:num>
  <w:num w:numId="2" w16cid:durableId="1177386242">
    <w:abstractNumId w:val="1"/>
    <w:lvlOverride w:ilvl="0">
      <w:startOverride w:val="1"/>
    </w:lvlOverride>
  </w:num>
  <w:num w:numId="3" w16cid:durableId="136957374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2F6"/>
    <w:rsid w:val="003B356D"/>
    <w:rsid w:val="004077C0"/>
    <w:rsid w:val="004672F6"/>
    <w:rsid w:val="005F72D5"/>
    <w:rsid w:val="00692845"/>
    <w:rsid w:val="00E262DE"/>
    <w:rsid w:val="00ED73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4588A2F3"/>
  <w15:docId w15:val="{EF51778B-3549-1048-8C3F-3D6E6C5B9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outlineLvl w:val="0"/>
    </w:pPr>
    <w:rPr>
      <w:color w:val="2E74B5"/>
      <w:sz w:val="32"/>
      <w:szCs w:val="32"/>
    </w:rPr>
  </w:style>
  <w:style w:type="paragraph" w:styleId="2">
    <w:name w:val="heading 2"/>
    <w:uiPriority w:val="9"/>
    <w:unhideWhenUsed/>
    <w:qFormat/>
    <w:pPr>
      <w:outlineLvl w:val="1"/>
    </w:pPr>
    <w:rPr>
      <w:color w:val="2E74B5"/>
      <w:sz w:val="26"/>
      <w:szCs w:val="26"/>
    </w:rPr>
  </w:style>
  <w:style w:type="paragraph" w:styleId="3">
    <w:name w:val="heading 3"/>
    <w:uiPriority w:val="9"/>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1953</Words>
  <Characters>11133</Characters>
  <Application>Microsoft Office Word</Application>
  <DocSecurity>0</DocSecurity>
  <Lines>92</Lines>
  <Paragraphs>26</Paragraphs>
  <ScaleCrop>false</ScaleCrop>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Mobile User</cp:lastModifiedBy>
  <cp:revision>2</cp:revision>
  <dcterms:created xsi:type="dcterms:W3CDTF">2026-07-20T19:33:00Z</dcterms:created>
  <dcterms:modified xsi:type="dcterms:W3CDTF">2026-07-20T19:33:00Z</dcterms:modified>
</cp:coreProperties>
</file>