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BE832FB" w:rsidR="009125CE" w:rsidRPr="00C85ABF" w:rsidRDefault="008E6323" w:rsidP="008E6323">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C85ABF">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A9E6075">
            <wp:simplePos x="0" y="0"/>
            <wp:positionH relativeFrom="margin">
              <wp:posOffset>285750</wp:posOffset>
            </wp:positionH>
            <wp:positionV relativeFrom="margin">
              <wp:posOffset>-277495</wp:posOffset>
            </wp:positionV>
            <wp:extent cx="1663065" cy="15434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3065" cy="1543420"/>
                    </a:xfrm>
                    <a:prstGeom prst="rect">
                      <a:avLst/>
                    </a:prstGeom>
                  </pic:spPr>
                </pic:pic>
              </a:graphicData>
            </a:graphic>
            <wp14:sizeRelH relativeFrom="margin">
              <wp14:pctWidth>0</wp14:pctWidth>
            </wp14:sizeRelH>
            <wp14:sizeRelV relativeFrom="margin">
              <wp14:pctHeight>0</wp14:pctHeight>
            </wp14:sizeRelV>
          </wp:anchor>
        </w:drawing>
      </w:r>
      <w:r w:rsidR="009125CE" w:rsidRPr="00C85ABF">
        <w:rPr>
          <w:rFonts w:ascii="Simplified Arabic" w:hAnsi="Simplified Arabic" w:cs="Simplified Arabic"/>
          <w:b/>
          <w:bCs/>
          <w:color w:val="000000" w:themeColor="text1"/>
          <w:sz w:val="32"/>
          <w:szCs w:val="32"/>
          <w:rtl/>
          <w:lang w:bidi="ar-EG"/>
        </w:rPr>
        <w:t xml:space="preserve">جامعة ميدأوشن </w:t>
      </w:r>
    </w:p>
    <w:p w14:paraId="1E957002" w14:textId="5D45700B" w:rsidR="00F546CE" w:rsidRPr="00C85ABF" w:rsidRDefault="009125CE" w:rsidP="008E632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C85ABF">
        <w:rPr>
          <w:rFonts w:ascii="Simplified Arabic" w:hAnsi="Simplified Arabic" w:cs="Simplified Arabic"/>
          <w:b/>
          <w:bCs/>
          <w:color w:val="000000" w:themeColor="text1"/>
          <w:sz w:val="32"/>
          <w:szCs w:val="32"/>
          <w:lang w:bidi="ar-EG"/>
        </w:rPr>
        <w:t xml:space="preserve"> </w:t>
      </w:r>
      <w:r w:rsidRPr="00C85ABF">
        <w:rPr>
          <w:rFonts w:ascii="Simplified Arabic" w:hAnsi="Simplified Arabic" w:cs="Simplified Arabic"/>
          <w:b/>
          <w:bCs/>
          <w:color w:val="000000" w:themeColor="text1"/>
          <w:sz w:val="32"/>
          <w:szCs w:val="32"/>
          <w:rtl/>
          <w:lang w:bidi="ar-EG"/>
        </w:rPr>
        <w:t xml:space="preserve">كلية </w:t>
      </w:r>
      <w:r w:rsidR="008C42C1" w:rsidRPr="00C85ABF">
        <w:rPr>
          <w:rFonts w:ascii="Simplified Arabic" w:hAnsi="Simplified Arabic" w:cs="Simplified Arabic"/>
          <w:b/>
          <w:bCs/>
          <w:color w:val="000000" w:themeColor="text1"/>
          <w:sz w:val="32"/>
          <w:szCs w:val="32"/>
          <w:rtl/>
          <w:lang w:bidi="ar-EG"/>
        </w:rPr>
        <w:t>الإدارة</w:t>
      </w:r>
      <w:r w:rsidRPr="00C85ABF">
        <w:rPr>
          <w:rFonts w:ascii="Simplified Arabic" w:hAnsi="Simplified Arabic" w:cs="Simplified Arabic"/>
          <w:b/>
          <w:bCs/>
          <w:color w:val="000000" w:themeColor="text1"/>
          <w:sz w:val="32"/>
          <w:szCs w:val="32"/>
          <w:rtl/>
          <w:lang w:bidi="ar-EG"/>
        </w:rPr>
        <w:t xml:space="preserve"> </w:t>
      </w:r>
    </w:p>
    <w:p w14:paraId="5F6542BF" w14:textId="0E552D0E" w:rsidR="009125CE" w:rsidRPr="00C85ABF" w:rsidRDefault="00F86421" w:rsidP="008E632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C85ABF">
        <w:rPr>
          <w:rFonts w:ascii="Simplified Arabic" w:hAnsi="Simplified Arabic" w:cs="Simplified Arabic"/>
          <w:b/>
          <w:bCs/>
          <w:color w:val="000000" w:themeColor="text1"/>
          <w:sz w:val="32"/>
          <w:szCs w:val="32"/>
          <w:rtl/>
          <w:lang w:bidi="ar-EG"/>
        </w:rPr>
        <w:t>ماجستير ادارة اعمال</w:t>
      </w:r>
    </w:p>
    <w:p w14:paraId="68E72AE3" w14:textId="77777777" w:rsidR="008E6323" w:rsidRPr="00C85ABF" w:rsidRDefault="008E6323" w:rsidP="008E6323">
      <w:pPr>
        <w:spacing w:before="100" w:beforeAutospacing="1" w:after="100" w:afterAutospacing="1" w:line="276" w:lineRule="auto"/>
        <w:jc w:val="center"/>
        <w:rPr>
          <w:rFonts w:ascii="Simplified Arabic" w:hAnsi="Simplified Arabic" w:cs="Simplified Arabic"/>
          <w:b/>
          <w:bCs/>
          <w:color w:val="000000" w:themeColor="text1"/>
          <w:sz w:val="40"/>
          <w:szCs w:val="40"/>
          <w:rtl/>
        </w:rPr>
      </w:pPr>
    </w:p>
    <w:p w14:paraId="754ED60E" w14:textId="2963E5D2" w:rsidR="00054375" w:rsidRPr="00C85ABF" w:rsidRDefault="00D5353E" w:rsidP="008E6323">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C85ABF">
        <w:rPr>
          <w:rFonts w:ascii="Simplified Arabic" w:hAnsi="Simplified Arabic" w:cs="Simplified Arabic"/>
          <w:b/>
          <w:bCs/>
          <w:color w:val="000000" w:themeColor="text1"/>
          <w:sz w:val="40"/>
          <w:szCs w:val="40"/>
          <w:rtl/>
        </w:rPr>
        <w:t xml:space="preserve">أثر إدارة تجربة العميل على تعزيز ولاء المستفيدين في قطاع الإسكان السعودي  دراسة ميدانية على الشركة الوطنية للإسكان </w:t>
      </w:r>
      <w:r w:rsidRPr="00C85ABF">
        <w:rPr>
          <w:rFonts w:ascii="Simplified Arabic" w:hAnsi="Simplified Arabic" w:cs="Simplified Arabic"/>
          <w:b/>
          <w:bCs/>
          <w:color w:val="000000" w:themeColor="text1"/>
          <w:sz w:val="40"/>
          <w:szCs w:val="40"/>
        </w:rPr>
        <w:t>NHC</w:t>
      </w:r>
      <w:r w:rsidR="00C15EAD" w:rsidRPr="00C85ABF">
        <w:rPr>
          <w:rFonts w:ascii="Simplified Arabic" w:hAnsi="Simplified Arabic" w:cs="Simplified Arabic"/>
          <w:b/>
          <w:bCs/>
          <w:color w:val="000000" w:themeColor="text1"/>
          <w:sz w:val="40"/>
          <w:szCs w:val="40"/>
          <w:rtl/>
        </w:rPr>
        <w:t>.</w:t>
      </w:r>
    </w:p>
    <w:p w14:paraId="52F32430" w14:textId="77777777" w:rsidR="008E6323" w:rsidRPr="00C85ABF" w:rsidRDefault="008E6323" w:rsidP="008E632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05F724E3" w:rsidR="009125CE" w:rsidRPr="00C85ABF" w:rsidRDefault="009125CE" w:rsidP="008E632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85ABF">
        <w:rPr>
          <w:rFonts w:ascii="Simplified Arabic" w:hAnsi="Simplified Arabic" w:cs="Simplified Arabic"/>
          <w:b/>
          <w:bCs/>
          <w:color w:val="000000" w:themeColor="text1"/>
          <w:sz w:val="36"/>
          <w:szCs w:val="36"/>
          <w:rtl/>
          <w:lang w:bidi="ar-EG"/>
        </w:rPr>
        <w:t>إعداد الطالب/</w:t>
      </w:r>
    </w:p>
    <w:p w14:paraId="19BECAE9" w14:textId="77777777" w:rsidR="00D5353E" w:rsidRPr="00C85ABF" w:rsidRDefault="00D5353E" w:rsidP="008E6323">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C85ABF">
        <w:rPr>
          <w:rFonts w:ascii="Simplified Arabic" w:hAnsi="Simplified Arabic" w:cs="Simplified Arabic"/>
          <w:color w:val="000000" w:themeColor="text1"/>
          <w:sz w:val="36"/>
          <w:szCs w:val="36"/>
          <w:rtl/>
        </w:rPr>
        <w:t>رزان محمد السنحاني</w:t>
      </w:r>
    </w:p>
    <w:p w14:paraId="17741E33" w14:textId="07654420" w:rsidR="009A6DA0" w:rsidRPr="00C85ABF" w:rsidRDefault="00D5353E" w:rsidP="008E6323">
      <w:pPr>
        <w:spacing w:before="100" w:beforeAutospacing="1" w:after="100" w:afterAutospacing="1" w:line="276" w:lineRule="auto"/>
        <w:jc w:val="center"/>
        <w:rPr>
          <w:rFonts w:ascii="Simplified Arabic" w:hAnsi="Simplified Arabic" w:cs="Simplified Arabic"/>
          <w:color w:val="000000" w:themeColor="text1"/>
          <w:sz w:val="36"/>
          <w:szCs w:val="36"/>
        </w:rPr>
      </w:pPr>
      <w:r w:rsidRPr="00C85ABF">
        <w:rPr>
          <w:rFonts w:ascii="Simplified Arabic" w:hAnsi="Simplified Arabic" w:cs="Simplified Arabic"/>
          <w:color w:val="000000" w:themeColor="text1"/>
          <w:sz w:val="36"/>
          <w:szCs w:val="36"/>
          <w:rtl/>
        </w:rPr>
        <w:t>253000760</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57072" w:rsidRPr="00C85ABF" w14:paraId="0FC35DD7" w14:textId="77777777" w:rsidTr="00B57182">
        <w:tc>
          <w:tcPr>
            <w:tcW w:w="4530" w:type="dxa"/>
          </w:tcPr>
          <w:p w14:paraId="102A1272" w14:textId="77777777" w:rsidR="00057072" w:rsidRPr="00C85ABF" w:rsidRDefault="00057072" w:rsidP="00B5718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85ABF">
              <w:rPr>
                <w:rFonts w:ascii="Simplified Arabic" w:hAnsi="Simplified Arabic" w:cs="Simplified Arabic" w:hint="cs"/>
                <w:b/>
                <w:bCs/>
                <w:color w:val="000000" w:themeColor="text1"/>
                <w:sz w:val="36"/>
                <w:szCs w:val="36"/>
                <w:rtl/>
                <w:lang w:bidi="ar-EG"/>
              </w:rPr>
              <w:t>المشرف الرئيسي/</w:t>
            </w:r>
          </w:p>
        </w:tc>
        <w:tc>
          <w:tcPr>
            <w:tcW w:w="4531" w:type="dxa"/>
          </w:tcPr>
          <w:p w14:paraId="391257E9" w14:textId="77777777" w:rsidR="00057072" w:rsidRPr="00C85ABF" w:rsidRDefault="00057072" w:rsidP="00B5718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85ABF">
              <w:rPr>
                <w:rFonts w:ascii="Simplified Arabic" w:hAnsi="Simplified Arabic" w:cs="Simplified Arabic" w:hint="cs"/>
                <w:b/>
                <w:bCs/>
                <w:color w:val="000000" w:themeColor="text1"/>
                <w:sz w:val="36"/>
                <w:szCs w:val="36"/>
                <w:rtl/>
                <w:lang w:bidi="ar-EG"/>
              </w:rPr>
              <w:t>المشرف الثاني/</w:t>
            </w:r>
          </w:p>
        </w:tc>
      </w:tr>
      <w:tr w:rsidR="00057072" w:rsidRPr="00C85ABF" w14:paraId="023C1491" w14:textId="77777777" w:rsidTr="00B57182">
        <w:tc>
          <w:tcPr>
            <w:tcW w:w="4530" w:type="dxa"/>
          </w:tcPr>
          <w:p w14:paraId="54F3AC90" w14:textId="77777777" w:rsidR="00057072" w:rsidRPr="00C85ABF" w:rsidRDefault="00057072" w:rsidP="00B5718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85ABF">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232FF7A4" w14:textId="77777777" w:rsidR="00057072" w:rsidRPr="00C85ABF" w:rsidRDefault="00057072" w:rsidP="00B5718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85ABF">
              <w:rPr>
                <w:rFonts w:ascii="Simplified Arabic" w:eastAsia="Calibri" w:hAnsi="Simplified Arabic" w:cs="Simplified Arabic"/>
                <w:color w:val="000000" w:themeColor="text1"/>
                <w:kern w:val="0"/>
                <w:sz w:val="36"/>
                <w:szCs w:val="36"/>
                <w:rtl/>
                <w:lang w:bidi="ar-EG"/>
                <w14:ligatures w14:val="none"/>
              </w:rPr>
              <w:t>د.فايز جراد</w:t>
            </w:r>
          </w:p>
        </w:tc>
      </w:tr>
    </w:tbl>
    <w:p w14:paraId="55EDA4D0" w14:textId="77777777" w:rsidR="00057072" w:rsidRPr="00C85ABF" w:rsidRDefault="00057072" w:rsidP="00057072">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C85ABF">
        <w:rPr>
          <w:rFonts w:ascii="Simplified Arabic" w:hAnsi="Simplified Arabic" w:cs="Simplified Arabic"/>
          <w:b/>
          <w:bCs/>
          <w:color w:val="000000" w:themeColor="text1"/>
          <w:sz w:val="36"/>
          <w:szCs w:val="36"/>
          <w:rtl/>
          <w:lang w:bidi="ar-EG"/>
        </w:rPr>
        <w:t>العام الدراسي:</w:t>
      </w:r>
    </w:p>
    <w:p w14:paraId="18D8AADD" w14:textId="77777777" w:rsidR="00057072" w:rsidRPr="00C85ABF" w:rsidRDefault="00057072" w:rsidP="00057072">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057072" w:rsidRPr="00C85ABF" w:rsidSect="00B57182">
          <w:type w:val="continuous"/>
          <w:pgSz w:w="11906" w:h="16838" w:code="9"/>
          <w:pgMar w:top="1134" w:right="1701" w:bottom="1134" w:left="1134" w:header="720" w:footer="720" w:gutter="0"/>
          <w:pgNumType w:fmt="arabicAbjad" w:start="1"/>
          <w:cols w:space="708"/>
          <w:bidi/>
          <w:rtlGutter/>
          <w:docGrid w:linePitch="360"/>
        </w:sectPr>
      </w:pPr>
      <w:r w:rsidRPr="00C85ABF">
        <w:rPr>
          <w:rFonts w:ascii="Simplified Arabic" w:hAnsi="Simplified Arabic" w:cs="Simplified Arabic"/>
          <w:color w:val="000000" w:themeColor="text1"/>
          <w:sz w:val="36"/>
          <w:szCs w:val="36"/>
          <w:lang w:bidi="ar-EG"/>
        </w:rPr>
        <w:t>1448 – 2026</w:t>
      </w:r>
    </w:p>
    <w:p w14:paraId="142A3004" w14:textId="77777777" w:rsidR="00057072" w:rsidRPr="00C85ABF" w:rsidRDefault="00057072" w:rsidP="00057072">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057072" w:rsidRPr="00C85ABF" w:rsidSect="008E6323">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62E7A50E" w14:textId="0F889D61" w:rsidR="00D517EF" w:rsidRPr="00C85ABF" w:rsidRDefault="00D517EF" w:rsidP="00D517EF">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3980938"/>
      <w:r w:rsidRPr="00C85ABF">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4D5E08AC" w14:textId="543BAF81" w:rsidR="008E6323" w:rsidRPr="00C85ABF" w:rsidRDefault="00D517EF" w:rsidP="00D517EF">
      <w:pPr>
        <w:pStyle w:val="NormalWeb"/>
        <w:bidi/>
        <w:spacing w:line="276" w:lineRule="auto"/>
        <w:jc w:val="both"/>
        <w:outlineLvl w:val="1"/>
        <w:rPr>
          <w:rFonts w:ascii="Simplified Arabic" w:hAnsi="Simplified Arabic" w:cs="Simplified Arabic"/>
          <w:color w:val="000000" w:themeColor="text1"/>
          <w:sz w:val="36"/>
          <w:szCs w:val="36"/>
          <w:rtl/>
        </w:rPr>
      </w:pPr>
      <w:bookmarkStart w:id="3" w:name="_Toc233980939"/>
      <w:r w:rsidRPr="00C85ABF">
        <w:rPr>
          <w:rFonts w:ascii="Simplified Arabic" w:hAnsi="Simplified Arabic" w:cs="Simplified Arabic" w:hint="cs"/>
          <w:color w:val="000000" w:themeColor="text1"/>
          <w:sz w:val="36"/>
          <w:szCs w:val="36"/>
          <w:rtl/>
        </w:rPr>
        <w:t>1.1 المقدمة</w:t>
      </w:r>
      <w:bookmarkEnd w:id="3"/>
    </w:p>
    <w:p w14:paraId="7989CFB2" w14:textId="3AF532C2" w:rsidR="00A372D1" w:rsidRPr="00C85ABF" w:rsidRDefault="00A372D1" w:rsidP="00D517EF">
      <w:pPr>
        <w:pStyle w:val="NormalWeb"/>
        <w:bidi/>
        <w:spacing w:line="276" w:lineRule="auto"/>
        <w:ind w:firstLine="424"/>
        <w:jc w:val="both"/>
        <w:rPr>
          <w:rFonts w:ascii="Simplified Arabic" w:hAnsi="Simplified Arabic" w:cs="Simplified Arabic"/>
          <w:color w:val="000000" w:themeColor="text1"/>
          <w:sz w:val="28"/>
          <w:szCs w:val="28"/>
        </w:rPr>
      </w:pPr>
      <w:r w:rsidRPr="00C85ABF">
        <w:rPr>
          <w:rFonts w:ascii="Simplified Arabic" w:hAnsi="Simplified Arabic" w:cs="Simplified Arabic"/>
          <w:color w:val="000000" w:themeColor="text1"/>
          <w:sz w:val="28"/>
          <w:szCs w:val="28"/>
          <w:rtl/>
        </w:rPr>
        <w:t>تُعَدُّ تجربة العميل من أبرز المفاهيم الإدارية المعاصرة التي استقطبت اهتمام الباحثين والممارسين على حدٍّ سواء، إذ تجاوزت النظرة التقليدية القائمة على جودة المنتج أو الخدمة منفردةً إلى رؤية شمولية تُعنى بمجمل التفاعلات والانطباعات التي يمرُّ بها العميل عبر نقاط التماس متعددة مع المنظمة. وقد أصبحت إدارة هذه التجربة أداةً استراتيجيةً تسعى من خلالها المنظمات إلى بناء علاقات مستدامة مع عملائها وتحقيق ميزة تنافسية يصعب تقليدها، لا سيّما في القطاعات الخدمية التي يرتبط فيها قرار العميل بأبعاد عاطفية ومعرفية وسلوكية متشابكة (عبدالخالق وآخرون، 2023)</w:t>
      </w:r>
    </w:p>
    <w:p w14:paraId="36F1D6CD" w14:textId="305FD501" w:rsidR="00A372D1" w:rsidRPr="00C85ABF" w:rsidRDefault="00A372D1" w:rsidP="00D517EF">
      <w:pPr>
        <w:pStyle w:val="NormalWeb"/>
        <w:bidi/>
        <w:spacing w:line="276" w:lineRule="auto"/>
        <w:ind w:firstLine="424"/>
        <w:jc w:val="both"/>
        <w:rPr>
          <w:rFonts w:ascii="Simplified Arabic" w:hAnsi="Simplified Arabic" w:cs="Simplified Arabic"/>
          <w:color w:val="000000" w:themeColor="text1"/>
          <w:sz w:val="28"/>
          <w:szCs w:val="28"/>
        </w:rPr>
      </w:pPr>
      <w:r w:rsidRPr="00C85ABF">
        <w:rPr>
          <w:rFonts w:ascii="Simplified Arabic" w:hAnsi="Simplified Arabic" w:cs="Simplified Arabic"/>
          <w:color w:val="000000" w:themeColor="text1"/>
          <w:sz w:val="28"/>
          <w:szCs w:val="28"/>
          <w:rtl/>
        </w:rPr>
        <w:t>وتتشكَّل إدارة تجربة العميل من أبعاد متعددة تشمل التفاعل الرقمي عبر المنصات والتطبيقات الإلكترونية، والتفاعل الخدمي مع الموظفين في الخطوط الأمامية، والبيئة المادية التي تُحيط بالعميل في مراكز الخدمة، فضلاً عن آليات التواصل والمتابعة التي تمتد إلى ما بعد إتمام المعاملة. وقد أكدت الأدبيات أنَّ هذه الأبعاد لا تعمل بمعزل عن بعضها البعض، بل تتكامل لتُشكِّل انطباعاً كلياً لدى العميل يؤثر في مواقفه وسلوكياته اللاحقة، سواء على صعيد إدراكه لشخصية العلامة التجارية أو على صعيد سلوكه بعد الشراء من حيث الرضا ونية إعادة التعامل والتوصية للآخرين .</w:t>
      </w:r>
    </w:p>
    <w:p w14:paraId="76CA491E" w14:textId="677B61BA" w:rsidR="00A372D1" w:rsidRPr="00C85ABF" w:rsidRDefault="00A372D1" w:rsidP="00D517EF">
      <w:pPr>
        <w:pStyle w:val="NormalWeb"/>
        <w:bidi/>
        <w:spacing w:line="276" w:lineRule="auto"/>
        <w:ind w:firstLine="424"/>
        <w:jc w:val="both"/>
        <w:rPr>
          <w:rFonts w:ascii="Simplified Arabic" w:hAnsi="Simplified Arabic" w:cs="Simplified Arabic"/>
          <w:color w:val="000000" w:themeColor="text1"/>
          <w:sz w:val="28"/>
          <w:szCs w:val="28"/>
        </w:rPr>
      </w:pPr>
      <w:r w:rsidRPr="00C85ABF">
        <w:rPr>
          <w:rFonts w:ascii="Simplified Arabic" w:hAnsi="Simplified Arabic" w:cs="Simplified Arabic"/>
          <w:color w:val="000000" w:themeColor="text1"/>
          <w:sz w:val="28"/>
          <w:szCs w:val="28"/>
          <w:rtl/>
        </w:rPr>
        <w:t xml:space="preserve">ويُمثِّل ولاء العميل الغاية التي تسعى إليها المنظمات من وراء استثمارها في إدارة تجربة العميل، إذ يُعبِّر عن الارتباط المستدام الذي يدفع العميل إلى تكرار التعامل مع المنظمة والدفاع عنها ومقاومة العروض المنافسة. ولا يقتصر الولاء على البُعد السلوكي المتعلق بتكرار الشراء فحسب، بل يشمل بُعداً موقفياً يتجلى في المشاعر الإيجابية والثقة والالتزام العاطفي تجاه المنظمة، وهو ما يُسهم في رفع الحصة السوقية وتعظيم الأرباح على المدى البعيد (الشكري، 2023). </w:t>
      </w:r>
    </w:p>
    <w:p w14:paraId="4963EB26" w14:textId="3A3027F0" w:rsidR="00A372D1" w:rsidRPr="00C85ABF" w:rsidRDefault="00A372D1" w:rsidP="00D517EF">
      <w:pPr>
        <w:pStyle w:val="NormalWeb"/>
        <w:bidi/>
        <w:spacing w:line="276" w:lineRule="auto"/>
        <w:ind w:firstLine="424"/>
        <w:jc w:val="both"/>
        <w:rPr>
          <w:rFonts w:ascii="Simplified Arabic" w:hAnsi="Simplified Arabic" w:cs="Simplified Arabic"/>
          <w:color w:val="000000" w:themeColor="text1"/>
          <w:sz w:val="28"/>
          <w:szCs w:val="28"/>
        </w:rPr>
      </w:pPr>
      <w:r w:rsidRPr="00C85ABF">
        <w:rPr>
          <w:rFonts w:ascii="Simplified Arabic" w:hAnsi="Simplified Arabic" w:cs="Simplified Arabic"/>
          <w:color w:val="000000" w:themeColor="text1"/>
          <w:sz w:val="28"/>
          <w:szCs w:val="28"/>
          <w:rtl/>
        </w:rPr>
        <w:t>وفي ضوء ذلك، تتضح العلاقة الوثيقة بين إدارة تجربة العميل وتعزيز ولائه؛ فكلما أُديرت نقاط التماس الرحلة إدارةً منهجية متسقة  رقمياً وخدمياً ومادياً وتواصلياً  ارتفعت احتمالية تحوُّل الرضا اللحظي إلى ولاء مستدام. وقد أثبتت دراسات ميدانية في قطاعات مختلفة أنَّ أبعاد إدارة تجربة العميل تُفسِّر نسبة معتبرة من التباين في ولاء العملاء، وأنَّ التفاعل الرقمي والخدمي يحتلان المرتبة الأعلى تأثيراً مقارنةً بالبيئة المادية</w:t>
      </w:r>
      <w:r w:rsidRPr="00C85ABF">
        <w:rPr>
          <w:rFonts w:ascii="Simplified Arabic" w:hAnsi="Simplified Arabic" w:cs="Simplified Arabic"/>
          <w:color w:val="000000" w:themeColor="text1"/>
          <w:sz w:val="28"/>
          <w:szCs w:val="28"/>
        </w:rPr>
        <w:t xml:space="preserve"> (Makudza, 2021).</w:t>
      </w:r>
    </w:p>
    <w:p w14:paraId="1940F656" w14:textId="2E9395F9" w:rsidR="00A372D1" w:rsidRPr="00C85ABF" w:rsidRDefault="00A372D1" w:rsidP="00D517EF">
      <w:pPr>
        <w:pStyle w:val="NormalWeb"/>
        <w:bidi/>
        <w:spacing w:line="276" w:lineRule="auto"/>
        <w:ind w:firstLine="424"/>
        <w:jc w:val="both"/>
        <w:rPr>
          <w:rFonts w:ascii="Simplified Arabic" w:hAnsi="Simplified Arabic" w:cs="Simplified Arabic"/>
          <w:color w:val="000000" w:themeColor="text1"/>
          <w:sz w:val="28"/>
          <w:szCs w:val="28"/>
        </w:rPr>
      </w:pPr>
      <w:r w:rsidRPr="00C85ABF">
        <w:rPr>
          <w:rFonts w:ascii="Simplified Arabic" w:hAnsi="Simplified Arabic" w:cs="Simplified Arabic"/>
          <w:color w:val="000000" w:themeColor="text1"/>
          <w:sz w:val="28"/>
          <w:szCs w:val="28"/>
          <w:rtl/>
        </w:rPr>
        <w:lastRenderedPageBreak/>
        <w:t>وانطلاقاً مما سبق، تأتي هذه الدراسة لتبحث في أثر إدارة تجربة العميل بأبعادها الأربعة — التفاعل الرقمي، والتفاعل الخدمي، والبيئة المادية، والتواصل والمتابعة على تعزيز ولاء المستفيدين في الشركة الوطنية للإسكان</w:t>
      </w:r>
      <w:r w:rsidRPr="00C85ABF">
        <w:rPr>
          <w:rFonts w:ascii="Simplified Arabic" w:hAnsi="Simplified Arabic" w:cs="Simplified Arabic"/>
          <w:color w:val="000000" w:themeColor="text1"/>
          <w:sz w:val="28"/>
          <w:szCs w:val="28"/>
        </w:rPr>
        <w:t xml:space="preserve"> (NHC)</w:t>
      </w:r>
      <w:r w:rsidRPr="00C85ABF">
        <w:rPr>
          <w:rFonts w:ascii="Simplified Arabic" w:hAnsi="Simplified Arabic" w:cs="Simplified Arabic"/>
          <w:color w:val="000000" w:themeColor="text1"/>
          <w:sz w:val="28"/>
          <w:szCs w:val="28"/>
          <w:rtl/>
        </w:rPr>
        <w:t xml:space="preserve">، وذلك في سياق قطاع الإسكان السعودي الذي يتميز بخصوصية المنتج السكني بوصفه أكبر قرار مالي في حياة الفرد. </w:t>
      </w:r>
    </w:p>
    <w:p w14:paraId="673E192B" w14:textId="36F9E4C8" w:rsidR="00D517EF" w:rsidRPr="00C85ABF" w:rsidRDefault="00D517EF" w:rsidP="00D517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 w:name="_Toc224289505"/>
      <w:bookmarkStart w:id="5" w:name="_Toc169790500"/>
      <w:bookmarkStart w:id="6" w:name="_Toc233980940"/>
      <w:bookmarkEnd w:id="0"/>
      <w:bookmarkEnd w:id="1"/>
      <w:r w:rsidRPr="00C85ABF">
        <w:rPr>
          <w:rFonts w:ascii="Simplified Arabic" w:eastAsia="Times New Roman" w:hAnsi="Simplified Arabic" w:cs="Simplified Arabic"/>
          <w:b/>
          <w:bCs/>
          <w:color w:val="000000" w:themeColor="text1"/>
          <w:kern w:val="0"/>
          <w:sz w:val="36"/>
          <w:szCs w:val="36"/>
          <w:rtl/>
          <w14:ligatures w14:val="none"/>
        </w:rPr>
        <w:t>2.1 مشكلة الدراسة</w:t>
      </w:r>
      <w:bookmarkEnd w:id="6"/>
    </w:p>
    <w:p w14:paraId="6EA4482D" w14:textId="77777777" w:rsidR="00A372D1" w:rsidRPr="00C85ABF" w:rsidRDefault="00A372D1" w:rsidP="00D517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يشهد قطاع الإسكان في المملكة العربية السعودية تحولاً جذرياً في إطار رؤية 2030، التي وضعت تملُّك المساكن ضمن أولوياتها الاستراتيجية بهدف رفع نسبة التملُّك إلى 70% بحلول نهاية العقد. وقد أُسِّست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 </w:t>
      </w:r>
      <w:r w:rsidRPr="00C85ABF">
        <w:rPr>
          <w:rFonts w:ascii="Simplified Arabic" w:eastAsia="Times New Roman" w:hAnsi="Simplified Arabic" w:cs="Simplified Arabic"/>
          <w:color w:val="000000" w:themeColor="text1"/>
          <w:kern w:val="0"/>
          <w:sz w:val="28"/>
          <w:szCs w:val="28"/>
          <w:rtl/>
          <w14:ligatures w14:val="none"/>
        </w:rPr>
        <w:t>عام 2017 بوصفها الذراع التنفيذية والاستثمارية لوزارة الشؤون البلدية والقروية والإسكان، وأُنيط بها تطوير وجهات عمرانية متكاملة، وتمكين القطاع الخاص، وتسريع وتيرة إنتاج الوحدات السكنية. وتُدير الشركة اليوم منظومة واسعة من العمليات تشمل منصة "سكني</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الرقمية، ومراكز المبيعات المنتشرة في مختلف المناطق، وبرامج التمويل المدعوم، وعشرات المشاريع السكنية على مستوى المملكة، وهو ما يجعلها تتعامل مع قاعدة ضخمة ومتنامية من المستفيدين ذوي الاحتياجات والتوقعات المتباينة</w:t>
      </w:r>
      <w:r w:rsidRPr="00C85ABF">
        <w:rPr>
          <w:rFonts w:ascii="Simplified Arabic" w:eastAsia="Times New Roman" w:hAnsi="Simplified Arabic" w:cs="Simplified Arabic"/>
          <w:color w:val="000000" w:themeColor="text1"/>
          <w:kern w:val="0"/>
          <w:sz w:val="28"/>
          <w:szCs w:val="28"/>
          <w14:ligatures w14:val="none"/>
        </w:rPr>
        <w:t>.</w:t>
      </w:r>
      <w:bookmarkEnd w:id="4"/>
    </w:p>
    <w:p w14:paraId="2F71DD43" w14:textId="77777777" w:rsidR="00A372D1" w:rsidRPr="00C85ABF" w:rsidRDefault="00A372D1" w:rsidP="00D517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bookmarkStart w:id="7" w:name="_Toc224289506"/>
      <w:r w:rsidRPr="00C85ABF">
        <w:rPr>
          <w:rFonts w:ascii="Simplified Arabic" w:eastAsia="Times New Roman" w:hAnsi="Simplified Arabic" w:cs="Simplified Arabic"/>
          <w:color w:val="000000" w:themeColor="text1"/>
          <w:kern w:val="0"/>
          <w:sz w:val="28"/>
          <w:szCs w:val="28"/>
          <w:rtl/>
          <w14:ligatures w14:val="none"/>
        </w:rPr>
        <w:t>غير أنَّ هذا التوسُّع الكمّي المتسارع في حجم العمليات وأعداد المستفيدين يطرح تحدياً نوعياً جوهرياً يتمثل في قدرة الشركة على إدارة تجربة العميل إدارةً منهجية متكاملة تُفضي إلى تعزيز ولاء المستفيدين واستدامة علاقتهم بها. فقد أشار تقرير خطة تنفيذ برنامج الإسكان الصادر عن رؤية 2030 إلى أنَّ قطاع الإسكان قبل إطلاق البرنامج كان يعاني من فترات انتظار طويلة، وأعداد محدودة من المستفيدين المخدومين، ومستويات رضا متدنية. كما أكد تقرير شركة "برايس ووتر هاوس كوبرز" أنَّ البرنامج حلَّ محلَّ نظام حكومي كان يعاني من طول فترات المعالجة وانخفاض مستويات رضا المواطنين. وهذا يعني أنَّ التحديات المرتبطة بجودة التجربة وتفاعل المستفيد لا تزال تمثل هاجساً استراتيجياً يستوجب البحث والدراسة، خاصةً مع تصاعد التنافسية في السوق العقاري السعودي ودخول مطورين من القطاع الخاص بمنتجات وخدمات متنوعة</w:t>
      </w:r>
      <w:r w:rsidRPr="00C85ABF">
        <w:rPr>
          <w:rFonts w:ascii="Simplified Arabic" w:eastAsia="Times New Roman" w:hAnsi="Simplified Arabic" w:cs="Simplified Arabic"/>
          <w:color w:val="000000" w:themeColor="text1"/>
          <w:kern w:val="0"/>
          <w:sz w:val="28"/>
          <w:szCs w:val="28"/>
          <w14:ligatures w14:val="none"/>
        </w:rPr>
        <w:t>.</w:t>
      </w:r>
      <w:bookmarkEnd w:id="7"/>
    </w:p>
    <w:p w14:paraId="3E421102" w14:textId="77777777" w:rsidR="00A372D1" w:rsidRPr="00C85ABF" w:rsidRDefault="00A372D1" w:rsidP="00D517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bookmarkStart w:id="8" w:name="_Toc224289507"/>
      <w:r w:rsidRPr="00C85ABF">
        <w:rPr>
          <w:rFonts w:ascii="Simplified Arabic" w:eastAsia="Times New Roman" w:hAnsi="Simplified Arabic" w:cs="Simplified Arabic"/>
          <w:color w:val="000000" w:themeColor="text1"/>
          <w:kern w:val="0"/>
          <w:sz w:val="28"/>
          <w:szCs w:val="28"/>
          <w:rtl/>
          <w14:ligatures w14:val="none"/>
        </w:rPr>
        <w:t xml:space="preserve">وتتعاظم أهمية هذه المشكلة حين نستحضر الطبيعة الخاصة لقطاع الإسكان؛ فالمنتج السكني ليس سلعة استهلاكية عابرة، بل هو أكبر قرار مالي يتخذه الفرد في حياته، وتمتد رحلة المستفيد من مرحلة البحث والاستكشاف على المنصات الرقمية، مروراً بالتفاعل المباشر مع مراكز المبيعات والموظفين، وصولاً إلى </w:t>
      </w:r>
      <w:r w:rsidRPr="00C85ABF">
        <w:rPr>
          <w:rFonts w:ascii="Simplified Arabic" w:eastAsia="Times New Roman" w:hAnsi="Simplified Arabic" w:cs="Simplified Arabic"/>
          <w:color w:val="000000" w:themeColor="text1"/>
          <w:kern w:val="0"/>
          <w:sz w:val="28"/>
          <w:szCs w:val="28"/>
          <w:rtl/>
          <w14:ligatures w14:val="none"/>
        </w:rPr>
        <w:lastRenderedPageBreak/>
        <w:t>مرحلة ما بعد التسليم والمتابعة وإدارة الشكاوى. وأيُّ خلل في أيٍّ من نقاط التماس هذه الرحلة قد يُقوِّض ثقة المستفيد ويُضعف ولاءه، وهو ما ينعكس سلباً على سمعة الشركة وعلى تحقيق المستهدفات الوطنية. وفي هذا الإطار، فإنَّ فوز</w:t>
      </w:r>
      <w:r w:rsidRPr="00C85ABF">
        <w:rPr>
          <w:rFonts w:ascii="Simplified Arabic" w:eastAsia="Times New Roman" w:hAnsi="Simplified Arabic" w:cs="Simplified Arabic"/>
          <w:color w:val="000000" w:themeColor="text1"/>
          <w:kern w:val="0"/>
          <w:sz w:val="28"/>
          <w:szCs w:val="28"/>
          <w14:ligatures w14:val="none"/>
        </w:rPr>
        <w:t xml:space="preserve"> "NHC Innovation" </w:t>
      </w:r>
      <w:r w:rsidRPr="00C85ABF">
        <w:rPr>
          <w:rFonts w:ascii="Simplified Arabic" w:eastAsia="Times New Roman" w:hAnsi="Simplified Arabic" w:cs="Simplified Arabic"/>
          <w:color w:val="000000" w:themeColor="text1"/>
          <w:kern w:val="0"/>
          <w:sz w:val="28"/>
          <w:szCs w:val="28"/>
          <w:rtl/>
          <w14:ligatures w14:val="none"/>
        </w:rPr>
        <w:t>بثلاث جوائز عالمية ضمن جوائز تجارب العملاء الدولية لعام 2025 يعكس وعياً مؤسسياً متنامياً بأهمية هذا الملف، لكنَّه في الوقت ذاته يُبرز الحاجة الماسة إلى التحقق العلمي والميداني من مدى انعكاس هذه الجهود فعلياً على سلوك الولاء لدى المستفيدين</w:t>
      </w:r>
      <w:r w:rsidRPr="00C85ABF">
        <w:rPr>
          <w:rFonts w:ascii="Simplified Arabic" w:eastAsia="Times New Roman" w:hAnsi="Simplified Arabic" w:cs="Simplified Arabic"/>
          <w:color w:val="000000" w:themeColor="text1"/>
          <w:kern w:val="0"/>
          <w:sz w:val="28"/>
          <w:szCs w:val="28"/>
          <w14:ligatures w14:val="none"/>
        </w:rPr>
        <w:t>.</w:t>
      </w:r>
      <w:bookmarkEnd w:id="8"/>
    </w:p>
    <w:p w14:paraId="07934003" w14:textId="64D84953" w:rsidR="00A372D1" w:rsidRPr="00C85ABF" w:rsidRDefault="00A372D1" w:rsidP="00D517EF">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bookmarkStart w:id="9" w:name="_Toc224289508"/>
      <w:r w:rsidRPr="00C85ABF">
        <w:rPr>
          <w:rFonts w:ascii="Simplified Arabic" w:eastAsia="Times New Roman" w:hAnsi="Simplified Arabic" w:cs="Simplified Arabic"/>
          <w:color w:val="000000" w:themeColor="text1"/>
          <w:kern w:val="0"/>
          <w:sz w:val="28"/>
          <w:szCs w:val="28"/>
          <w:rtl/>
          <w14:ligatures w14:val="none"/>
        </w:rPr>
        <w:t>أثبتت دراسات عديدة في قطاعات البنوك والطيران والصيدليات والتجزئة أنَّ إدارة تجربة العميل بأبعادها المختلفة تُفسِّر نسبة كبيرة من التباين في ولاء العملاء، إلا أنَّ الباحثة لاحظت ندرةً واضحة في الدراسات العربية والأجنبية التي تناولت هذا الأثر في سياق قطاع الإسكان تحديداً، ولا سيّما في البيئة السعودية التي تتميز بخصوصيات ثقافية واقتصادية وتنظيمية فريدة. وعليه، تتبلور مشكلة الدراسة الحالية في التساؤل الرئيس التالي</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ما أثر إدارة تجربة العميل بأبعادها  التفاعل الرقمي، والتفاعل الخدمي، والبيئة المادية، والتواصل والمتابعة على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bookmarkEnd w:id="9"/>
    </w:p>
    <w:p w14:paraId="5A63AC9A" w14:textId="2283FED4" w:rsidR="00D517EF" w:rsidRPr="00C85ABF" w:rsidRDefault="00D517EF" w:rsidP="00D517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0" w:name="_Toc233980941"/>
      <w:r w:rsidRPr="00C85ABF">
        <w:rPr>
          <w:rFonts w:ascii="Simplified Arabic" w:eastAsia="Times New Roman" w:hAnsi="Simplified Arabic" w:cs="Simplified Arabic"/>
          <w:b/>
          <w:bCs/>
          <w:color w:val="000000" w:themeColor="text1"/>
          <w:kern w:val="0"/>
          <w:sz w:val="36"/>
          <w:szCs w:val="36"/>
          <w:rtl/>
          <w14:ligatures w14:val="none"/>
        </w:rPr>
        <w:t>3.1 أهداف الدراسة</w:t>
      </w:r>
      <w:bookmarkEnd w:id="10"/>
    </w:p>
    <w:p w14:paraId="01DDA13B" w14:textId="77777777" w:rsidR="00A372D1" w:rsidRPr="00C85ABF" w:rsidRDefault="00A372D1" w:rsidP="00D517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إدارة تجربة العميل بأبعادها (إدارة التفاعل الرقمي، وإدارة التفاعل الخدمي، وإدارة البيئة المادية، وإدارة التواصل والمتابعة) على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 </w:t>
      </w:r>
      <w:r w:rsidRPr="00C85ABF">
        <w:rPr>
          <w:rFonts w:ascii="Simplified Arabic" w:eastAsia="Times New Roman" w:hAnsi="Simplified Arabic" w:cs="Simplified Arabic"/>
          <w:color w:val="000000" w:themeColor="text1"/>
          <w:kern w:val="0"/>
          <w:sz w:val="28"/>
          <w:szCs w:val="28"/>
          <w:rtl/>
          <w14:ligatures w14:val="none"/>
        </w:rPr>
        <w:t>بالمملكة العربية السعودية</w:t>
      </w:r>
    </w:p>
    <w:p w14:paraId="56E35559" w14:textId="2E7F013E" w:rsidR="00A372D1" w:rsidRPr="00C85ABF" w:rsidRDefault="00A372D1" w:rsidP="008E632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C85ABF">
        <w:rPr>
          <w:rFonts w:ascii="Simplified Arabic" w:eastAsia="Times New Roman" w:hAnsi="Simplified Arabic" w:cs="Simplified Arabic"/>
          <w:b/>
          <w:bCs/>
          <w:color w:val="000000" w:themeColor="text1"/>
          <w:kern w:val="0"/>
          <w:sz w:val="28"/>
          <w:szCs w:val="28"/>
          <w14:ligatures w14:val="none"/>
        </w:rPr>
        <w:t xml:space="preserve"> </w:t>
      </w:r>
      <w:r w:rsidRPr="00C85ABF">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C85ABF">
        <w:rPr>
          <w:rFonts w:ascii="Simplified Arabic" w:eastAsia="Times New Roman" w:hAnsi="Simplified Arabic" w:cs="Simplified Arabic"/>
          <w:b/>
          <w:bCs/>
          <w:color w:val="000000" w:themeColor="text1"/>
          <w:kern w:val="0"/>
          <w:sz w:val="28"/>
          <w:szCs w:val="28"/>
          <w14:ligatures w14:val="none"/>
        </w:rPr>
        <w:t>:</w:t>
      </w:r>
    </w:p>
    <w:p w14:paraId="6A4E19C9" w14:textId="09DCF632" w:rsidR="00A372D1" w:rsidRPr="00C85ABF" w:rsidRDefault="00A372D1" w:rsidP="00D517EF">
      <w:pPr>
        <w:pStyle w:val="ListParagraph"/>
        <w:numPr>
          <w:ilvl w:val="0"/>
          <w:numId w:val="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التعرف على أثر إدارة التفاعل الرقمي على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r w:rsidRPr="00C85ABF">
        <w:rPr>
          <w:rFonts w:ascii="Simplified Arabic" w:eastAsia="Times New Roman" w:hAnsi="Simplified Arabic" w:cs="Simplified Arabic"/>
          <w:color w:val="000000" w:themeColor="text1"/>
          <w:kern w:val="0"/>
          <w:sz w:val="28"/>
          <w:szCs w:val="28"/>
          <w:rtl/>
          <w14:ligatures w14:val="none"/>
        </w:rPr>
        <w:t>، وذلك من حيث جودة المنصات الإلكترونية وتطبيقات الهاتف الذكي ومنصة "سكني</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وسهولة التنقل فيها وسرعة الاستجابة وتوفير المعلومات الشاملة عن المنتجات والخدمات الإسكانية</w:t>
      </w:r>
      <w:r w:rsidRPr="00C85ABF">
        <w:rPr>
          <w:rFonts w:ascii="Simplified Arabic" w:eastAsia="Times New Roman" w:hAnsi="Simplified Arabic" w:cs="Simplified Arabic"/>
          <w:color w:val="000000" w:themeColor="text1"/>
          <w:kern w:val="0"/>
          <w:sz w:val="28"/>
          <w:szCs w:val="28"/>
          <w14:ligatures w14:val="none"/>
        </w:rPr>
        <w:t>.</w:t>
      </w:r>
    </w:p>
    <w:p w14:paraId="514027C8" w14:textId="7CDD8DC3" w:rsidR="00A372D1" w:rsidRPr="00C85ABF" w:rsidRDefault="00A372D1" w:rsidP="00D517EF">
      <w:pPr>
        <w:pStyle w:val="ListParagraph"/>
        <w:numPr>
          <w:ilvl w:val="0"/>
          <w:numId w:val="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التعرف على أثر إدارة التفاعل الخدمي على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r w:rsidRPr="00C85ABF">
        <w:rPr>
          <w:rFonts w:ascii="Simplified Arabic" w:eastAsia="Times New Roman" w:hAnsi="Simplified Arabic" w:cs="Simplified Arabic"/>
          <w:color w:val="000000" w:themeColor="text1"/>
          <w:kern w:val="0"/>
          <w:sz w:val="28"/>
          <w:szCs w:val="28"/>
          <w:rtl/>
          <w14:ligatures w14:val="none"/>
        </w:rPr>
        <w:t>، وذلك من حيث كفاءة موظفي الخطوط الأمامية ومراكز الاتصال واحترافيتهم في التعامل مع المستفيدين وفهم احتياجاتهم وتقديم حلول مخصصة وفعّالة</w:t>
      </w:r>
      <w:r w:rsidRPr="00C85ABF">
        <w:rPr>
          <w:rFonts w:ascii="Simplified Arabic" w:eastAsia="Times New Roman" w:hAnsi="Simplified Arabic" w:cs="Simplified Arabic"/>
          <w:color w:val="000000" w:themeColor="text1"/>
          <w:kern w:val="0"/>
          <w:sz w:val="28"/>
          <w:szCs w:val="28"/>
          <w14:ligatures w14:val="none"/>
        </w:rPr>
        <w:t>.</w:t>
      </w:r>
    </w:p>
    <w:p w14:paraId="254315D9" w14:textId="5A947B7B" w:rsidR="00A372D1" w:rsidRPr="00C85ABF" w:rsidRDefault="00A372D1" w:rsidP="00D517EF">
      <w:pPr>
        <w:pStyle w:val="ListParagraph"/>
        <w:numPr>
          <w:ilvl w:val="0"/>
          <w:numId w:val="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التعرف على أثر إدارة البيئة المادية على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r w:rsidRPr="00C85ABF">
        <w:rPr>
          <w:rFonts w:ascii="Simplified Arabic" w:eastAsia="Times New Roman" w:hAnsi="Simplified Arabic" w:cs="Simplified Arabic"/>
          <w:color w:val="000000" w:themeColor="text1"/>
          <w:kern w:val="0"/>
          <w:sz w:val="28"/>
          <w:szCs w:val="28"/>
          <w:rtl/>
          <w14:ligatures w14:val="none"/>
        </w:rPr>
        <w:t>، وذلك من حيث جودة تصميم مراكز المبيعات وصالات العرض ونماذج الوحدات السكنية والمرافق المجتمعية في الوجهات العمرانية ومدى ملاءمتها لتوقعات المستفيدين</w:t>
      </w:r>
      <w:r w:rsidRPr="00C85ABF">
        <w:rPr>
          <w:rFonts w:ascii="Simplified Arabic" w:eastAsia="Times New Roman" w:hAnsi="Simplified Arabic" w:cs="Simplified Arabic"/>
          <w:color w:val="000000" w:themeColor="text1"/>
          <w:kern w:val="0"/>
          <w:sz w:val="28"/>
          <w:szCs w:val="28"/>
          <w14:ligatures w14:val="none"/>
        </w:rPr>
        <w:t>.</w:t>
      </w:r>
    </w:p>
    <w:p w14:paraId="19A9F8C8" w14:textId="0D521174" w:rsidR="00A372D1" w:rsidRPr="00C85ABF" w:rsidRDefault="00A372D1" w:rsidP="00D517EF">
      <w:pPr>
        <w:pStyle w:val="ListParagraph"/>
        <w:numPr>
          <w:ilvl w:val="0"/>
          <w:numId w:val="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 xml:space="preserve">التعرف على أثر إدارة التواصل والمتابعة على تعزيز ولاء المستفيدين في الشركة الوطنية للإسكان </w:t>
      </w:r>
      <w:r w:rsidRPr="00C85ABF">
        <w:rPr>
          <w:rFonts w:ascii="Simplified Arabic" w:eastAsia="Times New Roman" w:hAnsi="Simplified Arabic" w:cs="Simplified Arabic"/>
          <w:color w:val="000000" w:themeColor="text1"/>
          <w:kern w:val="0"/>
          <w:sz w:val="28"/>
          <w:szCs w:val="28"/>
          <w14:ligatures w14:val="none"/>
        </w:rPr>
        <w:t>NHC</w:t>
      </w:r>
      <w:r w:rsidRPr="00C85ABF">
        <w:rPr>
          <w:rFonts w:ascii="Simplified Arabic" w:eastAsia="Times New Roman" w:hAnsi="Simplified Arabic" w:cs="Simplified Arabic"/>
          <w:color w:val="000000" w:themeColor="text1"/>
          <w:kern w:val="0"/>
          <w:sz w:val="28"/>
          <w:szCs w:val="28"/>
          <w:rtl/>
          <w14:ligatures w14:val="none"/>
        </w:rPr>
        <w:t>، وذلك من حيث فعالية أنظمة المتابعة المستمرة مع المستفيدين بعد التعاقد وآليات التعامل مع الشكاوى والملاحظات وبرامج ما بعد التسليم وبرامج الولاء</w:t>
      </w:r>
      <w:r w:rsidRPr="00C85ABF">
        <w:rPr>
          <w:rFonts w:ascii="Simplified Arabic" w:eastAsia="Times New Roman" w:hAnsi="Simplified Arabic" w:cs="Simplified Arabic"/>
          <w:color w:val="000000" w:themeColor="text1"/>
          <w:kern w:val="0"/>
          <w:sz w:val="28"/>
          <w:szCs w:val="28"/>
          <w14:ligatures w14:val="none"/>
        </w:rPr>
        <w:t>.</w:t>
      </w:r>
    </w:p>
    <w:p w14:paraId="65A7EBD8" w14:textId="2074349B" w:rsidR="00A372D1" w:rsidRPr="00C85ABF" w:rsidRDefault="00A372D1" w:rsidP="00D517EF">
      <w:pPr>
        <w:pStyle w:val="ListParagraph"/>
        <w:numPr>
          <w:ilvl w:val="0"/>
          <w:numId w:val="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تقديم إطار مقترح وتوصيات علمية وعملية للشركة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 </w:t>
      </w:r>
      <w:r w:rsidRPr="00C85ABF">
        <w:rPr>
          <w:rFonts w:ascii="Simplified Arabic" w:eastAsia="Times New Roman" w:hAnsi="Simplified Arabic" w:cs="Simplified Arabic"/>
          <w:color w:val="000000" w:themeColor="text1"/>
          <w:kern w:val="0"/>
          <w:sz w:val="28"/>
          <w:szCs w:val="28"/>
          <w:rtl/>
          <w14:ligatures w14:val="none"/>
        </w:rPr>
        <w:t xml:space="preserve">لتطوير استراتيجيات إدارة تجربة العميل بما يُسهم في تعزيز ولاء المستفيدين ودعم مستهدفات رؤية المملكة </w:t>
      </w:r>
      <w:r w:rsidRPr="00C85ABF">
        <w:rPr>
          <w:rFonts w:ascii="Simplified Arabic" w:eastAsia="Times New Roman" w:hAnsi="Simplified Arabic" w:cs="Simplified Arabic"/>
          <w:color w:val="000000" w:themeColor="text1"/>
          <w:kern w:val="0"/>
          <w:sz w:val="28"/>
          <w:szCs w:val="28"/>
          <w14:ligatures w14:val="none"/>
        </w:rPr>
        <w:t xml:space="preserve">2030 </w:t>
      </w:r>
      <w:r w:rsidRPr="00C85ABF">
        <w:rPr>
          <w:rFonts w:ascii="Simplified Arabic" w:eastAsia="Times New Roman" w:hAnsi="Simplified Arabic" w:cs="Simplified Arabic"/>
          <w:color w:val="000000" w:themeColor="text1"/>
          <w:kern w:val="0"/>
          <w:sz w:val="28"/>
          <w:szCs w:val="28"/>
          <w:rtl/>
          <w14:ligatures w14:val="none"/>
        </w:rPr>
        <w:t>في قطاع الإسكان</w:t>
      </w:r>
      <w:r w:rsidRPr="00C85ABF">
        <w:rPr>
          <w:rFonts w:ascii="Simplified Arabic" w:eastAsia="Times New Roman" w:hAnsi="Simplified Arabic" w:cs="Simplified Arabic"/>
          <w:color w:val="000000" w:themeColor="text1"/>
          <w:kern w:val="0"/>
          <w:sz w:val="28"/>
          <w:szCs w:val="28"/>
          <w14:ligatures w14:val="none"/>
        </w:rPr>
        <w:t>.</w:t>
      </w:r>
    </w:p>
    <w:p w14:paraId="6B041D5F" w14:textId="77777777" w:rsidR="00D517EF" w:rsidRPr="00C85ABF" w:rsidRDefault="00D517EF" w:rsidP="00D517E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980942"/>
      <w:r w:rsidRPr="00C85ABF">
        <w:rPr>
          <w:rFonts w:ascii="Simplified Arabic" w:eastAsia="Times New Roman" w:hAnsi="Simplified Arabic" w:cs="Simplified Arabic"/>
          <w:b/>
          <w:bCs/>
          <w:color w:val="000000" w:themeColor="text1"/>
          <w:kern w:val="0"/>
          <w:sz w:val="36"/>
          <w:szCs w:val="36"/>
          <w:rtl/>
          <w14:ligatures w14:val="none"/>
        </w:rPr>
        <w:t>4.1 أسئلة الدراسة</w:t>
      </w:r>
      <w:bookmarkEnd w:id="11"/>
    </w:p>
    <w:p w14:paraId="41803370" w14:textId="17E7A8DF" w:rsidR="00D517EF" w:rsidRPr="00C85ABF" w:rsidRDefault="00D517EF" w:rsidP="00D517EF">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C85ABF">
        <w:rPr>
          <w:rFonts w:ascii="Simplified Arabic" w:eastAsia="Times New Roman" w:hAnsi="Simplified Arabic" w:cs="Simplified Arabic"/>
          <w:b/>
          <w:bCs/>
          <w:color w:val="000000" w:themeColor="text1"/>
          <w:kern w:val="0"/>
          <w:sz w:val="32"/>
          <w:szCs w:val="32"/>
          <w:rtl/>
          <w14:ligatures w14:val="none"/>
        </w:rPr>
        <w:t>السؤال الرئيسي:</w:t>
      </w:r>
    </w:p>
    <w:p w14:paraId="4C54CFEC" w14:textId="583FACD5" w:rsidR="00A372D1" w:rsidRPr="00C85ABF" w:rsidRDefault="00A372D1" w:rsidP="00D517EF">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 xml:space="preserve">ما أثر إدارة تجربة العميل بأبعادها </w:t>
      </w:r>
      <w:r w:rsidR="00D517EF" w:rsidRPr="00C85ABF">
        <w:rPr>
          <w:rFonts w:ascii="Simplified Arabic" w:eastAsia="Times New Roman" w:hAnsi="Simplified Arabic" w:cs="Simplified Arabic" w:hint="cs"/>
          <w:color w:val="000000" w:themeColor="text1"/>
          <w:kern w:val="0"/>
          <w:sz w:val="28"/>
          <w:szCs w:val="28"/>
          <w:rtl/>
          <w14:ligatures w14:val="none"/>
        </w:rPr>
        <w:t>(</w:t>
      </w:r>
      <w:r w:rsidRPr="00C85ABF">
        <w:rPr>
          <w:rFonts w:ascii="Simplified Arabic" w:eastAsia="Times New Roman" w:hAnsi="Simplified Arabic" w:cs="Simplified Arabic"/>
          <w:color w:val="000000" w:themeColor="text1"/>
          <w:kern w:val="0"/>
          <w:sz w:val="28"/>
          <w:szCs w:val="28"/>
          <w:rtl/>
          <w14:ligatures w14:val="none"/>
        </w:rPr>
        <w:t>إدارة التفاعل الرقمي، وإدارة التفاعل الخدمي، وإدارة البيئة المادية، وإدارة التواصل والمتابعة) على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r w:rsidRPr="00C85ABF">
        <w:rPr>
          <w:rFonts w:ascii="Simplified Arabic" w:eastAsia="Times New Roman" w:hAnsi="Simplified Arabic" w:cs="Simplified Arabic"/>
          <w:color w:val="000000" w:themeColor="text1"/>
          <w:kern w:val="0"/>
          <w:sz w:val="28"/>
          <w:szCs w:val="28"/>
          <w:rtl/>
          <w14:ligatures w14:val="none"/>
        </w:rPr>
        <w:t>؟</w:t>
      </w:r>
    </w:p>
    <w:p w14:paraId="6CB96FF7" w14:textId="77777777" w:rsidR="00A372D1" w:rsidRPr="00C85ABF" w:rsidRDefault="00A372D1" w:rsidP="00D517EF">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14:ligatures w14:val="none"/>
        </w:rPr>
      </w:pPr>
      <w:bookmarkStart w:id="12" w:name="_Toc224289512"/>
      <w:r w:rsidRPr="00C85ABF">
        <w:rPr>
          <w:rFonts w:ascii="Simplified Arabic" w:eastAsia="Times New Roman" w:hAnsi="Simplified Arabic" w:cs="Simplified Arabic"/>
          <w:b/>
          <w:bCs/>
          <w:color w:val="000000" w:themeColor="text1"/>
          <w:kern w:val="0"/>
          <w:sz w:val="32"/>
          <w:szCs w:val="32"/>
          <w:rtl/>
          <w14:ligatures w14:val="none"/>
        </w:rPr>
        <w:t>الأسئلة الفرعية</w:t>
      </w:r>
      <w:r w:rsidRPr="00C85ABF">
        <w:rPr>
          <w:rFonts w:ascii="Simplified Arabic" w:eastAsia="Times New Roman" w:hAnsi="Simplified Arabic" w:cs="Simplified Arabic"/>
          <w:b/>
          <w:bCs/>
          <w:color w:val="000000" w:themeColor="text1"/>
          <w:kern w:val="0"/>
          <w:sz w:val="32"/>
          <w:szCs w:val="32"/>
          <w14:ligatures w14:val="none"/>
        </w:rPr>
        <w:t>:</w:t>
      </w:r>
      <w:bookmarkEnd w:id="12"/>
    </w:p>
    <w:p w14:paraId="210951C4" w14:textId="77777777" w:rsidR="00A372D1" w:rsidRPr="00C85ABF" w:rsidRDefault="00A372D1" w:rsidP="00D517EF">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السؤال الفرعي الأول</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ما أثر إدارة التفاعل الرقمي على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r w:rsidRPr="00C85ABF">
        <w:rPr>
          <w:rFonts w:ascii="Simplified Arabic" w:eastAsia="Times New Roman" w:hAnsi="Simplified Arabic" w:cs="Simplified Arabic"/>
          <w:color w:val="000000" w:themeColor="text1"/>
          <w:kern w:val="0"/>
          <w:sz w:val="28"/>
          <w:szCs w:val="28"/>
          <w:rtl/>
          <w14:ligatures w14:val="none"/>
        </w:rPr>
        <w:t>؟</w:t>
      </w:r>
    </w:p>
    <w:p w14:paraId="7D928991" w14:textId="77777777" w:rsidR="00A372D1" w:rsidRPr="00C85ABF" w:rsidRDefault="00A372D1" w:rsidP="00D517EF">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السؤال الفرعي الثاني</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ما أثر إدارة التفاعل الخدمي على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r w:rsidRPr="00C85ABF">
        <w:rPr>
          <w:rFonts w:ascii="Simplified Arabic" w:eastAsia="Times New Roman" w:hAnsi="Simplified Arabic" w:cs="Simplified Arabic"/>
          <w:color w:val="000000" w:themeColor="text1"/>
          <w:kern w:val="0"/>
          <w:sz w:val="28"/>
          <w:szCs w:val="28"/>
          <w:rtl/>
          <w14:ligatures w14:val="none"/>
        </w:rPr>
        <w:t>؟</w:t>
      </w:r>
    </w:p>
    <w:p w14:paraId="79B476CF" w14:textId="77777777" w:rsidR="00A372D1" w:rsidRPr="00C85ABF" w:rsidRDefault="00A372D1" w:rsidP="00D517EF">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السؤال الفرعي الثالث</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ما أثر إدارة البيئة المادية على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r w:rsidRPr="00C85ABF">
        <w:rPr>
          <w:rFonts w:ascii="Simplified Arabic" w:eastAsia="Times New Roman" w:hAnsi="Simplified Arabic" w:cs="Simplified Arabic"/>
          <w:color w:val="000000" w:themeColor="text1"/>
          <w:kern w:val="0"/>
          <w:sz w:val="28"/>
          <w:szCs w:val="28"/>
          <w:rtl/>
          <w14:ligatures w14:val="none"/>
        </w:rPr>
        <w:t>؟</w:t>
      </w:r>
    </w:p>
    <w:p w14:paraId="1B3EDC36" w14:textId="77777777" w:rsidR="00A372D1" w:rsidRPr="00C85ABF" w:rsidRDefault="00A372D1" w:rsidP="00D517EF">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السؤال الفرعي الرابع</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ما أثر إدارة التواصل والمتابعة على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r w:rsidRPr="00C85ABF">
        <w:rPr>
          <w:rFonts w:ascii="Simplified Arabic" w:eastAsia="Times New Roman" w:hAnsi="Simplified Arabic" w:cs="Simplified Arabic"/>
          <w:color w:val="000000" w:themeColor="text1"/>
          <w:kern w:val="0"/>
          <w:sz w:val="28"/>
          <w:szCs w:val="28"/>
          <w:rtl/>
          <w14:ligatures w14:val="none"/>
        </w:rPr>
        <w:t>؟</w:t>
      </w:r>
    </w:p>
    <w:p w14:paraId="5592C494" w14:textId="77777777" w:rsidR="00A372D1" w:rsidRPr="00C85ABF" w:rsidRDefault="00A372D1" w:rsidP="00D517EF">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السؤال الفرعي الخامس</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ما مستوى إدراك المستفيدين لجودة إدارة تجربة العميل بأبعادها الأربعة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r w:rsidRPr="00C85ABF">
        <w:rPr>
          <w:rFonts w:ascii="Simplified Arabic" w:eastAsia="Times New Roman" w:hAnsi="Simplified Arabic" w:cs="Simplified Arabic"/>
          <w:color w:val="000000" w:themeColor="text1"/>
          <w:kern w:val="0"/>
          <w:sz w:val="28"/>
          <w:szCs w:val="28"/>
          <w:rtl/>
          <w14:ligatures w14:val="none"/>
        </w:rPr>
        <w:t>؟</w:t>
      </w:r>
    </w:p>
    <w:p w14:paraId="7A8C4E1C" w14:textId="77777777" w:rsidR="00A372D1" w:rsidRPr="00C85ABF" w:rsidRDefault="00A372D1" w:rsidP="00D517EF">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السؤال الفرعي السادس</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ما مستوى ولاء المستفيدين تجاه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r w:rsidRPr="00C85ABF">
        <w:rPr>
          <w:rFonts w:ascii="Simplified Arabic" w:eastAsia="Times New Roman" w:hAnsi="Simplified Arabic" w:cs="Simplified Arabic"/>
          <w:color w:val="000000" w:themeColor="text1"/>
          <w:kern w:val="0"/>
          <w:sz w:val="28"/>
          <w:szCs w:val="28"/>
          <w:rtl/>
          <w14:ligatures w14:val="none"/>
        </w:rPr>
        <w:t>؟</w:t>
      </w:r>
    </w:p>
    <w:p w14:paraId="739D7B09" w14:textId="77777777" w:rsidR="00A372D1" w:rsidRPr="00C85ABF" w:rsidRDefault="00A372D1" w:rsidP="00D517EF">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السؤال الفرعي السابع</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أيّ أبعاد إدارة تجربة العميل أكثر تأثيراً في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r w:rsidRPr="00C85ABF">
        <w:rPr>
          <w:rFonts w:ascii="Simplified Arabic" w:eastAsia="Times New Roman" w:hAnsi="Simplified Arabic" w:cs="Simplified Arabic"/>
          <w:color w:val="000000" w:themeColor="text1"/>
          <w:kern w:val="0"/>
          <w:sz w:val="28"/>
          <w:szCs w:val="28"/>
          <w:rtl/>
          <w14:ligatures w14:val="none"/>
        </w:rPr>
        <w:t>؟</w:t>
      </w:r>
    </w:p>
    <w:p w14:paraId="7B85F3A3" w14:textId="77777777" w:rsidR="00A372D1" w:rsidRPr="00C85ABF" w:rsidRDefault="00A372D1" w:rsidP="00D517EF">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السؤال الفرعي الثامن</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هل توجد فروق ذات دلالة إحصائية في استجابات أفراد العينة حول إدارة تجربة العميل وولاء المستفيدين تُعزى للمتغيرات الديموغرافية (الجنس، والعمر، والمستوى التعليمي، ومستوى الدخل، ونوع المنتج الإسكاني)؟</w:t>
      </w:r>
    </w:p>
    <w:p w14:paraId="15BA9C6B" w14:textId="77777777" w:rsidR="00D517EF" w:rsidRPr="00C85ABF" w:rsidRDefault="00D517EF" w:rsidP="00D517E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980943"/>
      <w:r w:rsidRPr="00C85ABF">
        <w:rPr>
          <w:rFonts w:ascii="Simplified Arabic" w:eastAsia="Times New Roman" w:hAnsi="Simplified Arabic" w:cs="Simplified Arabic"/>
          <w:b/>
          <w:bCs/>
          <w:color w:val="000000" w:themeColor="text1"/>
          <w:kern w:val="0"/>
          <w:sz w:val="36"/>
          <w:szCs w:val="36"/>
          <w:rtl/>
          <w14:ligatures w14:val="none"/>
        </w:rPr>
        <w:t>5.1 فروض الدراسة</w:t>
      </w:r>
      <w:bookmarkEnd w:id="13"/>
    </w:p>
    <w:p w14:paraId="4F05FB79" w14:textId="330F7E3A" w:rsidR="00D517EF" w:rsidRPr="00C85ABF" w:rsidRDefault="00D517EF" w:rsidP="00D517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85ABF">
        <w:rPr>
          <w:rFonts w:ascii="Simplified Arabic" w:eastAsia="Times New Roman" w:hAnsi="Simplified Arabic" w:cs="Simplified Arabic"/>
          <w:b/>
          <w:bCs/>
          <w:color w:val="000000" w:themeColor="text1"/>
          <w:kern w:val="0"/>
          <w:sz w:val="32"/>
          <w:szCs w:val="32"/>
          <w:rtl/>
          <w14:ligatures w14:val="none"/>
        </w:rPr>
        <w:t>الفرض الرئيسي:</w:t>
      </w:r>
    </w:p>
    <w:p w14:paraId="48B2C1FF" w14:textId="77777777" w:rsidR="00A372D1" w:rsidRPr="00C85ABF" w:rsidRDefault="00A372D1" w:rsidP="00D517EF">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14:ligatures w14:val="none"/>
        </w:rPr>
        <w:t xml:space="preserve">H0: </w:t>
      </w:r>
      <w:r w:rsidRPr="00C85AB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α</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Times New Roman" w:eastAsia="Times New Roman" w:hAnsi="Times New Roman" w:cs="Times New Roman"/>
          <w:color w:val="000000" w:themeColor="text1"/>
          <w:kern w:val="0"/>
          <w:sz w:val="28"/>
          <w:szCs w:val="28"/>
          <w14:ligatures w14:val="none"/>
        </w:rPr>
        <w:t>≤</w:t>
      </w:r>
      <w:r w:rsidRPr="00C85ABF">
        <w:rPr>
          <w:rFonts w:ascii="Simplified Arabic" w:eastAsia="Times New Roman" w:hAnsi="Simplified Arabic" w:cs="Simplified Arabic"/>
          <w:color w:val="000000" w:themeColor="text1"/>
          <w:kern w:val="0"/>
          <w:sz w:val="28"/>
          <w:szCs w:val="28"/>
          <w14:ligatures w14:val="none"/>
        </w:rPr>
        <w:t xml:space="preserve"> 0.05) </w:t>
      </w:r>
      <w:r w:rsidRPr="00C85ABF">
        <w:rPr>
          <w:rFonts w:ascii="Simplified Arabic" w:eastAsia="Times New Roman" w:hAnsi="Simplified Arabic" w:cs="Simplified Arabic"/>
          <w:color w:val="000000" w:themeColor="text1"/>
          <w:kern w:val="0"/>
          <w:sz w:val="28"/>
          <w:szCs w:val="28"/>
          <w:rtl/>
          <w14:ligatures w14:val="none"/>
        </w:rPr>
        <w:t xml:space="preserve">لإدارة تجربة العميل بأبعادها (إدارة التفاعل الرقمي، وإدارة التفاعل الخدمي، وإدارة البيئة المادية، وإدارة التواصل والمتابعة) على تعزيز ولاء المستفيدين في الشركة الوطنية للإسكان </w:t>
      </w:r>
      <w:r w:rsidRPr="00C85ABF">
        <w:rPr>
          <w:rFonts w:ascii="Simplified Arabic" w:eastAsia="Times New Roman" w:hAnsi="Simplified Arabic" w:cs="Simplified Arabic"/>
          <w:color w:val="000000" w:themeColor="text1"/>
          <w:kern w:val="0"/>
          <w:sz w:val="28"/>
          <w:szCs w:val="28"/>
          <w14:ligatures w14:val="none"/>
        </w:rPr>
        <w:t>NHC.</w:t>
      </w:r>
    </w:p>
    <w:p w14:paraId="0CC928AF" w14:textId="77777777" w:rsidR="00A372D1" w:rsidRPr="00C85ABF" w:rsidRDefault="00A372D1" w:rsidP="00D517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4289515"/>
      <w:r w:rsidRPr="00C85ABF">
        <w:rPr>
          <w:rFonts w:ascii="Simplified Arabic" w:eastAsia="Times New Roman" w:hAnsi="Simplified Arabic" w:cs="Simplified Arabic"/>
          <w:b/>
          <w:bCs/>
          <w:color w:val="000000" w:themeColor="text1"/>
          <w:kern w:val="0"/>
          <w:sz w:val="32"/>
          <w:szCs w:val="32"/>
          <w:rtl/>
          <w14:ligatures w14:val="none"/>
        </w:rPr>
        <w:t>الفروض الفرعية</w:t>
      </w:r>
      <w:r w:rsidRPr="00C85ABF">
        <w:rPr>
          <w:rFonts w:ascii="Simplified Arabic" w:eastAsia="Times New Roman" w:hAnsi="Simplified Arabic" w:cs="Simplified Arabic"/>
          <w:b/>
          <w:bCs/>
          <w:color w:val="000000" w:themeColor="text1"/>
          <w:kern w:val="0"/>
          <w:sz w:val="32"/>
          <w:szCs w:val="32"/>
          <w14:ligatures w14:val="none"/>
        </w:rPr>
        <w:t>:</w:t>
      </w:r>
      <w:bookmarkEnd w:id="14"/>
    </w:p>
    <w:p w14:paraId="1C2A7B46" w14:textId="77777777" w:rsidR="00A372D1" w:rsidRPr="00C85ABF" w:rsidRDefault="00A372D1" w:rsidP="00D517EF">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الفرض الفرعي الأول</w:t>
      </w:r>
      <w:r w:rsidRPr="00C85ABF">
        <w:rPr>
          <w:rFonts w:ascii="Simplified Arabic" w:eastAsia="Times New Roman" w:hAnsi="Simplified Arabic" w:cs="Simplified Arabic"/>
          <w:color w:val="000000" w:themeColor="text1"/>
          <w:kern w:val="0"/>
          <w:sz w:val="28"/>
          <w:szCs w:val="28"/>
          <w14:ligatures w14:val="none"/>
        </w:rPr>
        <w:t xml:space="preserve"> (H01): </w:t>
      </w:r>
      <w:r w:rsidRPr="00C85AB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α</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Times New Roman" w:eastAsia="Times New Roman" w:hAnsi="Times New Roman" w:cs="Times New Roman"/>
          <w:color w:val="000000" w:themeColor="text1"/>
          <w:kern w:val="0"/>
          <w:sz w:val="28"/>
          <w:szCs w:val="28"/>
          <w14:ligatures w14:val="none"/>
        </w:rPr>
        <w:t>≤</w:t>
      </w:r>
      <w:r w:rsidRPr="00C85ABF">
        <w:rPr>
          <w:rFonts w:ascii="Simplified Arabic" w:eastAsia="Times New Roman" w:hAnsi="Simplified Arabic" w:cs="Simplified Arabic"/>
          <w:color w:val="000000" w:themeColor="text1"/>
          <w:kern w:val="0"/>
          <w:sz w:val="28"/>
          <w:szCs w:val="28"/>
          <w14:ligatures w14:val="none"/>
        </w:rPr>
        <w:t xml:space="preserve"> 0.05) </w:t>
      </w:r>
      <w:r w:rsidRPr="00C85ABF">
        <w:rPr>
          <w:rFonts w:ascii="Simplified Arabic" w:eastAsia="Times New Roman" w:hAnsi="Simplified Arabic" w:cs="Simplified Arabic"/>
          <w:color w:val="000000" w:themeColor="text1"/>
          <w:kern w:val="0"/>
          <w:sz w:val="28"/>
          <w:szCs w:val="28"/>
          <w:rtl/>
          <w14:ligatures w14:val="none"/>
        </w:rPr>
        <w:t>لإدارة التفاعل الرقمي على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p>
    <w:p w14:paraId="24C7DAAA" w14:textId="77777777" w:rsidR="00A372D1" w:rsidRPr="00C85ABF" w:rsidRDefault="00A372D1" w:rsidP="00D517EF">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الفرض الفرعي الثاني</w:t>
      </w:r>
      <w:r w:rsidRPr="00C85ABF">
        <w:rPr>
          <w:rFonts w:ascii="Simplified Arabic" w:eastAsia="Times New Roman" w:hAnsi="Simplified Arabic" w:cs="Simplified Arabic"/>
          <w:color w:val="000000" w:themeColor="text1"/>
          <w:kern w:val="0"/>
          <w:sz w:val="28"/>
          <w:szCs w:val="28"/>
          <w14:ligatures w14:val="none"/>
        </w:rPr>
        <w:t xml:space="preserve"> (H02): </w:t>
      </w:r>
      <w:r w:rsidRPr="00C85AB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α</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Times New Roman" w:eastAsia="Times New Roman" w:hAnsi="Times New Roman" w:cs="Times New Roman"/>
          <w:color w:val="000000" w:themeColor="text1"/>
          <w:kern w:val="0"/>
          <w:sz w:val="28"/>
          <w:szCs w:val="28"/>
          <w14:ligatures w14:val="none"/>
        </w:rPr>
        <w:t>≤</w:t>
      </w:r>
      <w:r w:rsidRPr="00C85ABF">
        <w:rPr>
          <w:rFonts w:ascii="Simplified Arabic" w:eastAsia="Times New Roman" w:hAnsi="Simplified Arabic" w:cs="Simplified Arabic"/>
          <w:color w:val="000000" w:themeColor="text1"/>
          <w:kern w:val="0"/>
          <w:sz w:val="28"/>
          <w:szCs w:val="28"/>
          <w14:ligatures w14:val="none"/>
        </w:rPr>
        <w:t xml:space="preserve"> 0.05) </w:t>
      </w:r>
      <w:r w:rsidRPr="00C85ABF">
        <w:rPr>
          <w:rFonts w:ascii="Simplified Arabic" w:eastAsia="Times New Roman" w:hAnsi="Simplified Arabic" w:cs="Simplified Arabic"/>
          <w:color w:val="000000" w:themeColor="text1"/>
          <w:kern w:val="0"/>
          <w:sz w:val="28"/>
          <w:szCs w:val="28"/>
          <w:rtl/>
          <w14:ligatures w14:val="none"/>
        </w:rPr>
        <w:t>لإدارة التفاعل الخدمي على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p>
    <w:p w14:paraId="221C6202" w14:textId="77777777" w:rsidR="00A372D1" w:rsidRPr="00C85ABF" w:rsidRDefault="00A372D1" w:rsidP="00D517EF">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الفرض الفرعي الثالث</w:t>
      </w:r>
      <w:r w:rsidRPr="00C85ABF">
        <w:rPr>
          <w:rFonts w:ascii="Simplified Arabic" w:eastAsia="Times New Roman" w:hAnsi="Simplified Arabic" w:cs="Simplified Arabic"/>
          <w:color w:val="000000" w:themeColor="text1"/>
          <w:kern w:val="0"/>
          <w:sz w:val="28"/>
          <w:szCs w:val="28"/>
          <w14:ligatures w14:val="none"/>
        </w:rPr>
        <w:t xml:space="preserve"> (H03): </w:t>
      </w:r>
      <w:r w:rsidRPr="00C85AB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α</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Times New Roman" w:eastAsia="Times New Roman" w:hAnsi="Times New Roman" w:cs="Times New Roman"/>
          <w:color w:val="000000" w:themeColor="text1"/>
          <w:kern w:val="0"/>
          <w:sz w:val="28"/>
          <w:szCs w:val="28"/>
          <w14:ligatures w14:val="none"/>
        </w:rPr>
        <w:t>≤</w:t>
      </w:r>
      <w:r w:rsidRPr="00C85ABF">
        <w:rPr>
          <w:rFonts w:ascii="Simplified Arabic" w:eastAsia="Times New Roman" w:hAnsi="Simplified Arabic" w:cs="Simplified Arabic"/>
          <w:color w:val="000000" w:themeColor="text1"/>
          <w:kern w:val="0"/>
          <w:sz w:val="28"/>
          <w:szCs w:val="28"/>
          <w14:ligatures w14:val="none"/>
        </w:rPr>
        <w:t xml:space="preserve"> 0.05) </w:t>
      </w:r>
      <w:r w:rsidRPr="00C85ABF">
        <w:rPr>
          <w:rFonts w:ascii="Simplified Arabic" w:eastAsia="Times New Roman" w:hAnsi="Simplified Arabic" w:cs="Simplified Arabic"/>
          <w:color w:val="000000" w:themeColor="text1"/>
          <w:kern w:val="0"/>
          <w:sz w:val="28"/>
          <w:szCs w:val="28"/>
          <w:rtl/>
          <w14:ligatures w14:val="none"/>
        </w:rPr>
        <w:t>لإدارة البيئة المادية على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p>
    <w:p w14:paraId="35E8ADAF" w14:textId="77777777" w:rsidR="00A372D1" w:rsidRPr="00C85ABF" w:rsidRDefault="00A372D1" w:rsidP="00D517EF">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الفرض الفرعي الرابع</w:t>
      </w:r>
      <w:r w:rsidRPr="00C85ABF">
        <w:rPr>
          <w:rFonts w:ascii="Simplified Arabic" w:eastAsia="Times New Roman" w:hAnsi="Simplified Arabic" w:cs="Simplified Arabic"/>
          <w:color w:val="000000" w:themeColor="text1"/>
          <w:kern w:val="0"/>
          <w:sz w:val="28"/>
          <w:szCs w:val="28"/>
          <w14:ligatures w14:val="none"/>
        </w:rPr>
        <w:t xml:space="preserve"> (H04): </w:t>
      </w:r>
      <w:r w:rsidRPr="00C85ABF">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α</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Times New Roman" w:eastAsia="Times New Roman" w:hAnsi="Times New Roman" w:cs="Times New Roman"/>
          <w:color w:val="000000" w:themeColor="text1"/>
          <w:kern w:val="0"/>
          <w:sz w:val="28"/>
          <w:szCs w:val="28"/>
          <w14:ligatures w14:val="none"/>
        </w:rPr>
        <w:t>≤</w:t>
      </w:r>
      <w:r w:rsidRPr="00C85ABF">
        <w:rPr>
          <w:rFonts w:ascii="Simplified Arabic" w:eastAsia="Times New Roman" w:hAnsi="Simplified Arabic" w:cs="Simplified Arabic"/>
          <w:color w:val="000000" w:themeColor="text1"/>
          <w:kern w:val="0"/>
          <w:sz w:val="28"/>
          <w:szCs w:val="28"/>
          <w14:ligatures w14:val="none"/>
        </w:rPr>
        <w:t xml:space="preserve"> 0.05) </w:t>
      </w:r>
      <w:r w:rsidRPr="00C85ABF">
        <w:rPr>
          <w:rFonts w:ascii="Simplified Arabic" w:eastAsia="Times New Roman" w:hAnsi="Simplified Arabic" w:cs="Simplified Arabic"/>
          <w:color w:val="000000" w:themeColor="text1"/>
          <w:kern w:val="0"/>
          <w:sz w:val="28"/>
          <w:szCs w:val="28"/>
          <w:rtl/>
          <w14:ligatures w14:val="none"/>
        </w:rPr>
        <w:t>لإدارة التواصل والمتابعة على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p>
    <w:p w14:paraId="6054831A" w14:textId="77777777" w:rsidR="00D517EF" w:rsidRPr="00C85ABF" w:rsidRDefault="00D517EF" w:rsidP="00D517E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233980944"/>
      <w:r w:rsidRPr="00C85ABF">
        <w:rPr>
          <w:rFonts w:ascii="Simplified Arabic" w:eastAsia="Times New Roman" w:hAnsi="Simplified Arabic" w:cs="Simplified Arabic"/>
          <w:b/>
          <w:bCs/>
          <w:color w:val="000000" w:themeColor="text1"/>
          <w:kern w:val="0"/>
          <w:sz w:val="36"/>
          <w:szCs w:val="36"/>
          <w:rtl/>
          <w14:ligatures w14:val="none"/>
        </w:rPr>
        <w:t>6.1 أهمية الدراسة</w:t>
      </w:r>
      <w:bookmarkEnd w:id="15"/>
    </w:p>
    <w:p w14:paraId="7AEEDBA3" w14:textId="25365A42" w:rsidR="00D517EF" w:rsidRPr="00C85ABF" w:rsidRDefault="00D517EF" w:rsidP="00D517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C85ABF">
        <w:rPr>
          <w:rFonts w:ascii="Simplified Arabic" w:eastAsia="Times New Roman" w:hAnsi="Simplified Arabic" w:cs="Simplified Arabic"/>
          <w:b/>
          <w:bCs/>
          <w:color w:val="000000" w:themeColor="text1"/>
          <w:kern w:val="0"/>
          <w:sz w:val="32"/>
          <w:szCs w:val="32"/>
          <w:rtl/>
          <w14:ligatures w14:val="none"/>
        </w:rPr>
        <w:t>أ- الأهمية العلمية (النظرية):</w:t>
      </w:r>
    </w:p>
    <w:p w14:paraId="695BE2E9" w14:textId="6370F816" w:rsidR="00A372D1" w:rsidRPr="00C85ABF" w:rsidRDefault="00A372D1" w:rsidP="00D517EF">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تُعدّ هذه الدراسة من الدراسات الرائدة والأولى — في حدود علم الباحث</w:t>
      </w:r>
      <w:r w:rsidRPr="00C85ABF">
        <w:rPr>
          <w:rFonts w:ascii="Simplified Arabic" w:eastAsia="Times New Roman" w:hAnsi="Simplified Arabic" w:cs="Simplified Arabic"/>
          <w:color w:val="000000" w:themeColor="text1"/>
          <w:kern w:val="0"/>
          <w:sz w:val="28"/>
          <w:szCs w:val="28"/>
          <w14:ligatures w14:val="none"/>
        </w:rPr>
        <w:t xml:space="preserve"> — </w:t>
      </w:r>
      <w:r w:rsidRPr="00C85ABF">
        <w:rPr>
          <w:rFonts w:ascii="Simplified Arabic" w:eastAsia="Times New Roman" w:hAnsi="Simplified Arabic" w:cs="Simplified Arabic"/>
          <w:color w:val="000000" w:themeColor="text1"/>
          <w:kern w:val="0"/>
          <w:sz w:val="28"/>
          <w:szCs w:val="28"/>
          <w:rtl/>
          <w14:ligatures w14:val="none"/>
        </w:rPr>
        <w:t>التي تتناول أثر إدارة تجربة العميل على ولاء المستفيدين في قطاع الإسكان السعودي تحديداً، وهو قطاع لم يحظَ بالاهتمام البحثي الكافي مقارنةً بالقطاع المصرفي وقطاع الطيران وقطاع التجزئة التي استحوذت على الجزء الأكبر من الأبحاث الأكاديمية في مجال تجربة العميل، مما يُضفي على هذه الدراسة قيمة إضافية بالغة في إثراء المكتبة العربية بمحتوى بحثي أصيل في حقل معرفي ناشئ</w:t>
      </w:r>
      <w:r w:rsidRPr="00C85ABF">
        <w:rPr>
          <w:rFonts w:ascii="Simplified Arabic" w:eastAsia="Times New Roman" w:hAnsi="Simplified Arabic" w:cs="Simplified Arabic"/>
          <w:color w:val="000000" w:themeColor="text1"/>
          <w:kern w:val="0"/>
          <w:sz w:val="28"/>
          <w:szCs w:val="28"/>
          <w14:ligatures w14:val="none"/>
        </w:rPr>
        <w:t>.</w:t>
      </w:r>
    </w:p>
    <w:p w14:paraId="051CF890" w14:textId="245AE2F2" w:rsidR="00A372D1" w:rsidRPr="00C85ABF" w:rsidRDefault="00A372D1" w:rsidP="00D517EF">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تُقدّم الدراسة إطاراً نظرياً متكاملاً يتضمن أربعة أبعاد لإدارة تجربة العميل (التفاعل الرقمي، والتفاعل الخدمي، والبيئة المادية، والتواصل والمتابعة) صُمِّمت خصيصاً لتتلاءم مع الخصائص الفريدة لقطاع الإسكان الذي يتميز بطول دورة الشراء وارتفاع قيمة المنتج وتعدّد مراحل رحلة المستفيد من البحث وحتى ما بعد التسليم، وهو ما يختلف جوهرياً عن القطاعات الخدمية الأخرى التي تتسم بقصر دورة الشراء وتكرار التعاملات</w:t>
      </w:r>
      <w:r w:rsidRPr="00C85ABF">
        <w:rPr>
          <w:rFonts w:ascii="Simplified Arabic" w:eastAsia="Times New Roman" w:hAnsi="Simplified Arabic" w:cs="Simplified Arabic"/>
          <w:color w:val="000000" w:themeColor="text1"/>
          <w:kern w:val="0"/>
          <w:sz w:val="28"/>
          <w:szCs w:val="28"/>
          <w14:ligatures w14:val="none"/>
        </w:rPr>
        <w:t>.</w:t>
      </w:r>
    </w:p>
    <w:p w14:paraId="43785FB7" w14:textId="366FC673" w:rsidR="00A372D1" w:rsidRPr="00C85ABF" w:rsidRDefault="00A372D1" w:rsidP="00D517EF">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تُسهم الدراسة في اختبار مدى انطباق وصلاحية النماذج والنظريات الغربية لإدارة تجربة العميل في بيئة ثقافية واقتصادية واجتماعية مختلفة تماماً هي بيئة المملكة العربية السعودية، التي تتميز بسمات ثقافية واجتماعية وتنظيمية خاصة تؤثر على توقعات المستفيدين وسلوكهم ومعايير تقييمهم للتجربة، مما يُعمّق الفهم النظري ويُتيح بناء أُطر معرفية أكثر شمولية وقابلية للتعميم</w:t>
      </w:r>
      <w:r w:rsidRPr="00C85ABF">
        <w:rPr>
          <w:rFonts w:ascii="Simplified Arabic" w:eastAsia="Times New Roman" w:hAnsi="Simplified Arabic" w:cs="Simplified Arabic"/>
          <w:color w:val="000000" w:themeColor="text1"/>
          <w:kern w:val="0"/>
          <w:sz w:val="28"/>
          <w:szCs w:val="28"/>
          <w14:ligatures w14:val="none"/>
        </w:rPr>
        <w:t>.</w:t>
      </w:r>
    </w:p>
    <w:p w14:paraId="7BFCBA2E" w14:textId="14621F97" w:rsidR="00A372D1" w:rsidRPr="00C85ABF" w:rsidRDefault="00A372D1" w:rsidP="00D517EF">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تُسهم الدراسة في الإجابة عن سؤال بحثي محوري لا يزال مثار نقاش في الأدبيات الأكاديمية، وهو: أيّ أبعاد إدارة تجربة العميل أكثر تأثيراً على الولاء؟ فقد أسفرت الدراسات السابقة عن نتائج متباينة حول ترتيب الأهمية النسبية للأبعاد المختلفة، وهذه الدراسة تُضيف رؤية جديدة من خلال تطبيقها في قطاع تتميز فيه البيئة المادية والتواصل بعد البيع بأهمية استثنائية قد تُعيد ترتيب الأولويات المعروفة</w:t>
      </w:r>
      <w:r w:rsidRPr="00C85ABF">
        <w:rPr>
          <w:rFonts w:ascii="Simplified Arabic" w:eastAsia="Times New Roman" w:hAnsi="Simplified Arabic" w:cs="Simplified Arabic"/>
          <w:color w:val="000000" w:themeColor="text1"/>
          <w:kern w:val="0"/>
          <w:sz w:val="28"/>
          <w:szCs w:val="28"/>
          <w14:ligatures w14:val="none"/>
        </w:rPr>
        <w:t>.</w:t>
      </w:r>
    </w:p>
    <w:p w14:paraId="570AB81B" w14:textId="77777777" w:rsidR="00A372D1" w:rsidRPr="00C85ABF" w:rsidRDefault="00A372D1" w:rsidP="00D517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4289518"/>
      <w:r w:rsidRPr="00C85ABF">
        <w:rPr>
          <w:rFonts w:ascii="Simplified Arabic" w:eastAsia="Times New Roman" w:hAnsi="Simplified Arabic" w:cs="Simplified Arabic"/>
          <w:b/>
          <w:bCs/>
          <w:color w:val="000000" w:themeColor="text1"/>
          <w:kern w:val="0"/>
          <w:sz w:val="32"/>
          <w:szCs w:val="32"/>
          <w:rtl/>
          <w14:ligatures w14:val="none"/>
        </w:rPr>
        <w:t>ب- الأهمية العملية (التطبيقية)</w:t>
      </w:r>
      <w:r w:rsidRPr="00C85ABF">
        <w:rPr>
          <w:rFonts w:ascii="Simplified Arabic" w:eastAsia="Times New Roman" w:hAnsi="Simplified Arabic" w:cs="Simplified Arabic"/>
          <w:b/>
          <w:bCs/>
          <w:color w:val="000000" w:themeColor="text1"/>
          <w:kern w:val="0"/>
          <w:sz w:val="32"/>
          <w:szCs w:val="32"/>
          <w14:ligatures w14:val="none"/>
        </w:rPr>
        <w:t>:</w:t>
      </w:r>
      <w:bookmarkEnd w:id="16"/>
    </w:p>
    <w:p w14:paraId="5145C2E4" w14:textId="4BEF2009" w:rsidR="00A372D1" w:rsidRPr="00C85ABF" w:rsidRDefault="00A372D1" w:rsidP="00D517EF">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تُزوّد هذه الدراسة صانعي القرار في الشركة الوطنية للإسكان بمعلومات تحليلية دقيقة ومبنية على أساس علمي حول مدى تأثير كل بُعد من أبعاد إدارة تجربة العميل على ولاء المستفيدين، مما يُمكّنهم من توجيه الموارد والاستثمارات نحو الأبعاد الأكثر تأثيراً وتحديد أولويات التطوير بشكل مدروس ومنهجي بدلاً من الاعتماد على التخمين أو المحاولة والخطأ</w:t>
      </w:r>
      <w:r w:rsidRPr="00C85ABF">
        <w:rPr>
          <w:rFonts w:ascii="Simplified Arabic" w:eastAsia="Times New Roman" w:hAnsi="Simplified Arabic" w:cs="Simplified Arabic"/>
          <w:color w:val="000000" w:themeColor="text1"/>
          <w:kern w:val="0"/>
          <w:sz w:val="28"/>
          <w:szCs w:val="28"/>
          <w14:ligatures w14:val="none"/>
        </w:rPr>
        <w:t>.</w:t>
      </w:r>
    </w:p>
    <w:p w14:paraId="7C5291EC" w14:textId="5762C57A" w:rsidR="00A372D1" w:rsidRPr="00C85ABF" w:rsidRDefault="00A372D1" w:rsidP="00D517EF">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 xml:space="preserve">تُسهم نتائج الدراسة في رفع مستوى تنافسية الشركة الوطنية للإسكان والقطاع الإسكاني السعودي ككل من خلال تقديم أفضل الممارسات في إدارة تجربة المستفيد، وهو ما ينعكس إيجاباً على سمعة القطاع </w:t>
      </w:r>
      <w:r w:rsidRPr="00C85ABF">
        <w:rPr>
          <w:rFonts w:ascii="Simplified Arabic" w:eastAsia="Times New Roman" w:hAnsi="Simplified Arabic" w:cs="Simplified Arabic"/>
          <w:color w:val="000000" w:themeColor="text1"/>
          <w:kern w:val="0"/>
          <w:sz w:val="28"/>
          <w:szCs w:val="28"/>
          <w:rtl/>
          <w14:ligatures w14:val="none"/>
        </w:rPr>
        <w:lastRenderedPageBreak/>
        <w:t>ويجذب مستثمرين ومطوّرين جدد ويُحفّز المنافسة النوعية بين الشركات العقارية لتقديم تجارب أفضل للمستفيدين</w:t>
      </w:r>
      <w:r w:rsidRPr="00C85ABF">
        <w:rPr>
          <w:rFonts w:ascii="Simplified Arabic" w:eastAsia="Times New Roman" w:hAnsi="Simplified Arabic" w:cs="Simplified Arabic"/>
          <w:color w:val="000000" w:themeColor="text1"/>
          <w:kern w:val="0"/>
          <w:sz w:val="28"/>
          <w:szCs w:val="28"/>
          <w14:ligatures w14:val="none"/>
        </w:rPr>
        <w:t>.</w:t>
      </w:r>
    </w:p>
    <w:p w14:paraId="06B4F68F" w14:textId="30C37570" w:rsidR="00A372D1" w:rsidRPr="00C85ABF" w:rsidRDefault="00A372D1" w:rsidP="00D517EF">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تُقدّم الدراسة رؤى عملية تدعم تحقيق مستهدفات برنامج الإسكان ضمن رؤية المملكة 2030، والذي يستهدف رفع نسبة تملّك المواطنين للمساكن إلى 70%، إذ أن تعزيز ولاء المستفيدين ورضاهم يُسهم في تسريع وتيرة التملّك وتقليل حالات التعثّر والانسحاب وبناء ثقة مستدامة بين المواطنين والمنتجات الإسكانية الوطنية</w:t>
      </w:r>
      <w:r w:rsidRPr="00C85ABF">
        <w:rPr>
          <w:rFonts w:ascii="Simplified Arabic" w:eastAsia="Times New Roman" w:hAnsi="Simplified Arabic" w:cs="Simplified Arabic"/>
          <w:color w:val="000000" w:themeColor="text1"/>
          <w:kern w:val="0"/>
          <w:sz w:val="28"/>
          <w:szCs w:val="28"/>
          <w14:ligatures w14:val="none"/>
        </w:rPr>
        <w:t>.</w:t>
      </w:r>
    </w:p>
    <w:p w14:paraId="67638E1C" w14:textId="5B96D133" w:rsidR="00A372D1" w:rsidRPr="00C85ABF" w:rsidRDefault="00A372D1" w:rsidP="00D517EF">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تُوفّر الدراسة بيانات تحليلية عن مستوى رضا المستفيدين عن التفاعل الرقمي مع الشركة عبر منصة "سكني" والتطبيقات الذكية والموقع الإلكتروني، مما يُمكّن فرق التطوير التقني من تحديد نقاط الضعف في التجربة الرقمية ومعالجتها بدقة لتحقيق تجربة مستخدم سلسة ومتكاملة تُعزّز ارتباط المستفيد بالمنصة</w:t>
      </w:r>
      <w:r w:rsidRPr="00C85ABF">
        <w:rPr>
          <w:rFonts w:ascii="Simplified Arabic" w:eastAsia="Times New Roman" w:hAnsi="Simplified Arabic" w:cs="Simplified Arabic"/>
          <w:color w:val="000000" w:themeColor="text1"/>
          <w:kern w:val="0"/>
          <w:sz w:val="28"/>
          <w:szCs w:val="28"/>
          <w14:ligatures w14:val="none"/>
        </w:rPr>
        <w:t>.</w:t>
      </w:r>
    </w:p>
    <w:p w14:paraId="51451879" w14:textId="77777777" w:rsidR="00D517EF" w:rsidRPr="00C85ABF" w:rsidRDefault="00D517EF" w:rsidP="00D517E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169790501"/>
      <w:bookmarkStart w:id="18" w:name="_Toc233980945"/>
      <w:bookmarkEnd w:id="5"/>
      <w:r w:rsidRPr="00C85ABF">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8"/>
    </w:p>
    <w:p w14:paraId="50A56CD1" w14:textId="62C8A81B" w:rsidR="00D517EF" w:rsidRPr="00C85ABF" w:rsidRDefault="00D517EF" w:rsidP="00D517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85ABF">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(إدارة تجربة العميل) وعلاقته بمتغيرات أخرى</w:t>
      </w:r>
    </w:p>
    <w:p w14:paraId="511A4201" w14:textId="77777777" w:rsidR="00A372D1" w:rsidRPr="00C85ABF" w:rsidRDefault="00A372D1" w:rsidP="00D517E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85ABF">
        <w:rPr>
          <w:rFonts w:ascii="Simplified Arabic" w:eastAsia="Times New Roman" w:hAnsi="Simplified Arabic" w:cs="Simplified Arabic"/>
          <w:b/>
          <w:bCs/>
          <w:color w:val="000000" w:themeColor="text1"/>
          <w:kern w:val="0"/>
          <w:sz w:val="28"/>
          <w:szCs w:val="28"/>
          <w:rtl/>
          <w14:ligatures w14:val="none"/>
        </w:rPr>
        <w:t>دراسة عبدالخالق، وعبدالحميد، والسطوحي</w:t>
      </w:r>
      <w:r w:rsidRPr="00C85ABF">
        <w:rPr>
          <w:rFonts w:ascii="Simplified Arabic" w:eastAsia="Times New Roman" w:hAnsi="Simplified Arabic" w:cs="Simplified Arabic"/>
          <w:b/>
          <w:bCs/>
          <w:color w:val="000000" w:themeColor="text1"/>
          <w:kern w:val="0"/>
          <w:sz w:val="28"/>
          <w:szCs w:val="28"/>
          <w14:ligatures w14:val="none"/>
        </w:rPr>
        <w:t xml:space="preserve"> (2023)</w:t>
      </w:r>
      <w:r w:rsidRPr="00C85ABF">
        <w:rPr>
          <w:rFonts w:ascii="Simplified Arabic" w:eastAsia="Times New Roman" w:hAnsi="Simplified Arabic" w:cs="Simplified Arabic"/>
          <w:b/>
          <w:bCs/>
          <w:color w:val="000000" w:themeColor="text1"/>
          <w:kern w:val="0"/>
          <w:sz w:val="28"/>
          <w:szCs w:val="28"/>
          <w:rtl/>
          <w14:ligatures w14:val="none"/>
        </w:rPr>
        <w:t>، بعنوان: "أثر تجربة العميل على شخصية العلامة التجارية: دراسة ميدانية بالتطبيق على ركاب شركات الطيران في مصر</w:t>
      </w:r>
      <w:r w:rsidRPr="00C85ABF">
        <w:rPr>
          <w:rFonts w:ascii="Simplified Arabic" w:eastAsia="Times New Roman" w:hAnsi="Simplified Arabic" w:cs="Simplified Arabic"/>
          <w:b/>
          <w:bCs/>
          <w:color w:val="000000" w:themeColor="text1"/>
          <w:kern w:val="0"/>
          <w:sz w:val="28"/>
          <w:szCs w:val="28"/>
          <w14:ligatures w14:val="none"/>
        </w:rPr>
        <w:t>".</w:t>
      </w:r>
    </w:p>
    <w:p w14:paraId="776307E9" w14:textId="77777777" w:rsidR="00A372D1" w:rsidRPr="00C85ABF" w:rsidRDefault="00A372D1" w:rsidP="00D517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هدفت هذه الدراسة إلى التعرف على أثر تجربة العميل بأبعادها (التجربة الحسية، والتجربة العاطفية، والتجربة الإدراكية، والتجربة السلوكية، وتجربة الارتباط) على شخصية العلامة التجارية لدى ركاب شركات الطيران العاملة في جمهورية مصر العربية. وقد انطلقت الدراسة من إشكالية مفادها أن شركات الطيران تواجه تحديات متزايدة في بناء هوية مميزة لعلامتها التجارية في ظل المنافسة الشديدة، وأن فهم كيفية تأثير التجارب التي يعيشها الركاب على إدراكهم لشخصية العلامة يُعدّ مدخلاً استراتيجياً بالغ الأهمية. واستخدمت الدراسة المنهج الوصفي التحليلي، حيث تمّ تصميم استبانة كأداة رئيسية لجمع البيانات من عينة من ركاب شركات الطيران، وجرى تحليل البيانات واختبار الفروض باستخدام البرنامج الإحصائي</w:t>
      </w:r>
      <w:r w:rsidRPr="00C85ABF">
        <w:rPr>
          <w:rFonts w:ascii="Simplified Arabic" w:eastAsia="Times New Roman" w:hAnsi="Simplified Arabic" w:cs="Simplified Arabic"/>
          <w:color w:val="000000" w:themeColor="text1"/>
          <w:kern w:val="0"/>
          <w:sz w:val="28"/>
          <w:szCs w:val="28"/>
          <w14:ligatures w14:val="none"/>
        </w:rPr>
        <w:t xml:space="preserve"> SPSS. </w:t>
      </w:r>
      <w:r w:rsidRPr="00C85ABF">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تأثير ذي دلالة معنوية إحصائية في العلاقة بين جميع أبعاد تجربة العميل مجتمعةً وشخصية العلامة التجارية، مما يعني أن التجارب الإيجابية الشاملة التي يمرّ بها الركاب عبر مختلف </w:t>
      </w:r>
      <w:r w:rsidRPr="00C85ABF">
        <w:rPr>
          <w:rFonts w:ascii="Simplified Arabic" w:eastAsia="Times New Roman" w:hAnsi="Simplified Arabic" w:cs="Simplified Arabic"/>
          <w:color w:val="000000" w:themeColor="text1"/>
          <w:kern w:val="0"/>
          <w:sz w:val="28"/>
          <w:szCs w:val="28"/>
          <w:rtl/>
          <w14:ligatures w14:val="none"/>
        </w:rPr>
        <w:lastRenderedPageBreak/>
        <w:t>نقاط التماس مع الخدمة تُسهم بشكل مباشر وفعّال في تشكيل صورة ذهنية إيجابية ومميزة عن العلامة التجارية لشركة الطيران. وقد أوصت الدراسة الجهات المعنية والمسؤولين في قطاع الطيران بضرورة وضع استراتيجيات شاملة ومتكاملة لتصميم تجربة عملاء فريدة ومميزة، تُراعي جميع الأبعاد الحسية والعاطفية والإدراكية والسلوكية والارتباطية، بما يُعزّز من شخصية العلامة التجارية ويُميّزها عن المنافسين ويُحقّق ميزة تنافسية مستدامة في سوق الطيران</w:t>
      </w:r>
      <w:r w:rsidRPr="00C85ABF">
        <w:rPr>
          <w:rFonts w:ascii="Simplified Arabic" w:eastAsia="Times New Roman" w:hAnsi="Simplified Arabic" w:cs="Simplified Arabic"/>
          <w:color w:val="000000" w:themeColor="text1"/>
          <w:kern w:val="0"/>
          <w:sz w:val="28"/>
          <w:szCs w:val="28"/>
          <w14:ligatures w14:val="none"/>
        </w:rPr>
        <w:t>.</w:t>
      </w:r>
    </w:p>
    <w:p w14:paraId="0300F399" w14:textId="77777777" w:rsidR="00A372D1" w:rsidRPr="00C85ABF" w:rsidRDefault="00A372D1" w:rsidP="00D517E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85ABF">
        <w:rPr>
          <w:rFonts w:ascii="Simplified Arabic" w:eastAsia="Times New Roman" w:hAnsi="Simplified Arabic" w:cs="Simplified Arabic"/>
          <w:b/>
          <w:bCs/>
          <w:color w:val="000000" w:themeColor="text1"/>
          <w:kern w:val="0"/>
          <w:sz w:val="28"/>
          <w:szCs w:val="28"/>
          <w:rtl/>
          <w14:ligatures w14:val="none"/>
        </w:rPr>
        <w:t>دراسة عبدالخالق، وعبدالحميد، والسطوحي</w:t>
      </w:r>
      <w:r w:rsidRPr="00C85ABF">
        <w:rPr>
          <w:rFonts w:ascii="Simplified Arabic" w:eastAsia="Times New Roman" w:hAnsi="Simplified Arabic" w:cs="Simplified Arabic"/>
          <w:b/>
          <w:bCs/>
          <w:color w:val="000000" w:themeColor="text1"/>
          <w:kern w:val="0"/>
          <w:sz w:val="28"/>
          <w:szCs w:val="28"/>
          <w14:ligatures w14:val="none"/>
        </w:rPr>
        <w:t xml:space="preserve"> (2023)</w:t>
      </w:r>
      <w:r w:rsidRPr="00C85ABF">
        <w:rPr>
          <w:rFonts w:ascii="Simplified Arabic" w:eastAsia="Times New Roman" w:hAnsi="Simplified Arabic" w:cs="Simplified Arabic"/>
          <w:b/>
          <w:bCs/>
          <w:color w:val="000000" w:themeColor="text1"/>
          <w:kern w:val="0"/>
          <w:sz w:val="28"/>
          <w:szCs w:val="28"/>
          <w:rtl/>
          <w14:ligatures w14:val="none"/>
        </w:rPr>
        <w:t>، بعنوان: "أثر تجربة العميل على سلوك ما بعد الشراء: دراسة ميدانية بالتطبيق على ركاب شركات الطيران في مصر</w:t>
      </w:r>
      <w:r w:rsidRPr="00C85ABF">
        <w:rPr>
          <w:rFonts w:ascii="Simplified Arabic" w:eastAsia="Times New Roman" w:hAnsi="Simplified Arabic" w:cs="Simplified Arabic"/>
          <w:b/>
          <w:bCs/>
          <w:color w:val="000000" w:themeColor="text1"/>
          <w:kern w:val="0"/>
          <w:sz w:val="28"/>
          <w:szCs w:val="28"/>
          <w14:ligatures w14:val="none"/>
        </w:rPr>
        <w:t>".</w:t>
      </w:r>
    </w:p>
    <w:p w14:paraId="568DDD91" w14:textId="77777777" w:rsidR="00A372D1" w:rsidRPr="00C85ABF" w:rsidRDefault="00A372D1" w:rsidP="00D517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هدفت هذه الدراسة إلى التعرف على أثر تجربة العميل بأبعادها الخمسة (التجربة الحسية، والتجربة العاطفية، والتجربة الإدراكية، والتجربة السلوكية، وتجربة الارتباط) على سلوك ما بعد الشراء بأبعاده (الرضا، والتوصية للغير، ونية إعادة الشراء) لدى ركاب شركات الطيران في جمهورية مصر العربية. وقد سعت الدراسة إلى سدّ فجوة بحثية تتعلق بفهم الآليات التي تترجم من خلالها التجارب التي يعيشها العملاء أثناء تلقي الخدمة إلى سلوكيات فعلية لاحقة لعملية الشراء، وهو ما يُمثّل أهمية استراتيجية كبرى لشركات الطيران الساعية إلى الاحتفاظ بعملائها. واستخدمت الدراسة المنهج الوصفي التحليلي، واعتمدت على الاستبانة كأداة أساسية لجمع البيانات الأولية من عينة ممثلة من ركاب شركات الطيران، وتمّ تحليل البيانات باستخدام الأساليب الإحصائية المناسبة. وتوصلت نتائج الدراسة إلى وجود تأثير إيجابي ذي دلالة معنوية إحصائية لأبعاد تجربة العميل مجتمعةً على جميع أبعاد سلوك ما بعد الشراء، حيث أسهمت التجارب الحسية والعاطفية والإدراكية والسلوكية وتجربة الارتباط في تحقيق مستويات أعلى من الرضا لدى الركاب، وتعزيز رغبتهم في التوصية بالخدمة للآخرين، وتقوية نيّتهم في إعادة الشراء مستقبلاً. كما أظهرت النتائج الأثر المباشر والقوي لتجربة العميل على سلوك ما بعد الشراء. وأوصت الدراسة بأهمية الاستثمار في تحسين كل بُعد من أبعاد تجربة العميل بشكل متوازن ومتكامل، مع التركيز بشكل خاص على البُعد العاطفي وبُعد الارتباط لتأثيرهما العميق على سلوكيات الركاب بعد الشراء</w:t>
      </w:r>
      <w:r w:rsidRPr="00C85ABF">
        <w:rPr>
          <w:rFonts w:ascii="Simplified Arabic" w:eastAsia="Times New Roman" w:hAnsi="Simplified Arabic" w:cs="Simplified Arabic"/>
          <w:color w:val="000000" w:themeColor="text1"/>
          <w:kern w:val="0"/>
          <w:sz w:val="28"/>
          <w:szCs w:val="28"/>
          <w14:ligatures w14:val="none"/>
        </w:rPr>
        <w:t>.</w:t>
      </w:r>
    </w:p>
    <w:p w14:paraId="125217CE" w14:textId="0135E5B9" w:rsidR="00A372D1" w:rsidRPr="00C85ABF" w:rsidRDefault="00A372D1" w:rsidP="00D517E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85ABF">
        <w:rPr>
          <w:rFonts w:ascii="Simplified Arabic" w:eastAsia="Times New Roman" w:hAnsi="Simplified Arabic" w:cs="Simplified Arabic"/>
          <w:b/>
          <w:bCs/>
          <w:color w:val="000000" w:themeColor="text1"/>
          <w:kern w:val="0"/>
          <w:sz w:val="28"/>
          <w:szCs w:val="28"/>
          <w:rtl/>
          <w14:ligatures w14:val="none"/>
        </w:rPr>
        <w:t>دراسة</w:t>
      </w:r>
      <w:r w:rsidRPr="00C85ABF">
        <w:rPr>
          <w:rFonts w:ascii="Simplified Arabic" w:eastAsia="Times New Roman" w:hAnsi="Simplified Arabic" w:cs="Simplified Arabic"/>
          <w:b/>
          <w:bCs/>
          <w:color w:val="000000" w:themeColor="text1"/>
          <w:kern w:val="0"/>
          <w:sz w:val="28"/>
          <w:szCs w:val="28"/>
          <w14:ligatures w14:val="none"/>
        </w:rPr>
        <w:t xml:space="preserve"> Makudza (2021)</w:t>
      </w:r>
      <w:r w:rsidRPr="00C85ABF">
        <w:rPr>
          <w:rFonts w:ascii="Simplified Arabic" w:eastAsia="Times New Roman" w:hAnsi="Simplified Arabic" w:cs="Simplified Arabic"/>
          <w:b/>
          <w:bCs/>
          <w:color w:val="000000" w:themeColor="text1"/>
          <w:kern w:val="0"/>
          <w:sz w:val="28"/>
          <w:szCs w:val="28"/>
          <w:rtl/>
          <w14:ligatures w14:val="none"/>
        </w:rPr>
        <w:t>، بعنوان</w:t>
      </w:r>
      <w:r w:rsidRPr="00C85ABF">
        <w:rPr>
          <w:rFonts w:ascii="Simplified Arabic" w:eastAsia="Times New Roman" w:hAnsi="Simplified Arabic" w:cs="Simplified Arabic"/>
          <w:b/>
          <w:bCs/>
          <w:color w:val="000000" w:themeColor="text1"/>
          <w:kern w:val="0"/>
          <w:sz w:val="28"/>
          <w:szCs w:val="28"/>
          <w14:ligatures w14:val="none"/>
        </w:rPr>
        <w:t xml:space="preserve">: "Augmenting Customer Loyalty through Customer Experience Management in the Banking Industry" </w:t>
      </w:r>
      <w:r w:rsidRPr="00C85ABF">
        <w:rPr>
          <w:rFonts w:ascii="Simplified Arabic" w:eastAsia="Times New Roman" w:hAnsi="Simplified Arabic" w:cs="Simplified Arabic"/>
          <w:b/>
          <w:bCs/>
          <w:color w:val="000000" w:themeColor="text1"/>
          <w:kern w:val="0"/>
          <w:sz w:val="28"/>
          <w:szCs w:val="28"/>
          <w:rtl/>
          <w14:ligatures w14:val="none"/>
        </w:rPr>
        <w:t>تعزيز ولاء العملاء من خلال إدارة تجربة العميل في القطاع المصرفي</w:t>
      </w:r>
    </w:p>
    <w:p w14:paraId="726800B7" w14:textId="77777777" w:rsidR="00A372D1" w:rsidRPr="00C85ABF" w:rsidRDefault="00A372D1" w:rsidP="00D517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هدفت هذه الدراسة إلى التعرف على أثر إدارة تجربة العميل بأبعادها (التفاعل الافتراضي</w:t>
      </w:r>
      <w:r w:rsidRPr="00C85ABF">
        <w:rPr>
          <w:rFonts w:ascii="Simplified Arabic" w:eastAsia="Times New Roman" w:hAnsi="Simplified Arabic" w:cs="Simplified Arabic"/>
          <w:color w:val="000000" w:themeColor="text1"/>
          <w:kern w:val="0"/>
          <w:sz w:val="28"/>
          <w:szCs w:val="28"/>
          <w14:ligatures w14:val="none"/>
        </w:rPr>
        <w:t xml:space="preserve"> Virtual Interaction</w:t>
      </w:r>
      <w:r w:rsidRPr="00C85ABF">
        <w:rPr>
          <w:rFonts w:ascii="Simplified Arabic" w:eastAsia="Times New Roman" w:hAnsi="Simplified Arabic" w:cs="Simplified Arabic"/>
          <w:color w:val="000000" w:themeColor="text1"/>
          <w:kern w:val="0"/>
          <w:sz w:val="28"/>
          <w:szCs w:val="28"/>
          <w:rtl/>
          <w14:ligatures w14:val="none"/>
        </w:rPr>
        <w:t>، والتفاعل المادي</w:t>
      </w:r>
      <w:r w:rsidRPr="00C85ABF">
        <w:rPr>
          <w:rFonts w:ascii="Simplified Arabic" w:eastAsia="Times New Roman" w:hAnsi="Simplified Arabic" w:cs="Simplified Arabic"/>
          <w:color w:val="000000" w:themeColor="text1"/>
          <w:kern w:val="0"/>
          <w:sz w:val="28"/>
          <w:szCs w:val="28"/>
          <w14:ligatures w14:val="none"/>
        </w:rPr>
        <w:t xml:space="preserve"> Physical Interaction</w:t>
      </w:r>
      <w:r w:rsidRPr="00C85ABF">
        <w:rPr>
          <w:rFonts w:ascii="Simplified Arabic" w:eastAsia="Times New Roman" w:hAnsi="Simplified Arabic" w:cs="Simplified Arabic"/>
          <w:color w:val="000000" w:themeColor="text1"/>
          <w:kern w:val="0"/>
          <w:sz w:val="28"/>
          <w:szCs w:val="28"/>
          <w:rtl/>
          <w14:ligatures w14:val="none"/>
        </w:rPr>
        <w:t>، والتفاعل الخدمي</w:t>
      </w:r>
      <w:r w:rsidRPr="00C85ABF">
        <w:rPr>
          <w:rFonts w:ascii="Simplified Arabic" w:eastAsia="Times New Roman" w:hAnsi="Simplified Arabic" w:cs="Simplified Arabic"/>
          <w:color w:val="000000" w:themeColor="text1"/>
          <w:kern w:val="0"/>
          <w:sz w:val="28"/>
          <w:szCs w:val="28"/>
          <w14:ligatures w14:val="none"/>
        </w:rPr>
        <w:t xml:space="preserve"> Service Interaction) </w:t>
      </w:r>
      <w:r w:rsidRPr="00C85ABF">
        <w:rPr>
          <w:rFonts w:ascii="Simplified Arabic" w:eastAsia="Times New Roman" w:hAnsi="Simplified Arabic" w:cs="Simplified Arabic"/>
          <w:color w:val="000000" w:themeColor="text1"/>
          <w:kern w:val="0"/>
          <w:sz w:val="28"/>
          <w:szCs w:val="28"/>
          <w:rtl/>
          <w14:ligatures w14:val="none"/>
        </w:rPr>
        <w:t>على ولاء العملاء في القطاع المصرفي التقليدي في زيمبابوي. وقد انطلقت الدراسة من مشكلة ارتفاع معدلات تسرّب العملاء وسلوك التبديل بين البنوك الذي ارتفع من (9%) عام 2014 إلى (21%) عام 2018، في ظل تنامي المنافسة من شركات الاتصالات ومؤسسات التمويل الأصغر. واستخدمت الدراسة المنهج الوصفي التفسيري</w:t>
      </w:r>
      <w:r w:rsidRPr="00C85ABF">
        <w:rPr>
          <w:rFonts w:ascii="Simplified Arabic" w:eastAsia="Times New Roman" w:hAnsi="Simplified Arabic" w:cs="Simplified Arabic"/>
          <w:color w:val="000000" w:themeColor="text1"/>
          <w:kern w:val="0"/>
          <w:sz w:val="28"/>
          <w:szCs w:val="28"/>
          <w14:ligatures w14:val="none"/>
        </w:rPr>
        <w:t xml:space="preserve"> (Explanatory Research Design) </w:t>
      </w:r>
      <w:r w:rsidRPr="00C85ABF">
        <w:rPr>
          <w:rFonts w:ascii="Simplified Arabic" w:eastAsia="Times New Roman" w:hAnsi="Simplified Arabic" w:cs="Simplified Arabic"/>
          <w:color w:val="000000" w:themeColor="text1"/>
          <w:kern w:val="0"/>
          <w:sz w:val="28"/>
          <w:szCs w:val="28"/>
          <w:rtl/>
          <w14:ligatures w14:val="none"/>
        </w:rPr>
        <w:t xml:space="preserve">ضمن الفلسفة الوضعية، وتكوّنت العينة من (384) مستجيباً من عملاء البنوك التقليدية في زيمبابوي عند مستوى ثقة (95%)، وبلغت الاستبانات المسترجعة والصالحة (243) استبانة بمعدل استجابة (63%). وتمّ تحليل البيانات باستخدام أسلوب الانحدار التدريجي </w:t>
      </w:r>
      <w:r w:rsidRPr="00C85ABF">
        <w:rPr>
          <w:rFonts w:ascii="Simplified Arabic" w:eastAsia="Times New Roman" w:hAnsi="Simplified Arabic" w:cs="Simplified Arabic"/>
          <w:color w:val="000000" w:themeColor="text1"/>
          <w:kern w:val="0"/>
          <w:sz w:val="28"/>
          <w:szCs w:val="28"/>
          <w14:ligatures w14:val="none"/>
        </w:rPr>
        <w:t xml:space="preserve">(Stepwise Regression) </w:t>
      </w:r>
      <w:r w:rsidRPr="00C85ABF">
        <w:rPr>
          <w:rFonts w:ascii="Simplified Arabic" w:eastAsia="Times New Roman" w:hAnsi="Simplified Arabic" w:cs="Simplified Arabic"/>
          <w:color w:val="000000" w:themeColor="text1"/>
          <w:kern w:val="0"/>
          <w:sz w:val="28"/>
          <w:szCs w:val="28"/>
          <w:rtl/>
          <w14:ligatures w14:val="none"/>
        </w:rPr>
        <w:t>عبر برنامج</w:t>
      </w:r>
      <w:r w:rsidRPr="00C85ABF">
        <w:rPr>
          <w:rFonts w:ascii="Simplified Arabic" w:eastAsia="Times New Roman" w:hAnsi="Simplified Arabic" w:cs="Simplified Arabic"/>
          <w:color w:val="000000" w:themeColor="text1"/>
          <w:kern w:val="0"/>
          <w:sz w:val="28"/>
          <w:szCs w:val="28"/>
          <w14:ligatures w14:val="none"/>
        </w:rPr>
        <w:t xml:space="preserve"> SPSS. </w:t>
      </w:r>
      <w:r w:rsidRPr="00C85ABF">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ارتباط إيجابية قوية بين إدارة تجربة العميل وولاء العملاء بمعامل ارتباط</w:t>
      </w:r>
      <w:r w:rsidRPr="00C85ABF">
        <w:rPr>
          <w:rFonts w:ascii="Simplified Arabic" w:eastAsia="Times New Roman" w:hAnsi="Simplified Arabic" w:cs="Simplified Arabic"/>
          <w:color w:val="000000" w:themeColor="text1"/>
          <w:kern w:val="0"/>
          <w:sz w:val="28"/>
          <w:szCs w:val="28"/>
          <w14:ligatures w14:val="none"/>
        </w:rPr>
        <w:t xml:space="preserve"> (R = 0.831)</w:t>
      </w:r>
      <w:r w:rsidRPr="00C85ABF">
        <w:rPr>
          <w:rFonts w:ascii="Simplified Arabic" w:eastAsia="Times New Roman" w:hAnsi="Simplified Arabic" w:cs="Simplified Arabic"/>
          <w:color w:val="000000" w:themeColor="text1"/>
          <w:kern w:val="0"/>
          <w:sz w:val="28"/>
          <w:szCs w:val="28"/>
          <w:rtl/>
          <w14:ligatures w14:val="none"/>
        </w:rPr>
        <w:t>، حيث فسّر النموذج ما نسبته (67.9%) من التباين في ولاء العملاء. وكان التفاعل الافتراضي الأكثر تأثيراً</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β</w:t>
      </w:r>
      <w:r w:rsidRPr="00C85ABF">
        <w:rPr>
          <w:rFonts w:ascii="Simplified Arabic" w:eastAsia="Times New Roman" w:hAnsi="Simplified Arabic" w:cs="Simplified Arabic"/>
          <w:color w:val="000000" w:themeColor="text1"/>
          <w:kern w:val="0"/>
          <w:sz w:val="28"/>
          <w:szCs w:val="28"/>
          <w14:ligatures w14:val="none"/>
        </w:rPr>
        <w:t xml:space="preserve"> = 0.452)</w:t>
      </w:r>
      <w:r w:rsidRPr="00C85ABF">
        <w:rPr>
          <w:rFonts w:ascii="Simplified Arabic" w:eastAsia="Times New Roman" w:hAnsi="Simplified Arabic" w:cs="Simplified Arabic"/>
          <w:color w:val="000000" w:themeColor="text1"/>
          <w:kern w:val="0"/>
          <w:sz w:val="28"/>
          <w:szCs w:val="28"/>
          <w:rtl/>
          <w14:ligatures w14:val="none"/>
        </w:rPr>
        <w:t>، يليه التفاعل الخدمي</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β</w:t>
      </w:r>
      <w:r w:rsidRPr="00C85ABF">
        <w:rPr>
          <w:rFonts w:ascii="Simplified Arabic" w:eastAsia="Times New Roman" w:hAnsi="Simplified Arabic" w:cs="Simplified Arabic"/>
          <w:color w:val="000000" w:themeColor="text1"/>
          <w:kern w:val="0"/>
          <w:sz w:val="28"/>
          <w:szCs w:val="28"/>
          <w14:ligatures w14:val="none"/>
        </w:rPr>
        <w:t xml:space="preserve"> = 0.446)</w:t>
      </w:r>
      <w:r w:rsidRPr="00C85ABF">
        <w:rPr>
          <w:rFonts w:ascii="Simplified Arabic" w:eastAsia="Times New Roman" w:hAnsi="Simplified Arabic" w:cs="Simplified Arabic"/>
          <w:color w:val="000000" w:themeColor="text1"/>
          <w:kern w:val="0"/>
          <w:sz w:val="28"/>
          <w:szCs w:val="28"/>
          <w:rtl/>
          <w14:ligatures w14:val="none"/>
        </w:rPr>
        <w:t>، ثم التفاعل المادي</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β</w:t>
      </w:r>
      <w:r w:rsidRPr="00C85ABF">
        <w:rPr>
          <w:rFonts w:ascii="Simplified Arabic" w:eastAsia="Times New Roman" w:hAnsi="Simplified Arabic" w:cs="Simplified Arabic"/>
          <w:color w:val="000000" w:themeColor="text1"/>
          <w:kern w:val="0"/>
          <w:sz w:val="28"/>
          <w:szCs w:val="28"/>
          <w14:ligatures w14:val="none"/>
        </w:rPr>
        <w:t xml:space="preserve"> = 0.133)</w:t>
      </w:r>
      <w:r w:rsidRPr="00C85ABF">
        <w:rPr>
          <w:rFonts w:ascii="Simplified Arabic" w:eastAsia="Times New Roman" w:hAnsi="Simplified Arabic" w:cs="Simplified Arabic"/>
          <w:color w:val="000000" w:themeColor="text1"/>
          <w:kern w:val="0"/>
          <w:sz w:val="28"/>
          <w:szCs w:val="28"/>
          <w:rtl/>
          <w14:ligatures w14:val="none"/>
        </w:rPr>
        <w:t>، وجميعها دالة إحصائياً. وأوصت الدراسة بضرورة تدريب موظفي الخطوط الأمامية لتقديم تفاعل خدمي متميز، وتطوير تطبيقات مصرفية رقمية مبسّطة تعمل في البيئات المتصلة وغير المتصلة بالإنترنت، إضافةً إلى تحسين البيئة المادية للبنوك بشكل مستمر</w:t>
      </w:r>
      <w:r w:rsidRPr="00C85ABF">
        <w:rPr>
          <w:rFonts w:ascii="Simplified Arabic" w:eastAsia="Times New Roman" w:hAnsi="Simplified Arabic" w:cs="Simplified Arabic"/>
          <w:color w:val="000000" w:themeColor="text1"/>
          <w:kern w:val="0"/>
          <w:sz w:val="28"/>
          <w:szCs w:val="28"/>
          <w14:ligatures w14:val="none"/>
        </w:rPr>
        <w:t>.</w:t>
      </w:r>
    </w:p>
    <w:p w14:paraId="72C3628C" w14:textId="019DB3B0" w:rsidR="00A372D1" w:rsidRPr="00C85ABF" w:rsidRDefault="00A372D1" w:rsidP="00D517E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85ABF">
        <w:rPr>
          <w:rFonts w:ascii="Simplified Arabic" w:eastAsia="Times New Roman" w:hAnsi="Simplified Arabic" w:cs="Simplified Arabic"/>
          <w:b/>
          <w:bCs/>
          <w:color w:val="000000" w:themeColor="text1"/>
          <w:kern w:val="0"/>
          <w:sz w:val="28"/>
          <w:szCs w:val="28"/>
          <w:rtl/>
          <w14:ligatures w14:val="none"/>
        </w:rPr>
        <w:t>دراسة</w:t>
      </w:r>
      <w:r w:rsidRPr="00C85ABF">
        <w:rPr>
          <w:rFonts w:ascii="Simplified Arabic" w:eastAsia="Times New Roman" w:hAnsi="Simplified Arabic" w:cs="Simplified Arabic"/>
          <w:b/>
          <w:bCs/>
          <w:color w:val="000000" w:themeColor="text1"/>
          <w:kern w:val="0"/>
          <w:sz w:val="28"/>
          <w:szCs w:val="28"/>
          <w14:ligatures w14:val="none"/>
        </w:rPr>
        <w:t xml:space="preserve"> Walpola &amp; Gunawardana (2025)</w:t>
      </w:r>
      <w:r w:rsidRPr="00C85ABF">
        <w:rPr>
          <w:rFonts w:ascii="Simplified Arabic" w:eastAsia="Times New Roman" w:hAnsi="Simplified Arabic" w:cs="Simplified Arabic"/>
          <w:b/>
          <w:bCs/>
          <w:color w:val="000000" w:themeColor="text1"/>
          <w:kern w:val="0"/>
          <w:sz w:val="28"/>
          <w:szCs w:val="28"/>
          <w:rtl/>
          <w14:ligatures w14:val="none"/>
        </w:rPr>
        <w:t>، بعنوان</w:t>
      </w:r>
      <w:r w:rsidRPr="00C85ABF">
        <w:rPr>
          <w:rFonts w:ascii="Simplified Arabic" w:eastAsia="Times New Roman" w:hAnsi="Simplified Arabic" w:cs="Simplified Arabic"/>
          <w:b/>
          <w:bCs/>
          <w:color w:val="000000" w:themeColor="text1"/>
          <w:kern w:val="0"/>
          <w:sz w:val="28"/>
          <w:szCs w:val="28"/>
          <w14:ligatures w14:val="none"/>
        </w:rPr>
        <w:t xml:space="preserve">: "The Impact of Customer Experience Management on Customer Loyalty in the Banking Sector: The Mediating Role of Customer Attitude" </w:t>
      </w:r>
      <w:r w:rsidRPr="00C85ABF">
        <w:rPr>
          <w:rFonts w:ascii="Simplified Arabic" w:eastAsia="Times New Roman" w:hAnsi="Simplified Arabic" w:cs="Simplified Arabic"/>
          <w:b/>
          <w:bCs/>
          <w:color w:val="000000" w:themeColor="text1"/>
          <w:kern w:val="0"/>
          <w:sz w:val="28"/>
          <w:szCs w:val="28"/>
          <w:rtl/>
          <w14:ligatures w14:val="none"/>
        </w:rPr>
        <w:t>أثر إدارة تجربة العميل على ولاء العملاء في القطاع المصرفي: الدور الوسيط لاتجاه العميل</w:t>
      </w:r>
    </w:p>
    <w:p w14:paraId="4CA88B78" w14:textId="77777777" w:rsidR="00A372D1" w:rsidRPr="00C85ABF" w:rsidRDefault="00A372D1" w:rsidP="00D517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هدفت هذه الدراسة إلى التعرف على أثر إدارة تجربة العميل بأبعادها (إدارة التفاعل المادي</w:t>
      </w:r>
      <w:r w:rsidRPr="00C85ABF">
        <w:rPr>
          <w:rFonts w:ascii="Simplified Arabic" w:eastAsia="Times New Roman" w:hAnsi="Simplified Arabic" w:cs="Simplified Arabic"/>
          <w:color w:val="000000" w:themeColor="text1"/>
          <w:kern w:val="0"/>
          <w:sz w:val="28"/>
          <w:szCs w:val="28"/>
          <w14:ligatures w14:val="none"/>
        </w:rPr>
        <w:t xml:space="preserve"> Physical Interaction Management</w:t>
      </w:r>
      <w:r w:rsidRPr="00C85ABF">
        <w:rPr>
          <w:rFonts w:ascii="Simplified Arabic" w:eastAsia="Times New Roman" w:hAnsi="Simplified Arabic" w:cs="Simplified Arabic"/>
          <w:color w:val="000000" w:themeColor="text1"/>
          <w:kern w:val="0"/>
          <w:sz w:val="28"/>
          <w:szCs w:val="28"/>
          <w:rtl/>
          <w14:ligatures w14:val="none"/>
        </w:rPr>
        <w:t>، وإدارة التفاعل الافتراضي</w:t>
      </w:r>
      <w:r w:rsidRPr="00C85ABF">
        <w:rPr>
          <w:rFonts w:ascii="Simplified Arabic" w:eastAsia="Times New Roman" w:hAnsi="Simplified Arabic" w:cs="Simplified Arabic"/>
          <w:color w:val="000000" w:themeColor="text1"/>
          <w:kern w:val="0"/>
          <w:sz w:val="28"/>
          <w:szCs w:val="28"/>
          <w14:ligatures w14:val="none"/>
        </w:rPr>
        <w:t xml:space="preserve"> Virtual Interaction Management</w:t>
      </w:r>
      <w:r w:rsidRPr="00C85ABF">
        <w:rPr>
          <w:rFonts w:ascii="Simplified Arabic" w:eastAsia="Times New Roman" w:hAnsi="Simplified Arabic" w:cs="Simplified Arabic"/>
          <w:color w:val="000000" w:themeColor="text1"/>
          <w:kern w:val="0"/>
          <w:sz w:val="28"/>
          <w:szCs w:val="28"/>
          <w:rtl/>
          <w14:ligatures w14:val="none"/>
        </w:rPr>
        <w:t>، وإدارة التفاعل الخدمي</w:t>
      </w:r>
      <w:r w:rsidRPr="00C85ABF">
        <w:rPr>
          <w:rFonts w:ascii="Simplified Arabic" w:eastAsia="Times New Roman" w:hAnsi="Simplified Arabic" w:cs="Simplified Arabic"/>
          <w:color w:val="000000" w:themeColor="text1"/>
          <w:kern w:val="0"/>
          <w:sz w:val="28"/>
          <w:szCs w:val="28"/>
          <w14:ligatures w14:val="none"/>
        </w:rPr>
        <w:t xml:space="preserve"> Service Interaction Management) </w:t>
      </w:r>
      <w:r w:rsidRPr="00C85ABF">
        <w:rPr>
          <w:rFonts w:ascii="Simplified Arabic" w:eastAsia="Times New Roman" w:hAnsi="Simplified Arabic" w:cs="Simplified Arabic"/>
          <w:color w:val="000000" w:themeColor="text1"/>
          <w:kern w:val="0"/>
          <w:sz w:val="28"/>
          <w:szCs w:val="28"/>
          <w:rtl/>
          <w14:ligatures w14:val="none"/>
        </w:rPr>
        <w:t xml:space="preserve">على ولاء العملاء في القطاع المصرفي في سريلانكا، مع اختبار الدور الوسيط لاتجاه العميل </w:t>
      </w:r>
      <w:r w:rsidRPr="00C85ABF">
        <w:rPr>
          <w:rFonts w:ascii="Simplified Arabic" w:eastAsia="Times New Roman" w:hAnsi="Simplified Arabic" w:cs="Simplified Arabic"/>
          <w:color w:val="000000" w:themeColor="text1"/>
          <w:kern w:val="0"/>
          <w:sz w:val="28"/>
          <w:szCs w:val="28"/>
          <w14:ligatures w14:val="none"/>
        </w:rPr>
        <w:t xml:space="preserve">(Customer Attitude) </w:t>
      </w:r>
      <w:r w:rsidRPr="00C85ABF">
        <w:rPr>
          <w:rFonts w:ascii="Simplified Arabic" w:eastAsia="Times New Roman" w:hAnsi="Simplified Arabic" w:cs="Simplified Arabic"/>
          <w:color w:val="000000" w:themeColor="text1"/>
          <w:kern w:val="0"/>
          <w:sz w:val="28"/>
          <w:szCs w:val="28"/>
          <w:rtl/>
          <w14:ligatures w14:val="none"/>
        </w:rPr>
        <w:t xml:space="preserve">في هذه العلاقة. وقد انطلقت الدراسة من فجوة نظرية تتمثل في قصور البحث في دور اتجاه العميل كمتغير وسيط بين إدارة تجربة العميل وولائه، فضلاً عن محدودية الدراسات التطبيقية في السياق المصرفي السريلانكي. واستخدمت الدراسة المنهج الكمي ضمن الفلسفة الوضعية، وتكوّنت العينة من (240) مستجيباً من عملاء بنك التوفير </w:t>
      </w:r>
      <w:r w:rsidRPr="00C85ABF">
        <w:rPr>
          <w:rFonts w:ascii="Simplified Arabic" w:eastAsia="Times New Roman" w:hAnsi="Simplified Arabic" w:cs="Simplified Arabic"/>
          <w:color w:val="000000" w:themeColor="text1"/>
          <w:kern w:val="0"/>
          <w:sz w:val="28"/>
          <w:szCs w:val="28"/>
          <w:rtl/>
          <w14:ligatures w14:val="none"/>
        </w:rPr>
        <w:lastRenderedPageBreak/>
        <w:t>الوطني</w:t>
      </w:r>
      <w:r w:rsidRPr="00C85ABF">
        <w:rPr>
          <w:rFonts w:ascii="Simplified Arabic" w:eastAsia="Times New Roman" w:hAnsi="Simplified Arabic" w:cs="Simplified Arabic"/>
          <w:color w:val="000000" w:themeColor="text1"/>
          <w:kern w:val="0"/>
          <w:sz w:val="28"/>
          <w:szCs w:val="28"/>
          <w14:ligatures w14:val="none"/>
        </w:rPr>
        <w:t xml:space="preserve"> (NSB) </w:t>
      </w:r>
      <w:r w:rsidRPr="00C85ABF">
        <w:rPr>
          <w:rFonts w:ascii="Simplified Arabic" w:eastAsia="Times New Roman" w:hAnsi="Simplified Arabic" w:cs="Simplified Arabic"/>
          <w:color w:val="000000" w:themeColor="text1"/>
          <w:kern w:val="0"/>
          <w:sz w:val="28"/>
          <w:szCs w:val="28"/>
          <w:rtl/>
          <w14:ligatures w14:val="none"/>
        </w:rPr>
        <w:t>في سريلانكا، تمّ اختيارهم بأسلوب العينة الميسّرة، وتمّ توزيع (265) استبانة وجمع</w:t>
      </w:r>
      <w:r w:rsidRPr="00C85ABF">
        <w:rPr>
          <w:rFonts w:ascii="Simplified Arabic" w:eastAsia="Times New Roman" w:hAnsi="Simplified Arabic" w:cs="Simplified Arabic"/>
          <w:color w:val="000000" w:themeColor="text1"/>
          <w:kern w:val="0"/>
          <w:sz w:val="28"/>
          <w:szCs w:val="28"/>
          <w14:ligatures w14:val="none"/>
        </w:rPr>
        <w:t xml:space="preserve"> (240) </w:t>
      </w:r>
      <w:r w:rsidRPr="00C85ABF">
        <w:rPr>
          <w:rFonts w:ascii="Simplified Arabic" w:eastAsia="Times New Roman" w:hAnsi="Simplified Arabic" w:cs="Simplified Arabic"/>
          <w:color w:val="000000" w:themeColor="text1"/>
          <w:kern w:val="0"/>
          <w:sz w:val="28"/>
          <w:szCs w:val="28"/>
          <w:rtl/>
          <w14:ligatures w14:val="none"/>
        </w:rPr>
        <w:t>منها بمعدل استجابة (90.6%). وحُلِّلت البيانات باستخدام نمذجة المعادلات الهيكلية بأسلوب المربعات الصغرى الجزئية</w:t>
      </w:r>
      <w:r w:rsidRPr="00C85ABF">
        <w:rPr>
          <w:rFonts w:ascii="Simplified Arabic" w:eastAsia="Times New Roman" w:hAnsi="Simplified Arabic" w:cs="Simplified Arabic"/>
          <w:color w:val="000000" w:themeColor="text1"/>
          <w:kern w:val="0"/>
          <w:sz w:val="28"/>
          <w:szCs w:val="28"/>
          <w14:ligatures w14:val="none"/>
        </w:rPr>
        <w:t xml:space="preserve"> (PLS-SEM). </w:t>
      </w:r>
      <w:r w:rsidRPr="00C85ABF">
        <w:rPr>
          <w:rFonts w:ascii="Simplified Arabic" w:eastAsia="Times New Roman" w:hAnsi="Simplified Arabic" w:cs="Simplified Arabic"/>
          <w:color w:val="000000" w:themeColor="text1"/>
          <w:kern w:val="0"/>
          <w:sz w:val="28"/>
          <w:szCs w:val="28"/>
          <w:rtl/>
          <w14:ligatures w14:val="none"/>
        </w:rPr>
        <w:t>وتوصلت نتائج الدراسة إلى أن إدارة التفاعل الافتراضي تؤثر إيجابياً وبدلالة إحصائية على ولاء العملاء</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β</w:t>
      </w:r>
      <w:r w:rsidRPr="00C85ABF">
        <w:rPr>
          <w:rFonts w:ascii="Simplified Arabic" w:eastAsia="Times New Roman" w:hAnsi="Simplified Arabic" w:cs="Simplified Arabic"/>
          <w:color w:val="000000" w:themeColor="text1"/>
          <w:kern w:val="0"/>
          <w:sz w:val="28"/>
          <w:szCs w:val="28"/>
          <w14:ligatures w14:val="none"/>
        </w:rPr>
        <w:t xml:space="preserve"> = 0.218, p = 0.025)</w:t>
      </w:r>
      <w:r w:rsidRPr="00C85ABF">
        <w:rPr>
          <w:rFonts w:ascii="Simplified Arabic" w:eastAsia="Times New Roman" w:hAnsi="Simplified Arabic" w:cs="Simplified Arabic"/>
          <w:color w:val="000000" w:themeColor="text1"/>
          <w:kern w:val="0"/>
          <w:sz w:val="28"/>
          <w:szCs w:val="28"/>
          <w:rtl/>
          <w14:ligatures w14:val="none"/>
        </w:rPr>
        <w:t>، وكذلك إدارة التفاعل الخدمي</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β</w:t>
      </w:r>
      <w:r w:rsidRPr="00C85ABF">
        <w:rPr>
          <w:rFonts w:ascii="Simplified Arabic" w:eastAsia="Times New Roman" w:hAnsi="Simplified Arabic" w:cs="Simplified Arabic"/>
          <w:color w:val="000000" w:themeColor="text1"/>
          <w:kern w:val="0"/>
          <w:sz w:val="28"/>
          <w:szCs w:val="28"/>
          <w14:ligatures w14:val="none"/>
        </w:rPr>
        <w:t xml:space="preserve"> = 0.138, p = 0.024)</w:t>
      </w:r>
      <w:r w:rsidRPr="00C85ABF">
        <w:rPr>
          <w:rFonts w:ascii="Simplified Arabic" w:eastAsia="Times New Roman" w:hAnsi="Simplified Arabic" w:cs="Simplified Arabic"/>
          <w:color w:val="000000" w:themeColor="text1"/>
          <w:kern w:val="0"/>
          <w:sz w:val="28"/>
          <w:szCs w:val="28"/>
          <w:rtl/>
          <w14:ligatures w14:val="none"/>
        </w:rPr>
        <w:t>، في حين لم يكن لإدارة التفاعل المادي تأثير مباشر دال على الولاء</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β</w:t>
      </w:r>
      <w:r w:rsidRPr="00C85ABF">
        <w:rPr>
          <w:rFonts w:ascii="Simplified Arabic" w:eastAsia="Times New Roman" w:hAnsi="Simplified Arabic" w:cs="Simplified Arabic"/>
          <w:color w:val="000000" w:themeColor="text1"/>
          <w:kern w:val="0"/>
          <w:sz w:val="28"/>
          <w:szCs w:val="28"/>
          <w14:ligatures w14:val="none"/>
        </w:rPr>
        <w:t xml:space="preserve"> = -0.016, p = 0.872). </w:t>
      </w:r>
      <w:r w:rsidRPr="00C85ABF">
        <w:rPr>
          <w:rFonts w:ascii="Simplified Arabic" w:eastAsia="Times New Roman" w:hAnsi="Simplified Arabic" w:cs="Simplified Arabic"/>
          <w:color w:val="000000" w:themeColor="text1"/>
          <w:kern w:val="0"/>
          <w:sz w:val="28"/>
          <w:szCs w:val="28"/>
          <w:rtl/>
          <w14:ligatures w14:val="none"/>
        </w:rPr>
        <w:t>كما تبيّن أن اتجاه العميل يتوسط العلاقة بين التفاعل المادي والولاء</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β</w:t>
      </w:r>
      <w:r w:rsidRPr="00C85ABF">
        <w:rPr>
          <w:rFonts w:ascii="Simplified Arabic" w:eastAsia="Times New Roman" w:hAnsi="Simplified Arabic" w:cs="Simplified Arabic"/>
          <w:color w:val="000000" w:themeColor="text1"/>
          <w:kern w:val="0"/>
          <w:sz w:val="28"/>
          <w:szCs w:val="28"/>
          <w14:ligatures w14:val="none"/>
        </w:rPr>
        <w:t xml:space="preserve"> = 0.138, p = 0.022) </w:t>
      </w:r>
      <w:r w:rsidRPr="00C85ABF">
        <w:rPr>
          <w:rFonts w:ascii="Simplified Arabic" w:eastAsia="Times New Roman" w:hAnsi="Simplified Arabic" w:cs="Simplified Arabic"/>
          <w:color w:val="000000" w:themeColor="text1"/>
          <w:kern w:val="0"/>
          <w:sz w:val="28"/>
          <w:szCs w:val="28"/>
          <w:rtl/>
          <w14:ligatures w14:val="none"/>
        </w:rPr>
        <w:t>وبين التفاعل الافتراضي والولاء</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β</w:t>
      </w:r>
      <w:r w:rsidRPr="00C85ABF">
        <w:rPr>
          <w:rFonts w:ascii="Simplified Arabic" w:eastAsia="Times New Roman" w:hAnsi="Simplified Arabic" w:cs="Simplified Arabic"/>
          <w:color w:val="000000" w:themeColor="text1"/>
          <w:kern w:val="0"/>
          <w:sz w:val="28"/>
          <w:szCs w:val="28"/>
          <w14:ligatures w14:val="none"/>
        </w:rPr>
        <w:t xml:space="preserve"> = 0.092, p = 0.026)</w:t>
      </w:r>
      <w:r w:rsidRPr="00C85ABF">
        <w:rPr>
          <w:rFonts w:ascii="Simplified Arabic" w:eastAsia="Times New Roman" w:hAnsi="Simplified Arabic" w:cs="Simplified Arabic"/>
          <w:color w:val="000000" w:themeColor="text1"/>
          <w:kern w:val="0"/>
          <w:sz w:val="28"/>
          <w:szCs w:val="28"/>
          <w:rtl/>
          <w14:ligatures w14:val="none"/>
        </w:rPr>
        <w:t>، بينما لم يتوسط العلاقة بين التفاعل الخدمي والولاء. وأوصت الدراسة بضرورة إعطاء الأولوية للتفاعلات الافتراضية والخدمية في استراتيجيات إدارة تجربة العميل في ظل التحوّل الرقمي المتسارع</w:t>
      </w:r>
      <w:r w:rsidRPr="00C85ABF">
        <w:rPr>
          <w:rFonts w:ascii="Simplified Arabic" w:eastAsia="Times New Roman" w:hAnsi="Simplified Arabic" w:cs="Simplified Arabic"/>
          <w:color w:val="000000" w:themeColor="text1"/>
          <w:kern w:val="0"/>
          <w:sz w:val="28"/>
          <w:szCs w:val="28"/>
          <w14:ligatures w14:val="none"/>
        </w:rPr>
        <w:t>.</w:t>
      </w:r>
    </w:p>
    <w:p w14:paraId="6E3AF4FF" w14:textId="0AC1CA96" w:rsidR="00A372D1" w:rsidRPr="00C85ABF" w:rsidRDefault="00A372D1" w:rsidP="00D517E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85ABF">
        <w:rPr>
          <w:rFonts w:ascii="Simplified Arabic" w:eastAsia="Times New Roman" w:hAnsi="Simplified Arabic" w:cs="Simplified Arabic"/>
          <w:b/>
          <w:bCs/>
          <w:color w:val="000000" w:themeColor="text1"/>
          <w:kern w:val="0"/>
          <w:sz w:val="28"/>
          <w:szCs w:val="28"/>
          <w:rtl/>
          <w14:ligatures w14:val="none"/>
        </w:rPr>
        <w:t>دراسة</w:t>
      </w:r>
      <w:r w:rsidRPr="00C85ABF">
        <w:rPr>
          <w:rFonts w:ascii="Simplified Arabic" w:eastAsia="Times New Roman" w:hAnsi="Simplified Arabic" w:cs="Simplified Arabic"/>
          <w:b/>
          <w:bCs/>
          <w:color w:val="000000" w:themeColor="text1"/>
          <w:kern w:val="0"/>
          <w:sz w:val="28"/>
          <w:szCs w:val="28"/>
          <w14:ligatures w14:val="none"/>
        </w:rPr>
        <w:t xml:space="preserve"> Gunawan, Sudarma, &amp; Siwiyanti (2025)</w:t>
      </w:r>
      <w:r w:rsidRPr="00C85ABF">
        <w:rPr>
          <w:rFonts w:ascii="Simplified Arabic" w:eastAsia="Times New Roman" w:hAnsi="Simplified Arabic" w:cs="Simplified Arabic"/>
          <w:b/>
          <w:bCs/>
          <w:color w:val="000000" w:themeColor="text1"/>
          <w:kern w:val="0"/>
          <w:sz w:val="28"/>
          <w:szCs w:val="28"/>
          <w:rtl/>
          <w14:ligatures w14:val="none"/>
        </w:rPr>
        <w:t>، بعنوان</w:t>
      </w:r>
      <w:r w:rsidRPr="00C85ABF">
        <w:rPr>
          <w:rFonts w:ascii="Simplified Arabic" w:eastAsia="Times New Roman" w:hAnsi="Simplified Arabic" w:cs="Simplified Arabic"/>
          <w:b/>
          <w:bCs/>
          <w:color w:val="000000" w:themeColor="text1"/>
          <w:kern w:val="0"/>
          <w:sz w:val="28"/>
          <w:szCs w:val="28"/>
          <w14:ligatures w14:val="none"/>
        </w:rPr>
        <w:t>: "Analysis of the Effect of Memberly Card and Customer Experience on Customer Loyalty in Mediation by Customer Satisfaction (Case Study on Tasik Pharmacy in Sukabumi City)" )</w:t>
      </w:r>
      <w:r w:rsidRPr="00C85ABF">
        <w:rPr>
          <w:rFonts w:ascii="Simplified Arabic" w:eastAsia="Times New Roman" w:hAnsi="Simplified Arabic" w:cs="Simplified Arabic"/>
          <w:b/>
          <w:bCs/>
          <w:color w:val="000000" w:themeColor="text1"/>
          <w:kern w:val="0"/>
          <w:sz w:val="28"/>
          <w:szCs w:val="28"/>
          <w:rtl/>
          <w14:ligatures w14:val="none"/>
        </w:rPr>
        <w:t>تحليل أثر بطاقة العضوية وتجربة العميل على ولاء العملاء بتوسيط رضا العميل: دراسة حالة على صيدلية تاسيك في مدينة سوكابومي)</w:t>
      </w:r>
    </w:p>
    <w:p w14:paraId="66D5D179" w14:textId="77777777" w:rsidR="00A372D1" w:rsidRPr="00C85ABF" w:rsidRDefault="00A372D1" w:rsidP="00D517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هدفت هذه الدراسة إلى التعرف على أثر كلٍّ من بطاقة العضوية</w:t>
      </w:r>
      <w:r w:rsidRPr="00C85ABF">
        <w:rPr>
          <w:rFonts w:ascii="Simplified Arabic" w:eastAsia="Times New Roman" w:hAnsi="Simplified Arabic" w:cs="Simplified Arabic"/>
          <w:color w:val="000000" w:themeColor="text1"/>
          <w:kern w:val="0"/>
          <w:sz w:val="28"/>
          <w:szCs w:val="28"/>
          <w14:ligatures w14:val="none"/>
        </w:rPr>
        <w:t xml:space="preserve"> (Memberly Card) </w:t>
      </w:r>
      <w:r w:rsidRPr="00C85ABF">
        <w:rPr>
          <w:rFonts w:ascii="Simplified Arabic" w:eastAsia="Times New Roman" w:hAnsi="Simplified Arabic" w:cs="Simplified Arabic"/>
          <w:color w:val="000000" w:themeColor="text1"/>
          <w:kern w:val="0"/>
          <w:sz w:val="28"/>
          <w:szCs w:val="28"/>
          <w:rtl/>
          <w14:ligatures w14:val="none"/>
        </w:rPr>
        <w:t>وتجربة العميل بأبعادها (جودة الخدمة، والتفاعل مع الموظفين، وسهولة المعاملات، وراحة بيئة الصيدلية) على ولاء العملاء، مع اختبار الدور الوسيط لرضا العميل في هذه العلاقة، وذلك في قطاع الصيدلة بمدينة سوكابومي بإندونيسيا. وقد انطلقت الدراسة من ملاحظة الانخفاض الملحوظ في أعداد عملاء الصيدليات وتحوّلهم نحو المنافسين الذين يقدمون أسعاراً أكثر تنافسية وجودة أفضل. واستخدمت الدراسة المنهج الكمي بتصميم مقطعي</w:t>
      </w:r>
      <w:r w:rsidRPr="00C85ABF">
        <w:rPr>
          <w:rFonts w:ascii="Simplified Arabic" w:eastAsia="Times New Roman" w:hAnsi="Simplified Arabic" w:cs="Simplified Arabic"/>
          <w:color w:val="000000" w:themeColor="text1"/>
          <w:kern w:val="0"/>
          <w:sz w:val="28"/>
          <w:szCs w:val="28"/>
          <w14:ligatures w14:val="none"/>
        </w:rPr>
        <w:t xml:space="preserve"> (Cross-sectional)</w:t>
      </w:r>
      <w:r w:rsidRPr="00C85ABF">
        <w:rPr>
          <w:rFonts w:ascii="Simplified Arabic" w:eastAsia="Times New Roman" w:hAnsi="Simplified Arabic" w:cs="Simplified Arabic"/>
          <w:color w:val="000000" w:themeColor="text1"/>
          <w:kern w:val="0"/>
          <w:sz w:val="28"/>
          <w:szCs w:val="28"/>
          <w:rtl/>
          <w14:ligatures w14:val="none"/>
        </w:rPr>
        <w:t>، وتكوّنت العينة من (126) مستجيباً من عملاء صيدلية تاسيك تمّ اختيارهم بأسلوب العينة القصدية</w:t>
      </w:r>
      <w:r w:rsidRPr="00C85ABF">
        <w:rPr>
          <w:rFonts w:ascii="Simplified Arabic" w:eastAsia="Times New Roman" w:hAnsi="Simplified Arabic" w:cs="Simplified Arabic"/>
          <w:color w:val="000000" w:themeColor="text1"/>
          <w:kern w:val="0"/>
          <w:sz w:val="28"/>
          <w:szCs w:val="28"/>
          <w14:ligatures w14:val="none"/>
        </w:rPr>
        <w:t xml:space="preserve"> (Purposive Sampling) </w:t>
      </w:r>
      <w:r w:rsidRPr="00C85ABF">
        <w:rPr>
          <w:rFonts w:ascii="Simplified Arabic" w:eastAsia="Times New Roman" w:hAnsi="Simplified Arabic" w:cs="Simplified Arabic"/>
          <w:color w:val="000000" w:themeColor="text1"/>
          <w:kern w:val="0"/>
          <w:sz w:val="28"/>
          <w:szCs w:val="28"/>
          <w:rtl/>
          <w14:ligatures w14:val="none"/>
        </w:rPr>
        <w:t>وفقاً لمعادلة</w:t>
      </w:r>
      <w:r w:rsidRPr="00C85ABF">
        <w:rPr>
          <w:rFonts w:ascii="Simplified Arabic" w:eastAsia="Times New Roman" w:hAnsi="Simplified Arabic" w:cs="Simplified Arabic"/>
          <w:color w:val="000000" w:themeColor="text1"/>
          <w:kern w:val="0"/>
          <w:sz w:val="28"/>
          <w:szCs w:val="28"/>
          <w14:ligatures w14:val="none"/>
        </w:rPr>
        <w:t xml:space="preserve"> Hair</w:t>
      </w:r>
      <w:r w:rsidRPr="00C85ABF">
        <w:rPr>
          <w:rFonts w:ascii="Simplified Arabic" w:eastAsia="Times New Roman" w:hAnsi="Simplified Arabic" w:cs="Simplified Arabic"/>
          <w:color w:val="000000" w:themeColor="text1"/>
          <w:kern w:val="0"/>
          <w:sz w:val="28"/>
          <w:szCs w:val="28"/>
          <w:rtl/>
          <w14:ligatures w14:val="none"/>
        </w:rPr>
        <w:t>، وحُلِّلت البيانات باستخدام نمذجة المعادلات الهيكلية</w:t>
      </w:r>
      <w:r w:rsidRPr="00C85ABF">
        <w:rPr>
          <w:rFonts w:ascii="Simplified Arabic" w:eastAsia="Times New Roman" w:hAnsi="Simplified Arabic" w:cs="Simplified Arabic"/>
          <w:color w:val="000000" w:themeColor="text1"/>
          <w:kern w:val="0"/>
          <w:sz w:val="28"/>
          <w:szCs w:val="28"/>
          <w14:ligatures w14:val="none"/>
        </w:rPr>
        <w:t xml:space="preserve"> (SEM) </w:t>
      </w:r>
      <w:r w:rsidRPr="00C85ABF">
        <w:rPr>
          <w:rFonts w:ascii="Simplified Arabic" w:eastAsia="Times New Roman" w:hAnsi="Simplified Arabic" w:cs="Simplified Arabic"/>
          <w:color w:val="000000" w:themeColor="text1"/>
          <w:kern w:val="0"/>
          <w:sz w:val="28"/>
          <w:szCs w:val="28"/>
          <w:rtl/>
          <w14:ligatures w14:val="none"/>
        </w:rPr>
        <w:t>عبر برنامج</w:t>
      </w:r>
      <w:r w:rsidRPr="00C85ABF">
        <w:rPr>
          <w:rFonts w:ascii="Simplified Arabic" w:eastAsia="Times New Roman" w:hAnsi="Simplified Arabic" w:cs="Simplified Arabic"/>
          <w:color w:val="000000" w:themeColor="text1"/>
          <w:kern w:val="0"/>
          <w:sz w:val="28"/>
          <w:szCs w:val="28"/>
          <w14:ligatures w14:val="none"/>
        </w:rPr>
        <w:t xml:space="preserve"> AMOS. </w:t>
      </w:r>
      <w:r w:rsidRPr="00C85ABF">
        <w:rPr>
          <w:rFonts w:ascii="Simplified Arabic" w:eastAsia="Times New Roman" w:hAnsi="Simplified Arabic" w:cs="Simplified Arabic"/>
          <w:color w:val="000000" w:themeColor="text1"/>
          <w:kern w:val="0"/>
          <w:sz w:val="28"/>
          <w:szCs w:val="28"/>
          <w:rtl/>
          <w14:ligatures w14:val="none"/>
        </w:rPr>
        <w:t>وتوصلت نتائج الدراسة إلى أن تجربة العميل تؤثر تأثيراً إيجابياً ودالاً إحصائياً على رضا العميل</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β</w:t>
      </w:r>
      <w:r w:rsidRPr="00C85ABF">
        <w:rPr>
          <w:rFonts w:ascii="Simplified Arabic" w:eastAsia="Times New Roman" w:hAnsi="Simplified Arabic" w:cs="Simplified Arabic"/>
          <w:color w:val="000000" w:themeColor="text1"/>
          <w:kern w:val="0"/>
          <w:sz w:val="28"/>
          <w:szCs w:val="28"/>
          <w14:ligatures w14:val="none"/>
        </w:rPr>
        <w:t xml:space="preserve"> = 0.293; p = 0.036) </w:t>
      </w:r>
      <w:r w:rsidRPr="00C85ABF">
        <w:rPr>
          <w:rFonts w:ascii="Simplified Arabic" w:eastAsia="Times New Roman" w:hAnsi="Simplified Arabic" w:cs="Simplified Arabic"/>
          <w:color w:val="000000" w:themeColor="text1"/>
          <w:kern w:val="0"/>
          <w:sz w:val="28"/>
          <w:szCs w:val="28"/>
          <w:rtl/>
          <w14:ligatures w14:val="none"/>
        </w:rPr>
        <w:t>وعلى ولاء العميل</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β</w:t>
      </w:r>
      <w:r w:rsidRPr="00C85ABF">
        <w:rPr>
          <w:rFonts w:ascii="Simplified Arabic" w:eastAsia="Times New Roman" w:hAnsi="Simplified Arabic" w:cs="Simplified Arabic"/>
          <w:color w:val="000000" w:themeColor="text1"/>
          <w:kern w:val="0"/>
          <w:sz w:val="28"/>
          <w:szCs w:val="28"/>
          <w14:ligatures w14:val="none"/>
        </w:rPr>
        <w:t xml:space="preserve"> = 0.268; p = 0.033). </w:t>
      </w:r>
      <w:r w:rsidRPr="00C85ABF">
        <w:rPr>
          <w:rFonts w:ascii="Simplified Arabic" w:eastAsia="Times New Roman" w:hAnsi="Simplified Arabic" w:cs="Simplified Arabic"/>
          <w:color w:val="000000" w:themeColor="text1"/>
          <w:kern w:val="0"/>
          <w:sz w:val="28"/>
          <w:szCs w:val="28"/>
          <w:rtl/>
          <w14:ligatures w14:val="none"/>
        </w:rPr>
        <w:t>كما أن رضا العميل يؤثر إيجابياً على ولاء العميل</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Cambria" w:eastAsia="Times New Roman" w:hAnsi="Cambria" w:cs="Cambria"/>
          <w:color w:val="000000" w:themeColor="text1"/>
          <w:kern w:val="0"/>
          <w:sz w:val="28"/>
          <w:szCs w:val="28"/>
          <w14:ligatures w14:val="none"/>
        </w:rPr>
        <w:t>β</w:t>
      </w:r>
      <w:r w:rsidRPr="00C85ABF">
        <w:rPr>
          <w:rFonts w:ascii="Simplified Arabic" w:eastAsia="Times New Roman" w:hAnsi="Simplified Arabic" w:cs="Simplified Arabic"/>
          <w:color w:val="000000" w:themeColor="text1"/>
          <w:kern w:val="0"/>
          <w:sz w:val="28"/>
          <w:szCs w:val="28"/>
          <w14:ligatures w14:val="none"/>
        </w:rPr>
        <w:t xml:space="preserve"> = 0.215; p = 0.027). </w:t>
      </w:r>
      <w:r w:rsidRPr="00C85ABF">
        <w:rPr>
          <w:rFonts w:ascii="Simplified Arabic" w:eastAsia="Times New Roman" w:hAnsi="Simplified Arabic" w:cs="Simplified Arabic"/>
          <w:color w:val="000000" w:themeColor="text1"/>
          <w:kern w:val="0"/>
          <w:sz w:val="28"/>
          <w:szCs w:val="28"/>
          <w:rtl/>
          <w14:ligatures w14:val="none"/>
        </w:rPr>
        <w:t xml:space="preserve">واللافت أن التأثير المباشر لتجربة العميل على الولاء (0.26) كان أقوى من التأثير غير المباشر عبر رضا العميل (0.063)، مما يشير إلى أن التجربة المباشرة تلعب دوراً أكبر في بناء الولاء مقارنةً بدور الرضا كوسيط. </w:t>
      </w:r>
      <w:r w:rsidRPr="00C85ABF">
        <w:rPr>
          <w:rFonts w:ascii="Simplified Arabic" w:eastAsia="Times New Roman" w:hAnsi="Simplified Arabic" w:cs="Simplified Arabic"/>
          <w:color w:val="000000" w:themeColor="text1"/>
          <w:kern w:val="0"/>
          <w:sz w:val="28"/>
          <w:szCs w:val="28"/>
          <w:rtl/>
          <w14:ligatures w14:val="none"/>
        </w:rPr>
        <w:lastRenderedPageBreak/>
        <w:t>وأوصت الدراسة مديري الصيدليات بضرورة تحسين جودة الخدمة وتطوير تجربة العميل كأولوية استراتيجية، مع الاستمرار في تعزيز برامج الولاء القائمة على بطاقات العضوية</w:t>
      </w:r>
      <w:r w:rsidRPr="00C85ABF">
        <w:rPr>
          <w:rFonts w:ascii="Simplified Arabic" w:eastAsia="Times New Roman" w:hAnsi="Simplified Arabic" w:cs="Simplified Arabic"/>
          <w:color w:val="000000" w:themeColor="text1"/>
          <w:kern w:val="0"/>
          <w:sz w:val="28"/>
          <w:szCs w:val="28"/>
          <w14:ligatures w14:val="none"/>
        </w:rPr>
        <w:t>.</w:t>
      </w:r>
    </w:p>
    <w:p w14:paraId="175B2618" w14:textId="77777777" w:rsidR="00A372D1" w:rsidRPr="00C85ABF" w:rsidRDefault="00A372D1" w:rsidP="00D517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4289522"/>
      <w:r w:rsidRPr="00C85ABF">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(ولاء العملاء) وعلاقته بمتغيرات أخرى</w:t>
      </w:r>
      <w:bookmarkEnd w:id="19"/>
    </w:p>
    <w:p w14:paraId="2682757B" w14:textId="77777777" w:rsidR="00A372D1" w:rsidRPr="00C85ABF" w:rsidRDefault="00A372D1" w:rsidP="00D517E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85ABF">
        <w:rPr>
          <w:rFonts w:ascii="Simplified Arabic" w:eastAsia="Times New Roman" w:hAnsi="Simplified Arabic" w:cs="Simplified Arabic"/>
          <w:b/>
          <w:bCs/>
          <w:color w:val="000000" w:themeColor="text1"/>
          <w:kern w:val="0"/>
          <w:sz w:val="28"/>
          <w:szCs w:val="28"/>
          <w:rtl/>
          <w14:ligatures w14:val="none"/>
        </w:rPr>
        <w:t>دراسة الشكري</w:t>
      </w:r>
      <w:r w:rsidRPr="00C85ABF">
        <w:rPr>
          <w:rFonts w:ascii="Simplified Arabic" w:eastAsia="Times New Roman" w:hAnsi="Simplified Arabic" w:cs="Simplified Arabic"/>
          <w:b/>
          <w:bCs/>
          <w:color w:val="000000" w:themeColor="text1"/>
          <w:kern w:val="0"/>
          <w:sz w:val="28"/>
          <w:szCs w:val="28"/>
          <w14:ligatures w14:val="none"/>
        </w:rPr>
        <w:t xml:space="preserve"> (2023)</w:t>
      </w:r>
      <w:r w:rsidRPr="00C85ABF">
        <w:rPr>
          <w:rFonts w:ascii="Simplified Arabic" w:eastAsia="Times New Roman" w:hAnsi="Simplified Arabic" w:cs="Simplified Arabic"/>
          <w:b/>
          <w:bCs/>
          <w:color w:val="000000" w:themeColor="text1"/>
          <w:kern w:val="0"/>
          <w:sz w:val="28"/>
          <w:szCs w:val="28"/>
          <w:rtl/>
          <w14:ligatures w14:val="none"/>
        </w:rPr>
        <w:t>، بعنوان: "الاتصالات التسويقية وأثرها في تعزيز ولاء الزبون: دراسة استطلاعية لآراء عينة من العاملين في شركة الذكرى للسفر والسياحة في محافظة النجف</w:t>
      </w:r>
      <w:r w:rsidRPr="00C85ABF">
        <w:rPr>
          <w:rFonts w:ascii="Simplified Arabic" w:eastAsia="Times New Roman" w:hAnsi="Simplified Arabic" w:cs="Simplified Arabic"/>
          <w:b/>
          <w:bCs/>
          <w:color w:val="000000" w:themeColor="text1"/>
          <w:kern w:val="0"/>
          <w:sz w:val="28"/>
          <w:szCs w:val="28"/>
          <w14:ligatures w14:val="none"/>
        </w:rPr>
        <w:t>".</w:t>
      </w:r>
    </w:p>
    <w:p w14:paraId="75E1C9BF" w14:textId="77777777" w:rsidR="00A372D1" w:rsidRPr="00C85ABF" w:rsidRDefault="00A372D1" w:rsidP="00D517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85ABF">
        <w:rPr>
          <w:rFonts w:ascii="Simplified Arabic" w:eastAsia="Times New Roman" w:hAnsi="Simplified Arabic" w:cs="Simplified Arabic"/>
          <w:color w:val="000000" w:themeColor="text1"/>
          <w:kern w:val="0"/>
          <w:sz w:val="28"/>
          <w:szCs w:val="28"/>
          <w:rtl/>
          <w14:ligatures w14:val="none"/>
        </w:rPr>
        <w:t>هدفت هذه الدراسة إلى التعرف على طبيعة العلاقة بين الاتصالات التسويقية بأبعادها (الإعلان، والبيع الشخصي، وتنشيط المبيعات، والعلاقات العامة، والتسويق المباشر) وأثرها في تعزيز ولاء الزبون في شركة الذكرى للسفر والسياحة بمحافظة النجف الأشرف في العراق. وقد انطلقت الدراسة من الحاجة إلى فهم الدور الذي تمارسه أدوات الاتصال التسويقي المختلفة في بناء علاقات طويلة الأمد مع الزبائن وتحويلهم إلى زبائن أوفياء في قطاع السياحة والسفر الذي يتسم بالتنافسية العالية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واعتمدت على الاستبانة كأداة رئيسية لجمع البيانات من عينة من العاملين في الشركة، مع الاستعانة بالوسائل والبرامج الإحصائية العلمية لتحليل البيانات واستخلاص النتائج</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وتوصلت نتائج الدراسة إلى مجموعة من الاستنتاجات المهمة، أبرزها أن الاتصالات التسويقية بمختلف أبعادها تمارس دوراً مهماً وفاعلاً في تعزيز ولاء الزبون في منظمات الأعمال، وأن هذا الأثر ينعكس إيجابياً على الحصة السوقية للشركة ويُسهم في زيادة أرباحها. كما أظهرت النتائج أن التكامل بين مختلف أدوات الاتصال التسويقي يُحقّق أثراً أكبر مقارنةً باستخدام كل أداة بمعزل عن الأخرى. وأوصت الدراسة بمجموعة من التوصيات العلمية والعملية، أبرزها ضرورة تكييف أبعاد الاتصالات التسويقية وفقاً لطبيعة عمل الشركة وبيئتها التنافسية، واستخدامها بأسلوب شمولي ومتكامل لتعزيز ولاء الزبون وتحقيق أهداف الشركة الاستراتيجية</w:t>
      </w:r>
      <w:r w:rsidRPr="00C85ABF">
        <w:rPr>
          <w:rFonts w:ascii="Simplified Arabic" w:eastAsia="Times New Roman" w:hAnsi="Simplified Arabic" w:cs="Simplified Arabic"/>
          <w:color w:val="000000" w:themeColor="text1"/>
          <w:kern w:val="0"/>
          <w:sz w:val="28"/>
          <w:szCs w:val="28"/>
          <w14:ligatures w14:val="none"/>
        </w:rPr>
        <w:t>.</w:t>
      </w:r>
    </w:p>
    <w:p w14:paraId="7681E996" w14:textId="77777777" w:rsidR="00D517EF" w:rsidRPr="00C85ABF" w:rsidRDefault="00D517EF" w:rsidP="00D517E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85ABF">
        <w:rPr>
          <w:rFonts w:ascii="Simplified Arabic" w:eastAsia="Times New Roman" w:hAnsi="Simplified Arabic" w:cs="Simplified Arabic"/>
          <w:b/>
          <w:bCs/>
          <w:color w:val="000000" w:themeColor="text1"/>
          <w:kern w:val="0"/>
          <w:sz w:val="28"/>
          <w:szCs w:val="28"/>
          <w:rtl/>
          <w14:ligatures w14:val="none"/>
        </w:rPr>
        <w:t>دراسة</w:t>
      </w:r>
      <w:r w:rsidRPr="00C85ABF">
        <w:rPr>
          <w:rFonts w:ascii="Simplified Arabic" w:eastAsia="Times New Roman" w:hAnsi="Simplified Arabic" w:cs="Simplified Arabic"/>
          <w:b/>
          <w:bCs/>
          <w:color w:val="000000" w:themeColor="text1"/>
          <w:kern w:val="0"/>
          <w:sz w:val="28"/>
          <w:szCs w:val="28"/>
          <w14:ligatures w14:val="none"/>
        </w:rPr>
        <w:t xml:space="preserve"> Audrain-Pontevia &amp; Garnier (2021)</w:t>
      </w:r>
      <w:r w:rsidRPr="00C85ABF">
        <w:rPr>
          <w:rFonts w:ascii="Simplified Arabic" w:eastAsia="Times New Roman" w:hAnsi="Simplified Arabic" w:cs="Simplified Arabic"/>
          <w:b/>
          <w:bCs/>
          <w:color w:val="000000" w:themeColor="text1"/>
          <w:kern w:val="0"/>
          <w:sz w:val="28"/>
          <w:szCs w:val="28"/>
          <w:rtl/>
          <w14:ligatures w14:val="none"/>
        </w:rPr>
        <w:t>، بعنوان</w:t>
      </w:r>
      <w:r w:rsidRPr="00C85ABF">
        <w:rPr>
          <w:rFonts w:ascii="Simplified Arabic" w:eastAsia="Times New Roman" w:hAnsi="Simplified Arabic" w:cs="Simplified Arabic"/>
          <w:b/>
          <w:bCs/>
          <w:color w:val="000000" w:themeColor="text1"/>
          <w:kern w:val="0"/>
          <w:sz w:val="28"/>
          <w:szCs w:val="28"/>
          <w14:ligatures w14:val="none"/>
        </w:rPr>
        <w:t xml:space="preserve">: "Are Your Customers Grateful? How Customer Gratitude Impacts Loyalty Programme Effectiveness" </w:t>
      </w:r>
      <w:r w:rsidRPr="00C85ABF">
        <w:rPr>
          <w:rFonts w:ascii="Simplified Arabic" w:eastAsia="Times New Roman" w:hAnsi="Simplified Arabic" w:cs="Simplified Arabic"/>
          <w:b/>
          <w:bCs/>
          <w:color w:val="000000" w:themeColor="text1"/>
          <w:kern w:val="0"/>
          <w:sz w:val="28"/>
          <w:szCs w:val="28"/>
          <w:rtl/>
          <w14:ligatures w14:val="none"/>
        </w:rPr>
        <w:t>هل عملاؤك ممتنون؟ كيف يؤثر امتنان العميل على فعالية برنامج الولاء</w:t>
      </w:r>
    </w:p>
    <w:p w14:paraId="69DA4B26" w14:textId="57B7DF8F" w:rsidR="00D517EF" w:rsidRPr="00C85ABF" w:rsidRDefault="00D517EF" w:rsidP="00D517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هدفت هذه الدراسة إلى التعرف على أيّ فوائد برامج الولاء هي الأكثر قدرة على خلق شعور بالامتنان لدى العملاء وتعزيز ولائهم تجاه العلامة التجارية، وذلك في قطاع التجزئة في كندا. وقد استندت الدراسة إلى إطار نظري قائم على نموذج المثير-الكائن الحي-الاستجابة</w:t>
      </w:r>
      <w:r w:rsidRPr="00C85ABF">
        <w:rPr>
          <w:rFonts w:ascii="Simplified Arabic" w:eastAsia="Times New Roman" w:hAnsi="Simplified Arabic" w:cs="Simplified Arabic"/>
          <w:color w:val="000000" w:themeColor="text1"/>
          <w:kern w:val="0"/>
          <w:sz w:val="28"/>
          <w:szCs w:val="28"/>
          <w14:ligatures w14:val="none"/>
        </w:rPr>
        <w:t xml:space="preserve"> (S-O-R Framework) </w:t>
      </w:r>
      <w:r w:rsidRPr="00C85ABF">
        <w:rPr>
          <w:rFonts w:ascii="Simplified Arabic" w:eastAsia="Times New Roman" w:hAnsi="Simplified Arabic" w:cs="Simplified Arabic"/>
          <w:color w:val="000000" w:themeColor="text1"/>
          <w:kern w:val="0"/>
          <w:sz w:val="28"/>
          <w:szCs w:val="28"/>
          <w:rtl/>
          <w14:ligatures w14:val="none"/>
        </w:rPr>
        <w:t xml:space="preserve">للتحقق من </w:t>
      </w:r>
      <w:r w:rsidRPr="00C85ABF">
        <w:rPr>
          <w:rFonts w:ascii="Simplified Arabic" w:eastAsia="Times New Roman" w:hAnsi="Simplified Arabic" w:cs="Simplified Arabic"/>
          <w:color w:val="000000" w:themeColor="text1"/>
          <w:kern w:val="0"/>
          <w:sz w:val="28"/>
          <w:szCs w:val="28"/>
          <w:rtl/>
          <w14:ligatures w14:val="none"/>
        </w:rPr>
        <w:lastRenderedPageBreak/>
        <w:t>أثر فوائد برامج الولاء بأبعادها الخمسة (الفوائد النقدية</w:t>
      </w:r>
      <w:r w:rsidRPr="00C85ABF">
        <w:rPr>
          <w:rFonts w:ascii="Simplified Arabic" w:eastAsia="Times New Roman" w:hAnsi="Simplified Arabic" w:cs="Simplified Arabic"/>
          <w:color w:val="000000" w:themeColor="text1"/>
          <w:kern w:val="0"/>
          <w:sz w:val="28"/>
          <w:szCs w:val="28"/>
          <w14:ligatures w14:val="none"/>
        </w:rPr>
        <w:t xml:space="preserve"> Monetary</w:t>
      </w:r>
      <w:r w:rsidRPr="00C85ABF">
        <w:rPr>
          <w:rFonts w:ascii="Simplified Arabic" w:eastAsia="Times New Roman" w:hAnsi="Simplified Arabic" w:cs="Simplified Arabic"/>
          <w:color w:val="000000" w:themeColor="text1"/>
          <w:kern w:val="0"/>
          <w:sz w:val="28"/>
          <w:szCs w:val="28"/>
          <w:rtl/>
          <w14:ligatures w14:val="none"/>
        </w:rPr>
        <w:t>، وفوائد الترفيه</w:t>
      </w:r>
      <w:r w:rsidRPr="00C85ABF">
        <w:rPr>
          <w:rFonts w:ascii="Simplified Arabic" w:eastAsia="Times New Roman" w:hAnsi="Simplified Arabic" w:cs="Simplified Arabic"/>
          <w:color w:val="000000" w:themeColor="text1"/>
          <w:kern w:val="0"/>
          <w:sz w:val="28"/>
          <w:szCs w:val="28"/>
          <w14:ligatures w14:val="none"/>
        </w:rPr>
        <w:t xml:space="preserve"> Entertainment</w:t>
      </w:r>
      <w:r w:rsidRPr="00C85ABF">
        <w:rPr>
          <w:rFonts w:ascii="Simplified Arabic" w:eastAsia="Times New Roman" w:hAnsi="Simplified Arabic" w:cs="Simplified Arabic"/>
          <w:color w:val="000000" w:themeColor="text1"/>
          <w:kern w:val="0"/>
          <w:sz w:val="28"/>
          <w:szCs w:val="28"/>
          <w:rtl/>
          <w14:ligatures w14:val="none"/>
        </w:rPr>
        <w:t xml:space="preserve">، وفوائد الاستكشاف </w:t>
      </w:r>
      <w:r w:rsidRPr="00C85ABF">
        <w:rPr>
          <w:rFonts w:ascii="Simplified Arabic" w:eastAsia="Times New Roman" w:hAnsi="Simplified Arabic" w:cs="Simplified Arabic"/>
          <w:color w:val="000000" w:themeColor="text1"/>
          <w:kern w:val="0"/>
          <w:sz w:val="28"/>
          <w:szCs w:val="28"/>
          <w14:ligatures w14:val="none"/>
        </w:rPr>
        <w:t>Exploration</w:t>
      </w:r>
      <w:r w:rsidRPr="00C85ABF">
        <w:rPr>
          <w:rFonts w:ascii="Simplified Arabic" w:eastAsia="Times New Roman" w:hAnsi="Simplified Arabic" w:cs="Simplified Arabic"/>
          <w:color w:val="000000" w:themeColor="text1"/>
          <w:kern w:val="0"/>
          <w:sz w:val="28"/>
          <w:szCs w:val="28"/>
          <w:rtl/>
          <w14:ligatures w14:val="none"/>
        </w:rPr>
        <w:t>، وفوائد التقدير</w:t>
      </w:r>
      <w:r w:rsidRPr="00C85ABF">
        <w:rPr>
          <w:rFonts w:ascii="Simplified Arabic" w:eastAsia="Times New Roman" w:hAnsi="Simplified Arabic" w:cs="Simplified Arabic"/>
          <w:color w:val="000000" w:themeColor="text1"/>
          <w:kern w:val="0"/>
          <w:sz w:val="28"/>
          <w:szCs w:val="28"/>
          <w14:ligatures w14:val="none"/>
        </w:rPr>
        <w:t xml:space="preserve"> Recognition</w:t>
      </w:r>
      <w:r w:rsidRPr="00C85ABF">
        <w:rPr>
          <w:rFonts w:ascii="Simplified Arabic" w:eastAsia="Times New Roman" w:hAnsi="Simplified Arabic" w:cs="Simplified Arabic"/>
          <w:color w:val="000000" w:themeColor="text1"/>
          <w:kern w:val="0"/>
          <w:sz w:val="28"/>
          <w:szCs w:val="28"/>
          <w:rtl/>
          <w14:ligatures w14:val="none"/>
        </w:rPr>
        <w:t>، والفوائد الاجتماعية</w:t>
      </w:r>
      <w:r w:rsidRPr="00C85ABF">
        <w:rPr>
          <w:rFonts w:ascii="Simplified Arabic" w:eastAsia="Times New Roman" w:hAnsi="Simplified Arabic" w:cs="Simplified Arabic"/>
          <w:color w:val="000000" w:themeColor="text1"/>
          <w:kern w:val="0"/>
          <w:sz w:val="28"/>
          <w:szCs w:val="28"/>
          <w14:ligatures w14:val="none"/>
        </w:rPr>
        <w:t xml:space="preserve"> Social) </w:t>
      </w:r>
      <w:r w:rsidRPr="00C85ABF">
        <w:rPr>
          <w:rFonts w:ascii="Simplified Arabic" w:eastAsia="Times New Roman" w:hAnsi="Simplified Arabic" w:cs="Simplified Arabic"/>
          <w:color w:val="000000" w:themeColor="text1"/>
          <w:kern w:val="0"/>
          <w:sz w:val="28"/>
          <w:szCs w:val="28"/>
          <w:rtl/>
          <w14:ligatures w14:val="none"/>
        </w:rPr>
        <w:t xml:space="preserve">على ولاء العميل تجاه العلامة التجارية من خلال الدور الوسيط لامتنان العميل </w:t>
      </w:r>
      <w:r w:rsidRPr="00C85ABF">
        <w:rPr>
          <w:rFonts w:ascii="Simplified Arabic" w:eastAsia="Times New Roman" w:hAnsi="Simplified Arabic" w:cs="Simplified Arabic"/>
          <w:color w:val="000000" w:themeColor="text1"/>
          <w:kern w:val="0"/>
          <w:sz w:val="28"/>
          <w:szCs w:val="28"/>
          <w14:ligatures w14:val="none"/>
        </w:rPr>
        <w:t xml:space="preserve">(Customer Gratitude). </w:t>
      </w:r>
      <w:r w:rsidRPr="00C85ABF">
        <w:rPr>
          <w:rFonts w:ascii="Simplified Arabic" w:eastAsia="Times New Roman" w:hAnsi="Simplified Arabic" w:cs="Simplified Arabic"/>
          <w:color w:val="000000" w:themeColor="text1"/>
          <w:kern w:val="0"/>
          <w:sz w:val="28"/>
          <w:szCs w:val="28"/>
          <w:rtl/>
          <w14:ligatures w14:val="none"/>
        </w:rPr>
        <w:t>واستخدمت الدراسة المنهج الكمي، حيث أُجري مسح إلكتروني على أعضاء برامج الولاء في قطاع التجزئة من المتحدثين بالفرنسية في مقاطعة كيبيك الكندية، وتمّ تحليل البيانات باستخدام نمذجة المعادلات الهيكلية بأسلوب المربعات الصغرى الجزئية</w:t>
      </w:r>
      <w:r w:rsidRPr="00C85ABF">
        <w:rPr>
          <w:rFonts w:ascii="Simplified Arabic" w:eastAsia="Times New Roman" w:hAnsi="Simplified Arabic" w:cs="Simplified Arabic"/>
          <w:color w:val="000000" w:themeColor="text1"/>
          <w:kern w:val="0"/>
          <w:sz w:val="28"/>
          <w:szCs w:val="28"/>
          <w14:ligatures w14:val="none"/>
        </w:rPr>
        <w:t xml:space="preserve"> (PLS-SEM). </w:t>
      </w:r>
      <w:r w:rsidRPr="00C85ABF">
        <w:rPr>
          <w:rFonts w:ascii="Simplified Arabic" w:eastAsia="Times New Roman" w:hAnsi="Simplified Arabic" w:cs="Simplified Arabic"/>
          <w:color w:val="000000" w:themeColor="text1"/>
          <w:kern w:val="0"/>
          <w:sz w:val="28"/>
          <w:szCs w:val="28"/>
          <w:rtl/>
          <w14:ligatures w14:val="none"/>
        </w:rPr>
        <w:t>وتوصلت نتائج الدراسة إلى أن ثلاثة أبعاد فقط من فوائد برامج الولاء أسهمت بشكل دال إحصائياً في تعزيز امتنان العميل، وهي: فوائد الترفيه، وفوائد التقدير، والفوائد الاجتماعية، بينما لم يكن للفوائد النقدية ولا لفوائد الاستكشاف تأثير مباشر على الامتنان أو الولاء. كما تبيّن أن الامتنان يرتبط ارتباطاً إيجابياً قوياً بالولاء ويتوسط بشكل كامل العلاقة بين فوائد الترفيه والتقدير والولاء. وأوصت الدراسة مديري برامج الولاء بضرورة التركيز على الفوائد غير النقدية كالتقدير والترفيه والتفاعل الاجتماعي لبناء امتنان حقيقي يتحوّل إلى ولاء مستدام</w:t>
      </w:r>
      <w:r w:rsidRPr="00C85ABF">
        <w:rPr>
          <w:rFonts w:ascii="Simplified Arabic" w:eastAsia="Times New Roman" w:hAnsi="Simplified Arabic" w:cs="Simplified Arabic"/>
          <w:color w:val="000000" w:themeColor="text1"/>
          <w:kern w:val="0"/>
          <w:sz w:val="28"/>
          <w:szCs w:val="28"/>
          <w14:ligatures w14:val="none"/>
        </w:rPr>
        <w:t>.</w:t>
      </w:r>
    </w:p>
    <w:p w14:paraId="7460ABC5" w14:textId="0BD72E49" w:rsidR="00A372D1" w:rsidRPr="00C85ABF" w:rsidRDefault="00A372D1" w:rsidP="00D517E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85ABF">
        <w:rPr>
          <w:rFonts w:ascii="Simplified Arabic" w:eastAsia="Times New Roman" w:hAnsi="Simplified Arabic" w:cs="Simplified Arabic"/>
          <w:b/>
          <w:bCs/>
          <w:color w:val="000000" w:themeColor="text1"/>
          <w:kern w:val="0"/>
          <w:sz w:val="28"/>
          <w:szCs w:val="28"/>
          <w:rtl/>
          <w14:ligatures w14:val="none"/>
        </w:rPr>
        <w:t>دراسة</w:t>
      </w:r>
      <w:r w:rsidRPr="00C85ABF">
        <w:rPr>
          <w:rFonts w:ascii="Simplified Arabic" w:eastAsia="Times New Roman" w:hAnsi="Simplified Arabic" w:cs="Simplified Arabic"/>
          <w:b/>
          <w:bCs/>
          <w:color w:val="000000" w:themeColor="text1"/>
          <w:kern w:val="0"/>
          <w:sz w:val="28"/>
          <w:szCs w:val="28"/>
          <w14:ligatures w14:val="none"/>
        </w:rPr>
        <w:t xml:space="preserve"> Chiguvi, Tadu, Mugwati, &amp; Jagadeesh (2025)</w:t>
      </w:r>
      <w:r w:rsidRPr="00C85ABF">
        <w:rPr>
          <w:rFonts w:ascii="Simplified Arabic" w:eastAsia="Times New Roman" w:hAnsi="Simplified Arabic" w:cs="Simplified Arabic"/>
          <w:b/>
          <w:bCs/>
          <w:color w:val="000000" w:themeColor="text1"/>
          <w:kern w:val="0"/>
          <w:sz w:val="28"/>
          <w:szCs w:val="28"/>
          <w:rtl/>
          <w14:ligatures w14:val="none"/>
        </w:rPr>
        <w:t>، بعنوان</w:t>
      </w:r>
      <w:r w:rsidRPr="00C85ABF">
        <w:rPr>
          <w:rFonts w:ascii="Simplified Arabic" w:eastAsia="Times New Roman" w:hAnsi="Simplified Arabic" w:cs="Simplified Arabic"/>
          <w:b/>
          <w:bCs/>
          <w:color w:val="000000" w:themeColor="text1"/>
          <w:kern w:val="0"/>
          <w:sz w:val="28"/>
          <w:szCs w:val="28"/>
          <w14:ligatures w14:val="none"/>
        </w:rPr>
        <w:t xml:space="preserve">: "Enhancing Customer Experience and Its Impact on Customer Loyalty: Aligning Banking Sector Practices with Sustainable Development Goals (SDGs)" </w:t>
      </w:r>
      <w:r w:rsidRPr="00C85ABF">
        <w:rPr>
          <w:rFonts w:ascii="Simplified Arabic" w:eastAsia="Times New Roman" w:hAnsi="Simplified Arabic" w:cs="Simplified Arabic"/>
          <w:b/>
          <w:bCs/>
          <w:color w:val="000000" w:themeColor="text1"/>
          <w:kern w:val="0"/>
          <w:sz w:val="28"/>
          <w:szCs w:val="28"/>
          <w:rtl/>
          <w14:ligatures w14:val="none"/>
        </w:rPr>
        <w:t>تعزيز تجربة العميل وأثرها على ولاء العملاء: مواءمة ممارسات القطاع المصرفي مع أهداف التنمية المستدامة</w:t>
      </w:r>
    </w:p>
    <w:p w14:paraId="3BAA8EF7" w14:textId="77777777" w:rsidR="00A372D1" w:rsidRPr="00C85ABF" w:rsidRDefault="00A372D1" w:rsidP="00D517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هدفت هذه الدراسة إلى التعرف على أثر التطورات التكنولوجية في القطاع المصرفي، وخاصةً الذكاء الاصطناعي والأتمتة، على تجربة العملاء وولائهم، مع استكشاف كيفية مواءمة هذه التحسينات مع أهداف التنمية المستدامة</w:t>
      </w:r>
      <w:r w:rsidRPr="00C85ABF">
        <w:rPr>
          <w:rFonts w:ascii="Simplified Arabic" w:eastAsia="Times New Roman" w:hAnsi="Simplified Arabic" w:cs="Simplified Arabic"/>
          <w:color w:val="000000" w:themeColor="text1"/>
          <w:kern w:val="0"/>
          <w:sz w:val="28"/>
          <w:szCs w:val="28"/>
          <w14:ligatures w14:val="none"/>
        </w:rPr>
        <w:t xml:space="preserve"> (SDGs) </w:t>
      </w:r>
      <w:r w:rsidRPr="00C85ABF">
        <w:rPr>
          <w:rFonts w:ascii="Simplified Arabic" w:eastAsia="Times New Roman" w:hAnsi="Simplified Arabic" w:cs="Simplified Arabic"/>
          <w:color w:val="000000" w:themeColor="text1"/>
          <w:kern w:val="0"/>
          <w:sz w:val="28"/>
          <w:szCs w:val="28"/>
          <w:rtl/>
          <w14:ligatures w14:val="none"/>
        </w:rPr>
        <w:t xml:space="preserve">لتحقيق مزايا تنافسية مستدامة في القطاع المصرفي ببوتسوانا. وقد ارتكزت الدراسة على الإطار النظري لمنطق الخدمة المهيمن </w:t>
      </w:r>
      <w:r w:rsidRPr="00C85ABF">
        <w:rPr>
          <w:rFonts w:ascii="Simplified Arabic" w:eastAsia="Times New Roman" w:hAnsi="Simplified Arabic" w:cs="Simplified Arabic"/>
          <w:color w:val="000000" w:themeColor="text1"/>
          <w:kern w:val="0"/>
          <w:sz w:val="28"/>
          <w:szCs w:val="28"/>
          <w14:ligatures w14:val="none"/>
        </w:rPr>
        <w:t xml:space="preserve">(Service-Dominant Logic - SDL) </w:t>
      </w:r>
      <w:r w:rsidRPr="00C85ABF">
        <w:rPr>
          <w:rFonts w:ascii="Simplified Arabic" w:eastAsia="Times New Roman" w:hAnsi="Simplified Arabic" w:cs="Simplified Arabic"/>
          <w:color w:val="000000" w:themeColor="text1"/>
          <w:kern w:val="0"/>
          <w:sz w:val="28"/>
          <w:szCs w:val="28"/>
          <w:rtl/>
          <w14:ligatures w14:val="none"/>
        </w:rPr>
        <w:t>ونموذج قبول التكنولوجيا</w:t>
      </w:r>
      <w:r w:rsidRPr="00C85ABF">
        <w:rPr>
          <w:rFonts w:ascii="Simplified Arabic" w:eastAsia="Times New Roman" w:hAnsi="Simplified Arabic" w:cs="Simplified Arabic"/>
          <w:color w:val="000000" w:themeColor="text1"/>
          <w:kern w:val="0"/>
          <w:sz w:val="28"/>
          <w:szCs w:val="28"/>
          <w14:ligatures w14:val="none"/>
        </w:rPr>
        <w:t xml:space="preserve"> (TAM). </w:t>
      </w:r>
      <w:r w:rsidRPr="00C85ABF">
        <w:rPr>
          <w:rFonts w:ascii="Simplified Arabic" w:eastAsia="Times New Roman" w:hAnsi="Simplified Arabic" w:cs="Simplified Arabic"/>
          <w:color w:val="000000" w:themeColor="text1"/>
          <w:kern w:val="0"/>
          <w:sz w:val="28"/>
          <w:szCs w:val="28"/>
          <w:rtl/>
          <w14:ligatures w14:val="none"/>
        </w:rPr>
        <w:t>واستخدمت الدراسة منهجاً مختلطاً</w:t>
      </w:r>
      <w:r w:rsidRPr="00C85ABF">
        <w:rPr>
          <w:rFonts w:ascii="Simplified Arabic" w:eastAsia="Times New Roman" w:hAnsi="Simplified Arabic" w:cs="Simplified Arabic"/>
          <w:color w:val="000000" w:themeColor="text1"/>
          <w:kern w:val="0"/>
          <w:sz w:val="28"/>
          <w:szCs w:val="28"/>
          <w14:ligatures w14:val="none"/>
        </w:rPr>
        <w:t xml:space="preserve"> (Mixed-Methods) </w:t>
      </w:r>
      <w:r w:rsidRPr="00C85ABF">
        <w:rPr>
          <w:rFonts w:ascii="Simplified Arabic" w:eastAsia="Times New Roman" w:hAnsi="Simplified Arabic" w:cs="Simplified Arabic"/>
          <w:color w:val="000000" w:themeColor="text1"/>
          <w:kern w:val="0"/>
          <w:sz w:val="28"/>
          <w:szCs w:val="28"/>
          <w:rtl/>
          <w14:ligatures w14:val="none"/>
        </w:rPr>
        <w:t>يجمع بين الأساليب الكمية والنوعية، حيث تمّ جمع البيانات الكمية من خلال المسوح وآليات التغذية الراجعة من العملاء، وتكوّنت العينة من (200) مستجيب تمّ اختيارهم عشوائياً من عملاء البنوك في بوتسوانا، وحُلِّلت البيانات باستخدام الإحصاء الوصفي والاستدلالي عبر برنامج</w:t>
      </w:r>
      <w:r w:rsidRPr="00C85ABF">
        <w:rPr>
          <w:rFonts w:ascii="Simplified Arabic" w:eastAsia="Times New Roman" w:hAnsi="Simplified Arabic" w:cs="Simplified Arabic"/>
          <w:color w:val="000000" w:themeColor="text1"/>
          <w:kern w:val="0"/>
          <w:sz w:val="28"/>
          <w:szCs w:val="28"/>
          <w14:ligatures w14:val="none"/>
        </w:rPr>
        <w:t xml:space="preserve"> SPSS. </w:t>
      </w:r>
      <w:r w:rsidRPr="00C85ABF">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إيجابية قوية ودالة إحصائياً بين تجربة العميل وولاء العملاء بمعامل ارتباط</w:t>
      </w:r>
      <w:r w:rsidRPr="00C85ABF">
        <w:rPr>
          <w:rFonts w:ascii="Simplified Arabic" w:eastAsia="Times New Roman" w:hAnsi="Simplified Arabic" w:cs="Simplified Arabic"/>
          <w:color w:val="000000" w:themeColor="text1"/>
          <w:kern w:val="0"/>
          <w:sz w:val="28"/>
          <w:szCs w:val="28"/>
          <w14:ligatures w14:val="none"/>
        </w:rPr>
        <w:t xml:space="preserve"> (R = 0.883) </w:t>
      </w:r>
      <w:r w:rsidRPr="00C85ABF">
        <w:rPr>
          <w:rFonts w:ascii="Simplified Arabic" w:eastAsia="Times New Roman" w:hAnsi="Simplified Arabic" w:cs="Simplified Arabic"/>
          <w:color w:val="000000" w:themeColor="text1"/>
          <w:kern w:val="0"/>
          <w:sz w:val="28"/>
          <w:szCs w:val="28"/>
          <w:rtl/>
          <w14:ligatures w14:val="none"/>
        </w:rPr>
        <w:t>ومعامل تحديد</w:t>
      </w:r>
      <w:r w:rsidRPr="00C85ABF">
        <w:rPr>
          <w:rFonts w:ascii="Simplified Arabic" w:eastAsia="Times New Roman" w:hAnsi="Simplified Arabic" w:cs="Simplified Arabic"/>
          <w:color w:val="000000" w:themeColor="text1"/>
          <w:kern w:val="0"/>
          <w:sz w:val="28"/>
          <w:szCs w:val="28"/>
          <w14:ligatures w14:val="none"/>
        </w:rPr>
        <w:t xml:space="preserve"> (R² = 0.831)</w:t>
      </w:r>
      <w:r w:rsidRPr="00C85ABF">
        <w:rPr>
          <w:rFonts w:ascii="Simplified Arabic" w:eastAsia="Times New Roman" w:hAnsi="Simplified Arabic" w:cs="Simplified Arabic"/>
          <w:color w:val="000000" w:themeColor="text1"/>
          <w:kern w:val="0"/>
          <w:sz w:val="28"/>
          <w:szCs w:val="28"/>
          <w:rtl/>
          <w14:ligatures w14:val="none"/>
        </w:rPr>
        <w:t xml:space="preserve">، مما يعني أن نحو (88.3%) من ولاء العملاء يُعزى إلى تجربة العميل. كما أظهرت </w:t>
      </w:r>
      <w:r w:rsidRPr="00C85ABF">
        <w:rPr>
          <w:rFonts w:ascii="Simplified Arabic" w:eastAsia="Times New Roman" w:hAnsi="Simplified Arabic" w:cs="Simplified Arabic"/>
          <w:color w:val="000000" w:themeColor="text1"/>
          <w:kern w:val="0"/>
          <w:sz w:val="28"/>
          <w:szCs w:val="28"/>
          <w:rtl/>
          <w14:ligatures w14:val="none"/>
        </w:rPr>
        <w:lastRenderedPageBreak/>
        <w:t>النتائج مستويات ولاء مرتفعة بين عملاء بنك ستانبيك بمتوسط عام (4.78) من (5). وأوصت الدراسة بضرورة إنشاء مجالس استشارية للعملاء، وإجراء مسوح دورية لقياس رضا العملاء، ورسم خرائط رحلة العميل، والاستثمار في التعليم المالي للعملاء، مع تحقيق التوازن بين التفاعل الرقمي والإنساني</w:t>
      </w:r>
      <w:r w:rsidRPr="00C85ABF">
        <w:rPr>
          <w:rFonts w:ascii="Simplified Arabic" w:eastAsia="Times New Roman" w:hAnsi="Simplified Arabic" w:cs="Simplified Arabic"/>
          <w:color w:val="000000" w:themeColor="text1"/>
          <w:kern w:val="0"/>
          <w:sz w:val="28"/>
          <w:szCs w:val="28"/>
          <w14:ligatures w14:val="none"/>
        </w:rPr>
        <w:t>.</w:t>
      </w:r>
    </w:p>
    <w:p w14:paraId="0476EBF2" w14:textId="77777777" w:rsidR="00A372D1" w:rsidRPr="00C85ABF" w:rsidRDefault="00A372D1" w:rsidP="00D517E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85ABF">
        <w:rPr>
          <w:rFonts w:ascii="Simplified Arabic" w:eastAsia="Times New Roman" w:hAnsi="Simplified Arabic" w:cs="Simplified Arabic"/>
          <w:b/>
          <w:bCs/>
          <w:color w:val="000000" w:themeColor="text1"/>
          <w:kern w:val="0"/>
          <w:sz w:val="28"/>
          <w:szCs w:val="28"/>
          <w:rtl/>
          <w14:ligatures w14:val="none"/>
        </w:rPr>
        <w:t>دراسة عبدالخالق، وعبدالحميد، والسطوحي</w:t>
      </w:r>
      <w:r w:rsidRPr="00C85ABF">
        <w:rPr>
          <w:rFonts w:ascii="Simplified Arabic" w:eastAsia="Times New Roman" w:hAnsi="Simplified Arabic" w:cs="Simplified Arabic"/>
          <w:b/>
          <w:bCs/>
          <w:color w:val="000000" w:themeColor="text1"/>
          <w:kern w:val="0"/>
          <w:sz w:val="28"/>
          <w:szCs w:val="28"/>
          <w14:ligatures w14:val="none"/>
        </w:rPr>
        <w:t xml:space="preserve"> (2023)</w:t>
      </w:r>
      <w:r w:rsidRPr="00C85ABF">
        <w:rPr>
          <w:rFonts w:ascii="Simplified Arabic" w:eastAsia="Times New Roman" w:hAnsi="Simplified Arabic" w:cs="Simplified Arabic"/>
          <w:b/>
          <w:bCs/>
          <w:color w:val="000000" w:themeColor="text1"/>
          <w:kern w:val="0"/>
          <w:sz w:val="28"/>
          <w:szCs w:val="28"/>
          <w:rtl/>
          <w14:ligatures w14:val="none"/>
        </w:rPr>
        <w:t>، بعنوان: "أثر تجربة العميل على شخصية العلامة التجارية: دراسة ميدانية بالتطبيق على ركاب شركات الطيران في مصر</w:t>
      </w:r>
      <w:r w:rsidRPr="00C85ABF">
        <w:rPr>
          <w:rFonts w:ascii="Simplified Arabic" w:eastAsia="Times New Roman" w:hAnsi="Simplified Arabic" w:cs="Simplified Arabic"/>
          <w:b/>
          <w:bCs/>
          <w:color w:val="000000" w:themeColor="text1"/>
          <w:kern w:val="0"/>
          <w:sz w:val="28"/>
          <w:szCs w:val="28"/>
          <w14:ligatures w14:val="none"/>
        </w:rPr>
        <w:t>".</w:t>
      </w:r>
    </w:p>
    <w:p w14:paraId="61466526" w14:textId="77777777" w:rsidR="00A372D1" w:rsidRPr="00C85ABF" w:rsidRDefault="00A372D1" w:rsidP="00D517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يمكن استعراض هذه الدراسة من منظور المتغير التابع (ولاء العملاء) باعتبار أن شخصية العلامة التجارية تُعدّ أحد المحركات الرئيسية لولاء العملاء. فقد هدفت الدراسة إلى قياس أثر تجربة العميل بأبعادها المتعددة (التجربة الحسية، والعاطفية، والإدراكية، والسلوكية، وتجربة الارتباط) على شخصية العلامة التجارية التي تُعدّ مقدّمة أساسية لتحقيق ولاء العملاء في قطاع الطيران المصري. وتتجلى أهمية هذه الدراسة في سياق ولاء العملاء من خلال تأكيدها على أن بناء شخصية قوية ومميزة للعلامة التجارية عبر التجارب الإيجابية المتكاملة يُنشئ روابط عاطفية ومعرفية بين الركاب والعلامة التجارية، مما يُفضي بدوره إلى تعزيز الولاء والحدّ من سلوك التبديل نحو المنافسين. واستخدمت الدراسة المنهج الوصفي التحليلي، واعتمدت على أداة الاستبانة لجمع البيانات من ركاب شركات الطيران، وتمّ التحليل باستخدام برنامج</w:t>
      </w:r>
      <w:r w:rsidRPr="00C85ABF">
        <w:rPr>
          <w:rFonts w:ascii="Simplified Arabic" w:eastAsia="Times New Roman" w:hAnsi="Simplified Arabic" w:cs="Simplified Arabic"/>
          <w:color w:val="000000" w:themeColor="text1"/>
          <w:kern w:val="0"/>
          <w:sz w:val="28"/>
          <w:szCs w:val="28"/>
          <w14:ligatures w14:val="none"/>
        </w:rPr>
        <w:t xml:space="preserve"> SPSS. </w:t>
      </w:r>
      <w:r w:rsidRPr="00C85ABF">
        <w:rPr>
          <w:rFonts w:ascii="Simplified Arabic" w:eastAsia="Times New Roman" w:hAnsi="Simplified Arabic" w:cs="Simplified Arabic"/>
          <w:color w:val="000000" w:themeColor="text1"/>
          <w:kern w:val="0"/>
          <w:sz w:val="28"/>
          <w:szCs w:val="28"/>
          <w:rtl/>
          <w14:ligatures w14:val="none"/>
        </w:rPr>
        <w:t>وأكدت النتائج وجود تأثير جوهري لأبعاد تجربة العميل على شخصية العلامة التجارية، وبخاصة البُعد العاطفي وبُعد الارتباط اللذان يُشكّلان الأساس النفسي والاجتماعي للولاء طويل الأمد. وأوصت الدراسة بأن تعمل شركات الطيران على بناء تجارب متسقة وعميقة تُعزّز من الارتباط العاطفي والمعرفي للركاب بالعلامة التجارية كمدخل فعّال لبناء الولاء المستدام</w:t>
      </w:r>
      <w:r w:rsidRPr="00C85ABF">
        <w:rPr>
          <w:rFonts w:ascii="Simplified Arabic" w:eastAsia="Times New Roman" w:hAnsi="Simplified Arabic" w:cs="Simplified Arabic"/>
          <w:color w:val="000000" w:themeColor="text1"/>
          <w:kern w:val="0"/>
          <w:sz w:val="28"/>
          <w:szCs w:val="28"/>
          <w14:ligatures w14:val="none"/>
        </w:rPr>
        <w:t>.</w:t>
      </w:r>
    </w:p>
    <w:p w14:paraId="1E30C380" w14:textId="3E2DF9C0" w:rsidR="00A372D1" w:rsidRPr="00C85ABF" w:rsidRDefault="00A372D1" w:rsidP="00D517EF">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85ABF">
        <w:rPr>
          <w:rFonts w:ascii="Simplified Arabic" w:eastAsia="Times New Roman" w:hAnsi="Simplified Arabic" w:cs="Simplified Arabic"/>
          <w:b/>
          <w:bCs/>
          <w:color w:val="000000" w:themeColor="text1"/>
          <w:kern w:val="0"/>
          <w:sz w:val="28"/>
          <w:szCs w:val="28"/>
          <w:rtl/>
          <w14:ligatures w14:val="none"/>
        </w:rPr>
        <w:t>دراسة</w:t>
      </w:r>
      <w:r w:rsidRPr="00C85ABF">
        <w:rPr>
          <w:rFonts w:ascii="Simplified Arabic" w:eastAsia="Times New Roman" w:hAnsi="Simplified Arabic" w:cs="Simplified Arabic"/>
          <w:b/>
          <w:bCs/>
          <w:color w:val="000000" w:themeColor="text1"/>
          <w:kern w:val="0"/>
          <w:sz w:val="28"/>
          <w:szCs w:val="28"/>
          <w14:ligatures w14:val="none"/>
        </w:rPr>
        <w:t xml:space="preserve"> Chiguvi, Tadu, Mugwati, &amp; Jagadeesh (2025)</w:t>
      </w:r>
      <w:r w:rsidRPr="00C85ABF">
        <w:rPr>
          <w:rFonts w:ascii="Simplified Arabic" w:eastAsia="Times New Roman" w:hAnsi="Simplified Arabic" w:cs="Simplified Arabic"/>
          <w:b/>
          <w:bCs/>
          <w:color w:val="000000" w:themeColor="text1"/>
          <w:kern w:val="0"/>
          <w:sz w:val="28"/>
          <w:szCs w:val="28"/>
          <w:rtl/>
          <w14:ligatures w14:val="none"/>
        </w:rPr>
        <w:t>، بعنوان</w:t>
      </w:r>
      <w:r w:rsidRPr="00C85ABF">
        <w:rPr>
          <w:rFonts w:ascii="Simplified Arabic" w:eastAsia="Times New Roman" w:hAnsi="Simplified Arabic" w:cs="Simplified Arabic"/>
          <w:b/>
          <w:bCs/>
          <w:color w:val="000000" w:themeColor="text1"/>
          <w:kern w:val="0"/>
          <w:sz w:val="28"/>
          <w:szCs w:val="28"/>
          <w14:ligatures w14:val="none"/>
        </w:rPr>
        <w:t xml:space="preserve">: "Enhancing Customer Experience and Its Impact on Customer Loyalty: Aligning Banking Sector Practices with Sustainable Development Goals (SDGs)" </w:t>
      </w:r>
      <w:r w:rsidRPr="00C85ABF">
        <w:rPr>
          <w:rFonts w:ascii="Simplified Arabic" w:eastAsia="Times New Roman" w:hAnsi="Simplified Arabic" w:cs="Simplified Arabic"/>
          <w:b/>
          <w:bCs/>
          <w:color w:val="000000" w:themeColor="text1"/>
          <w:kern w:val="0"/>
          <w:sz w:val="28"/>
          <w:szCs w:val="28"/>
          <w:rtl/>
          <w14:ligatures w14:val="none"/>
        </w:rPr>
        <w:t>تعزيز تجربة العميل وأثرها على ولاء العملاء: مواءمة ممارسات القطاع المصرفي مع أهداف التنمية المستدامة</w:t>
      </w:r>
      <w:r w:rsidRPr="00C85ABF">
        <w:rPr>
          <w:rFonts w:ascii="Simplified Arabic" w:eastAsia="Times New Roman" w:hAnsi="Simplified Arabic" w:cs="Simplified Arabic"/>
          <w:b/>
          <w:bCs/>
          <w:color w:val="000000" w:themeColor="text1"/>
          <w:kern w:val="0"/>
          <w:sz w:val="28"/>
          <w:szCs w:val="28"/>
          <w14:ligatures w14:val="none"/>
        </w:rPr>
        <w:t>.</w:t>
      </w:r>
    </w:p>
    <w:p w14:paraId="4FC8CE08" w14:textId="77777777" w:rsidR="00A372D1" w:rsidRPr="00C85ABF" w:rsidRDefault="00A372D1" w:rsidP="00D517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 xml:space="preserve">يمكن استعراض هذه الدراسة من منظور المتغير التابع (ولاء العملاء) بوصفه المخرج الاستراتيجي الأساسي الذي سعت الدراسة إلى تفسيره وتعزيزه. فقد ركّزت الدراسة على قياس مستويات ولاء العملاء في القطاع المصرفي ببوتسوانا وتحديد العوامل المؤثرة فيه، مع مواءمة ذلك مع أهداف التنمية المستدامة. </w:t>
      </w:r>
      <w:r w:rsidRPr="00C85ABF">
        <w:rPr>
          <w:rFonts w:ascii="Simplified Arabic" w:eastAsia="Times New Roman" w:hAnsi="Simplified Arabic" w:cs="Simplified Arabic"/>
          <w:color w:val="000000" w:themeColor="text1"/>
          <w:kern w:val="0"/>
          <w:sz w:val="28"/>
          <w:szCs w:val="28"/>
          <w:rtl/>
          <w14:ligatures w14:val="none"/>
        </w:rPr>
        <w:lastRenderedPageBreak/>
        <w:t xml:space="preserve">وكشفت نتائج الدراسة الوصفية عن مستويات ولاء مرتفعة جداً بين عملاء بنك ستانبيك، حيث بلغ متوسط بُعد "الاحتفاظ بالبنك رغم عروض المنافسين" (4.94 من 5) وهو الأعلى بين أبعاد الولاء، يليه بُعد </w:t>
      </w:r>
      <w:r w:rsidRPr="00C85ABF">
        <w:rPr>
          <w:rFonts w:ascii="Simplified Arabic" w:eastAsia="Times New Roman" w:hAnsi="Simplified Arabic" w:cs="Simplified Arabic"/>
          <w:color w:val="000000" w:themeColor="text1"/>
          <w:kern w:val="0"/>
          <w:sz w:val="28"/>
          <w:szCs w:val="28"/>
          <w14:ligatures w14:val="none"/>
        </w:rPr>
        <w:t>"</w:t>
      </w:r>
      <w:r w:rsidRPr="00C85ABF">
        <w:rPr>
          <w:rFonts w:ascii="Simplified Arabic" w:eastAsia="Times New Roman" w:hAnsi="Simplified Arabic" w:cs="Simplified Arabic"/>
          <w:color w:val="000000" w:themeColor="text1"/>
          <w:kern w:val="0"/>
          <w:sz w:val="28"/>
          <w:szCs w:val="28"/>
          <w:rtl/>
          <w14:ligatures w14:val="none"/>
        </w:rPr>
        <w:t>اعتبار البنك الخيار الأول" بمتوسط (4.88)، ثم بُعد "نية الاستمرار المستقبلية" بمتوسط (4.82)، وبلغ المتوسط العام لولاء العملاء (4.78). وقد ربطت الدراسة هذه المستويات العالية من الولاء بعدة أهداف للتنمية المستدامة، من أبرزها الهدف الثامن (العمل اللائق والنمو الاقتصادي)، والهدف التاسع (الصناعة والابتكار والبنية التحتية)، والهدف العاشر (الحدّ من أوجه عدم المساواة). وأكدت النتائج الاستدلالية أن تجربة العميل تُفسّر نحو (83.1%) من التباين في ولاء العملاء</w:t>
      </w:r>
      <w:r w:rsidRPr="00C85ABF">
        <w:rPr>
          <w:rFonts w:ascii="Simplified Arabic" w:eastAsia="Times New Roman" w:hAnsi="Simplified Arabic" w:cs="Simplified Arabic"/>
          <w:color w:val="000000" w:themeColor="text1"/>
          <w:kern w:val="0"/>
          <w:sz w:val="28"/>
          <w:szCs w:val="28"/>
          <w14:ligatures w14:val="none"/>
        </w:rPr>
        <w:t xml:space="preserve"> (R² = 0.831)</w:t>
      </w:r>
      <w:r w:rsidRPr="00C85ABF">
        <w:rPr>
          <w:rFonts w:ascii="Simplified Arabic" w:eastAsia="Times New Roman" w:hAnsi="Simplified Arabic" w:cs="Simplified Arabic"/>
          <w:color w:val="000000" w:themeColor="text1"/>
          <w:kern w:val="0"/>
          <w:sz w:val="28"/>
          <w:szCs w:val="28"/>
          <w:rtl/>
          <w14:ligatures w14:val="none"/>
        </w:rPr>
        <w:t>، مما يعني أن ولاء العملاء يتأثر بشكل جوهري بجودة التجربة المقدّمة لهم عبر مختلف نقاط التماس. وأوصت الدراسة بأن تعتمد البنوك مقاربة متكاملة لتعزيز الولاء تجمع بين تطوير الحلول الرقمية المبتكرة والاستثمار في الكوادر البشرية المؤهلة وتبنّي ممارسات مستدامة تتوافق مع أهداف التنمية المستدامة</w:t>
      </w:r>
      <w:r w:rsidRPr="00C85ABF">
        <w:rPr>
          <w:rFonts w:ascii="Simplified Arabic" w:eastAsia="Times New Roman" w:hAnsi="Simplified Arabic" w:cs="Simplified Arabic"/>
          <w:color w:val="000000" w:themeColor="text1"/>
          <w:kern w:val="0"/>
          <w:sz w:val="28"/>
          <w:szCs w:val="28"/>
          <w14:ligatures w14:val="none"/>
        </w:rPr>
        <w:t>.</w:t>
      </w:r>
    </w:p>
    <w:p w14:paraId="3514E8A1" w14:textId="315D7074" w:rsidR="00862E8B" w:rsidRPr="00C85ABF" w:rsidRDefault="00862E8B" w:rsidP="00862E8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0" w:name="_Toc169790502"/>
      <w:bookmarkStart w:id="21" w:name="_Toc224218396"/>
      <w:bookmarkStart w:id="22" w:name="_Toc224289524"/>
      <w:bookmarkStart w:id="23" w:name="_Toc224116803"/>
      <w:bookmarkStart w:id="24" w:name="_Toc233980946"/>
      <w:bookmarkEnd w:id="17"/>
      <w:r w:rsidRPr="00C85ABF">
        <w:rPr>
          <w:rFonts w:ascii="Simplified Arabic" w:hAnsi="Simplified Arabic" w:cs="Simplified Arabic"/>
          <w:b/>
          <w:bCs/>
          <w:color w:val="000000" w:themeColor="text1"/>
          <w:sz w:val="36"/>
          <w:szCs w:val="36"/>
          <w:rtl/>
        </w:rPr>
        <w:t>8.1 الفجوة البحثية</w:t>
      </w:r>
      <w:bookmarkEnd w:id="24"/>
    </w:p>
    <w:p w14:paraId="4BFBC330" w14:textId="75427720" w:rsidR="00BF6E9C" w:rsidRPr="00C85ABF" w:rsidRDefault="005260C9" w:rsidP="00D517EF">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36"/>
          <w:sz w:val="28"/>
          <w:szCs w:val="28"/>
          <w:rtl/>
          <w14:ligatures w14:val="none"/>
        </w:rPr>
      </w:pPr>
      <w:r w:rsidRPr="00C85ABF">
        <w:rPr>
          <w:rFonts w:ascii="Simplified Arabic" w:hAnsi="Simplified Arabic" w:cs="Simplified Arabic"/>
          <w:color w:val="000000" w:themeColor="text1"/>
          <w:sz w:val="28"/>
          <w:szCs w:val="28"/>
          <w:rtl/>
        </w:rPr>
        <w:t>باستقراء الدراسات السابقة التي تناولت متغيري إدارة تجربة العميل وولاء العملاء، يتبيَّن أنَّ الجهود البحثية تركَّزت في معظمها على قطاعات خدمية محددة كالقطاع المصرفي (</w:t>
      </w:r>
      <w:r w:rsidRPr="00C85ABF">
        <w:rPr>
          <w:rFonts w:ascii="Simplified Arabic" w:hAnsi="Simplified Arabic" w:cs="Simplified Arabic"/>
          <w:color w:val="000000" w:themeColor="text1"/>
          <w:sz w:val="28"/>
          <w:szCs w:val="28"/>
        </w:rPr>
        <w:t>Makudza, 2021; Walpola &amp; Gunawardana, 2025; Chiguvi et al., 2025</w:t>
      </w:r>
      <w:r w:rsidRPr="00C85ABF">
        <w:rPr>
          <w:rFonts w:ascii="Simplified Arabic" w:hAnsi="Simplified Arabic" w:cs="Simplified Arabic"/>
          <w:color w:val="000000" w:themeColor="text1"/>
          <w:sz w:val="28"/>
          <w:szCs w:val="28"/>
          <w:rtl/>
        </w:rPr>
        <w:t>) وقطاع الطيران (عبدالخالق وآخرون، 2023) وقطاع التجزئة والصيدليات (</w:t>
      </w:r>
      <w:r w:rsidRPr="00C85ABF">
        <w:rPr>
          <w:rFonts w:ascii="Simplified Arabic" w:hAnsi="Simplified Arabic" w:cs="Simplified Arabic"/>
          <w:color w:val="000000" w:themeColor="text1"/>
          <w:sz w:val="28"/>
          <w:szCs w:val="28"/>
        </w:rPr>
        <w:t>Gunawan et al., 2025; Audrain-Pontevia &amp; Garnier, 2021</w:t>
      </w:r>
      <w:r w:rsidRPr="00C85ABF">
        <w:rPr>
          <w:rFonts w:ascii="Simplified Arabic" w:hAnsi="Simplified Arabic" w:cs="Simplified Arabic"/>
          <w:color w:val="000000" w:themeColor="text1"/>
          <w:sz w:val="28"/>
          <w:szCs w:val="28"/>
          <w:rtl/>
        </w:rPr>
        <w:t xml:space="preserve">) وقطاع السياحة (الشكري، 2023)، في حين يُلاحَظ غياب شبه تام للدراسات الأكاديمية التي بحثت في أثر إدارة تجربة العميل على ولاء المستفيدين في قطاع الإسكان والتطوير العقاري عموماً، وفي البيئة السعودية خصوصاً. كما أنَّ غالبية الدراسات السابقة أُجريت في سياقات جغرافية وثقافية مغايرة — كزمبابوي وسريلانكا وإندونيسيا وكندا ومصر والعراق — مما يُثير تساؤلاً مشروعاً حول مدى قابلية تعميم نتائجها على بيئة تتميز بخصوصيات اقتصادية وتنظيمية واجتماعية فريدة كالبيئة السعودية التي يشهد فيها قطاع الإسكان تحولات جوهرية في ظل رؤية 2030. فضلاً عن ذلك، اعتمدت معظم الدراسات على ثلاثة أبعاد لإدارة تجربة العميل — التفاعل الرقمي والخدمي والمادي — دون أن تُولي اهتماماً كافياً لبُعد التواصل والمتابعة بعد إتمام المعاملة، وهو بُعد بالغ الأهمية في قطاع الإسكان الذي تمتد فيه العلاقة بين المستفيد والشركة لسنوات طويلة بعد التعاقد والتسليم. وعليه، تتحدد الفجوة البحثية التي تسعى هذه الدراسة إلى سدِّها في كونها الأولى  في حدود علم الباحث التي تختبر أثر إدارة تجربة العميل بأبعادها </w:t>
      </w:r>
      <w:r w:rsidRPr="00C85ABF">
        <w:rPr>
          <w:rFonts w:ascii="Simplified Arabic" w:hAnsi="Simplified Arabic" w:cs="Simplified Arabic"/>
          <w:color w:val="000000" w:themeColor="text1"/>
          <w:sz w:val="28"/>
          <w:szCs w:val="28"/>
          <w:rtl/>
        </w:rPr>
        <w:lastRenderedPageBreak/>
        <w:t>الأربعة مجتمعةً على تعزيز ولاء المستفيدين في سياق قطاع الإسكان السعودي، متخذةً من الشركة الوطنية للإسكان (</w:t>
      </w:r>
      <w:r w:rsidRPr="00C85ABF">
        <w:rPr>
          <w:rFonts w:ascii="Simplified Arabic" w:hAnsi="Simplified Arabic" w:cs="Simplified Arabic"/>
          <w:color w:val="000000" w:themeColor="text1"/>
          <w:sz w:val="28"/>
          <w:szCs w:val="28"/>
        </w:rPr>
        <w:t>NHC</w:t>
      </w:r>
      <w:r w:rsidRPr="00C85ABF">
        <w:rPr>
          <w:rFonts w:ascii="Simplified Arabic" w:hAnsi="Simplified Arabic" w:cs="Simplified Arabic"/>
          <w:color w:val="000000" w:themeColor="text1"/>
          <w:sz w:val="28"/>
          <w:szCs w:val="28"/>
          <w:rtl/>
        </w:rPr>
        <w:t>) ميداناً للتطبيق.</w:t>
      </w:r>
      <w:r w:rsidR="00BF6E9C" w:rsidRPr="00C85ABF">
        <w:rPr>
          <w:rFonts w:ascii="Simplified Arabic" w:hAnsi="Simplified Arabic" w:cs="Simplified Arabic"/>
          <w:color w:val="000000" w:themeColor="text1"/>
          <w:sz w:val="28"/>
          <w:szCs w:val="28"/>
        </w:rPr>
        <w:t>.</w:t>
      </w:r>
      <w:bookmarkEnd w:id="21"/>
      <w:bookmarkEnd w:id="22"/>
    </w:p>
    <w:p w14:paraId="18E49611" w14:textId="77777777" w:rsidR="00862E8B" w:rsidRPr="00C85ABF" w:rsidRDefault="00862E8B" w:rsidP="00862E8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5" w:name="_Toc233980947"/>
      <w:bookmarkEnd w:id="23"/>
      <w:r w:rsidRPr="00C85ABF">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5"/>
    </w:p>
    <w:p w14:paraId="50A7102F" w14:textId="145DD3E9" w:rsidR="00862E8B" w:rsidRPr="00C85ABF" w:rsidRDefault="00862E8B" w:rsidP="00862E8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85ABF">
        <w:rPr>
          <w:rFonts w:ascii="Simplified Arabic" w:eastAsia="Times New Roman" w:hAnsi="Simplified Arabic" w:cs="Simplified Arabic"/>
          <w:b/>
          <w:bCs/>
          <w:color w:val="000000" w:themeColor="text1"/>
          <w:kern w:val="0"/>
          <w:sz w:val="32"/>
          <w:szCs w:val="32"/>
          <w:rtl/>
          <w14:ligatures w14:val="none"/>
        </w:rPr>
        <w:t>أولاً: إدارة تجربة العميل (</w:t>
      </w:r>
      <w:r w:rsidRPr="00C85ABF">
        <w:rPr>
          <w:rFonts w:ascii="Simplified Arabic" w:eastAsia="Times New Roman" w:hAnsi="Simplified Arabic" w:cs="Simplified Arabic"/>
          <w:b/>
          <w:bCs/>
          <w:color w:val="000000" w:themeColor="text1"/>
          <w:kern w:val="0"/>
          <w:sz w:val="32"/>
          <w:szCs w:val="32"/>
          <w14:ligatures w14:val="none"/>
        </w:rPr>
        <w:t>Customer Experience Management</w:t>
      </w:r>
      <w:r w:rsidRPr="00C85ABF">
        <w:rPr>
          <w:rFonts w:ascii="Simplified Arabic" w:eastAsia="Times New Roman" w:hAnsi="Simplified Arabic" w:cs="Simplified Arabic"/>
          <w:b/>
          <w:bCs/>
          <w:color w:val="000000" w:themeColor="text1"/>
          <w:kern w:val="0"/>
          <w:sz w:val="32"/>
          <w:szCs w:val="32"/>
          <w:rtl/>
          <w14:ligatures w14:val="none"/>
        </w:rPr>
        <w:t>)</w:t>
      </w:r>
    </w:p>
    <w:p w14:paraId="501BB94C" w14:textId="77777777" w:rsidR="005260C9" w:rsidRPr="00C85ABF" w:rsidRDefault="005260C9" w:rsidP="00862E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شهد مفهوم تجربة العميل تطوراً ملحوظاً في الفكر التسويقي والإداري خلال العقدين الأخيرين، إذ انتقل من كونه مفهوماً هامشياً مرتبطاً بجودة الخدمة إلى أن أصبح محوراً استراتيجياً تتنافس حوله المنظمات لتحقيق التميز والاستدامة. وتُعرَّف تجربة العميل بأنها مجموع الاستجابات الذاتية والداخلية التي تتولّد لدى العميل نتيجة تفاعله المباشر أو غير المباشر مع المنظمة عبر مختلف نقاط التماس رحلته معها، بدءاً من مرحلة الوعي والبحث، مروراً بالشراء والاستخدام، وانتهاءً بمرحلة ما بعد الحصول على المنتج أو الخدمة. وتتضمن هذه الاستجابات أبعاداً حسية وعاطفية ومعرفية وسلوكية واجتماعية تتشابك معاً لتُشكِّل الانطباع الكلي الذي يحمله العميل عن المنظمة (عبدالخالق وآخرون، 2023)</w:t>
      </w:r>
      <w:r w:rsidRPr="00C85ABF">
        <w:rPr>
          <w:rFonts w:ascii="Simplified Arabic" w:eastAsia="Times New Roman" w:hAnsi="Simplified Arabic" w:cs="Simplified Arabic"/>
          <w:color w:val="000000" w:themeColor="text1"/>
          <w:kern w:val="0"/>
          <w:sz w:val="28"/>
          <w:szCs w:val="28"/>
          <w14:ligatures w14:val="none"/>
        </w:rPr>
        <w:t>.</w:t>
      </w:r>
    </w:p>
    <w:p w14:paraId="52A070A6" w14:textId="77777777" w:rsidR="005260C9" w:rsidRPr="00C85ABF" w:rsidRDefault="005260C9" w:rsidP="00862E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أما إدارة تجربة العميل فتتجاوز مجرد رصد هذه الاستجابات إلى التخطيط المنهجي والتصميم المتعمَّد لكل نقطة تماس في رحلة العميل بهدف تقديم تجربة متسقة ومتميزة تفوق توقعاته. وتعتمد هذه الإدارة على فهم عميق لاحتياجات العميل وتوقعاته في كل مرحلة من مراحل رحلته، وتوظيف هذا الفهم في تصميم العمليات والأنظمة والبيئات التي يتفاعل معها</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وقد أثبتت الأدبيات أنَّ المنظمات التي تتبنى نهجاً منظماً في إدارة تجربة العميل تحقق مستويات أعلى من الرضا والولاء والربحية مقارنةً بالمنظمات التي تتعامل مع هذا الملف بصورة عشوائية أو مجزّأة</w:t>
      </w:r>
      <w:r w:rsidRPr="00C85ABF">
        <w:rPr>
          <w:rFonts w:ascii="Simplified Arabic" w:eastAsia="Times New Roman" w:hAnsi="Simplified Arabic" w:cs="Simplified Arabic"/>
          <w:color w:val="000000" w:themeColor="text1"/>
          <w:kern w:val="0"/>
          <w:sz w:val="28"/>
          <w:szCs w:val="28"/>
          <w14:ligatures w14:val="none"/>
        </w:rPr>
        <w:t xml:space="preserve"> (Makudza, 2021).</w:t>
      </w:r>
    </w:p>
    <w:p w14:paraId="700E7A8D" w14:textId="77777777" w:rsidR="005260C9" w:rsidRPr="00C85ABF" w:rsidRDefault="005260C9" w:rsidP="00862E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وفي سياق هذه الدراسة، تتبنى الباحثة أربعة أبعاد رئيسية لإدارة تجربة العميل تتناسب مع طبيعة قطاع الإسكان والخدمات التي تُقدِّمها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r w:rsidRPr="00C85ABF">
        <w:rPr>
          <w:rFonts w:ascii="Simplified Arabic" w:eastAsia="Times New Roman" w:hAnsi="Simplified Arabic" w:cs="Simplified Arabic"/>
          <w:color w:val="000000" w:themeColor="text1"/>
          <w:kern w:val="0"/>
          <w:sz w:val="28"/>
          <w:szCs w:val="28"/>
          <w:rtl/>
          <w14:ligatures w14:val="none"/>
        </w:rPr>
        <w:t>، وهي كالتالي</w:t>
      </w:r>
      <w:r w:rsidRPr="00C85ABF">
        <w:rPr>
          <w:rFonts w:ascii="Simplified Arabic" w:eastAsia="Times New Roman" w:hAnsi="Simplified Arabic" w:cs="Simplified Arabic"/>
          <w:color w:val="000000" w:themeColor="text1"/>
          <w:kern w:val="0"/>
          <w:sz w:val="28"/>
          <w:szCs w:val="28"/>
          <w14:ligatures w14:val="none"/>
        </w:rPr>
        <w:t>:</w:t>
      </w:r>
    </w:p>
    <w:p w14:paraId="768062CA" w14:textId="77777777" w:rsidR="005260C9" w:rsidRPr="00C85ABF" w:rsidRDefault="005260C9" w:rsidP="00862E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البُعد الأول — التفاعل الرقمي</w:t>
      </w:r>
      <w:r w:rsidRPr="00C85ABF">
        <w:rPr>
          <w:rFonts w:ascii="Simplified Arabic" w:eastAsia="Times New Roman" w:hAnsi="Simplified Arabic" w:cs="Simplified Arabic"/>
          <w:color w:val="000000" w:themeColor="text1"/>
          <w:kern w:val="0"/>
          <w:sz w:val="28"/>
          <w:szCs w:val="28"/>
          <w14:ligatures w14:val="none"/>
        </w:rPr>
        <w:t xml:space="preserve"> (Digital Interaction Management): </w:t>
      </w:r>
      <w:r w:rsidRPr="00C85ABF">
        <w:rPr>
          <w:rFonts w:ascii="Simplified Arabic" w:eastAsia="Times New Roman" w:hAnsi="Simplified Arabic" w:cs="Simplified Arabic"/>
          <w:color w:val="000000" w:themeColor="text1"/>
          <w:kern w:val="0"/>
          <w:sz w:val="28"/>
          <w:szCs w:val="28"/>
          <w:rtl/>
          <w14:ligatures w14:val="none"/>
        </w:rPr>
        <w:t xml:space="preserve">يُشير إلى جودة التجربة التي يعيشها المستفيد عند تفاعله مع المنصات الرقمية للشركة، بما يشمل منصة "سكني" والتطبيقات الإلكترونية والموقع الرسمي. ويتضمن هذا البُعد سهولة الاستخدام وسرعة الاستجابة ووضوح المعلومات المتاحة وتكامل الخدمات الرقمية وإمكانية إتمام المعاملات إلكترونياً دون الحاجة إلى زيارة فعلية. وقد أصبح </w:t>
      </w:r>
      <w:r w:rsidRPr="00C85ABF">
        <w:rPr>
          <w:rFonts w:ascii="Simplified Arabic" w:eastAsia="Times New Roman" w:hAnsi="Simplified Arabic" w:cs="Simplified Arabic"/>
          <w:color w:val="000000" w:themeColor="text1"/>
          <w:kern w:val="0"/>
          <w:sz w:val="28"/>
          <w:szCs w:val="28"/>
          <w:rtl/>
          <w14:ligatures w14:val="none"/>
        </w:rPr>
        <w:lastRenderedPageBreak/>
        <w:t>هذا البُعد بالغ الأهمية في ظل التحول الرقمي المتسارع الذي يشهده قطاع الخدمات عموماً وقطاع الإسكان السعودي خصوصاً، حيث تمثل المنصات الرقمية نقطة التماس الأولى والأكثر تكراراً بين المستفيد والشركة</w:t>
      </w:r>
      <w:r w:rsidRPr="00C85ABF">
        <w:rPr>
          <w:rFonts w:ascii="Simplified Arabic" w:eastAsia="Times New Roman" w:hAnsi="Simplified Arabic" w:cs="Simplified Arabic"/>
          <w:color w:val="000000" w:themeColor="text1"/>
          <w:kern w:val="0"/>
          <w:sz w:val="28"/>
          <w:szCs w:val="28"/>
          <w14:ligatures w14:val="none"/>
        </w:rPr>
        <w:t xml:space="preserve"> (Walpola &amp; Gunawardana, 2025).</w:t>
      </w:r>
    </w:p>
    <w:p w14:paraId="365ACB0E" w14:textId="77777777" w:rsidR="005260C9" w:rsidRPr="00C85ABF" w:rsidRDefault="005260C9" w:rsidP="00862E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البُعد الثاني — التفاعل الخدمي</w:t>
      </w:r>
      <w:r w:rsidRPr="00C85ABF">
        <w:rPr>
          <w:rFonts w:ascii="Simplified Arabic" w:eastAsia="Times New Roman" w:hAnsi="Simplified Arabic" w:cs="Simplified Arabic"/>
          <w:color w:val="000000" w:themeColor="text1"/>
          <w:kern w:val="0"/>
          <w:sz w:val="28"/>
          <w:szCs w:val="28"/>
          <w14:ligatures w14:val="none"/>
        </w:rPr>
        <w:t xml:space="preserve"> (Service Interaction Management): </w:t>
      </w:r>
      <w:r w:rsidRPr="00C85ABF">
        <w:rPr>
          <w:rFonts w:ascii="Simplified Arabic" w:eastAsia="Times New Roman" w:hAnsi="Simplified Arabic" w:cs="Simplified Arabic"/>
          <w:color w:val="000000" w:themeColor="text1"/>
          <w:kern w:val="0"/>
          <w:sz w:val="28"/>
          <w:szCs w:val="28"/>
          <w:rtl/>
          <w14:ligatures w14:val="none"/>
        </w:rPr>
        <w:t>يُعنى بجودة التفاعل البشري المباشر بين المستفيد وموظفي الشركة في الخطوط الأمامية، سواء في مراكز المبيعات أو عبر مراكز الاتصال أو من خلال الزيارات الميدانية. ويشمل هذا البُعد كفاءة الموظفين ومهاراتهم في التواصل واستعدادهم للمساعدة وقدرتهم على تقديم معلومات دقيقة وحلول فعّالة لاستفسارات المستفيدين ومشكلاتهم. ويُعَدُّ هذا البُعد حاسماً في قطاع الإسكان نظراً لتعقيد المنتج السكني وحاجة المستفيد إلى إرشاد شخصي ومتخصص في مراحل اتخاذ القرار</w:t>
      </w:r>
      <w:r w:rsidRPr="00C85ABF">
        <w:rPr>
          <w:rFonts w:ascii="Simplified Arabic" w:eastAsia="Times New Roman" w:hAnsi="Simplified Arabic" w:cs="Simplified Arabic"/>
          <w:color w:val="000000" w:themeColor="text1"/>
          <w:kern w:val="0"/>
          <w:sz w:val="28"/>
          <w:szCs w:val="28"/>
          <w14:ligatures w14:val="none"/>
        </w:rPr>
        <w:t xml:space="preserve"> (Makudza, 2021).</w:t>
      </w:r>
    </w:p>
    <w:p w14:paraId="542CB2AC" w14:textId="77777777" w:rsidR="005260C9" w:rsidRPr="00C85ABF" w:rsidRDefault="005260C9" w:rsidP="00862E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البُعد الثالث — البيئة المادية</w:t>
      </w:r>
      <w:r w:rsidRPr="00C85ABF">
        <w:rPr>
          <w:rFonts w:ascii="Simplified Arabic" w:eastAsia="Times New Roman" w:hAnsi="Simplified Arabic" w:cs="Simplified Arabic"/>
          <w:color w:val="000000" w:themeColor="text1"/>
          <w:kern w:val="0"/>
          <w:sz w:val="28"/>
          <w:szCs w:val="28"/>
          <w14:ligatures w14:val="none"/>
        </w:rPr>
        <w:t xml:space="preserve"> (Physical Environment Management): </w:t>
      </w:r>
      <w:r w:rsidRPr="00C85ABF">
        <w:rPr>
          <w:rFonts w:ascii="Simplified Arabic" w:eastAsia="Times New Roman" w:hAnsi="Simplified Arabic" w:cs="Simplified Arabic"/>
          <w:color w:val="000000" w:themeColor="text1"/>
          <w:kern w:val="0"/>
          <w:sz w:val="28"/>
          <w:szCs w:val="28"/>
          <w:rtl/>
          <w14:ligatures w14:val="none"/>
        </w:rPr>
        <w:t>يُشير إلى الجوانب الملموسة التي يتفاعل معها المستفيد في الفضاءات المادية للشركة، وتشمل تصميم مراكز المبيعات وصالات العرض والمكاتب، ومستوى النظافة والتنظيم، وجودة المواد الترويجية والنماذج المعروضة، فضلاً عن سهولة الوصول والموقع الجغرافي. وتؤثر هذه البيئة في الانطباع الأول الذي يتشكَّل لدى المستفيد وفي مستوى ثقته بجدية الشركة واحترافيتها</w:t>
      </w:r>
      <w:r w:rsidRPr="00C85ABF">
        <w:rPr>
          <w:rFonts w:ascii="Simplified Arabic" w:eastAsia="Times New Roman" w:hAnsi="Simplified Arabic" w:cs="Simplified Arabic"/>
          <w:color w:val="000000" w:themeColor="text1"/>
          <w:kern w:val="0"/>
          <w:sz w:val="28"/>
          <w:szCs w:val="28"/>
          <w14:ligatures w14:val="none"/>
        </w:rPr>
        <w:t xml:space="preserve"> (Gunawan et al., 2025).</w:t>
      </w:r>
    </w:p>
    <w:p w14:paraId="51CF617A" w14:textId="77777777" w:rsidR="005260C9" w:rsidRPr="00C85ABF" w:rsidRDefault="005260C9" w:rsidP="00862E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البُعد الرابع — التواصل والمتابعة</w:t>
      </w:r>
      <w:r w:rsidRPr="00C85ABF">
        <w:rPr>
          <w:rFonts w:ascii="Simplified Arabic" w:eastAsia="Times New Roman" w:hAnsi="Simplified Arabic" w:cs="Simplified Arabic"/>
          <w:color w:val="000000" w:themeColor="text1"/>
          <w:kern w:val="0"/>
          <w:sz w:val="28"/>
          <w:szCs w:val="28"/>
          <w14:ligatures w14:val="none"/>
        </w:rPr>
        <w:t xml:space="preserve"> (Communication and Follow-up Management): </w:t>
      </w:r>
      <w:r w:rsidRPr="00C85ABF">
        <w:rPr>
          <w:rFonts w:ascii="Simplified Arabic" w:eastAsia="Times New Roman" w:hAnsi="Simplified Arabic" w:cs="Simplified Arabic"/>
          <w:color w:val="000000" w:themeColor="text1"/>
          <w:kern w:val="0"/>
          <w:sz w:val="28"/>
          <w:szCs w:val="28"/>
          <w:rtl/>
          <w14:ligatures w14:val="none"/>
        </w:rPr>
        <w:t>يتناول آليات التواصل المستمر مع المستفيد بعد إتمام التعاقد أو تسليم الوحدة السكنية، ويشمل المتابعة الدورية والاستجابة للشكاوى والملاحظات وإبلاغ المستفيد بمستجدات مشروعه وتوفير قنوات تواصل فعّالة ومتعددة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ويكتسب هذا البُعد أهمية خاصة في قطاع الإسكان لأنَّ العلاقة بين المستفيد والشركة لا تنتهي بلحظة الشراء بل تمتد لسنوات لاحقة تتطلب متابعة حثيثة تُعزِّز شعور المستفيد بالاهتمام والرعاية</w:t>
      </w:r>
      <w:r w:rsidRPr="00C85ABF">
        <w:rPr>
          <w:rFonts w:ascii="Simplified Arabic" w:eastAsia="Times New Roman" w:hAnsi="Simplified Arabic" w:cs="Simplified Arabic"/>
          <w:color w:val="000000" w:themeColor="text1"/>
          <w:kern w:val="0"/>
          <w:sz w:val="28"/>
          <w:szCs w:val="28"/>
          <w14:ligatures w14:val="none"/>
        </w:rPr>
        <w:t xml:space="preserve"> (Chiguvi et al., 2025).</w:t>
      </w:r>
    </w:p>
    <w:p w14:paraId="1BDB5BDD" w14:textId="77777777" w:rsidR="005260C9" w:rsidRPr="00C85ABF" w:rsidRDefault="005260C9" w:rsidP="008E63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6" w:name="_Toc224289527"/>
      <w:bookmarkStart w:id="27" w:name="_Toc233980948"/>
      <w:r w:rsidRPr="00C85ABF">
        <w:rPr>
          <w:rFonts w:ascii="Simplified Arabic" w:eastAsia="Times New Roman" w:hAnsi="Simplified Arabic" w:cs="Simplified Arabic"/>
          <w:b/>
          <w:bCs/>
          <w:color w:val="000000" w:themeColor="text1"/>
          <w:kern w:val="0"/>
          <w:sz w:val="32"/>
          <w:szCs w:val="32"/>
          <w:rtl/>
          <w14:ligatures w14:val="none"/>
        </w:rPr>
        <w:t>ثانياً: ولاء المستفيدين</w:t>
      </w:r>
      <w:r w:rsidRPr="00C85ABF">
        <w:rPr>
          <w:rFonts w:ascii="Simplified Arabic" w:eastAsia="Times New Roman" w:hAnsi="Simplified Arabic" w:cs="Simplified Arabic"/>
          <w:b/>
          <w:bCs/>
          <w:color w:val="000000" w:themeColor="text1"/>
          <w:kern w:val="0"/>
          <w:sz w:val="32"/>
          <w:szCs w:val="32"/>
          <w14:ligatures w14:val="none"/>
        </w:rPr>
        <w:t xml:space="preserve"> (Beneficiary Loyalty)</w:t>
      </w:r>
      <w:bookmarkEnd w:id="26"/>
      <w:bookmarkEnd w:id="27"/>
    </w:p>
    <w:p w14:paraId="495FFF42" w14:textId="77777777" w:rsidR="005260C9" w:rsidRPr="00C85ABF" w:rsidRDefault="005260C9" w:rsidP="00862E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 xml:space="preserve">يُمثِّل ولاء العميل أحد أهم المخرجات الاستراتيجية التي تسعى المنظمات إلى تحقيقها، ويُعرَّف بأنه الالتزام العميق من جانب العميل بإعادة شراء منتج أو خدمة مفضّلة أو إعادة التعامل مع المنظمة بصورة مستمرة في المستقبل، وذلك على الرغم من المؤثرات الظرفية والجهود التسويقية للمنافسين التي قد تدفعه </w:t>
      </w:r>
      <w:r w:rsidRPr="00C85ABF">
        <w:rPr>
          <w:rFonts w:ascii="Simplified Arabic" w:eastAsia="Times New Roman" w:hAnsi="Simplified Arabic" w:cs="Simplified Arabic"/>
          <w:color w:val="000000" w:themeColor="text1"/>
          <w:kern w:val="0"/>
          <w:sz w:val="28"/>
          <w:szCs w:val="28"/>
          <w:rtl/>
          <w14:ligatures w14:val="none"/>
        </w:rPr>
        <w:lastRenderedPageBreak/>
        <w:t xml:space="preserve">إلى تغيير سلوكه. ويتجلى الولاء في بُعدين متكاملين: بُعد سلوكي يتمثل في تكرار التعامل والشراء الفعلي، وبُعد موقفي يتمثل في المشاعر الإيجابية والارتباط العاطفي والاستعداد للتوصية بالمنظمة للآخرين والدفاع عنها في مواجهة الانتقادات (الشكري، </w:t>
      </w:r>
      <w:r w:rsidRPr="00C85ABF">
        <w:rPr>
          <w:rFonts w:ascii="Simplified Arabic" w:eastAsia="Times New Roman" w:hAnsi="Simplified Arabic" w:cs="Simplified Arabic"/>
          <w:color w:val="000000" w:themeColor="text1"/>
          <w:kern w:val="0"/>
          <w:sz w:val="28"/>
          <w:szCs w:val="28"/>
          <w14:ligatures w14:val="none"/>
        </w:rPr>
        <w:t>2023).</w:t>
      </w:r>
    </w:p>
    <w:p w14:paraId="02D055E1" w14:textId="77777777" w:rsidR="005260C9" w:rsidRPr="00C85ABF" w:rsidRDefault="005260C9" w:rsidP="00862E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وفي سياق قطاع الإسكان تحديداً، يتخذ مفهوم ولاء المستفيد أبعاداً خاصة تختلف عن القطاعات الاستهلاكية التقليدية، إذ لا يرتبط الولاء بتكرار شراء الوحدات السكنية بالضرورة — نظراً لطبيعة المنتج ذي الشراء المنخفض التكرار — بل يتجلى في استعداد المستفيد للتوصية بالشركة لأقاربه ومعارفه، ورغبته في التعامل مستقبلاً مع الشركة ذاتها في حال احتاج إلى منتج سكني آخر، ومقاومته لعروض المطورين المنافسين، وحديثه الإيجابي عن تجربته، والتزامه العاطفي تجاه العلامة التجارية للشركة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ويُعَدُّ هذا الولاء مؤشراً حيوياً على نجاح المنظمة في تقديم قيمة حقيقية تتجاوز المنتج المادي لتشمل التجربة الكلية المحيطة به</w:t>
      </w:r>
      <w:r w:rsidRPr="00C85ABF">
        <w:rPr>
          <w:rFonts w:ascii="Simplified Arabic" w:eastAsia="Times New Roman" w:hAnsi="Simplified Arabic" w:cs="Simplified Arabic"/>
          <w:color w:val="000000" w:themeColor="text1"/>
          <w:kern w:val="0"/>
          <w:sz w:val="28"/>
          <w:szCs w:val="28"/>
          <w14:ligatures w14:val="none"/>
        </w:rPr>
        <w:t xml:space="preserve"> (Audrain-Pontevia &amp; Garnier, 2021).</w:t>
      </w:r>
    </w:p>
    <w:p w14:paraId="0D7B567C" w14:textId="77777777" w:rsidR="005260C9" w:rsidRPr="00C85ABF" w:rsidRDefault="005260C9" w:rsidP="00862E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 xml:space="preserve">وتستند العلاقة النظرية بين إدارة تجربة العميل وولاء المستفيد إلى منطق مفاده أنَّ التجربة الإيجابية المتسقة عبر مختلف نقاط التماس الرحلة تُولِّد لدى العميل مشاعر الرضا والثقة والامتنان، وهي مشاعر تتراكم بمرور الوقت لتتحول إلى ارتباط عاطفي وسلوكي مستدام يُعبَّر عنه بالولاء. وعلى العكس من ذلك، فإنَّ أي إخفاق في إدارة نقطة تماس واحدة قد يكون كافياً لتقويض الولاء المتراكم، لا سيّما في القطاعات ذات القرارات عالية المخاطر كقطاع الإسكان الذي يتسم بارتفاع القيمة المالية وطول فترة الارتباط وحساسية المستفيد تجاه أي تقصير </w:t>
      </w:r>
      <w:r w:rsidRPr="00C85ABF">
        <w:rPr>
          <w:rFonts w:ascii="Simplified Arabic" w:eastAsia="Times New Roman" w:hAnsi="Simplified Arabic" w:cs="Simplified Arabic"/>
          <w:color w:val="000000" w:themeColor="text1"/>
          <w:kern w:val="0"/>
          <w:sz w:val="28"/>
          <w:szCs w:val="28"/>
          <w14:ligatures w14:val="none"/>
        </w:rPr>
        <w:t>(Chiguvi et al., 2025).</w:t>
      </w:r>
    </w:p>
    <w:p w14:paraId="4E9F0F34" w14:textId="39D1455B" w:rsidR="00B57182" w:rsidRPr="00C85ABF" w:rsidRDefault="00B57182" w:rsidP="00B5718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8" w:name="_Toc169790506"/>
      <w:bookmarkStart w:id="29" w:name="_Toc233980949"/>
      <w:bookmarkEnd w:id="20"/>
      <w:r w:rsidRPr="00C85ABF">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9"/>
    </w:p>
    <w:p w14:paraId="0E5B75B0" w14:textId="77777777" w:rsidR="00A372D1" w:rsidRPr="00C85ABF" w:rsidRDefault="00A372D1" w:rsidP="00B57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بوصفه المنهج الأكثر ملاءمةً لطبيعة الدراسة وأهدافها، حيث يُمكّن من وصف الظاهرة المدروسة — وهي إدارة تجربة العميل وولاء المستفيدين</w:t>
      </w:r>
      <w:r w:rsidRPr="00C85ABF">
        <w:rPr>
          <w:rFonts w:ascii="Simplified Arabic" w:eastAsia="Times New Roman" w:hAnsi="Simplified Arabic" w:cs="Simplified Arabic"/>
          <w:color w:val="000000" w:themeColor="text1"/>
          <w:kern w:val="0"/>
          <w:sz w:val="28"/>
          <w:szCs w:val="28"/>
          <w14:ligatures w14:val="none"/>
        </w:rPr>
        <w:t xml:space="preserve"> — </w:t>
      </w:r>
      <w:r w:rsidRPr="00C85ABF">
        <w:rPr>
          <w:rFonts w:ascii="Simplified Arabic" w:eastAsia="Times New Roman" w:hAnsi="Simplified Arabic" w:cs="Simplified Arabic"/>
          <w:color w:val="000000" w:themeColor="text1"/>
          <w:kern w:val="0"/>
          <w:sz w:val="28"/>
          <w:szCs w:val="28"/>
          <w:rtl/>
          <w14:ligatures w14:val="none"/>
        </w:rPr>
        <w:t>وصفاً دقيقاً ومنهجياً، ثم تحليل العلاقات والأثر بين متغيرات الدراسة المستقلة والتابعة باستخدام الأساليب الإحصائية المناسبة. ويتّسق هذا المنهج مع ما اتبعته معظم الدراسات السابقة في مجال تجربة العميل وولاء العملاء، كدراسة عبدالخالق وآخرين (2023) ودراسة</w:t>
      </w:r>
      <w:r w:rsidRPr="00C85ABF">
        <w:rPr>
          <w:rFonts w:ascii="Simplified Arabic" w:eastAsia="Times New Roman" w:hAnsi="Simplified Arabic" w:cs="Simplified Arabic"/>
          <w:color w:val="000000" w:themeColor="text1"/>
          <w:kern w:val="0"/>
          <w:sz w:val="28"/>
          <w:szCs w:val="28"/>
          <w14:ligatures w14:val="none"/>
        </w:rPr>
        <w:t xml:space="preserve"> Makudza (2021) </w:t>
      </w:r>
      <w:r w:rsidRPr="00C85ABF">
        <w:rPr>
          <w:rFonts w:ascii="Simplified Arabic" w:eastAsia="Times New Roman" w:hAnsi="Simplified Arabic" w:cs="Simplified Arabic"/>
          <w:color w:val="000000" w:themeColor="text1"/>
          <w:kern w:val="0"/>
          <w:sz w:val="28"/>
          <w:szCs w:val="28"/>
          <w:rtl/>
          <w14:ligatures w14:val="none"/>
        </w:rPr>
        <w:t xml:space="preserve">ودراسة </w:t>
      </w:r>
      <w:r w:rsidRPr="00C85ABF">
        <w:rPr>
          <w:rFonts w:ascii="Simplified Arabic" w:eastAsia="Times New Roman" w:hAnsi="Simplified Arabic" w:cs="Simplified Arabic"/>
          <w:color w:val="000000" w:themeColor="text1"/>
          <w:kern w:val="0"/>
          <w:sz w:val="28"/>
          <w:szCs w:val="28"/>
          <w14:ligatures w14:val="none"/>
        </w:rPr>
        <w:t>Walpola &amp; Gunawardana (2025)</w:t>
      </w:r>
      <w:r w:rsidRPr="00C85ABF">
        <w:rPr>
          <w:rFonts w:ascii="Simplified Arabic" w:eastAsia="Times New Roman" w:hAnsi="Simplified Arabic" w:cs="Simplified Arabic"/>
          <w:color w:val="000000" w:themeColor="text1"/>
          <w:kern w:val="0"/>
          <w:sz w:val="28"/>
          <w:szCs w:val="28"/>
          <w:rtl/>
          <w14:ligatures w14:val="none"/>
        </w:rPr>
        <w:t>، مما يُعزّز من إمكانية المقارنة والتكامل مع نتائج تلك الدراسات</w:t>
      </w:r>
      <w:r w:rsidRPr="00C85ABF">
        <w:rPr>
          <w:rFonts w:ascii="Simplified Arabic" w:eastAsia="Times New Roman" w:hAnsi="Simplified Arabic" w:cs="Simplified Arabic"/>
          <w:color w:val="000000" w:themeColor="text1"/>
          <w:kern w:val="0"/>
          <w:sz w:val="28"/>
          <w:szCs w:val="28"/>
          <w14:ligatures w14:val="none"/>
        </w:rPr>
        <w:t>.</w:t>
      </w:r>
    </w:p>
    <w:p w14:paraId="468024CF" w14:textId="5A39066F" w:rsidR="00A372D1" w:rsidRPr="00C85ABF" w:rsidRDefault="00862E8B" w:rsidP="00B5718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33980950"/>
      <w:r w:rsidRPr="00C85ABF">
        <w:rPr>
          <w:rFonts w:ascii="Simplified Arabic" w:eastAsia="Times New Roman" w:hAnsi="Simplified Arabic" w:cs="Simplified Arabic" w:hint="cs"/>
          <w:b/>
          <w:bCs/>
          <w:color w:val="000000" w:themeColor="text1"/>
          <w:kern w:val="0"/>
          <w:sz w:val="36"/>
          <w:szCs w:val="36"/>
          <w:rtl/>
          <w14:ligatures w14:val="none"/>
        </w:rPr>
        <w:t>11.1</w:t>
      </w:r>
      <w:r w:rsidR="00A372D1" w:rsidRPr="00C85ABF">
        <w:rPr>
          <w:rFonts w:ascii="Simplified Arabic" w:eastAsia="Times New Roman" w:hAnsi="Simplified Arabic" w:cs="Simplified Arabic"/>
          <w:b/>
          <w:bCs/>
          <w:color w:val="000000" w:themeColor="text1"/>
          <w:kern w:val="0"/>
          <w:sz w:val="36"/>
          <w:szCs w:val="36"/>
          <w:rtl/>
          <w14:ligatures w14:val="none"/>
        </w:rPr>
        <w:t xml:space="preserve"> </w:t>
      </w:r>
      <w:bookmarkStart w:id="31" w:name="_Toc224289529"/>
      <w:r w:rsidR="00A372D1" w:rsidRPr="00C85ABF">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30"/>
      <w:bookmarkEnd w:id="31"/>
    </w:p>
    <w:p w14:paraId="3D10F164" w14:textId="77777777" w:rsidR="00A372D1" w:rsidRPr="00C85ABF" w:rsidRDefault="00A372D1" w:rsidP="00B57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سوف يتكوّن مجتمع الدراسة من جميع المستفيدين الذين تعاملوا مع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 </w:t>
      </w:r>
      <w:r w:rsidRPr="00C85ABF">
        <w:rPr>
          <w:rFonts w:ascii="Simplified Arabic" w:eastAsia="Times New Roman" w:hAnsi="Simplified Arabic" w:cs="Simplified Arabic"/>
          <w:color w:val="000000" w:themeColor="text1"/>
          <w:kern w:val="0"/>
          <w:sz w:val="28"/>
          <w:szCs w:val="28"/>
          <w:rtl/>
          <w14:ligatures w14:val="none"/>
        </w:rPr>
        <w:t xml:space="preserve">وحصلوا على منتجاتها الإسكانية أو استفادوا من خدماتها عبر منصة "سكني" أو من خلال مراكز المبيعات والقنوات المختلفة للشركة. ووفقاً للبيانات الرسمية المتاحة، فإن منصة "سكني" سجّلت أكثر من (4.6) مليون مستخدم حتى النصف الأول من عام </w:t>
      </w:r>
      <w:r w:rsidRPr="00C85ABF">
        <w:rPr>
          <w:rFonts w:ascii="Simplified Arabic" w:eastAsia="Times New Roman" w:hAnsi="Simplified Arabic" w:cs="Simplified Arabic"/>
          <w:color w:val="000000" w:themeColor="text1"/>
          <w:kern w:val="0"/>
          <w:sz w:val="28"/>
          <w:szCs w:val="28"/>
          <w14:ligatures w14:val="none"/>
        </w:rPr>
        <w:t>2025</w:t>
      </w:r>
      <w:r w:rsidRPr="00C85ABF">
        <w:rPr>
          <w:rFonts w:ascii="Simplified Arabic" w:eastAsia="Times New Roman" w:hAnsi="Simplified Arabic" w:cs="Simplified Arabic"/>
          <w:color w:val="000000" w:themeColor="text1"/>
          <w:kern w:val="0"/>
          <w:sz w:val="28"/>
          <w:szCs w:val="28"/>
          <w:rtl/>
          <w14:ligatures w14:val="none"/>
        </w:rPr>
        <w:t>م، وبلغ إجمالي العقود التمويلية المدعومة لمستفيدي البرنامج نحو</w:t>
      </w:r>
      <w:r w:rsidRPr="00C85ABF">
        <w:rPr>
          <w:rFonts w:ascii="Simplified Arabic" w:eastAsia="Times New Roman" w:hAnsi="Simplified Arabic" w:cs="Simplified Arabic"/>
          <w:color w:val="000000" w:themeColor="text1"/>
          <w:kern w:val="0"/>
          <w:sz w:val="28"/>
          <w:szCs w:val="28"/>
          <w14:ligatures w14:val="none"/>
        </w:rPr>
        <w:t xml:space="preserve"> (93) </w:t>
      </w:r>
      <w:r w:rsidRPr="00C85ABF">
        <w:rPr>
          <w:rFonts w:ascii="Simplified Arabic" w:eastAsia="Times New Roman" w:hAnsi="Simplified Arabic" w:cs="Simplified Arabic"/>
          <w:color w:val="000000" w:themeColor="text1"/>
          <w:kern w:val="0"/>
          <w:sz w:val="28"/>
          <w:szCs w:val="28"/>
          <w:rtl/>
          <w14:ligatures w14:val="none"/>
        </w:rPr>
        <w:t>ألف عقد تمويلي خلال عام 2024م بنسبة نمو بلغت (15%) عن العام السابق، فيما أعلنت الشركة عن تسليم (60) ألف وحدة سكنية تخدم ما يقارب (300) ألف نسمة حتى أكتوبر 2025م، وتجاوزت مبيعاتها وشركائها حاجز (28) ألف وحدة سكنية بقيمة تراوحت بين (28) و(29) مليار ريال في عام 2025م. ويُمثّل هذا الحجم الكبير من المستفيدين مجتمعاً بحثياً واسعاً يصعب حصره بشكل دقيق نظراً لاستمرار تدفّق المستفيدين الجدد</w:t>
      </w:r>
      <w:r w:rsidRPr="00C85ABF">
        <w:rPr>
          <w:rFonts w:ascii="Simplified Arabic" w:eastAsia="Times New Roman" w:hAnsi="Simplified Arabic" w:cs="Simplified Arabic"/>
          <w:color w:val="000000" w:themeColor="text1"/>
          <w:kern w:val="0"/>
          <w:sz w:val="28"/>
          <w:szCs w:val="28"/>
          <w14:ligatures w14:val="none"/>
        </w:rPr>
        <w:t>.</w:t>
      </w:r>
    </w:p>
    <w:p w14:paraId="4E095B26" w14:textId="77777777" w:rsidR="00A372D1" w:rsidRPr="00C85ABF" w:rsidRDefault="00A372D1" w:rsidP="00B57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 xml:space="preserve">ونظراً لكبر حجم مجتمع الدراسة وتعذّر إجراء الحصر الشامل، سوف يتم اختيار عينة ممثلة باستخدام أسلوب العينة الميسّرة </w:t>
      </w:r>
      <w:r w:rsidRPr="00C85ABF">
        <w:rPr>
          <w:rFonts w:ascii="Simplified Arabic" w:eastAsia="Times New Roman" w:hAnsi="Simplified Arabic" w:cs="Simplified Arabic"/>
          <w:color w:val="000000" w:themeColor="text1"/>
          <w:kern w:val="0"/>
          <w:sz w:val="28"/>
          <w:szCs w:val="28"/>
          <w14:ligatures w14:val="none"/>
        </w:rPr>
        <w:t xml:space="preserve">(Convenience Sampling) </w:t>
      </w:r>
      <w:r w:rsidRPr="00C85ABF">
        <w:rPr>
          <w:rFonts w:ascii="Simplified Arabic" w:eastAsia="Times New Roman" w:hAnsi="Simplified Arabic" w:cs="Simplified Arabic"/>
          <w:color w:val="000000" w:themeColor="text1"/>
          <w:kern w:val="0"/>
          <w:sz w:val="28"/>
          <w:szCs w:val="28"/>
          <w:rtl/>
          <w14:ligatures w14:val="none"/>
        </w:rPr>
        <w:t>من المستفيدين الذين تعاملوا مع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 </w:t>
      </w:r>
      <w:r w:rsidRPr="00C85ABF">
        <w:rPr>
          <w:rFonts w:ascii="Simplified Arabic" w:eastAsia="Times New Roman" w:hAnsi="Simplified Arabic" w:cs="Simplified Arabic"/>
          <w:color w:val="000000" w:themeColor="text1"/>
          <w:kern w:val="0"/>
          <w:sz w:val="28"/>
          <w:szCs w:val="28"/>
          <w:rtl/>
          <w14:ligatures w14:val="none"/>
        </w:rPr>
        <w:t>خلال الفترة من عام 2022م حتى تاريخ إجراء الدراسة، سواء كانوا مستفيدين من الوحدات السكنية الجاهزة أو الوحدات تحت الإنشاء أو خدمات التمويل أو الخدمات الأخرى عبر منصة "سكني". وسوف يتم تحديد حجم العينة بناءً على جدول</w:t>
      </w:r>
      <w:r w:rsidRPr="00C85ABF">
        <w:rPr>
          <w:rFonts w:ascii="Simplified Arabic" w:eastAsia="Times New Roman" w:hAnsi="Simplified Arabic" w:cs="Simplified Arabic"/>
          <w:color w:val="000000" w:themeColor="text1"/>
          <w:kern w:val="0"/>
          <w:sz w:val="28"/>
          <w:szCs w:val="28"/>
          <w14:ligatures w14:val="none"/>
        </w:rPr>
        <w:t xml:space="preserve"> Krejcie &amp; Morgan (1970) </w:t>
      </w:r>
      <w:r w:rsidRPr="00C85ABF">
        <w:rPr>
          <w:rFonts w:ascii="Simplified Arabic" w:eastAsia="Times New Roman" w:hAnsi="Simplified Arabic" w:cs="Simplified Arabic"/>
          <w:color w:val="000000" w:themeColor="text1"/>
          <w:kern w:val="0"/>
          <w:sz w:val="28"/>
          <w:szCs w:val="28"/>
          <w:rtl/>
          <w14:ligatures w14:val="none"/>
        </w:rPr>
        <w:t xml:space="preserve">للمجتمعات الكبيرة التي تتجاوز </w:t>
      </w:r>
      <w:r w:rsidRPr="00C85ABF">
        <w:rPr>
          <w:rFonts w:ascii="Simplified Arabic" w:eastAsia="Times New Roman" w:hAnsi="Simplified Arabic" w:cs="Simplified Arabic"/>
          <w:color w:val="000000" w:themeColor="text1"/>
          <w:kern w:val="0"/>
          <w:sz w:val="28"/>
          <w:szCs w:val="28"/>
          <w14:ligatures w14:val="none"/>
        </w:rPr>
        <w:t xml:space="preserve">(100,000) </w:t>
      </w:r>
      <w:r w:rsidRPr="00C85ABF">
        <w:rPr>
          <w:rFonts w:ascii="Simplified Arabic" w:eastAsia="Times New Roman" w:hAnsi="Simplified Arabic" w:cs="Simplified Arabic"/>
          <w:color w:val="000000" w:themeColor="text1"/>
          <w:kern w:val="0"/>
          <w:sz w:val="28"/>
          <w:szCs w:val="28"/>
          <w:rtl/>
          <w14:ligatures w14:val="none"/>
        </w:rPr>
        <w:t>مفردة، حيث يُقدَّر الحد الأدنى المطلوب بـ (384) مفردة عند مستوى ثقة (95%) وهامش خطأ (5%). وسوف تستهدف الدراسة توزيع (450) استبانة إلكترونية لضمان تعويض حالات عدم الاستجابة أو الاستبانات غير المكتملة، والوصول إلى عدد كافٍ من الاستبانات الصالحة للتحليل الإحصائي بما لا يقل عن (384) استبانة</w:t>
      </w:r>
      <w:r w:rsidRPr="00C85ABF">
        <w:rPr>
          <w:rFonts w:ascii="Simplified Arabic" w:eastAsia="Times New Roman" w:hAnsi="Simplified Arabic" w:cs="Simplified Arabic"/>
          <w:color w:val="000000" w:themeColor="text1"/>
          <w:kern w:val="0"/>
          <w:sz w:val="28"/>
          <w:szCs w:val="28"/>
          <w14:ligatures w14:val="none"/>
        </w:rPr>
        <w:t>.</w:t>
      </w:r>
    </w:p>
    <w:p w14:paraId="4610E656" w14:textId="067BC1EA" w:rsidR="00A372D1" w:rsidRPr="00C85ABF" w:rsidRDefault="00B57182" w:rsidP="00B5718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4289530"/>
      <w:bookmarkStart w:id="33" w:name="_Toc233980951"/>
      <w:r w:rsidRPr="00C85ABF">
        <w:rPr>
          <w:rFonts w:ascii="Simplified Arabic" w:eastAsia="Times New Roman" w:hAnsi="Simplified Arabic" w:cs="Simplified Arabic" w:hint="cs"/>
          <w:b/>
          <w:bCs/>
          <w:color w:val="000000" w:themeColor="text1"/>
          <w:kern w:val="0"/>
          <w:sz w:val="36"/>
          <w:szCs w:val="36"/>
          <w:rtl/>
          <w14:ligatures w14:val="none"/>
        </w:rPr>
        <w:t xml:space="preserve">12.1 </w:t>
      </w:r>
      <w:r w:rsidR="00A372D1" w:rsidRPr="00C85ABF">
        <w:rPr>
          <w:rFonts w:ascii="Simplified Arabic" w:eastAsia="Times New Roman" w:hAnsi="Simplified Arabic" w:cs="Simplified Arabic"/>
          <w:b/>
          <w:bCs/>
          <w:color w:val="000000" w:themeColor="text1"/>
          <w:kern w:val="0"/>
          <w:sz w:val="36"/>
          <w:szCs w:val="36"/>
          <w:rtl/>
          <w14:ligatures w14:val="none"/>
        </w:rPr>
        <w:t>مصادر جمع البيانات</w:t>
      </w:r>
      <w:bookmarkEnd w:id="32"/>
      <w:bookmarkEnd w:id="33"/>
    </w:p>
    <w:p w14:paraId="11613DBF" w14:textId="77777777" w:rsidR="00A372D1" w:rsidRPr="00C85ABF" w:rsidRDefault="00A372D1" w:rsidP="00B57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سوف تعتمد الدراسة على نوعين من مصادر البيانات. المصادر الثانوية التي تشمل الكتب والمراجع العلمية والدوريات المحكّمة والرسائل الجامعية والتقارير الرسمية للشركة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 </w:t>
      </w:r>
      <w:r w:rsidRPr="00C85ABF">
        <w:rPr>
          <w:rFonts w:ascii="Simplified Arabic" w:eastAsia="Times New Roman" w:hAnsi="Simplified Arabic" w:cs="Simplified Arabic"/>
          <w:color w:val="000000" w:themeColor="text1"/>
          <w:kern w:val="0"/>
          <w:sz w:val="28"/>
          <w:szCs w:val="28"/>
          <w:rtl/>
          <w14:ligatures w14:val="none"/>
        </w:rPr>
        <w:t>ووزارة البلديات والإسكان وبرنامج الإسكان ضمن رؤية المملكة 2030، وذلك لبناء الإطار النظري للدراسة وتحليل الدراسات السابقة. أما المصادر الأولية فسوف تتمثل في البيانات المُجمَّعة ميدانياً من أفراد عينة الدراسة باستخدام الاستبانة الإلكترونية المُصمَّمة خصيصاً لأغراض هذه الدراسة</w:t>
      </w:r>
      <w:r w:rsidRPr="00C85ABF">
        <w:rPr>
          <w:rFonts w:ascii="Simplified Arabic" w:eastAsia="Times New Roman" w:hAnsi="Simplified Arabic" w:cs="Simplified Arabic"/>
          <w:color w:val="000000" w:themeColor="text1"/>
          <w:kern w:val="0"/>
          <w:sz w:val="28"/>
          <w:szCs w:val="28"/>
          <w14:ligatures w14:val="none"/>
        </w:rPr>
        <w:t>.</w:t>
      </w:r>
    </w:p>
    <w:p w14:paraId="105C60D4" w14:textId="4AE87E06" w:rsidR="00A372D1" w:rsidRPr="00C85ABF" w:rsidRDefault="00B57182" w:rsidP="00B5718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4" w:name="_Toc224289531"/>
      <w:bookmarkStart w:id="35" w:name="_Toc233980952"/>
      <w:r w:rsidRPr="00C85ABF">
        <w:rPr>
          <w:rFonts w:ascii="Simplified Arabic" w:eastAsia="Times New Roman" w:hAnsi="Simplified Arabic" w:cs="Simplified Arabic" w:hint="cs"/>
          <w:b/>
          <w:bCs/>
          <w:color w:val="000000" w:themeColor="text1"/>
          <w:kern w:val="0"/>
          <w:sz w:val="36"/>
          <w:szCs w:val="36"/>
          <w:rtl/>
          <w14:ligatures w14:val="none"/>
        </w:rPr>
        <w:lastRenderedPageBreak/>
        <w:t xml:space="preserve">13.1 </w:t>
      </w:r>
      <w:r w:rsidR="00A372D1" w:rsidRPr="00C85ABF">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34"/>
      <w:bookmarkEnd w:id="35"/>
    </w:p>
    <w:p w14:paraId="42FB56EB" w14:textId="77777777" w:rsidR="00A372D1" w:rsidRPr="00C85ABF" w:rsidRDefault="00A372D1" w:rsidP="00B57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سوف تُستخدم الاستبانة الإلكترونية كأداة رئيسية لجمع البيانات الأولية من أفراد عينة الدراسة، وسوف تُصمَّم وفقاً لمقياس ليكرت الخماسي</w:t>
      </w:r>
      <w:r w:rsidRPr="00C85ABF">
        <w:rPr>
          <w:rFonts w:ascii="Simplified Arabic" w:eastAsia="Times New Roman" w:hAnsi="Simplified Arabic" w:cs="Simplified Arabic"/>
          <w:color w:val="000000" w:themeColor="text1"/>
          <w:kern w:val="0"/>
          <w:sz w:val="28"/>
          <w:szCs w:val="28"/>
          <w14:ligatures w14:val="none"/>
        </w:rPr>
        <w:t xml:space="preserve"> (Strongly Disagree = 1, Disagree = 2, Neutral = 3, Agree = 4, Strongly Agree = 5). </w:t>
      </w:r>
      <w:r w:rsidRPr="00C85ABF">
        <w:rPr>
          <w:rFonts w:ascii="Simplified Arabic" w:eastAsia="Times New Roman" w:hAnsi="Simplified Arabic" w:cs="Simplified Arabic"/>
          <w:color w:val="000000" w:themeColor="text1"/>
          <w:kern w:val="0"/>
          <w:sz w:val="28"/>
          <w:szCs w:val="28"/>
          <w:rtl/>
          <w14:ligatures w14:val="none"/>
        </w:rPr>
        <w:t>وسوف تتكوّن الاستبانة من ثلاثة أقسام رئيسية على النحو التالي</w:t>
      </w:r>
      <w:r w:rsidRPr="00C85ABF">
        <w:rPr>
          <w:rFonts w:ascii="Simplified Arabic" w:eastAsia="Times New Roman" w:hAnsi="Simplified Arabic" w:cs="Simplified Arabic"/>
          <w:color w:val="000000" w:themeColor="text1"/>
          <w:kern w:val="0"/>
          <w:sz w:val="28"/>
          <w:szCs w:val="28"/>
          <w14:ligatures w14:val="none"/>
        </w:rPr>
        <w:t>:</w:t>
      </w:r>
    </w:p>
    <w:p w14:paraId="3F424E29" w14:textId="77777777" w:rsidR="00A372D1" w:rsidRPr="00C85ABF" w:rsidRDefault="00A372D1" w:rsidP="00B57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ويتضمن (5) فقرات تُغطّي المتغيرات الشخصية لأفراد العينة، وهي: الجنس، والعمر، والمستوى التعليمي، ومستوى الدخل الشهري، ونوع المنتج الإسكاني</w:t>
      </w:r>
      <w:r w:rsidRPr="00C85ABF">
        <w:rPr>
          <w:rFonts w:ascii="Simplified Arabic" w:eastAsia="Times New Roman" w:hAnsi="Simplified Arabic" w:cs="Simplified Arabic"/>
          <w:color w:val="000000" w:themeColor="text1"/>
          <w:kern w:val="0"/>
          <w:sz w:val="28"/>
          <w:szCs w:val="28"/>
          <w14:ligatures w14:val="none"/>
        </w:rPr>
        <w:t>.</w:t>
      </w:r>
    </w:p>
    <w:p w14:paraId="6DBD5E19" w14:textId="77777777" w:rsidR="00A372D1" w:rsidRPr="00C85ABF" w:rsidRDefault="00A372D1" w:rsidP="00B57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القسم الثاني: المتغير المستقل (إدارة تجربة العميل)، ويتكوّن من (16) فقرة موزّعة على أربعة أبعاد فرعية، بواقع (4) فقرات لكل بُعد، وذلك على النحو التالي</w:t>
      </w:r>
      <w:r w:rsidRPr="00C85ABF">
        <w:rPr>
          <w:rFonts w:ascii="Simplified Arabic" w:eastAsia="Times New Roman" w:hAnsi="Simplified Arabic" w:cs="Simplified Arabic"/>
          <w:color w:val="000000" w:themeColor="text1"/>
          <w:kern w:val="0"/>
          <w:sz w:val="28"/>
          <w:szCs w:val="28"/>
          <w14:ligatures w14:val="none"/>
        </w:rPr>
        <w:t>:</w:t>
      </w:r>
    </w:p>
    <w:p w14:paraId="14CFD1CE" w14:textId="77777777" w:rsidR="00A372D1" w:rsidRPr="00C85ABF" w:rsidRDefault="00A372D1" w:rsidP="00B57182">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البُعد الأول — إدارة التفاعل الرقمي</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ويتضمن (4) فقرات تقيس مدى جودة التجربة الرقمية للمستفيد عبر منصة "سكني</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والتطبيقات الذكية والموقع الإلكتروني للشركة من حيث سهولة الاستخدام وسرعة الاستجابة وتوفر المعلومات وموثوقية المعاملات الإلكترونية</w:t>
      </w:r>
      <w:r w:rsidRPr="00C85ABF">
        <w:rPr>
          <w:rFonts w:ascii="Simplified Arabic" w:eastAsia="Times New Roman" w:hAnsi="Simplified Arabic" w:cs="Simplified Arabic"/>
          <w:color w:val="000000" w:themeColor="text1"/>
          <w:kern w:val="0"/>
          <w:sz w:val="28"/>
          <w:szCs w:val="28"/>
          <w14:ligatures w14:val="none"/>
        </w:rPr>
        <w:t>.</w:t>
      </w:r>
    </w:p>
    <w:p w14:paraId="03B094E5" w14:textId="77777777" w:rsidR="00A372D1" w:rsidRPr="00C85ABF" w:rsidRDefault="00A372D1" w:rsidP="00B57182">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البُعد الثاني — إدارة التفاعل الخدمي</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ويتضمن (4) فقرات تقيس مدى جودة التفاعل البشري بين المستفيد وموظفي الشركة سواء في مراكز المبيعات أو مراكز الاتصال أو خدمة العملاء، من حيث الكفاءة والاحترافية والتعاطف وفهم الاحتياجات والقدرة على تقديم حلول مخصصة</w:t>
      </w:r>
      <w:r w:rsidRPr="00C85ABF">
        <w:rPr>
          <w:rFonts w:ascii="Simplified Arabic" w:eastAsia="Times New Roman" w:hAnsi="Simplified Arabic" w:cs="Simplified Arabic"/>
          <w:color w:val="000000" w:themeColor="text1"/>
          <w:kern w:val="0"/>
          <w:sz w:val="28"/>
          <w:szCs w:val="28"/>
          <w14:ligatures w14:val="none"/>
        </w:rPr>
        <w:t>.</w:t>
      </w:r>
    </w:p>
    <w:p w14:paraId="284CCC7E" w14:textId="77777777" w:rsidR="00A372D1" w:rsidRPr="00C85ABF" w:rsidRDefault="00A372D1" w:rsidP="00B57182">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البُعد الثالث — إدارة البيئة المادية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ويتضمن (4) فقرات تقيس مدى جودة البيئة المادية التي يتفاعل معها المستفيد، بما يشمل تصميم مراكز المبيعات وصالات العرض والنماذج السكنية والمرافق المجتمعية في الوجهات العمرانية، ومدى ملاءمتها لتوقعات المستفيد</w:t>
      </w:r>
      <w:r w:rsidRPr="00C85ABF">
        <w:rPr>
          <w:rFonts w:ascii="Simplified Arabic" w:eastAsia="Times New Roman" w:hAnsi="Simplified Arabic" w:cs="Simplified Arabic"/>
          <w:color w:val="000000" w:themeColor="text1"/>
          <w:kern w:val="0"/>
          <w:sz w:val="28"/>
          <w:szCs w:val="28"/>
          <w14:ligatures w14:val="none"/>
        </w:rPr>
        <w:t>.</w:t>
      </w:r>
    </w:p>
    <w:p w14:paraId="254DB333" w14:textId="77777777" w:rsidR="00A372D1" w:rsidRPr="00C85ABF" w:rsidRDefault="00A372D1" w:rsidP="00B57182">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البُعد الرابع — إدارة التواصل والمتابعة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ويتضمن (4) فقرات تقيس مدى فعالية أنظمة التواصل المستمر مع المستفيد خلال جميع مراحل الرحلة الإسكانية وبعد التسليم، من حيث الإبلاغ بالمستجدات وسرعة معالجة الشكاوى وتوفير خدمات ما بعد البيع وبرامج الولاء</w:t>
      </w:r>
      <w:r w:rsidRPr="00C85ABF">
        <w:rPr>
          <w:rFonts w:ascii="Simplified Arabic" w:eastAsia="Times New Roman" w:hAnsi="Simplified Arabic" w:cs="Simplified Arabic"/>
          <w:color w:val="000000" w:themeColor="text1"/>
          <w:kern w:val="0"/>
          <w:sz w:val="28"/>
          <w:szCs w:val="28"/>
          <w14:ligatures w14:val="none"/>
        </w:rPr>
        <w:t>.</w:t>
      </w:r>
    </w:p>
    <w:p w14:paraId="30E07290" w14:textId="77777777" w:rsidR="00A372D1" w:rsidRPr="00C85ABF" w:rsidRDefault="00A372D1" w:rsidP="00B57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القسم الثالث: المتغير التابع (ولاء المستفيدين)، وهو أحادي المحور ويتضمن (10) فقرات تقيس مستوى ولاء المستفيد تجاه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w:t>
      </w:r>
      <w:r w:rsidRPr="00C85ABF">
        <w:rPr>
          <w:rFonts w:ascii="Simplified Arabic" w:eastAsia="Times New Roman" w:hAnsi="Simplified Arabic" w:cs="Simplified Arabic"/>
          <w:color w:val="000000" w:themeColor="text1"/>
          <w:kern w:val="0"/>
          <w:sz w:val="28"/>
          <w:szCs w:val="28"/>
          <w:rtl/>
          <w14:ligatures w14:val="none"/>
        </w:rPr>
        <w:t xml:space="preserve">، وتشمل مؤشرات نية إعادة التعامل مع الشركة </w:t>
      </w:r>
      <w:r w:rsidRPr="00C85ABF">
        <w:rPr>
          <w:rFonts w:ascii="Simplified Arabic" w:eastAsia="Times New Roman" w:hAnsi="Simplified Arabic" w:cs="Simplified Arabic"/>
          <w:color w:val="000000" w:themeColor="text1"/>
          <w:kern w:val="0"/>
          <w:sz w:val="28"/>
          <w:szCs w:val="28"/>
          <w:rtl/>
          <w14:ligatures w14:val="none"/>
        </w:rPr>
        <w:lastRenderedPageBreak/>
        <w:t>مستقبلاً، والتوصية بها للأقارب والأصدقاء، والمقاومة لعروض المنافسين، والاستعداد لدفع علاوة سعرية، والتحدث بإيجابية عن الشركة، والارتباط العاطفي بالعلامة التجارية</w:t>
      </w:r>
      <w:r w:rsidRPr="00C85ABF">
        <w:rPr>
          <w:rFonts w:ascii="Simplified Arabic" w:eastAsia="Times New Roman" w:hAnsi="Simplified Arabic" w:cs="Simplified Arabic"/>
          <w:color w:val="000000" w:themeColor="text1"/>
          <w:kern w:val="0"/>
          <w:sz w:val="28"/>
          <w:szCs w:val="28"/>
          <w14:ligatures w14:val="none"/>
        </w:rPr>
        <w:t>.</w:t>
      </w:r>
    </w:p>
    <w:p w14:paraId="2D97B948" w14:textId="77777777" w:rsidR="00A372D1" w:rsidRPr="00C85ABF" w:rsidRDefault="00A372D1" w:rsidP="00B57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الاستبانة </w:t>
      </w:r>
      <w:r w:rsidRPr="00C85ABF">
        <w:rPr>
          <w:rFonts w:ascii="Simplified Arabic" w:eastAsia="Times New Roman" w:hAnsi="Simplified Arabic" w:cs="Simplified Arabic"/>
          <w:color w:val="000000" w:themeColor="text1"/>
          <w:kern w:val="0"/>
          <w:sz w:val="28"/>
          <w:szCs w:val="28"/>
          <w14:ligatures w14:val="none"/>
        </w:rPr>
        <w:t xml:space="preserve">(31) </w:t>
      </w:r>
      <w:r w:rsidRPr="00C85ABF">
        <w:rPr>
          <w:rFonts w:ascii="Simplified Arabic" w:eastAsia="Times New Roman" w:hAnsi="Simplified Arabic" w:cs="Simplified Arabic"/>
          <w:color w:val="000000" w:themeColor="text1"/>
          <w:kern w:val="0"/>
          <w:sz w:val="28"/>
          <w:szCs w:val="28"/>
          <w:rtl/>
          <w14:ligatures w14:val="none"/>
        </w:rPr>
        <w:t>فقرة، منها (5) فقرات للبيانات الديموغرافية، و(16) فقرة للمتغير المستقل، و</w:t>
      </w:r>
      <w:r w:rsidRPr="00C85ABF">
        <w:rPr>
          <w:rFonts w:ascii="Simplified Arabic" w:eastAsia="Times New Roman" w:hAnsi="Simplified Arabic" w:cs="Simplified Arabic"/>
          <w:color w:val="000000" w:themeColor="text1"/>
          <w:kern w:val="0"/>
          <w:sz w:val="28"/>
          <w:szCs w:val="28"/>
          <w14:ligatures w14:val="none"/>
        </w:rPr>
        <w:t xml:space="preserve">(10) </w:t>
      </w:r>
      <w:r w:rsidRPr="00C85ABF">
        <w:rPr>
          <w:rFonts w:ascii="Simplified Arabic" w:eastAsia="Times New Roman" w:hAnsi="Simplified Arabic" w:cs="Simplified Arabic"/>
          <w:color w:val="000000" w:themeColor="text1"/>
          <w:kern w:val="0"/>
          <w:sz w:val="28"/>
          <w:szCs w:val="28"/>
          <w:rtl/>
          <w14:ligatures w14:val="none"/>
        </w:rPr>
        <w:t>فقرات للمتغير التابع. وسوف يتم التحقق من صدق الأداة من خلال الصدق الظاهري بعرضها على مجموعة من المحكّمين المتخصصين، والصدق البنائي باستخدام معامل ارتباط بيرسون، والتحقق من ثباتها باستخدام معامل ألفا كرونباخ</w:t>
      </w:r>
      <w:r w:rsidRPr="00C85ABF">
        <w:rPr>
          <w:rFonts w:ascii="Simplified Arabic" w:eastAsia="Times New Roman" w:hAnsi="Simplified Arabic" w:cs="Simplified Arabic"/>
          <w:color w:val="000000" w:themeColor="text1"/>
          <w:kern w:val="0"/>
          <w:sz w:val="28"/>
          <w:szCs w:val="28"/>
          <w14:ligatures w14:val="none"/>
        </w:rPr>
        <w:t xml:space="preserve"> (Cronbach's Alpha).</w:t>
      </w:r>
    </w:p>
    <w:p w14:paraId="4B68A38B" w14:textId="097B0D75" w:rsidR="00A372D1" w:rsidRPr="00C85ABF" w:rsidRDefault="00B57182" w:rsidP="00B5718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24289532"/>
      <w:bookmarkStart w:id="37" w:name="_Toc233980953"/>
      <w:r w:rsidRPr="00C85ABF">
        <w:rPr>
          <w:rFonts w:ascii="Simplified Arabic" w:eastAsia="Times New Roman" w:hAnsi="Simplified Arabic" w:cs="Simplified Arabic" w:hint="cs"/>
          <w:b/>
          <w:bCs/>
          <w:color w:val="000000" w:themeColor="text1"/>
          <w:kern w:val="0"/>
          <w:sz w:val="36"/>
          <w:szCs w:val="36"/>
          <w:rtl/>
          <w14:ligatures w14:val="none"/>
        </w:rPr>
        <w:t xml:space="preserve">14.1 </w:t>
      </w:r>
      <w:r w:rsidR="00A372D1" w:rsidRPr="00C85ABF">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6"/>
      <w:bookmarkEnd w:id="37"/>
    </w:p>
    <w:p w14:paraId="0856D8D3" w14:textId="77777777" w:rsidR="00A372D1" w:rsidRPr="00C85ABF" w:rsidRDefault="00A372D1" w:rsidP="00B571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سوف تُستخدم مجموعة من الأساليب الإحصائية لتحليل بيانات الدراسة عبر برنامج الحزمة الإحصائية للعلوم الاجتماعية</w:t>
      </w:r>
      <w:r w:rsidRPr="00C85ABF">
        <w:rPr>
          <w:rFonts w:ascii="Simplified Arabic" w:eastAsia="Times New Roman" w:hAnsi="Simplified Arabic" w:cs="Simplified Arabic"/>
          <w:color w:val="000000" w:themeColor="text1"/>
          <w:kern w:val="0"/>
          <w:sz w:val="28"/>
          <w:szCs w:val="28"/>
          <w14:ligatures w14:val="none"/>
        </w:rPr>
        <w:t xml:space="preserve"> (SPSS)</w:t>
      </w:r>
      <w:r w:rsidRPr="00C85ABF">
        <w:rPr>
          <w:rFonts w:ascii="Simplified Arabic" w:eastAsia="Times New Roman" w:hAnsi="Simplified Arabic" w:cs="Simplified Arabic"/>
          <w:color w:val="000000" w:themeColor="text1"/>
          <w:kern w:val="0"/>
          <w:sz w:val="28"/>
          <w:szCs w:val="28"/>
          <w:rtl/>
          <w14:ligatures w14:val="none"/>
        </w:rPr>
        <w:t>، وتشمل</w:t>
      </w:r>
      <w:r w:rsidRPr="00C85ABF">
        <w:rPr>
          <w:rFonts w:ascii="Simplified Arabic" w:eastAsia="Times New Roman" w:hAnsi="Simplified Arabic" w:cs="Simplified Arabic"/>
          <w:color w:val="000000" w:themeColor="text1"/>
          <w:kern w:val="0"/>
          <w:sz w:val="28"/>
          <w:szCs w:val="28"/>
          <w14:ligatures w14:val="none"/>
        </w:rPr>
        <w:t>:</w:t>
      </w:r>
    </w:p>
    <w:p w14:paraId="06C8DB84" w14:textId="77777777" w:rsidR="00A372D1" w:rsidRPr="00C85ABF" w:rsidRDefault="00A372D1" w:rsidP="00B57182">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w:t>
      </w:r>
      <w:r w:rsidRPr="00C85ABF">
        <w:rPr>
          <w:rFonts w:ascii="Simplified Arabic" w:eastAsia="Times New Roman" w:hAnsi="Simplified Arabic" w:cs="Simplified Arabic"/>
          <w:color w:val="000000" w:themeColor="text1"/>
          <w:kern w:val="0"/>
          <w:sz w:val="28"/>
          <w:szCs w:val="28"/>
          <w14:ligatures w14:val="none"/>
        </w:rPr>
        <w:t>.</w:t>
      </w:r>
    </w:p>
    <w:p w14:paraId="629A07A8" w14:textId="77777777" w:rsidR="00A372D1" w:rsidRPr="00C85ABF" w:rsidRDefault="00A372D1" w:rsidP="00B57182">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الدراسة وترتيب الفقرات والأبعاد وفقاً لأهميتها النسبية</w:t>
      </w:r>
      <w:r w:rsidRPr="00C85ABF">
        <w:rPr>
          <w:rFonts w:ascii="Simplified Arabic" w:eastAsia="Times New Roman" w:hAnsi="Simplified Arabic" w:cs="Simplified Arabic"/>
          <w:color w:val="000000" w:themeColor="text1"/>
          <w:kern w:val="0"/>
          <w:sz w:val="28"/>
          <w:szCs w:val="28"/>
          <w14:ligatures w14:val="none"/>
        </w:rPr>
        <w:t>.</w:t>
      </w:r>
    </w:p>
    <w:p w14:paraId="4A24946B" w14:textId="77777777" w:rsidR="00A372D1" w:rsidRPr="00C85ABF" w:rsidRDefault="00A372D1" w:rsidP="00B57182">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معامل ارتباط بيرسون</w:t>
      </w:r>
      <w:r w:rsidRPr="00C85ABF">
        <w:rPr>
          <w:rFonts w:ascii="Simplified Arabic" w:eastAsia="Times New Roman" w:hAnsi="Simplified Arabic" w:cs="Simplified Arabic"/>
          <w:color w:val="000000" w:themeColor="text1"/>
          <w:kern w:val="0"/>
          <w:sz w:val="28"/>
          <w:szCs w:val="28"/>
          <w14:ligatures w14:val="none"/>
        </w:rPr>
        <w:t xml:space="preserve"> (Pearson Correlation): </w:t>
      </w:r>
      <w:r w:rsidRPr="00C85ABF">
        <w:rPr>
          <w:rFonts w:ascii="Simplified Arabic" w:eastAsia="Times New Roman" w:hAnsi="Simplified Arabic" w:cs="Simplified Arabic"/>
          <w:color w:val="000000" w:themeColor="text1"/>
          <w:kern w:val="0"/>
          <w:sz w:val="28"/>
          <w:szCs w:val="28"/>
          <w:rtl/>
          <w14:ligatures w14:val="none"/>
        </w:rPr>
        <w:t>لقياس قوة واتجاه العلاقة بين المتغير المستقل بأبعاده والمتغير التابع، وكذلك للتحقق من الصدق البنائي لأداة الدراسة</w:t>
      </w:r>
      <w:r w:rsidRPr="00C85ABF">
        <w:rPr>
          <w:rFonts w:ascii="Simplified Arabic" w:eastAsia="Times New Roman" w:hAnsi="Simplified Arabic" w:cs="Simplified Arabic"/>
          <w:color w:val="000000" w:themeColor="text1"/>
          <w:kern w:val="0"/>
          <w:sz w:val="28"/>
          <w:szCs w:val="28"/>
          <w14:ligatures w14:val="none"/>
        </w:rPr>
        <w:t>.</w:t>
      </w:r>
    </w:p>
    <w:p w14:paraId="785EA549" w14:textId="77777777" w:rsidR="00A372D1" w:rsidRPr="00C85ABF" w:rsidRDefault="00A372D1" w:rsidP="00B57182">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معامل ألفا كرونباخ</w:t>
      </w:r>
      <w:r w:rsidRPr="00C85ABF">
        <w:rPr>
          <w:rFonts w:ascii="Simplified Arabic" w:eastAsia="Times New Roman" w:hAnsi="Simplified Arabic" w:cs="Simplified Arabic"/>
          <w:color w:val="000000" w:themeColor="text1"/>
          <w:kern w:val="0"/>
          <w:sz w:val="28"/>
          <w:szCs w:val="28"/>
          <w14:ligatures w14:val="none"/>
        </w:rPr>
        <w:t xml:space="preserve"> (Cronbach's Alpha): </w:t>
      </w:r>
      <w:r w:rsidRPr="00C85ABF">
        <w:rPr>
          <w:rFonts w:ascii="Simplified Arabic" w:eastAsia="Times New Roman" w:hAnsi="Simplified Arabic" w:cs="Simplified Arabic"/>
          <w:color w:val="000000" w:themeColor="text1"/>
          <w:kern w:val="0"/>
          <w:sz w:val="28"/>
          <w:szCs w:val="28"/>
          <w:rtl/>
          <w14:ligatures w14:val="none"/>
        </w:rPr>
        <w:t>للتحقق من ثبات أداة الدراسة ومدى الاتساق الداخلي لفقراتها</w:t>
      </w:r>
      <w:r w:rsidRPr="00C85ABF">
        <w:rPr>
          <w:rFonts w:ascii="Simplified Arabic" w:eastAsia="Times New Roman" w:hAnsi="Simplified Arabic" w:cs="Simplified Arabic"/>
          <w:color w:val="000000" w:themeColor="text1"/>
          <w:kern w:val="0"/>
          <w:sz w:val="28"/>
          <w:szCs w:val="28"/>
          <w14:ligatures w14:val="none"/>
        </w:rPr>
        <w:t>.</w:t>
      </w:r>
    </w:p>
    <w:p w14:paraId="61F7C83F" w14:textId="77777777" w:rsidR="00A372D1" w:rsidRPr="00C85ABF" w:rsidRDefault="00A372D1" w:rsidP="00B57182">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تحليل الانحدار المتعدد</w:t>
      </w:r>
      <w:r w:rsidRPr="00C85ABF">
        <w:rPr>
          <w:rFonts w:ascii="Simplified Arabic" w:eastAsia="Times New Roman" w:hAnsi="Simplified Arabic" w:cs="Simplified Arabic"/>
          <w:color w:val="000000" w:themeColor="text1"/>
          <w:kern w:val="0"/>
          <w:sz w:val="28"/>
          <w:szCs w:val="28"/>
          <w14:ligatures w14:val="none"/>
        </w:rPr>
        <w:t xml:space="preserve"> (Multiple Regression Analysis): </w:t>
      </w:r>
      <w:r w:rsidRPr="00C85ABF">
        <w:rPr>
          <w:rFonts w:ascii="Simplified Arabic" w:eastAsia="Times New Roman" w:hAnsi="Simplified Arabic" w:cs="Simplified Arabic"/>
          <w:color w:val="000000" w:themeColor="text1"/>
          <w:kern w:val="0"/>
          <w:sz w:val="28"/>
          <w:szCs w:val="28"/>
          <w:rtl/>
          <w14:ligatures w14:val="none"/>
        </w:rPr>
        <w:t>لاختبار أثر أبعاد إدارة تجربة العميل مجتمعةً على ولاء المستفيدين، وتحديد القدرة التفسيرية لكل بُعد ونسبة مساهمته في تفسير التباين في المتغير التابع</w:t>
      </w:r>
      <w:r w:rsidRPr="00C85ABF">
        <w:rPr>
          <w:rFonts w:ascii="Simplified Arabic" w:eastAsia="Times New Roman" w:hAnsi="Simplified Arabic" w:cs="Simplified Arabic"/>
          <w:color w:val="000000" w:themeColor="text1"/>
          <w:kern w:val="0"/>
          <w:sz w:val="28"/>
          <w:szCs w:val="28"/>
          <w14:ligatures w14:val="none"/>
        </w:rPr>
        <w:t>.</w:t>
      </w:r>
    </w:p>
    <w:p w14:paraId="79C9F3EC" w14:textId="77777777" w:rsidR="00A372D1" w:rsidRPr="00C85ABF" w:rsidRDefault="00A372D1" w:rsidP="00B57182">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تحليل الانحدار البسيط</w:t>
      </w:r>
      <w:r w:rsidRPr="00C85ABF">
        <w:rPr>
          <w:rFonts w:ascii="Simplified Arabic" w:eastAsia="Times New Roman" w:hAnsi="Simplified Arabic" w:cs="Simplified Arabic"/>
          <w:color w:val="000000" w:themeColor="text1"/>
          <w:kern w:val="0"/>
          <w:sz w:val="28"/>
          <w:szCs w:val="28"/>
          <w14:ligatures w14:val="none"/>
        </w:rPr>
        <w:t xml:space="preserve"> (Simple Regression Analysis): </w:t>
      </w:r>
      <w:r w:rsidRPr="00C85ABF">
        <w:rPr>
          <w:rFonts w:ascii="Simplified Arabic" w:eastAsia="Times New Roman" w:hAnsi="Simplified Arabic" w:cs="Simplified Arabic"/>
          <w:color w:val="000000" w:themeColor="text1"/>
          <w:kern w:val="0"/>
          <w:sz w:val="28"/>
          <w:szCs w:val="28"/>
          <w:rtl/>
          <w14:ligatures w14:val="none"/>
        </w:rPr>
        <w:t>لاختبار أثر كل بُعد من أبعاد إدارة تجربة العميل على حدة على ولاء المستفيدين</w:t>
      </w:r>
      <w:r w:rsidRPr="00C85ABF">
        <w:rPr>
          <w:rFonts w:ascii="Simplified Arabic" w:eastAsia="Times New Roman" w:hAnsi="Simplified Arabic" w:cs="Simplified Arabic"/>
          <w:color w:val="000000" w:themeColor="text1"/>
          <w:kern w:val="0"/>
          <w:sz w:val="28"/>
          <w:szCs w:val="28"/>
          <w14:ligatures w14:val="none"/>
        </w:rPr>
        <w:t>.</w:t>
      </w:r>
    </w:p>
    <w:p w14:paraId="539F992C" w14:textId="77777777" w:rsidR="00A372D1" w:rsidRPr="00C85ABF" w:rsidRDefault="00A372D1" w:rsidP="00B57182">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اختبار</w:t>
      </w:r>
      <w:r w:rsidRPr="00C85ABF">
        <w:rPr>
          <w:rFonts w:ascii="Simplified Arabic" w:eastAsia="Times New Roman" w:hAnsi="Simplified Arabic" w:cs="Simplified Arabic"/>
          <w:color w:val="000000" w:themeColor="text1"/>
          <w:kern w:val="0"/>
          <w:sz w:val="28"/>
          <w:szCs w:val="28"/>
          <w14:ligatures w14:val="none"/>
        </w:rPr>
        <w:t xml:space="preserve"> (T-Test) </w:t>
      </w:r>
      <w:r w:rsidRPr="00C85ABF">
        <w:rPr>
          <w:rFonts w:ascii="Simplified Arabic" w:eastAsia="Times New Roman" w:hAnsi="Simplified Arabic" w:cs="Simplified Arabic"/>
          <w:color w:val="000000" w:themeColor="text1"/>
          <w:kern w:val="0"/>
          <w:sz w:val="28"/>
          <w:szCs w:val="28"/>
          <w:rtl/>
          <w14:ligatures w14:val="none"/>
        </w:rPr>
        <w:t>للعينات المستقلة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لاختبار دلالة الفروق في استجابات أفراد العينة تبعاً لمتغير الجنس (ثنائي الفئات)</w:t>
      </w:r>
      <w:r w:rsidRPr="00C85ABF">
        <w:rPr>
          <w:rFonts w:ascii="Simplified Arabic" w:eastAsia="Times New Roman" w:hAnsi="Simplified Arabic" w:cs="Simplified Arabic"/>
          <w:color w:val="000000" w:themeColor="text1"/>
          <w:kern w:val="0"/>
          <w:sz w:val="28"/>
          <w:szCs w:val="28"/>
          <w14:ligatures w14:val="none"/>
        </w:rPr>
        <w:t>.</w:t>
      </w:r>
    </w:p>
    <w:p w14:paraId="2CFB122F" w14:textId="152AF3EC" w:rsidR="00A372D1" w:rsidRPr="00C85ABF" w:rsidRDefault="00B57182" w:rsidP="00B5718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8" w:name="_Toc224289533"/>
      <w:bookmarkStart w:id="39" w:name="_Toc233980954"/>
      <w:r w:rsidRPr="00C85ABF">
        <w:rPr>
          <w:rFonts w:ascii="Simplified Arabic" w:eastAsia="Times New Roman" w:hAnsi="Simplified Arabic" w:cs="Simplified Arabic" w:hint="cs"/>
          <w:b/>
          <w:bCs/>
          <w:color w:val="000000" w:themeColor="text1"/>
          <w:kern w:val="0"/>
          <w:sz w:val="36"/>
          <w:szCs w:val="36"/>
          <w:rtl/>
          <w14:ligatures w14:val="none"/>
        </w:rPr>
        <w:t xml:space="preserve">15.1 </w:t>
      </w:r>
      <w:r w:rsidR="00A372D1" w:rsidRPr="00C85ABF">
        <w:rPr>
          <w:rFonts w:ascii="Simplified Arabic" w:eastAsia="Times New Roman" w:hAnsi="Simplified Arabic" w:cs="Simplified Arabic"/>
          <w:b/>
          <w:bCs/>
          <w:color w:val="000000" w:themeColor="text1"/>
          <w:kern w:val="0"/>
          <w:sz w:val="36"/>
          <w:szCs w:val="36"/>
          <w:rtl/>
          <w14:ligatures w14:val="none"/>
        </w:rPr>
        <w:t>حدود الدراسة</w:t>
      </w:r>
      <w:bookmarkEnd w:id="38"/>
      <w:bookmarkEnd w:id="39"/>
    </w:p>
    <w:p w14:paraId="36F56D7E" w14:textId="2CD45146" w:rsidR="00A372D1" w:rsidRPr="00C85ABF" w:rsidRDefault="00A372D1" w:rsidP="00B5718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الحدود الموضوعية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سوف تقتصر الدراسة على دراسة أثر إدارة تجربة العميل بأبعادها الأربعة (إدارة التفاعل الرقمي، وإدارة التفاعل الخدمي، وإدارة البيئة المادية، وإدارة التواصل والمتابعة) على تعزيز ولاء المستفيدين</w:t>
      </w:r>
      <w:r w:rsidRPr="00C85ABF">
        <w:rPr>
          <w:rFonts w:ascii="Simplified Arabic" w:eastAsia="Times New Roman" w:hAnsi="Simplified Arabic" w:cs="Simplified Arabic"/>
          <w:color w:val="000000" w:themeColor="text1"/>
          <w:kern w:val="0"/>
          <w:sz w:val="28"/>
          <w:szCs w:val="28"/>
          <w14:ligatures w14:val="none"/>
        </w:rPr>
        <w:t>.</w:t>
      </w:r>
    </w:p>
    <w:p w14:paraId="00763B24" w14:textId="7272D7A1" w:rsidR="00A372D1" w:rsidRPr="00C85ABF" w:rsidRDefault="00A372D1" w:rsidP="00B5718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الحدود المكانية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سوف تُطبَّق الدراسة على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 </w:t>
      </w:r>
    </w:p>
    <w:p w14:paraId="52C788AD" w14:textId="77777777" w:rsidR="00A372D1" w:rsidRPr="00C85ABF" w:rsidRDefault="00A372D1" w:rsidP="00B5718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الحدود البشرية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سوف تستهدف الدراسة المستفيدين الذين تعاملوا مع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 </w:t>
      </w:r>
      <w:r w:rsidRPr="00C85ABF">
        <w:rPr>
          <w:rFonts w:ascii="Simplified Arabic" w:eastAsia="Times New Roman" w:hAnsi="Simplified Arabic" w:cs="Simplified Arabic"/>
          <w:color w:val="000000" w:themeColor="text1"/>
          <w:kern w:val="0"/>
          <w:sz w:val="28"/>
          <w:szCs w:val="28"/>
          <w:rtl/>
          <w14:ligatures w14:val="none"/>
        </w:rPr>
        <w:t>وحصلوا على منتجاتها أو خدماتها الإسكانية، سواء كانوا مستفيدين من الوحدات السكنية الجاهزة أو تحت الإنشاء أو خدمات التمويل السكني</w:t>
      </w:r>
      <w:r w:rsidRPr="00C85ABF">
        <w:rPr>
          <w:rFonts w:ascii="Simplified Arabic" w:eastAsia="Times New Roman" w:hAnsi="Simplified Arabic" w:cs="Simplified Arabic"/>
          <w:color w:val="000000" w:themeColor="text1"/>
          <w:kern w:val="0"/>
          <w:sz w:val="28"/>
          <w:szCs w:val="28"/>
          <w14:ligatures w14:val="none"/>
        </w:rPr>
        <w:t>.</w:t>
      </w:r>
    </w:p>
    <w:p w14:paraId="4BD34252" w14:textId="77777777" w:rsidR="00A372D1" w:rsidRPr="00C85ABF" w:rsidRDefault="00A372D1" w:rsidP="00B5718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85ABF">
        <w:rPr>
          <w:rFonts w:ascii="Simplified Arabic" w:eastAsia="Times New Roman" w:hAnsi="Simplified Arabic" w:cs="Simplified Arabic"/>
          <w:color w:val="000000" w:themeColor="text1"/>
          <w:kern w:val="0"/>
          <w:sz w:val="28"/>
          <w:szCs w:val="28"/>
          <w:rtl/>
          <w14:ligatures w14:val="none"/>
        </w:rPr>
        <w:t>الحدود الزمانية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سوف يتم جمع البيانات الأولية للدراسة خلال الفصل الدراسي الثاني من العام الجامعي 1447/1448هـ الموافق 2026م</w:t>
      </w:r>
      <w:r w:rsidRPr="00C85ABF">
        <w:rPr>
          <w:rFonts w:ascii="Simplified Arabic" w:eastAsia="Times New Roman" w:hAnsi="Simplified Arabic" w:cs="Simplified Arabic"/>
          <w:color w:val="000000" w:themeColor="text1"/>
          <w:kern w:val="0"/>
          <w:sz w:val="28"/>
          <w:szCs w:val="28"/>
          <w14:ligatures w14:val="none"/>
        </w:rPr>
        <w:t>.</w:t>
      </w:r>
    </w:p>
    <w:p w14:paraId="32D54417" w14:textId="6069956C" w:rsidR="00230F8A" w:rsidRPr="00C85ABF" w:rsidRDefault="008E6323" w:rsidP="008E6323">
      <w:pPr>
        <w:jc w:val="center"/>
        <w:outlineLvl w:val="0"/>
        <w:rPr>
          <w:rFonts w:ascii="Simplified Arabic" w:eastAsia="Times New Roman" w:hAnsi="Simplified Arabic" w:cs="Simplified Arabic"/>
          <w:b/>
          <w:bCs/>
          <w:color w:val="000000" w:themeColor="text1"/>
          <w:kern w:val="0"/>
          <w:sz w:val="40"/>
          <w:szCs w:val="40"/>
          <w14:ligatures w14:val="none"/>
        </w:rPr>
      </w:pPr>
      <w:r w:rsidRPr="00C85ABF">
        <w:rPr>
          <w:rFonts w:ascii="Simplified Arabic" w:eastAsia="Times New Roman" w:hAnsi="Simplified Arabic" w:cs="Simplified Arabic"/>
          <w:b/>
          <w:bCs/>
          <w:color w:val="000000" w:themeColor="text1"/>
          <w:kern w:val="0"/>
          <w:sz w:val="40"/>
          <w:szCs w:val="40"/>
          <w:rtl/>
          <w14:ligatures w14:val="none"/>
        </w:rPr>
        <w:br w:type="page"/>
      </w:r>
      <w:bookmarkStart w:id="40" w:name="_Toc233980955"/>
      <w:r w:rsidRPr="00C85ABF">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230F8A" w:rsidRPr="00C85ABF">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0"/>
    </w:p>
    <w:p w14:paraId="3AA1E31F" w14:textId="26E35E67" w:rsidR="00230F8A" w:rsidRPr="00C85ABF" w:rsidRDefault="00230F8A" w:rsidP="008E6323">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1" w:name="_Toc233980956"/>
      <w:r w:rsidRPr="00C85ABF">
        <w:rPr>
          <w:rFonts w:ascii="Simplified Arabic" w:eastAsia="Times New Roman" w:hAnsi="Simplified Arabic" w:cs="Simplified Arabic"/>
          <w:b/>
          <w:bCs/>
          <w:color w:val="000000" w:themeColor="text1"/>
          <w:kern w:val="0"/>
          <w:sz w:val="36"/>
          <w:szCs w:val="36"/>
          <w:rtl/>
          <w14:ligatures w14:val="none"/>
        </w:rPr>
        <w:t>المبحث الأول: إدارة تجربة العميل</w:t>
      </w:r>
      <w:bookmarkEnd w:id="41"/>
    </w:p>
    <w:p w14:paraId="6F930203" w14:textId="3227DDD7" w:rsidR="00230F8A" w:rsidRPr="00C85ABF" w:rsidRDefault="008E6323" w:rsidP="008E63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980957"/>
      <w:r w:rsidRPr="00C85ABF">
        <w:rPr>
          <w:rFonts w:ascii="Simplified Arabic" w:eastAsia="Times New Roman" w:hAnsi="Simplified Arabic" w:cs="Simplified Arabic" w:hint="cs"/>
          <w:b/>
          <w:bCs/>
          <w:color w:val="000000" w:themeColor="text1"/>
          <w:kern w:val="0"/>
          <w:sz w:val="32"/>
          <w:szCs w:val="32"/>
          <w:rtl/>
          <w14:ligatures w14:val="none"/>
        </w:rPr>
        <w:t xml:space="preserve">1.1.2 </w:t>
      </w:r>
      <w:r w:rsidR="00230F8A" w:rsidRPr="00C85ABF">
        <w:rPr>
          <w:rFonts w:ascii="Simplified Arabic" w:eastAsia="Times New Roman" w:hAnsi="Simplified Arabic" w:cs="Simplified Arabic"/>
          <w:b/>
          <w:bCs/>
          <w:color w:val="000000" w:themeColor="text1"/>
          <w:kern w:val="0"/>
          <w:sz w:val="32"/>
          <w:szCs w:val="32"/>
          <w:rtl/>
          <w14:ligatures w14:val="none"/>
        </w:rPr>
        <w:t>تمهيد</w:t>
      </w:r>
      <w:bookmarkEnd w:id="42"/>
    </w:p>
    <w:p w14:paraId="75C1208D"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شهدت بيئة الأعمال المعاصرة تحولات جوهرية في طبيعة العلاقة التي تربط المنظمات بعملائها، إذ لم يعد العميل مجرد متلقٍ سلبي لما تقدمه المنظمة من منتجات أو خدمات، بل أصبح شريكًا فاعلًا في صياغة القيمة وتحديد اتجاهات السوق. وقد فرض هذا التحول على المنظمات ضرورة إعادة النظر في مداخلها التسويقية والإدارية، والانتقال من التركيز على المنتج أو العملية إلى التركيز على التجربة الكلية التي يعيشها العميل عبر مختلف نقاط تلاقيه مع المنظمة. وفي ظل اشتداد المنافسة وتقارب المنتجات في خصائصها الوظيفية، برزت إدارة تجربة العميل بوصفها مدخلًا استراتيجيًا حديثًا يسعى إلى تحقيق التميز التنافسي من خلال هندسة تجارب متكاملة ومتسقة تُشبع التوقعات العقلانية والوجدانية للعميل في آن واحد</w:t>
      </w:r>
      <w:r w:rsidRPr="00C85ABF">
        <w:rPr>
          <w:rFonts w:ascii="Simplified Arabic" w:eastAsia="Times New Roman" w:hAnsi="Simplified Arabic" w:cs="Simplified Arabic"/>
          <w:color w:val="000000" w:themeColor="text1"/>
          <w:kern w:val="0"/>
          <w:sz w:val="28"/>
          <w:szCs w:val="28"/>
          <w14:ligatures w14:val="none"/>
        </w:rPr>
        <w:t>.</w:t>
      </w:r>
    </w:p>
    <w:p w14:paraId="0D0ABDFB"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وتكتسب إدارة تجربة العميل أهميتها من كونها تُعالج الفجوة القائمة بين ما تعتقد المنظمة أنها تقدمه للعميل وما يدركه العميل فعليًا، وهي فجوة كثيرًا ما تُفسر ظاهرة تراجع الولاء رغم ارتفاع مؤشرات الجودة الموضوعية. ويرى الباحثون في هذا الميدان أن التجربة ليست حدثًا لحظيًا عابرًا، بل مسار متصل يبدأ قبل التعامل ويستمر بعده، وأن إدارتها تستوجب رؤية شمولية تُوظف المداخل التسويقية والسلوكية والتقنية في نسق واحد. ويأتي هذا المبحث ليؤسس نظريًا لمفهوم إدارة تجربة العميل، ويستعرض أهميته وأهدافه وأبعاده واستراتيجياته، بما يُهيئ لفهم دوره في تعزيز ولاء المستفيدين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w:t>
      </w:r>
    </w:p>
    <w:p w14:paraId="70270A4A" w14:textId="6093E4BD" w:rsidR="00230F8A" w:rsidRPr="00C85ABF" w:rsidRDefault="008E6323" w:rsidP="008E63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980958"/>
      <w:r w:rsidRPr="00C85ABF">
        <w:rPr>
          <w:rFonts w:ascii="Simplified Arabic" w:eastAsia="Times New Roman" w:hAnsi="Simplified Arabic" w:cs="Simplified Arabic" w:hint="cs"/>
          <w:b/>
          <w:bCs/>
          <w:color w:val="000000" w:themeColor="text1"/>
          <w:kern w:val="0"/>
          <w:sz w:val="32"/>
          <w:szCs w:val="32"/>
          <w:rtl/>
          <w14:ligatures w14:val="none"/>
        </w:rPr>
        <w:t>2.1.2</w:t>
      </w:r>
      <w:r w:rsidR="00230F8A" w:rsidRPr="00C85ABF">
        <w:rPr>
          <w:rFonts w:ascii="Simplified Arabic" w:eastAsia="Times New Roman" w:hAnsi="Simplified Arabic" w:cs="Simplified Arabic"/>
          <w:b/>
          <w:bCs/>
          <w:color w:val="000000" w:themeColor="text1"/>
          <w:kern w:val="0"/>
          <w:sz w:val="32"/>
          <w:szCs w:val="32"/>
          <w:rtl/>
          <w14:ligatures w14:val="none"/>
        </w:rPr>
        <w:t xml:space="preserve"> مفهوم إدارة تجربة العميل</w:t>
      </w:r>
      <w:bookmarkEnd w:id="43"/>
    </w:p>
    <w:p w14:paraId="24C2BD5C"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تعددت التعريفات التي طرحها الباحثون لمفهوم إدارة تجربة العميل، وتنوعت زوايا معالجتها بحسب المدرسة الفكرية التي ينتمي إليها كل باحث والسياق التطبيقي الذي انطلق منه. وقد أشار (عبدالخالق وآخرون، 2023) إلى أن تجربة العميل تُمثل مجموع الاستجابات الداخلية والذاتية التي يُبديها العميل نتيجة تفاعله المباشر أو غير المباشر مع المنظمة، وأن إدارة هذه التجربة تعني التخطيط المنهجي لكل نقطة تماس بحيث تُنتج انطباعات إيجابية متراكمة تنعكس على إدراكه للعلامة التجارية. ويُقدم هذا التعريف قراءة سيكولوجية للتجربة تجعل من الاستجابة الوجدانية للعميل محورًا لعملية الإدارة</w:t>
      </w:r>
      <w:r w:rsidRPr="00C85ABF">
        <w:rPr>
          <w:rFonts w:ascii="Simplified Arabic" w:eastAsia="Times New Roman" w:hAnsi="Simplified Arabic" w:cs="Simplified Arabic"/>
          <w:color w:val="000000" w:themeColor="text1"/>
          <w:kern w:val="0"/>
          <w:sz w:val="28"/>
          <w:szCs w:val="28"/>
          <w14:ligatures w14:val="none"/>
        </w:rPr>
        <w:t>.</w:t>
      </w:r>
    </w:p>
    <w:p w14:paraId="5DE72B4A"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وفي سياق متصل، عرّف (القاضي والحريري، 2023) تجربة العميل الرقمية بوصفها الإدراك الكلي الذي يتكوّن لدى العميل خلال تفاعله مع المنصات الإلكترونية والتطبيقات الذكية للمنظمة، وأن إدارتها تستلزم تصميم واجهات استخدام سلسة، وتوفير محتوى موثوق، وضمان استجابة فورية للاستفسارات والمعاملات. ويُبرز هذا التعريف البُعد التقني للمفهوم، ويعكس تحولًا في مداخل إدارة التجربة نحو استثمار الفضاء الرقمي بوصفه ساحة رئيسية للتفاعل مع العميل</w:t>
      </w:r>
      <w:r w:rsidRPr="00C85ABF">
        <w:rPr>
          <w:rFonts w:ascii="Simplified Arabic" w:eastAsia="Times New Roman" w:hAnsi="Simplified Arabic" w:cs="Simplified Arabic"/>
          <w:color w:val="000000" w:themeColor="text1"/>
          <w:kern w:val="0"/>
          <w:sz w:val="28"/>
          <w:szCs w:val="28"/>
          <w14:ligatures w14:val="none"/>
        </w:rPr>
        <w:t>.</w:t>
      </w:r>
    </w:p>
    <w:p w14:paraId="0874B0EB"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ومن منظور تحليلي بياني، أشار (كامل وآخرون، 2025) إلى أن إدارة تجربة العميل تعني توظيف تحليلات البيانات الرقمية لفهم أنماط سلوك العميل وتوقع احتياجاته، وتصميم تجارب مخصصة تنسجم مع تفضيلاته الفردية. ويُضيف هذا التعريف بُعدًا معرفيًا للمفهوم يجعل من البيانات ركيزة لصناعة القرار في تصميم التجربة، وينقلها من كونها فعلًا حدسيًا إلى ممارسة قائمة على الأدلة</w:t>
      </w:r>
      <w:r w:rsidRPr="00C85ABF">
        <w:rPr>
          <w:rFonts w:ascii="Simplified Arabic" w:eastAsia="Times New Roman" w:hAnsi="Simplified Arabic" w:cs="Simplified Arabic"/>
          <w:color w:val="000000" w:themeColor="text1"/>
          <w:kern w:val="0"/>
          <w:sz w:val="28"/>
          <w:szCs w:val="28"/>
          <w14:ligatures w14:val="none"/>
        </w:rPr>
        <w:t>.</w:t>
      </w:r>
    </w:p>
    <w:p w14:paraId="7FB3E495"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وفي مقاربة سلوكية، عرّف (يحيى وآخرون، 2025) تجربة العميل بأنها المحصلة الكلية للتفاعلات المعرفية والعاطفية والحسية التي يخوضها العميل عبر مراحل رحلته مع مقدم الخدمة، وأن إدارتها تستهدف تشكيل هذه المحصلة بما يُقلل من نية التحول إلى منافسين آخرين. ويكشف هذا التعريف عن ارتباط عضوي بين جودة التجربة واستقرار العلاقة بين العميل والمنظمة</w:t>
      </w:r>
      <w:r w:rsidRPr="00C85ABF">
        <w:rPr>
          <w:rFonts w:ascii="Simplified Arabic" w:eastAsia="Times New Roman" w:hAnsi="Simplified Arabic" w:cs="Simplified Arabic"/>
          <w:color w:val="000000" w:themeColor="text1"/>
          <w:kern w:val="0"/>
          <w:sz w:val="28"/>
          <w:szCs w:val="28"/>
          <w14:ligatures w14:val="none"/>
        </w:rPr>
        <w:t>.</w:t>
      </w:r>
    </w:p>
    <w:p w14:paraId="335537B1"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أما من زاوية القطاع المصرفي، فقد اعتبر</w:t>
      </w:r>
      <w:r w:rsidRPr="00C85ABF">
        <w:rPr>
          <w:rFonts w:ascii="Simplified Arabic" w:eastAsia="Times New Roman" w:hAnsi="Simplified Arabic" w:cs="Simplified Arabic"/>
          <w:color w:val="000000" w:themeColor="text1"/>
          <w:kern w:val="0"/>
          <w:sz w:val="28"/>
          <w:szCs w:val="28"/>
          <w14:ligatures w14:val="none"/>
        </w:rPr>
        <w:t xml:space="preserve"> (Chiguvi et al., 2025) </w:t>
      </w:r>
      <w:r w:rsidRPr="00C85ABF">
        <w:rPr>
          <w:rFonts w:ascii="Simplified Arabic" w:eastAsia="Times New Roman" w:hAnsi="Simplified Arabic" w:cs="Simplified Arabic"/>
          <w:color w:val="000000" w:themeColor="text1"/>
          <w:kern w:val="0"/>
          <w:sz w:val="28"/>
          <w:szCs w:val="28"/>
          <w:rtl/>
          <w14:ligatures w14:val="none"/>
        </w:rPr>
        <w:t>أن إدارة تجربة العميل عملية استراتيجية شاملة تسعى إلى مواءمة ممارسات المنظمة مع تطلعات العميل وقيمه في آن واحد، وأنها تتضمن تصميم رحلة العميل بأكملها بحيث تُحقق التوازن بين الكفاءة التشغيلية والاستدامة والقيمة المدركة. ويُضفي هذا التعريف على المفهوم بُعدًا استراتيجيًا يتجاوز حدود التفاعل المباشر ليشمل توجهات المنظمة الكلية</w:t>
      </w:r>
      <w:r w:rsidRPr="00C85ABF">
        <w:rPr>
          <w:rFonts w:ascii="Simplified Arabic" w:eastAsia="Times New Roman" w:hAnsi="Simplified Arabic" w:cs="Simplified Arabic"/>
          <w:color w:val="000000" w:themeColor="text1"/>
          <w:kern w:val="0"/>
          <w:sz w:val="28"/>
          <w:szCs w:val="28"/>
          <w14:ligatures w14:val="none"/>
        </w:rPr>
        <w:t>.</w:t>
      </w:r>
    </w:p>
    <w:p w14:paraId="67465C09"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وفي المقابل، ذهب</w:t>
      </w:r>
      <w:r w:rsidRPr="00C85ABF">
        <w:rPr>
          <w:rFonts w:ascii="Simplified Arabic" w:eastAsia="Times New Roman" w:hAnsi="Simplified Arabic" w:cs="Simplified Arabic"/>
          <w:color w:val="000000" w:themeColor="text1"/>
          <w:kern w:val="0"/>
          <w:sz w:val="28"/>
          <w:szCs w:val="28"/>
          <w14:ligatures w14:val="none"/>
        </w:rPr>
        <w:t xml:space="preserve"> (Makudza, 2021) </w:t>
      </w:r>
      <w:r w:rsidRPr="00C85ABF">
        <w:rPr>
          <w:rFonts w:ascii="Simplified Arabic" w:eastAsia="Times New Roman" w:hAnsi="Simplified Arabic" w:cs="Simplified Arabic"/>
          <w:color w:val="000000" w:themeColor="text1"/>
          <w:kern w:val="0"/>
          <w:sz w:val="28"/>
          <w:szCs w:val="28"/>
          <w:rtl/>
          <w14:ligatures w14:val="none"/>
        </w:rPr>
        <w:t>إلى أن إدارة تجربة العميل هي منهجية إدارية تسعى إلى تعظيم القيمة المُدركة للعميل من خلال تحسين جودة نقاط التماس المتعددة، وضبط تسلسلها بحيث تُنتج تجربة متكاملة خالية من التناقض. ويُبرز هذا التعريف مفهوم “تكامل نقاط التماس” باعتباره جوهر عملية الإدارة، ويُميز بين التجربة العشوائية والتجربة المُصممة بعناية</w:t>
      </w:r>
      <w:r w:rsidRPr="00C85ABF">
        <w:rPr>
          <w:rFonts w:ascii="Simplified Arabic" w:eastAsia="Times New Roman" w:hAnsi="Simplified Arabic" w:cs="Simplified Arabic"/>
          <w:color w:val="000000" w:themeColor="text1"/>
          <w:kern w:val="0"/>
          <w:sz w:val="28"/>
          <w:szCs w:val="28"/>
          <w14:ligatures w14:val="none"/>
        </w:rPr>
        <w:t>.</w:t>
      </w:r>
    </w:p>
    <w:p w14:paraId="1145C434"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ومن منظور المشاركة في خلق القيمة، أوضح</w:t>
      </w:r>
      <w:r w:rsidRPr="00C85ABF">
        <w:rPr>
          <w:rFonts w:ascii="Simplified Arabic" w:eastAsia="Times New Roman" w:hAnsi="Simplified Arabic" w:cs="Simplified Arabic"/>
          <w:color w:val="000000" w:themeColor="text1"/>
          <w:kern w:val="0"/>
          <w:sz w:val="28"/>
          <w:szCs w:val="28"/>
          <w14:ligatures w14:val="none"/>
        </w:rPr>
        <w:t xml:space="preserve"> (Ahmad et al., 2022) </w:t>
      </w:r>
      <w:r w:rsidRPr="00C85ABF">
        <w:rPr>
          <w:rFonts w:ascii="Simplified Arabic" w:eastAsia="Times New Roman" w:hAnsi="Simplified Arabic" w:cs="Simplified Arabic"/>
          <w:color w:val="000000" w:themeColor="text1"/>
          <w:kern w:val="0"/>
          <w:sz w:val="28"/>
          <w:szCs w:val="28"/>
          <w:rtl/>
          <w14:ligatures w14:val="none"/>
        </w:rPr>
        <w:t xml:space="preserve">أن تجربة العميل الرقمية تنطوي على تفاعل تشاركي بين العميل والمنظمة، وأن إدارتها تتطلب توفير فرص للعميل للانخراط في </w:t>
      </w:r>
      <w:r w:rsidRPr="00C85ABF">
        <w:rPr>
          <w:rFonts w:ascii="Simplified Arabic" w:eastAsia="Times New Roman" w:hAnsi="Simplified Arabic" w:cs="Simplified Arabic"/>
          <w:color w:val="000000" w:themeColor="text1"/>
          <w:kern w:val="0"/>
          <w:sz w:val="28"/>
          <w:szCs w:val="28"/>
          <w:rtl/>
          <w14:ligatures w14:val="none"/>
        </w:rPr>
        <w:lastRenderedPageBreak/>
        <w:t>تشكيل الخدمة وتخصيصها، وهو ما يُحوّل العميل من متلقٍ إلى مشارك في صناعة التجربة. ويعكس هذا التعريف تحولًا فلسفيًا في النظر إلى العميل بوصفه مصدرًا للقيمة وليس مستهلكًا لها فحسب</w:t>
      </w:r>
      <w:r w:rsidRPr="00C85ABF">
        <w:rPr>
          <w:rFonts w:ascii="Simplified Arabic" w:eastAsia="Times New Roman" w:hAnsi="Simplified Arabic" w:cs="Simplified Arabic"/>
          <w:color w:val="000000" w:themeColor="text1"/>
          <w:kern w:val="0"/>
          <w:sz w:val="28"/>
          <w:szCs w:val="28"/>
          <w14:ligatures w14:val="none"/>
        </w:rPr>
        <w:t>.</w:t>
      </w:r>
    </w:p>
    <w:p w14:paraId="3C84A6D4"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وأضاف</w:t>
      </w:r>
      <w:r w:rsidRPr="00C85ABF">
        <w:rPr>
          <w:rFonts w:ascii="Simplified Arabic" w:eastAsia="Times New Roman" w:hAnsi="Simplified Arabic" w:cs="Simplified Arabic"/>
          <w:color w:val="000000" w:themeColor="text1"/>
          <w:kern w:val="0"/>
          <w:sz w:val="28"/>
          <w:szCs w:val="28"/>
          <w14:ligatures w14:val="none"/>
        </w:rPr>
        <w:t xml:space="preserve"> (Karim et al., 2022) </w:t>
      </w:r>
      <w:r w:rsidRPr="00C85ABF">
        <w:rPr>
          <w:rFonts w:ascii="Simplified Arabic" w:eastAsia="Times New Roman" w:hAnsi="Simplified Arabic" w:cs="Simplified Arabic"/>
          <w:color w:val="000000" w:themeColor="text1"/>
          <w:kern w:val="0"/>
          <w:sz w:val="28"/>
          <w:szCs w:val="28"/>
          <w:rtl/>
          <w14:ligatures w14:val="none"/>
        </w:rPr>
        <w:t>أن إدارة تجربة العميل في قطاع الضيافة والخدمات المالية الرقمية تُمثل عملية متعددة الأبعاد تدمج بين الجودة الفنية للخدمة، والراحة الوجدانية للعميل، ومستوى ثقته في المنصات المستخدمة. ويُبرز هذا التعريف تكامل الأبعاد التقنية والسلوكية، ويُشير إلى أن التجربة لا تُدار من خلال مسار واحد بل عبر تنسيق عدة مسارات في وقت واحد</w:t>
      </w:r>
      <w:r w:rsidRPr="00C85ABF">
        <w:rPr>
          <w:rFonts w:ascii="Simplified Arabic" w:eastAsia="Times New Roman" w:hAnsi="Simplified Arabic" w:cs="Simplified Arabic"/>
          <w:color w:val="000000" w:themeColor="text1"/>
          <w:kern w:val="0"/>
          <w:sz w:val="28"/>
          <w:szCs w:val="28"/>
          <w14:ligatures w14:val="none"/>
        </w:rPr>
        <w:t>.</w:t>
      </w:r>
    </w:p>
    <w:p w14:paraId="4800E5BC"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ويستخلص الباحث من مجمل ما تقدم أن إدارة تجربة العميل تُمثل توجهًا إداريًا استراتيجيًا شاملًا يقوم على التخطيط المنهجي والتصميم المتعمد لجميع نقاط التلاقي بين العميل والمنظمة، سواء في الفضاء الرقمي أو المادي أو من خلال التفاعل البشري، بهدف إنتاج انطباعات إيجابية متسقة ومتراكمة تُشبع التوقعات العقلانية والوجدانية للعميل، وتُعزز إدراكه للقيمة، وتحول العلاقة معه من علاقة تبادلية عابرة إلى علاقة ولاء مستدامة. ويرى الباحث أن ما يُميز هذا المفهوم عن غيره من المفاهيم التسويقية القريبة – كجودة الخدمة ورضا العميل – هو طابعه الشمولي الذي يتجاوز اللحظة الآنية للتفاعل ليشمل الرحلة الكاملة للعميل قبل التعامل وأثناءه وبعده، فضلًا عن اعتماده على مداخل حديثة كتحليل البيانات وتشخيص رحلة العميل والتصميم القائم على التعاطف</w:t>
      </w:r>
      <w:r w:rsidRPr="00C85ABF">
        <w:rPr>
          <w:rFonts w:ascii="Simplified Arabic" w:eastAsia="Times New Roman" w:hAnsi="Simplified Arabic" w:cs="Simplified Arabic"/>
          <w:color w:val="000000" w:themeColor="text1"/>
          <w:kern w:val="0"/>
          <w:sz w:val="28"/>
          <w:szCs w:val="28"/>
          <w14:ligatures w14:val="none"/>
        </w:rPr>
        <w:t>.</w:t>
      </w:r>
    </w:p>
    <w:p w14:paraId="657A4B84" w14:textId="32C85EA9" w:rsidR="00230F8A" w:rsidRPr="00C85ABF" w:rsidRDefault="008E6323" w:rsidP="008E63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980959"/>
      <w:r w:rsidRPr="00C85ABF">
        <w:rPr>
          <w:rFonts w:ascii="Simplified Arabic" w:eastAsia="Times New Roman" w:hAnsi="Simplified Arabic" w:cs="Simplified Arabic" w:hint="cs"/>
          <w:b/>
          <w:bCs/>
          <w:color w:val="000000" w:themeColor="text1"/>
          <w:kern w:val="0"/>
          <w:sz w:val="32"/>
          <w:szCs w:val="32"/>
          <w:rtl/>
          <w14:ligatures w14:val="none"/>
        </w:rPr>
        <w:t>3.1.2</w:t>
      </w:r>
      <w:r w:rsidR="00230F8A" w:rsidRPr="00C85ABF">
        <w:rPr>
          <w:rFonts w:ascii="Simplified Arabic" w:eastAsia="Times New Roman" w:hAnsi="Simplified Arabic" w:cs="Simplified Arabic"/>
          <w:b/>
          <w:bCs/>
          <w:color w:val="000000" w:themeColor="text1"/>
          <w:kern w:val="0"/>
          <w:sz w:val="32"/>
          <w:szCs w:val="32"/>
          <w:rtl/>
          <w14:ligatures w14:val="none"/>
        </w:rPr>
        <w:t xml:space="preserve"> أهمية إدارة تجربة العميل</w:t>
      </w:r>
      <w:bookmarkEnd w:id="44"/>
    </w:p>
    <w:p w14:paraId="1FAFE836"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تُشكل إدارة تجربة العميل ركيزة محورية في المنظومة الإدارية للمنظمات المعاصرة، وذلك في ضوء التحولات الجوهرية التي طرأت على سلوك العميل وتوقعاته، وارتفاع مستوى الوعي بحقوقه، وتنامي البدائل المتاحة أمامه. ولم تعد المنظمات قادرة على الاستمرار في المنافسة استنادًا إلى جودة المنتج أو السعر فحسب، بل أصبحت مطالبة بتقديم قيمة تجريبية متمايزة تُعزز ارتباط العميل بها على المدى البعيد. وتنبع أهمية هذا المفهوم من كونه يُوفر إطارًا متكاملًا لفهم العميل والاستجابة لتوقعاته المتغيرة، ويُسهم في تحويل التفاعل معه إلى ميزة تنافسية يصعب على المنافسين محاكاتها</w:t>
      </w:r>
      <w:r w:rsidRPr="00C85ABF">
        <w:rPr>
          <w:rFonts w:ascii="Simplified Arabic" w:eastAsia="Times New Roman" w:hAnsi="Simplified Arabic" w:cs="Simplified Arabic"/>
          <w:color w:val="000000" w:themeColor="text1"/>
          <w:kern w:val="0"/>
          <w:sz w:val="28"/>
          <w:szCs w:val="28"/>
          <w14:ligatures w14:val="none"/>
        </w:rPr>
        <w:t>.</w:t>
      </w:r>
    </w:p>
    <w:p w14:paraId="3A6C309E"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ويشير</w:t>
      </w:r>
      <w:r w:rsidRPr="00C85ABF">
        <w:rPr>
          <w:rFonts w:ascii="Simplified Arabic" w:eastAsia="Times New Roman" w:hAnsi="Simplified Arabic" w:cs="Simplified Arabic"/>
          <w:color w:val="000000" w:themeColor="text1"/>
          <w:kern w:val="0"/>
          <w:sz w:val="28"/>
          <w:szCs w:val="28"/>
          <w14:ligatures w14:val="none"/>
        </w:rPr>
        <w:t xml:space="preserve"> (Walpola &amp; Gunawardana, 2025) </w:t>
      </w:r>
      <w:r w:rsidRPr="00C85ABF">
        <w:rPr>
          <w:rFonts w:ascii="Simplified Arabic" w:eastAsia="Times New Roman" w:hAnsi="Simplified Arabic" w:cs="Simplified Arabic"/>
          <w:color w:val="000000" w:themeColor="text1"/>
          <w:kern w:val="0"/>
          <w:sz w:val="28"/>
          <w:szCs w:val="28"/>
          <w:rtl/>
          <w14:ligatures w14:val="none"/>
        </w:rPr>
        <w:t xml:space="preserve">إلى أن أهمية إدارة تجربة العميل تتجلى في عدة اعتبارات، منها: أنها تُسهم في تكوين اتجاهات إيجابية لدى العميل نحو المنظمة تُشكل قاعدة لسلوكيات الولاء اللاحقة؛ وأنها تُتيح للمنظمة بناء علاقات نفسية عميقة مع عملائها تتجاوز حدود التبادل التجاري؛ </w:t>
      </w:r>
      <w:r w:rsidRPr="00C85ABF">
        <w:rPr>
          <w:rFonts w:ascii="Simplified Arabic" w:eastAsia="Times New Roman" w:hAnsi="Simplified Arabic" w:cs="Simplified Arabic"/>
          <w:color w:val="000000" w:themeColor="text1"/>
          <w:kern w:val="0"/>
          <w:sz w:val="28"/>
          <w:szCs w:val="28"/>
          <w:rtl/>
          <w14:ligatures w14:val="none"/>
        </w:rPr>
        <w:lastRenderedPageBreak/>
        <w:t>فضلًا عن أنها تُعزز قدرة المنظمة على التمييز في الأسواق المتشبعة التي تتقارب فيها المنتجات؛ إضافةً إلى دورها في تحسين معدلات الاحتفاظ بالعملاء وخفض تكاليف استقطاب عملاء جدد؛ وأخيرًا مساهمتها في تحويل العميل الراضي إلى مروّج طوعي للمنظمة يُشارك تجربته الإيجابية مع محيطه</w:t>
      </w:r>
      <w:r w:rsidRPr="00C85ABF">
        <w:rPr>
          <w:rFonts w:ascii="Simplified Arabic" w:eastAsia="Times New Roman" w:hAnsi="Simplified Arabic" w:cs="Simplified Arabic"/>
          <w:color w:val="000000" w:themeColor="text1"/>
          <w:kern w:val="0"/>
          <w:sz w:val="28"/>
          <w:szCs w:val="28"/>
          <w14:ligatures w14:val="none"/>
        </w:rPr>
        <w:t>.</w:t>
      </w:r>
    </w:p>
    <w:p w14:paraId="6391DE6F"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ويرى (الجابري، 2021) أن أهمية إدارة تجربة العميل تتمثل في كونها تُوفر منصة معرفية للمنظمة تُمكنها من التعرف الدقيق على تفضيلات عملائها وتوقعاتهم، وتُساعدها في بناء مصداقية مستدامة تعتمد على اتساق ما تقدمه من وعود مع ما تنتجه من تجارب فعلية، وأنها تُشكل حائط صد أمام الرسائل التسويقية المضللة التي قد يتلقاها العميل من المنافسين، وأنها تُعزز الشعور بالانتماء لدى العميل بحيث يُنظر إلى المنظمة بوصفها شريكًا لا مجرد مورد</w:t>
      </w:r>
      <w:r w:rsidRPr="00C85ABF">
        <w:rPr>
          <w:rFonts w:ascii="Simplified Arabic" w:eastAsia="Times New Roman" w:hAnsi="Simplified Arabic" w:cs="Simplified Arabic"/>
          <w:color w:val="000000" w:themeColor="text1"/>
          <w:kern w:val="0"/>
          <w:sz w:val="28"/>
          <w:szCs w:val="28"/>
          <w14:ligatures w14:val="none"/>
        </w:rPr>
        <w:t>.</w:t>
      </w:r>
    </w:p>
    <w:p w14:paraId="6E0F3BA3"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ويضيف (زيود، 2024) أن إدارة تجربة العميل تكتسب أهميتها من ارتباطها بمخرجات استراتيجية بالغة الأثر، إذ تُسهم في تدعيم الميزة التنافسية للمنظمة، وتُعزز صورتها الذهنية في السوق، وترفع من قدرتها على تقديم منتجات وخدمات مبتكرة تنسجم مع احتياجات العميل الفعلية، وتُتيح لها بناء قاعدة عملاء مستقرة تُشكل مصدر دخل موثوق على المدى البعيد، وتُقلل من حساسية العميل تجاه تغيرات الأسعار</w:t>
      </w:r>
      <w:r w:rsidRPr="00C85ABF">
        <w:rPr>
          <w:rFonts w:ascii="Simplified Arabic" w:eastAsia="Times New Roman" w:hAnsi="Simplified Arabic" w:cs="Simplified Arabic"/>
          <w:color w:val="000000" w:themeColor="text1"/>
          <w:kern w:val="0"/>
          <w:sz w:val="28"/>
          <w:szCs w:val="28"/>
          <w14:ligatures w14:val="none"/>
        </w:rPr>
        <w:t>.</w:t>
      </w:r>
    </w:p>
    <w:p w14:paraId="596FCAF5"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ويؤكد</w:t>
      </w:r>
      <w:r w:rsidRPr="00C85ABF">
        <w:rPr>
          <w:rFonts w:ascii="Simplified Arabic" w:eastAsia="Times New Roman" w:hAnsi="Simplified Arabic" w:cs="Simplified Arabic"/>
          <w:color w:val="000000" w:themeColor="text1"/>
          <w:kern w:val="0"/>
          <w:sz w:val="28"/>
          <w:szCs w:val="28"/>
          <w14:ligatures w14:val="none"/>
        </w:rPr>
        <w:t xml:space="preserve"> (Ahmad et al., 2022) </w:t>
      </w:r>
      <w:r w:rsidRPr="00C85ABF">
        <w:rPr>
          <w:rFonts w:ascii="Simplified Arabic" w:eastAsia="Times New Roman" w:hAnsi="Simplified Arabic" w:cs="Simplified Arabic"/>
          <w:color w:val="000000" w:themeColor="text1"/>
          <w:kern w:val="0"/>
          <w:sz w:val="28"/>
          <w:szCs w:val="28"/>
          <w:rtl/>
          <w14:ligatures w14:val="none"/>
        </w:rPr>
        <w:t>أن الأهمية الاستراتيجية لإدارة تجربة العميل في البيئة الرقمية تتضح من خلال دورها في تعميق انخراط العميل مع المنظمة، وتحويل التفاعل الإلكتروني من كونه معاملة تقنية عابرة إلى تجربة ذات معنى وقيمة مضافة، فضلًا عن أنها تُمكن المنظمة من استثمار البيانات الناتجة عن هذا التفاعل في تحسين تصميم منتجاتها وخدماتها، وتُعزز إحساس العميل بالتقدير والاهتمام الشخصي، وتُقلل من الفجوة بين توقعاته وما يحصل عليه فعليًا</w:t>
      </w:r>
      <w:r w:rsidRPr="00C85ABF">
        <w:rPr>
          <w:rFonts w:ascii="Simplified Arabic" w:eastAsia="Times New Roman" w:hAnsi="Simplified Arabic" w:cs="Simplified Arabic"/>
          <w:color w:val="000000" w:themeColor="text1"/>
          <w:kern w:val="0"/>
          <w:sz w:val="28"/>
          <w:szCs w:val="28"/>
          <w14:ligatures w14:val="none"/>
        </w:rPr>
        <w:t>.</w:t>
      </w:r>
    </w:p>
    <w:p w14:paraId="30CA04D4"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ويرى (برينيس، 2025) أن إدارة تجربة العميل باتت ضرورة استراتيجية في ظل التحول الرقمي المتسارع، إذ تُسهم في تعزيز رضا العملاء من خلال توظيف الابتكارات التقنية في تصميم تفاعلات ذكية ومخصصة، وتُتيح للمنظمة استباق احتياجات العملاء بدلًا من الاكتفاء بالاستجابة لها، وتُعزز قدرتها على التكيف السريع مع تحولات السوق واحتياجات جمهورها</w:t>
      </w:r>
      <w:r w:rsidRPr="00C85ABF">
        <w:rPr>
          <w:rFonts w:ascii="Simplified Arabic" w:eastAsia="Times New Roman" w:hAnsi="Simplified Arabic" w:cs="Simplified Arabic"/>
          <w:color w:val="000000" w:themeColor="text1"/>
          <w:kern w:val="0"/>
          <w:sz w:val="28"/>
          <w:szCs w:val="28"/>
          <w14:ligatures w14:val="none"/>
        </w:rPr>
        <w:t>.</w:t>
      </w:r>
    </w:p>
    <w:p w14:paraId="5127FB1A"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ومن منظور تكاملي، يُشير</w:t>
      </w:r>
      <w:r w:rsidRPr="00C85ABF">
        <w:rPr>
          <w:rFonts w:ascii="Simplified Arabic" w:eastAsia="Times New Roman" w:hAnsi="Simplified Arabic" w:cs="Simplified Arabic"/>
          <w:color w:val="000000" w:themeColor="text1"/>
          <w:kern w:val="0"/>
          <w:sz w:val="28"/>
          <w:szCs w:val="28"/>
          <w14:ligatures w14:val="none"/>
        </w:rPr>
        <w:t xml:space="preserve"> (Gunawan et al., 2025) </w:t>
      </w:r>
      <w:r w:rsidRPr="00C85ABF">
        <w:rPr>
          <w:rFonts w:ascii="Simplified Arabic" w:eastAsia="Times New Roman" w:hAnsi="Simplified Arabic" w:cs="Simplified Arabic"/>
          <w:color w:val="000000" w:themeColor="text1"/>
          <w:kern w:val="0"/>
          <w:sz w:val="28"/>
          <w:szCs w:val="28"/>
          <w:rtl/>
          <w14:ligatures w14:val="none"/>
        </w:rPr>
        <w:t xml:space="preserve">إلى أن أهمية إدارة تجربة العميل تظهر في كونها تعمل بوصفها آلية وساطة تربط بين ما تُقدمه المنظمة من عروض قيمة – كبطاقات العضوية </w:t>
      </w:r>
      <w:r w:rsidRPr="00C85ABF">
        <w:rPr>
          <w:rFonts w:ascii="Simplified Arabic" w:eastAsia="Times New Roman" w:hAnsi="Simplified Arabic" w:cs="Simplified Arabic"/>
          <w:color w:val="000000" w:themeColor="text1"/>
          <w:kern w:val="0"/>
          <w:sz w:val="28"/>
          <w:szCs w:val="28"/>
          <w:rtl/>
          <w14:ligatures w14:val="none"/>
        </w:rPr>
        <w:lastRenderedPageBreak/>
        <w:t>وبرامج المكافآت – وبين المخرجات السلوكية للعميل، بحيث لا يكفي تصميم البرنامج جيدًا ما لم يُقترن بتجربة إيجابية متكاملة تُترجم هذه العروض إلى إدراك فعلي لدى العميل</w:t>
      </w:r>
      <w:r w:rsidRPr="00C85ABF">
        <w:rPr>
          <w:rFonts w:ascii="Simplified Arabic" w:eastAsia="Times New Roman" w:hAnsi="Simplified Arabic" w:cs="Simplified Arabic"/>
          <w:color w:val="000000" w:themeColor="text1"/>
          <w:kern w:val="0"/>
          <w:sz w:val="28"/>
          <w:szCs w:val="28"/>
          <w14:ligatures w14:val="none"/>
        </w:rPr>
        <w:t>.</w:t>
      </w:r>
    </w:p>
    <w:p w14:paraId="05D8F63B"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ويلحظ الباحث مما تقدم أن أهمية إدارة تجربة العميل تتوزع على مستويات متعددة تشمل المستوى الاستراتيجي المتعلق بالتميز التنافسي، والمستوى التسويقي المرتبط بالولاء والاحتفاظ بالعملاء، والمستوى المالي المتصل بخفض التكاليف وتعظيم العائد، والمستوى السلوكي المتعلق بتشكيل اتجاهات العملاء وسلوكياتهم، مما يجعلها مدخلًا شاملًا يتقاطع مع مختلف وظائف المنظمة</w:t>
      </w:r>
      <w:r w:rsidRPr="00C85ABF">
        <w:rPr>
          <w:rFonts w:ascii="Simplified Arabic" w:eastAsia="Times New Roman" w:hAnsi="Simplified Arabic" w:cs="Simplified Arabic"/>
          <w:color w:val="000000" w:themeColor="text1"/>
          <w:kern w:val="0"/>
          <w:sz w:val="28"/>
          <w:szCs w:val="28"/>
          <w14:ligatures w14:val="none"/>
        </w:rPr>
        <w:t>.</w:t>
      </w:r>
    </w:p>
    <w:p w14:paraId="6F6AEA7B" w14:textId="5D97D517" w:rsidR="00230F8A" w:rsidRPr="00C85ABF" w:rsidRDefault="008E6323" w:rsidP="008E63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980960"/>
      <w:r w:rsidRPr="00C85ABF">
        <w:rPr>
          <w:rFonts w:ascii="Simplified Arabic" w:eastAsia="Times New Roman" w:hAnsi="Simplified Arabic" w:cs="Simplified Arabic" w:hint="cs"/>
          <w:b/>
          <w:bCs/>
          <w:color w:val="000000" w:themeColor="text1"/>
          <w:kern w:val="0"/>
          <w:sz w:val="32"/>
          <w:szCs w:val="32"/>
          <w:rtl/>
          <w14:ligatures w14:val="none"/>
        </w:rPr>
        <w:t>4.1.2</w:t>
      </w:r>
      <w:r w:rsidR="00230F8A" w:rsidRPr="00C85ABF">
        <w:rPr>
          <w:rFonts w:ascii="Simplified Arabic" w:eastAsia="Times New Roman" w:hAnsi="Simplified Arabic" w:cs="Simplified Arabic"/>
          <w:b/>
          <w:bCs/>
          <w:color w:val="000000" w:themeColor="text1"/>
          <w:kern w:val="0"/>
          <w:sz w:val="32"/>
          <w:szCs w:val="32"/>
          <w:rtl/>
          <w14:ligatures w14:val="none"/>
        </w:rPr>
        <w:t xml:space="preserve"> أهداف إدارة تجربة العميل</w:t>
      </w:r>
      <w:bookmarkEnd w:id="45"/>
    </w:p>
    <w:p w14:paraId="73B26199"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تسعى إدارة تجربة العميل إلى تحقيق منظومة متكاملة من الأهداف التي تتوزع على المستويين الاستراتيجي والتشغيلي، وقد تناول الباحثون هذه الأهداف من زوايا متعددة تعكس تنوع مداخلهم النظرية وميادين تطبيقهم. ويمكن استعراض أبرز ما طرحوه على النحو الآتي</w:t>
      </w:r>
      <w:r w:rsidRPr="00C85ABF">
        <w:rPr>
          <w:rFonts w:ascii="Simplified Arabic" w:eastAsia="Times New Roman" w:hAnsi="Simplified Arabic" w:cs="Simplified Arabic"/>
          <w:color w:val="000000" w:themeColor="text1"/>
          <w:kern w:val="0"/>
          <w:sz w:val="28"/>
          <w:szCs w:val="28"/>
          <w14:ligatures w14:val="none"/>
        </w:rPr>
        <w:t>.</w:t>
      </w:r>
    </w:p>
    <w:p w14:paraId="1D572099"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يرى</w:t>
      </w:r>
      <w:r w:rsidRPr="00C85ABF">
        <w:rPr>
          <w:rFonts w:ascii="Simplified Arabic" w:eastAsia="Times New Roman" w:hAnsi="Simplified Arabic" w:cs="Simplified Arabic"/>
          <w:color w:val="000000" w:themeColor="text1"/>
          <w:kern w:val="0"/>
          <w:sz w:val="28"/>
          <w:szCs w:val="28"/>
          <w14:ligatures w14:val="none"/>
        </w:rPr>
        <w:t xml:space="preserve"> (Karim et al., 2022) </w:t>
      </w:r>
      <w:r w:rsidRPr="00C85ABF">
        <w:rPr>
          <w:rFonts w:ascii="Simplified Arabic" w:eastAsia="Times New Roman" w:hAnsi="Simplified Arabic" w:cs="Simplified Arabic"/>
          <w:color w:val="000000" w:themeColor="text1"/>
          <w:kern w:val="0"/>
          <w:sz w:val="28"/>
          <w:szCs w:val="28"/>
          <w:rtl/>
          <w14:ligatures w14:val="none"/>
        </w:rPr>
        <w:t>أن أهداف إدارة تجربة العميل تتمحور حول جملة من الغايات، أبرزها: تعزيز الثقة بين العميل ومقدم الخدمة عبر توفير تجارب متسقة وموثوقة؛ وبناء ارتباط عاطفي مع العلامة التجارية يتخطى الاعتبارات الوظيفية؛ وتحفيز نوايا سلوكية إيجابية كالتوصية وإعادة التعامل؛ فضلًا عن دعم مسار التحول الرقمي في المنظمة من خلال إتاحة تجارب رقمية سلسة تُعزز قبول العميل للخدمات الإلكترونية</w:t>
      </w:r>
      <w:r w:rsidRPr="00C85ABF">
        <w:rPr>
          <w:rFonts w:ascii="Simplified Arabic" w:eastAsia="Times New Roman" w:hAnsi="Simplified Arabic" w:cs="Simplified Arabic"/>
          <w:color w:val="000000" w:themeColor="text1"/>
          <w:kern w:val="0"/>
          <w:sz w:val="28"/>
          <w:szCs w:val="28"/>
          <w14:ligatures w14:val="none"/>
        </w:rPr>
        <w:t>.</w:t>
      </w:r>
    </w:p>
    <w:p w14:paraId="328A445B"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ويُضيف (كامل وآخرون، 2025) أن الأهداف تشمل: توظيف تحليلات البيانات في تحقيق فهم عميق لسلوك العملاء وتوقع احتياجاتهم قبل أن يُعبروا عنها؛ وتصميم عروض قيمة مخصصة تُعامل كل عميل بوصفه حالة فريدة؛ ورفع كفاءة الموارد المخصصة لخدمة العميل من خلال توجيهها نحو النقاط الأكثر تأثيرًا في التجربة؛ إضافةً إلى تحسين قدرة المنظمة على الاستجابة الاستباقية للتحولات في سلوك العميل</w:t>
      </w:r>
      <w:r w:rsidRPr="00C85ABF">
        <w:rPr>
          <w:rFonts w:ascii="Simplified Arabic" w:eastAsia="Times New Roman" w:hAnsi="Simplified Arabic" w:cs="Simplified Arabic"/>
          <w:color w:val="000000" w:themeColor="text1"/>
          <w:kern w:val="0"/>
          <w:sz w:val="28"/>
          <w:szCs w:val="28"/>
          <w14:ligatures w14:val="none"/>
        </w:rPr>
        <w:t>.</w:t>
      </w:r>
    </w:p>
    <w:p w14:paraId="7D6D286D"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ويذهب</w:t>
      </w:r>
      <w:r w:rsidRPr="00C85ABF">
        <w:rPr>
          <w:rFonts w:ascii="Simplified Arabic" w:eastAsia="Times New Roman" w:hAnsi="Simplified Arabic" w:cs="Simplified Arabic"/>
          <w:color w:val="000000" w:themeColor="text1"/>
          <w:kern w:val="0"/>
          <w:sz w:val="28"/>
          <w:szCs w:val="28"/>
          <w14:ligatures w14:val="none"/>
        </w:rPr>
        <w:t xml:space="preserve"> (Chiguvi et al., 2025) </w:t>
      </w:r>
      <w:r w:rsidRPr="00C85ABF">
        <w:rPr>
          <w:rFonts w:ascii="Simplified Arabic" w:eastAsia="Times New Roman" w:hAnsi="Simplified Arabic" w:cs="Simplified Arabic"/>
          <w:color w:val="000000" w:themeColor="text1"/>
          <w:kern w:val="0"/>
          <w:sz w:val="28"/>
          <w:szCs w:val="28"/>
          <w:rtl/>
          <w14:ligatures w14:val="none"/>
        </w:rPr>
        <w:t>إلى أن إدارة تجربة العميل تستهدف مواءمة ممارسات المنظمة مع أهداف التنمية المستدامة من خلال تحقيق جملة من المقاصد، منها: بناء علاقات طويلة الأمد قائمة على قيم مشتركة بين المنظمة والعميل؛ وتقديم خدمات تحترم توقعات العميل الأخلاقية والاجتماعية؛ ودعم الشمول المالي والاجتماعي عبر تصميم تجارب تُلائم مختلف شرائح العملاء؛ وتعزيز الشفافية والمساءلة في التعامل مع العميل</w:t>
      </w:r>
      <w:r w:rsidRPr="00C85ABF">
        <w:rPr>
          <w:rFonts w:ascii="Simplified Arabic" w:eastAsia="Times New Roman" w:hAnsi="Simplified Arabic" w:cs="Simplified Arabic"/>
          <w:color w:val="000000" w:themeColor="text1"/>
          <w:kern w:val="0"/>
          <w:sz w:val="28"/>
          <w:szCs w:val="28"/>
          <w14:ligatures w14:val="none"/>
        </w:rPr>
        <w:t>.</w:t>
      </w:r>
    </w:p>
    <w:p w14:paraId="5FB4E7D7"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ويُشير (يحيى وآخرون، 2025) إلى أن أبرز الأهداف تتمثل في: تقليل نية التحول إلى المنافسين من خلال تعزيز مستوى الرضا الكلي؛ وتشكيل قاعدة عملاء مستقرة تُقلل التذبذب في الحصة السوقية للمنظمة؛ وتحديد النقاط الحرجة في رحلة العميل التي قد تدفعه إلى التخلي عن المنظمة والعمل على معالجتها؛ وبناء ذاكرة تجريبية إيجابية لدى العميل تُشكل حصنًا أمام محاولات المنافسين لاستقطابه</w:t>
      </w:r>
      <w:r w:rsidRPr="00C85ABF">
        <w:rPr>
          <w:rFonts w:ascii="Simplified Arabic" w:eastAsia="Times New Roman" w:hAnsi="Simplified Arabic" w:cs="Simplified Arabic"/>
          <w:color w:val="000000" w:themeColor="text1"/>
          <w:kern w:val="0"/>
          <w:sz w:val="28"/>
          <w:szCs w:val="28"/>
          <w14:ligatures w14:val="none"/>
        </w:rPr>
        <w:t>.</w:t>
      </w:r>
    </w:p>
    <w:p w14:paraId="3A2F01E4"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ويرى</w:t>
      </w:r>
      <w:r w:rsidRPr="00C85ABF">
        <w:rPr>
          <w:rFonts w:ascii="Simplified Arabic" w:eastAsia="Times New Roman" w:hAnsi="Simplified Arabic" w:cs="Simplified Arabic"/>
          <w:color w:val="000000" w:themeColor="text1"/>
          <w:kern w:val="0"/>
          <w:sz w:val="28"/>
          <w:szCs w:val="28"/>
          <w14:ligatures w14:val="none"/>
        </w:rPr>
        <w:t xml:space="preserve"> (Makudza, 2021) </w:t>
      </w:r>
      <w:r w:rsidRPr="00C85ABF">
        <w:rPr>
          <w:rFonts w:ascii="Simplified Arabic" w:eastAsia="Times New Roman" w:hAnsi="Simplified Arabic" w:cs="Simplified Arabic"/>
          <w:color w:val="000000" w:themeColor="text1"/>
          <w:kern w:val="0"/>
          <w:sz w:val="28"/>
          <w:szCs w:val="28"/>
          <w:rtl/>
          <w14:ligatures w14:val="none"/>
        </w:rPr>
        <w:t>أن الأهداف تشمل: تعظيم القيمة المُدركة من قبل العميل عبر تحسين مجمل نقاط التماس في رحلته؛ وتحويل الرضا اللحظي إلى ولاء مستدام؛ وخلق ميزة تنافسية يصعب محاكاتها من قبل المنافسين لأنها ترتكز على تجربة معقدة ومتعددة الأبعاد؛ ودعم قدرة المنظمة على تحقيق نمو عضوي مستقر</w:t>
      </w:r>
      <w:r w:rsidRPr="00C85ABF">
        <w:rPr>
          <w:rFonts w:ascii="Simplified Arabic" w:eastAsia="Times New Roman" w:hAnsi="Simplified Arabic" w:cs="Simplified Arabic"/>
          <w:color w:val="000000" w:themeColor="text1"/>
          <w:kern w:val="0"/>
          <w:sz w:val="28"/>
          <w:szCs w:val="28"/>
          <w14:ligatures w14:val="none"/>
        </w:rPr>
        <w:t>.</w:t>
      </w:r>
    </w:p>
    <w:p w14:paraId="3868590D"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ويضيف (عبدالخالق وآخرون، 2023) أن الأهداف تتضمن: بناء شخصية متمايزة للعلامة التجارية تنعكس في كل نقطة تماس مع العميل؛ وتوليد اتساق بين ما تُقدمه المنظمة على مستوى الوعود وما تُنتجه على مستوى الأداء؛ وتعزيز الترابط بين الأبعاد الحسية والانفعالية والمعرفية للتجربة بحيث تُشكل كلًا متجانسًا لدى العميل</w:t>
      </w:r>
      <w:r w:rsidRPr="00C85ABF">
        <w:rPr>
          <w:rFonts w:ascii="Simplified Arabic" w:eastAsia="Times New Roman" w:hAnsi="Simplified Arabic" w:cs="Simplified Arabic"/>
          <w:color w:val="000000" w:themeColor="text1"/>
          <w:kern w:val="0"/>
          <w:sz w:val="28"/>
          <w:szCs w:val="28"/>
          <w14:ligatures w14:val="none"/>
        </w:rPr>
        <w:t>.</w:t>
      </w:r>
    </w:p>
    <w:p w14:paraId="162D1DAB"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ويلحظ الباحث أن هذه الأهداف تتكامل فيما بينها لتصنع منظومة متسقة تجعل من إدارة تجربة العميل مدخلًا استراتيجيًا يخدم غايات المنظمة على المدى البعيد، ولا يقتصر على تحقيق مكاسب تشغيلية آنية</w:t>
      </w:r>
      <w:r w:rsidRPr="00C85ABF">
        <w:rPr>
          <w:rFonts w:ascii="Simplified Arabic" w:eastAsia="Times New Roman" w:hAnsi="Simplified Arabic" w:cs="Simplified Arabic"/>
          <w:color w:val="000000" w:themeColor="text1"/>
          <w:kern w:val="0"/>
          <w:sz w:val="28"/>
          <w:szCs w:val="28"/>
          <w14:ligatures w14:val="none"/>
        </w:rPr>
        <w:t>.</w:t>
      </w:r>
    </w:p>
    <w:p w14:paraId="5BD7E9B5" w14:textId="3F52B774" w:rsidR="00230F8A" w:rsidRPr="00C85ABF" w:rsidRDefault="008E6323" w:rsidP="008E63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980961"/>
      <w:r w:rsidRPr="00C85ABF">
        <w:rPr>
          <w:rFonts w:ascii="Simplified Arabic" w:eastAsia="Times New Roman" w:hAnsi="Simplified Arabic" w:cs="Simplified Arabic" w:hint="cs"/>
          <w:b/>
          <w:bCs/>
          <w:color w:val="000000" w:themeColor="text1"/>
          <w:kern w:val="0"/>
          <w:sz w:val="32"/>
          <w:szCs w:val="32"/>
          <w:rtl/>
          <w14:ligatures w14:val="none"/>
        </w:rPr>
        <w:t>5.1.2</w:t>
      </w:r>
      <w:r w:rsidR="00230F8A" w:rsidRPr="00C85ABF">
        <w:rPr>
          <w:rFonts w:ascii="Simplified Arabic" w:eastAsia="Times New Roman" w:hAnsi="Simplified Arabic" w:cs="Simplified Arabic"/>
          <w:b/>
          <w:bCs/>
          <w:color w:val="000000" w:themeColor="text1"/>
          <w:kern w:val="0"/>
          <w:sz w:val="32"/>
          <w:szCs w:val="32"/>
          <w:rtl/>
          <w14:ligatures w14:val="none"/>
        </w:rPr>
        <w:t xml:space="preserve"> أبعاد إدارة تجربة العميل</w:t>
      </w:r>
      <w:bookmarkEnd w:id="46"/>
    </w:p>
    <w:p w14:paraId="052DB4A0"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تم تحديد أبعاد إدارة تجربة العميل في الدراسة الحالية بناءً على مراجعة معمقة لأدبيات الموضوع، ولا سيما دراسة (القاضي والحريري، 2023) التي تناولت تجربة العميل الرقمية وأثرها في القطاع المالي والمصرفي، ودراسة (كامل وآخرون، 2025) التي عالجت التحليلات الرقمية وأثرها على تجربة العميل، بما ينسجم مع طبيعة النشاط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 xml:space="preserve"> NHC </w:t>
      </w:r>
      <w:r w:rsidRPr="00C85ABF">
        <w:rPr>
          <w:rFonts w:ascii="Simplified Arabic" w:eastAsia="Times New Roman" w:hAnsi="Simplified Arabic" w:cs="Simplified Arabic"/>
          <w:color w:val="000000" w:themeColor="text1"/>
          <w:kern w:val="0"/>
          <w:sz w:val="28"/>
          <w:szCs w:val="28"/>
          <w:rtl/>
          <w14:ligatures w14:val="none"/>
        </w:rPr>
        <w:t>وتعدد نقاط تماسها مع المستفيدين. وقد تحددت هذه الأبعاد في: إدارة التفاعل الرقمي، وإدارة التفاعل الخدمي، وإدارة البيئة المادية، وإدارة التواصل والمتابعة</w:t>
      </w:r>
      <w:r w:rsidRPr="00C85ABF">
        <w:rPr>
          <w:rFonts w:ascii="Simplified Arabic" w:eastAsia="Times New Roman" w:hAnsi="Simplified Arabic" w:cs="Simplified Arabic"/>
          <w:color w:val="000000" w:themeColor="text1"/>
          <w:kern w:val="0"/>
          <w:sz w:val="28"/>
          <w:szCs w:val="28"/>
          <w14:ligatures w14:val="none"/>
        </w:rPr>
        <w:t>.</w:t>
      </w:r>
    </w:p>
    <w:p w14:paraId="457718DE"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البُعد الأول: إدارة التفاعل الرقمي</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 xml:space="preserve">يُشير هذا البُعد إلى مجمل الجهود التي تبذلها المنظمة لتصميم وإدارة نقاط تماسها الإلكترونية مع المستفيدين، بما يشمل المنصات الرقمية والتطبيقات الذكية والمواقع الإلكترونية، بهدف تقديم تجربة سلسة وميسرة. ويُلاحظ (القاضي والحريري، 2023) أن التفاعل الرقمي </w:t>
      </w:r>
      <w:r w:rsidRPr="00C85ABF">
        <w:rPr>
          <w:rFonts w:ascii="Simplified Arabic" w:eastAsia="Times New Roman" w:hAnsi="Simplified Arabic" w:cs="Simplified Arabic"/>
          <w:color w:val="000000" w:themeColor="text1"/>
          <w:kern w:val="0"/>
          <w:sz w:val="28"/>
          <w:szCs w:val="28"/>
          <w:rtl/>
          <w14:ligatures w14:val="none"/>
        </w:rPr>
        <w:lastRenderedPageBreak/>
        <w:t>بات يُشكل نقطة الاتصال الأولى بين المنظمة والعميل في كثير من القطاعات، وأن جودته تُقاس بمعايير سهولة الاستخدام وسرعة الاستجابة ووفرة المعلومات وموثوقية المعاملات الإلكترونية. ويتعامل المستفيد في القطاع الإسكاني مع منصات مثل “سكني” باعتبارها البوابة الرئيسية للتقديم على البرامج والاستفسار عن الخدمات ومتابعة الطلبات، مما يجعل جودة هذا التفاعل عاملًا محوريًا في تشكيل انطباعاته الأولية. ويتضمن هذا البُعد جوانب متعددة تشمل تصميم واجهة الاستخدام بحيث تُوفر تجربة بديهية لا تتطلب مجهودًا معرفيًا مرهقًا، وضمان استقرار المنصة وقدرتها على تحمل أحمال التصفح العالية، وتوفير محتوى دقيق ومحدث يُغني المستفيد عن مراجعة قنوات أخرى، فضلًا عن تأمين المعاملات الإلكترونية بمعايير حماية تُعزز ثقة المستفيد في تقديم بياناته الشخصية والمالية</w:t>
      </w:r>
      <w:r w:rsidRPr="00C85ABF">
        <w:rPr>
          <w:rFonts w:ascii="Simplified Arabic" w:eastAsia="Times New Roman" w:hAnsi="Simplified Arabic" w:cs="Simplified Arabic"/>
          <w:color w:val="000000" w:themeColor="text1"/>
          <w:kern w:val="0"/>
          <w:sz w:val="28"/>
          <w:szCs w:val="28"/>
          <w14:ligatures w14:val="none"/>
        </w:rPr>
        <w:t>.</w:t>
      </w:r>
    </w:p>
    <w:p w14:paraId="0501E614"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ويُشير</w:t>
      </w:r>
      <w:r w:rsidRPr="00C85ABF">
        <w:rPr>
          <w:rFonts w:ascii="Simplified Arabic" w:eastAsia="Times New Roman" w:hAnsi="Simplified Arabic" w:cs="Simplified Arabic"/>
          <w:color w:val="000000" w:themeColor="text1"/>
          <w:kern w:val="0"/>
          <w:sz w:val="28"/>
          <w:szCs w:val="28"/>
          <w14:ligatures w14:val="none"/>
        </w:rPr>
        <w:t xml:space="preserve"> (Ahmad et al., 2022) </w:t>
      </w:r>
      <w:r w:rsidRPr="00C85ABF">
        <w:rPr>
          <w:rFonts w:ascii="Simplified Arabic" w:eastAsia="Times New Roman" w:hAnsi="Simplified Arabic" w:cs="Simplified Arabic"/>
          <w:color w:val="000000" w:themeColor="text1"/>
          <w:kern w:val="0"/>
          <w:sz w:val="28"/>
          <w:szCs w:val="28"/>
          <w:rtl/>
          <w14:ligatures w14:val="none"/>
        </w:rPr>
        <w:t>إلى أن التجربة الرقمية تتجاوز مجرد إتاحة الخدمة إلكترونيًا لتشمل قدرة المنظمة على إشراك العميل في صياغتها، بحيث لا يشعر بأنه أمام واجهة صماء بل أمام منصة تفاعلية تستجيب لاحتياجاته وتُعطيه فرصة للمشاركة في تخصيص خدمته. ويُضيف (كامل وآخرون، 2025) أن التوظيف الأمثل لتحليلات البيانات في إدارة التفاعل الرقمي يُتيح للمنظمة تقديم تجارب مُصممة بعناية لكل شريحة من المستفيدين، بما يعكس أنماط سلوكها وتفضيلاتها الخاصة، وهو ما ينقل التفاعل الرقمي من كونه خدمة موحدة إلى كونه تجربة مخصصة</w:t>
      </w:r>
      <w:r w:rsidRPr="00C85ABF">
        <w:rPr>
          <w:rFonts w:ascii="Simplified Arabic" w:eastAsia="Times New Roman" w:hAnsi="Simplified Arabic" w:cs="Simplified Arabic"/>
          <w:color w:val="000000" w:themeColor="text1"/>
          <w:kern w:val="0"/>
          <w:sz w:val="28"/>
          <w:szCs w:val="28"/>
          <w14:ligatures w14:val="none"/>
        </w:rPr>
        <w:t>.</w:t>
      </w:r>
    </w:p>
    <w:p w14:paraId="34E4302F"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البُعد الثاني: إدارة التفاعل الخدمي</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يتناول هذا البُعد جودة التفاعل البشري المباشر بين المستفيد وموظفي المنظمة، سواء في مراكز المبيعات أو مراكز الاتصال أو أقسام خدمة العملاء. ويرى (الشكري، 2023) أن التفاعل البشري يحتفظ بأهميته الاستراتيجية حتى في ظل الاندفاع نحو الرقمنة، لأن هناك مواقف تستدعي حضورًا إنسانيًا يُشعر العميل بالاهتمام والتقدير، وأن كفاءة الموظفين وقدرتهم على التعاطف مع المستفيدين تُشكل عاملًا حاسمًا في تشكيل الانطباع النهائي عن المنظمة. ويشمل هذا البُعد عدة عناصر منها: الاحترافية في التعامل والتي تعني إتقان الموظف لتفاصيل الخدمة وقدرته على الإجابة عن الاستفسارات دون تردد؛ والتعاطف مع المستفيد وفهم ظرفه الخاص خاصةً في ملف بالغ الحساسية كالإسكان الذي يمس حياة الأسر ومستقبلها؛ والقدرة على تقديم حلول مخصصة تُلائم كل حالة على حدة بدلًا من الاكتفاء بالتطبيق الحرفي للإجراءات النمطية</w:t>
      </w:r>
      <w:r w:rsidRPr="00C85ABF">
        <w:rPr>
          <w:rFonts w:ascii="Simplified Arabic" w:eastAsia="Times New Roman" w:hAnsi="Simplified Arabic" w:cs="Simplified Arabic"/>
          <w:color w:val="000000" w:themeColor="text1"/>
          <w:kern w:val="0"/>
          <w:sz w:val="28"/>
          <w:szCs w:val="28"/>
          <w14:ligatures w14:val="none"/>
        </w:rPr>
        <w:t>.</w:t>
      </w:r>
    </w:p>
    <w:p w14:paraId="31194747"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 xml:space="preserve">ويؤكد (حسن وآخرون، 2021) أن التفاعل الخدمي يُشكل مجالًا حيويًا للتسويق التفاعلي، وأن اللحظة التي يلتقي فيها المستفيد بمقدم الخدمة تُمثل “لحظة حقيقة” تتجسد فيها كل الوعود المسبقة للمنظمة، وأن </w:t>
      </w:r>
      <w:r w:rsidRPr="00C85ABF">
        <w:rPr>
          <w:rFonts w:ascii="Simplified Arabic" w:eastAsia="Times New Roman" w:hAnsi="Simplified Arabic" w:cs="Simplified Arabic"/>
          <w:color w:val="000000" w:themeColor="text1"/>
          <w:kern w:val="0"/>
          <w:sz w:val="28"/>
          <w:szCs w:val="28"/>
          <w:rtl/>
          <w14:ligatures w14:val="none"/>
        </w:rPr>
        <w:lastRenderedPageBreak/>
        <w:t>أي إخفاق في هذه اللحظة قد يمحو أثر جهود تسويقية طويلة سبقتها. كما أن هذا التفاعل يحمل بُعدًا وجدانيًا يتجاوز حدود إنجاز المعاملة، إذ يُغذي شعور المستفيد بالانتماء ويُشكل مصدرًا للولاء يستند إلى العلاقة الإنسانية</w:t>
      </w:r>
      <w:r w:rsidRPr="00C85ABF">
        <w:rPr>
          <w:rFonts w:ascii="Simplified Arabic" w:eastAsia="Times New Roman" w:hAnsi="Simplified Arabic" w:cs="Simplified Arabic"/>
          <w:color w:val="000000" w:themeColor="text1"/>
          <w:kern w:val="0"/>
          <w:sz w:val="28"/>
          <w:szCs w:val="28"/>
          <w14:ligatures w14:val="none"/>
        </w:rPr>
        <w:t>.</w:t>
      </w:r>
    </w:p>
    <w:p w14:paraId="31D03E38"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البُعد الثالث: إدارة البيئة المادية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يشمل هذا البُعد الجوانب الملموسة التي يتفاعل معها المستفيد ضمن رحلته مع المنظمة، بما فيها تصميم مراكز المبيعات وصالات العرض والنماذج السكنية والمرافق المجتمعية في الوجهات العمرانية. ويُلاحظ (عبدالخالق وآخرون، 2023) أن البيئة المادية تُشكل امتدادًا حسيًا لشخصية العلامة التجارية، وأن تصميمها يعكس القيم التي تتبناها المنظمة ومستوى الجودة الذي تلتزم به، وأن المستفيد يستنبط من هذه الجوانب المرئية دلالات تتعلق بمصداقية المنظمة واحترافيتها. ويُبرز هذا البُعد أن التجربة ليست حدثًا مجردًا بل تتحقق في فضاء ملموس تتلاقى فيه الحواس مع الإدراك، فألوان المكان وتنظيمه وترتيبه واتساع مساحاته وجودة تشطيباته كلها عناصر تُسهم في تشكيل التجربة الكلية</w:t>
      </w:r>
      <w:r w:rsidRPr="00C85ABF">
        <w:rPr>
          <w:rFonts w:ascii="Simplified Arabic" w:eastAsia="Times New Roman" w:hAnsi="Simplified Arabic" w:cs="Simplified Arabic"/>
          <w:color w:val="000000" w:themeColor="text1"/>
          <w:kern w:val="0"/>
          <w:sz w:val="28"/>
          <w:szCs w:val="28"/>
          <w14:ligatures w14:val="none"/>
        </w:rPr>
        <w:t>.</w:t>
      </w:r>
    </w:p>
    <w:p w14:paraId="1CEFB281"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وفي السياق الإسكاني، تكتسب البيئة المادية أهمية مضاعفة لأن المنتج نفسه – وهو الوحدة السكنية – هو منتج ملموس بالدرجة الأولى، وتُعد النماذج السكنية وصالات العرض بمثابة “نافذة” يطل منها المستفيد على المنتج النهائي، ومن خلالها يُشكل توقعاته حول جودته وملاءمته. ويُضيف (زيود، 2024) أن جودة البيئة المادية تُعزز إدراك المستفيد للقيمة، وتُقلل من الفجوة بين توقعاته وما يحصل عليه فعليًا، مما يُخفض احتمالات نشوء الشعور بالخيبة بعد التعامل</w:t>
      </w:r>
      <w:r w:rsidRPr="00C85ABF">
        <w:rPr>
          <w:rFonts w:ascii="Simplified Arabic" w:eastAsia="Times New Roman" w:hAnsi="Simplified Arabic" w:cs="Simplified Arabic"/>
          <w:color w:val="000000" w:themeColor="text1"/>
          <w:kern w:val="0"/>
          <w:sz w:val="28"/>
          <w:szCs w:val="28"/>
          <w14:ligatures w14:val="none"/>
        </w:rPr>
        <w:t>.</w:t>
      </w:r>
    </w:p>
    <w:p w14:paraId="329FAF45"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البُعد الرابع: إدارة التواصل والمتابعة</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يُعنى هذا البُعد بفعالية أنظمة التواصل المستمر مع المستفيد خلال جميع مراحل رحلته الإسكانية وبعد التسليم، ويشمل الإبلاغ بالمستجدات وسرعة معالجة الشكاوى وتوفير خدمات ما بعد البيع وبرامج الولاء. ويرى (عوان ومحمودي، 2023) أن التواصل المستمر يُمثل جسرًا يُحافظ على حيوية العلاقة بين المنظمة والمستفيد ويمنعها من الدخول في مرحلة الجمود بعد إتمام الصفقة الأولى، وأن ضعف هذا الجانب يُحوّل العلاقة إلى علاقة مبنية على المعاملة الواحدة ويفقدها طابعها المستدام. ويشمل هذا البُعد عدة جوانب تفصيلية، منها: توفير قنوات متعددة للتواصل تُلائم تفضيلات المستفيدين المختلفة؛ ومبادرة المنظمة بالتواصل مع المستفيد لإبلاغه بالمستجدات دون أن يضطر لطلب المعلومات؛ وسرعة معالجة الشكاوى وحل المشكلات بأسلوب يُشعر المستفيد بأن صوته مسموع؛ وتصميم برامج ولاء تُكافئ استمرارية التعامل وتُعزز الشعور بالتقدير</w:t>
      </w:r>
      <w:r w:rsidRPr="00C85ABF">
        <w:rPr>
          <w:rFonts w:ascii="Simplified Arabic" w:eastAsia="Times New Roman" w:hAnsi="Simplified Arabic" w:cs="Simplified Arabic"/>
          <w:color w:val="000000" w:themeColor="text1"/>
          <w:kern w:val="0"/>
          <w:sz w:val="28"/>
          <w:szCs w:val="28"/>
          <w14:ligatures w14:val="none"/>
        </w:rPr>
        <w:t>.</w:t>
      </w:r>
    </w:p>
    <w:p w14:paraId="3313AA95"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ويُشير (نوري وآخرون، 2026) إلى أن جودة التواصل مع العميل تُعزز إدراكه للمصداقية وتُرسخ ثقته في المنظمة، خاصةً حين يتضمن هذا التواصل قدرًا من الشفافية في نقل المعلومات والاعتراف بالأخطاء والالتزام بالتحسين المستمر</w:t>
      </w:r>
      <w:r w:rsidRPr="00C85ABF">
        <w:rPr>
          <w:rFonts w:ascii="Simplified Arabic" w:eastAsia="Times New Roman" w:hAnsi="Simplified Arabic" w:cs="Simplified Arabic"/>
          <w:color w:val="000000" w:themeColor="text1"/>
          <w:kern w:val="0"/>
          <w:sz w:val="28"/>
          <w:szCs w:val="28"/>
          <w14:ligatures w14:val="none"/>
        </w:rPr>
        <w:t>.</w:t>
      </w:r>
    </w:p>
    <w:p w14:paraId="1483D8AB" w14:textId="29546BDC" w:rsidR="00230F8A" w:rsidRPr="00C85ABF" w:rsidRDefault="008E6323" w:rsidP="008E63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980962"/>
      <w:r w:rsidRPr="00C85ABF">
        <w:rPr>
          <w:rFonts w:ascii="Simplified Arabic" w:eastAsia="Times New Roman" w:hAnsi="Simplified Arabic" w:cs="Simplified Arabic" w:hint="cs"/>
          <w:b/>
          <w:bCs/>
          <w:color w:val="000000" w:themeColor="text1"/>
          <w:kern w:val="0"/>
          <w:sz w:val="32"/>
          <w:szCs w:val="32"/>
          <w:rtl/>
          <w14:ligatures w14:val="none"/>
        </w:rPr>
        <w:t>6.1.2</w:t>
      </w:r>
      <w:r w:rsidR="00230F8A" w:rsidRPr="00C85ABF">
        <w:rPr>
          <w:rFonts w:ascii="Simplified Arabic" w:eastAsia="Times New Roman" w:hAnsi="Simplified Arabic" w:cs="Simplified Arabic"/>
          <w:b/>
          <w:bCs/>
          <w:color w:val="000000" w:themeColor="text1"/>
          <w:kern w:val="0"/>
          <w:sz w:val="32"/>
          <w:szCs w:val="32"/>
          <w:rtl/>
          <w14:ligatures w14:val="none"/>
        </w:rPr>
        <w:t xml:space="preserve"> استراتيجيات إدارة تجربة العميل</w:t>
      </w:r>
      <w:bookmarkEnd w:id="47"/>
    </w:p>
    <w:p w14:paraId="211BD6FD"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تتنوع الاستراتيجيات التي يمكن للمنظمات اعتمادها لإدارة تجربة عملائها بحسب طبيعة نشاطها وخصائص جمهورها المستهدف. ومن أبرز هذه الاستراتيجيات</w:t>
      </w:r>
      <w:r w:rsidRPr="00C85ABF">
        <w:rPr>
          <w:rFonts w:ascii="Simplified Arabic" w:eastAsia="Times New Roman" w:hAnsi="Simplified Arabic" w:cs="Simplified Arabic"/>
          <w:color w:val="000000" w:themeColor="text1"/>
          <w:kern w:val="0"/>
          <w:sz w:val="28"/>
          <w:szCs w:val="28"/>
          <w14:ligatures w14:val="none"/>
        </w:rPr>
        <w:t xml:space="preserve">: </w:t>
      </w:r>
      <w:r w:rsidRPr="00C85ABF">
        <w:rPr>
          <w:rFonts w:ascii="Simplified Arabic" w:eastAsia="Times New Roman" w:hAnsi="Simplified Arabic" w:cs="Simplified Arabic"/>
          <w:color w:val="000000" w:themeColor="text1"/>
          <w:kern w:val="0"/>
          <w:sz w:val="28"/>
          <w:szCs w:val="28"/>
          <w:rtl/>
          <w14:ligatures w14:val="none"/>
        </w:rPr>
        <w:t>استراتيجية تصميم رحلة العميل، التي تقوم على رسم خريطة تفصيلية لمراحل تفاعل المستفيد مع المنظمة من نقطة الوعي بالخدمة حتى ما بعد التسليم، وتحديد نقاط الاحتكاك المحتملة والعمل على تحسينها بشكل ممنهج. ويُلاحظ</w:t>
      </w:r>
      <w:r w:rsidRPr="00C85ABF">
        <w:rPr>
          <w:rFonts w:ascii="Simplified Arabic" w:eastAsia="Times New Roman" w:hAnsi="Simplified Arabic" w:cs="Simplified Arabic"/>
          <w:color w:val="000000" w:themeColor="text1"/>
          <w:kern w:val="0"/>
          <w:sz w:val="28"/>
          <w:szCs w:val="28"/>
          <w14:ligatures w14:val="none"/>
        </w:rPr>
        <w:t xml:space="preserve"> (Karim et al., 2022) </w:t>
      </w:r>
      <w:r w:rsidRPr="00C85ABF">
        <w:rPr>
          <w:rFonts w:ascii="Simplified Arabic" w:eastAsia="Times New Roman" w:hAnsi="Simplified Arabic" w:cs="Simplified Arabic"/>
          <w:color w:val="000000" w:themeColor="text1"/>
          <w:kern w:val="0"/>
          <w:sz w:val="28"/>
          <w:szCs w:val="28"/>
          <w:rtl/>
          <w14:ligatures w14:val="none"/>
        </w:rPr>
        <w:t>أن هذا النهج يُوفر رؤية بانورامية لتجربة العميل، ويُتيح للمنظمة اكتشاف الفجوات التي قد لا تظهر عند النظر إلى كل نقطة تماس بمعزل عن غيرها</w:t>
      </w:r>
      <w:r w:rsidRPr="00C85ABF">
        <w:rPr>
          <w:rFonts w:ascii="Simplified Arabic" w:eastAsia="Times New Roman" w:hAnsi="Simplified Arabic" w:cs="Simplified Arabic"/>
          <w:color w:val="000000" w:themeColor="text1"/>
          <w:kern w:val="0"/>
          <w:sz w:val="28"/>
          <w:szCs w:val="28"/>
          <w14:ligatures w14:val="none"/>
        </w:rPr>
        <w:t>.</w:t>
      </w:r>
    </w:p>
    <w:p w14:paraId="44136A99"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كذلك تبرز استراتيجية التخصيص وتفريد الخدمة، التي تعتمد على استثمار البيانات المتاحة عن كل مستفيد لتصميم خدمة تُلائم احتياجاته الخاصة، ويُشير</w:t>
      </w:r>
      <w:r w:rsidRPr="00C85ABF">
        <w:rPr>
          <w:rFonts w:ascii="Simplified Arabic" w:eastAsia="Times New Roman" w:hAnsi="Simplified Arabic" w:cs="Simplified Arabic"/>
          <w:color w:val="000000" w:themeColor="text1"/>
          <w:kern w:val="0"/>
          <w:sz w:val="28"/>
          <w:szCs w:val="28"/>
          <w14:ligatures w14:val="none"/>
        </w:rPr>
        <w:t xml:space="preserve"> (Gunawan et al., 2025) </w:t>
      </w:r>
      <w:r w:rsidRPr="00C85ABF">
        <w:rPr>
          <w:rFonts w:ascii="Simplified Arabic" w:eastAsia="Times New Roman" w:hAnsi="Simplified Arabic" w:cs="Simplified Arabic"/>
          <w:color w:val="000000" w:themeColor="text1"/>
          <w:kern w:val="0"/>
          <w:sz w:val="28"/>
          <w:szCs w:val="28"/>
          <w:rtl/>
          <w14:ligatures w14:val="none"/>
        </w:rPr>
        <w:t>إلى أن هذه الاستراتيجية تنقل التجربة من المستوى العام إلى المستوى الفردي، وتُشعر العميل بأنه محل اهتمام مستقل لا مجرد رقم في قاعدة عملاء واسعة. وتُكمل هذه الاستراتيجية استراتيجية التمكين البشري، القائمة على تأهيل الموظفين وتزويدهم بالمهارات والصلاحيات التي تُتيح لهم اتخاذ قرارات فورية لصالح المستفيد دون الرجوع الدائم إلى المستويات الإدارية العليا، وهو ما يعزز مرونة الاستجابة ويُقلل من الشعور بالبيروقراطية</w:t>
      </w:r>
      <w:r w:rsidRPr="00C85ABF">
        <w:rPr>
          <w:rFonts w:ascii="Simplified Arabic" w:eastAsia="Times New Roman" w:hAnsi="Simplified Arabic" w:cs="Simplified Arabic"/>
          <w:color w:val="000000" w:themeColor="text1"/>
          <w:kern w:val="0"/>
          <w:sz w:val="28"/>
          <w:szCs w:val="28"/>
          <w14:ligatures w14:val="none"/>
        </w:rPr>
        <w:t>.</w:t>
      </w:r>
    </w:p>
    <w:p w14:paraId="37ED3C62"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وثمة أيضًا استراتيجية الابتكار المستمر في تصميم التجربة، التي يرى (برينيس، 2025) أنها تستند إلى مبدأ عدم الاكتفاء بالوضع القائم، بل السعي الدائم لتجديد التجربة عبر توظيف المستجدات التقنية والاجتماعية بما يُبقي العلامة التجارية في حالة تجدد دائم من منظور المستفيد. وتلتقي معها استراتيجية بناء المجتمعات حول العلامة التجارية، التي تسعى إلى تحويل العملاء إلى مجتمع مترابط يتشارك القيم والتجارب، مما يُعمق ارتباطهم بالمنظمة ويُحوّلهم إلى مروّجين طوعيين لها</w:t>
      </w:r>
      <w:r w:rsidRPr="00C85ABF">
        <w:rPr>
          <w:rFonts w:ascii="Simplified Arabic" w:eastAsia="Times New Roman" w:hAnsi="Simplified Arabic" w:cs="Simplified Arabic"/>
          <w:color w:val="000000" w:themeColor="text1"/>
          <w:kern w:val="0"/>
          <w:sz w:val="28"/>
          <w:szCs w:val="28"/>
          <w14:ligatures w14:val="none"/>
        </w:rPr>
        <w:t>.</w:t>
      </w:r>
    </w:p>
    <w:p w14:paraId="2551876E" w14:textId="0CFC8D20"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 xml:space="preserve">وأخيرًا، تأتي استراتيجية القياس والتحسين المستمر، التي تعتمد على منظومة مؤشرات تقيس جودة التجربة بصفة دورية، وترصد تغذية راجعة من المستفيدين، وتُترجم هذه المعطيات إلى إجراءات تحسينية </w:t>
      </w:r>
      <w:r w:rsidRPr="00C85ABF">
        <w:rPr>
          <w:rFonts w:ascii="Simplified Arabic" w:eastAsia="Times New Roman" w:hAnsi="Simplified Arabic" w:cs="Simplified Arabic"/>
          <w:color w:val="000000" w:themeColor="text1"/>
          <w:kern w:val="0"/>
          <w:sz w:val="28"/>
          <w:szCs w:val="28"/>
          <w:rtl/>
          <w14:ligatures w14:val="none"/>
        </w:rPr>
        <w:lastRenderedPageBreak/>
        <w:t>عملية. ويُنبّه</w:t>
      </w:r>
      <w:r w:rsidRPr="00C85ABF">
        <w:rPr>
          <w:rFonts w:ascii="Simplified Arabic" w:eastAsia="Times New Roman" w:hAnsi="Simplified Arabic" w:cs="Simplified Arabic"/>
          <w:color w:val="000000" w:themeColor="text1"/>
          <w:kern w:val="0"/>
          <w:sz w:val="28"/>
          <w:szCs w:val="28"/>
          <w14:ligatures w14:val="none"/>
        </w:rPr>
        <w:t xml:space="preserve"> (Chiguvi et al., 2025) </w:t>
      </w:r>
      <w:r w:rsidRPr="00C85ABF">
        <w:rPr>
          <w:rFonts w:ascii="Simplified Arabic" w:eastAsia="Times New Roman" w:hAnsi="Simplified Arabic" w:cs="Simplified Arabic"/>
          <w:color w:val="000000" w:themeColor="text1"/>
          <w:kern w:val="0"/>
          <w:sz w:val="28"/>
          <w:szCs w:val="28"/>
          <w:rtl/>
          <w14:ligatures w14:val="none"/>
        </w:rPr>
        <w:t>إلى أن التجربة بدون قياس تبقى ممارسة انطباعية، وأن المنظمات المتميزة هي تلك التي تمتلك أنظمة قياس دقيقة تُحوّل الاستماع للعميل إلى قرارات إدارية مستنيرة</w:t>
      </w:r>
      <w:r w:rsidRPr="00C85ABF">
        <w:rPr>
          <w:rFonts w:ascii="Simplified Arabic" w:eastAsia="Times New Roman" w:hAnsi="Simplified Arabic" w:cs="Simplified Arabic"/>
          <w:color w:val="000000" w:themeColor="text1"/>
          <w:kern w:val="0"/>
          <w:sz w:val="28"/>
          <w:szCs w:val="28"/>
          <w14:ligatures w14:val="none"/>
        </w:rPr>
        <w:t>.</w:t>
      </w:r>
    </w:p>
    <w:p w14:paraId="43C551AA" w14:textId="6C875CD8" w:rsidR="00230F8A" w:rsidRPr="00C85ABF" w:rsidRDefault="008E6323" w:rsidP="008E6323">
      <w:pPr>
        <w:jc w:val="center"/>
        <w:outlineLvl w:val="1"/>
        <w:rPr>
          <w:rFonts w:ascii="Simplified Arabic" w:eastAsia="Times New Roman" w:hAnsi="Simplified Arabic" w:cs="Simplified Arabic"/>
          <w:b/>
          <w:bCs/>
          <w:color w:val="000000" w:themeColor="text1"/>
          <w:kern w:val="0"/>
          <w:sz w:val="36"/>
          <w:szCs w:val="36"/>
          <w:lang w:bidi="ar-EG"/>
          <w14:ligatures w14:val="none"/>
        </w:rPr>
      </w:pPr>
      <w:r w:rsidRPr="00C85ABF">
        <w:rPr>
          <w:rFonts w:ascii="Simplified Arabic" w:eastAsia="Times New Roman" w:hAnsi="Simplified Arabic" w:cs="Simplified Arabic"/>
          <w:b/>
          <w:bCs/>
          <w:color w:val="000000" w:themeColor="text1"/>
          <w:kern w:val="0"/>
          <w:sz w:val="36"/>
          <w:szCs w:val="36"/>
          <w:rtl/>
          <w14:ligatures w14:val="none"/>
        </w:rPr>
        <w:br w:type="page"/>
      </w:r>
      <w:bookmarkStart w:id="48" w:name="_Toc233980963"/>
      <w:r w:rsidR="00230F8A" w:rsidRPr="00C85ABF">
        <w:rPr>
          <w:rFonts w:ascii="Simplified Arabic" w:eastAsia="Times New Roman" w:hAnsi="Simplified Arabic" w:cs="Simplified Arabic"/>
          <w:b/>
          <w:bCs/>
          <w:color w:val="000000" w:themeColor="text1"/>
          <w:kern w:val="0"/>
          <w:sz w:val="36"/>
          <w:szCs w:val="36"/>
          <w:rtl/>
          <w14:ligatures w14:val="none"/>
        </w:rPr>
        <w:lastRenderedPageBreak/>
        <w:t>المبحث الثاني: ولاء المستفيدين</w:t>
      </w:r>
      <w:bookmarkEnd w:id="48"/>
    </w:p>
    <w:p w14:paraId="03DAC446" w14:textId="237DF17F" w:rsidR="00230F8A" w:rsidRPr="00C85ABF" w:rsidRDefault="008E6323" w:rsidP="008E63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980964"/>
      <w:r w:rsidRPr="00C85ABF">
        <w:rPr>
          <w:rFonts w:ascii="Simplified Arabic" w:eastAsia="Times New Roman" w:hAnsi="Simplified Arabic" w:cs="Simplified Arabic" w:hint="cs"/>
          <w:b/>
          <w:bCs/>
          <w:color w:val="000000" w:themeColor="text1"/>
          <w:kern w:val="0"/>
          <w:sz w:val="32"/>
          <w:szCs w:val="32"/>
          <w:rtl/>
          <w14:ligatures w14:val="none"/>
        </w:rPr>
        <w:t xml:space="preserve">1.2.2 </w:t>
      </w:r>
      <w:r w:rsidR="00230F8A" w:rsidRPr="00C85ABF">
        <w:rPr>
          <w:rFonts w:ascii="Simplified Arabic" w:eastAsia="Times New Roman" w:hAnsi="Simplified Arabic" w:cs="Simplified Arabic"/>
          <w:b/>
          <w:bCs/>
          <w:color w:val="000000" w:themeColor="text1"/>
          <w:kern w:val="0"/>
          <w:sz w:val="32"/>
          <w:szCs w:val="32"/>
          <w:rtl/>
          <w14:ligatures w14:val="none"/>
        </w:rPr>
        <w:t>تمهيد</w:t>
      </w:r>
      <w:bookmarkEnd w:id="49"/>
    </w:p>
    <w:p w14:paraId="7AA858EA"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يُشكل الولاء إحدى القضايا الجوهرية التي شغلت حقل التسويق وإدارة الأعمال منذ عقود، وذلك في ضوء ما يُمثله من قيمة استراتيجية للمنظمات التي تسعى إلى الاستقرار في أسواق تشتد فيها المنافسة وتتقارب فيها العروض. ولم يعد الاحتفاظ بالعميل يُعد رفاهية تسويقية بل ضرورة اقتصادية تفرضها التكاليف المرتفعة لاستقطاب عملاء جدد مقارنةً بتكاليف الاحتفاظ بالحاليين، فضلًا عن القيمة الاقتصادية المتراكمة التي يُقدمها العميل الوفي على مدى دورة حياته مع المنظمة. وقد تعمّق الاهتمام بهذا المفهوم مع التحول من التسويق القائم على الصفقة إلى التسويق القائم على العلاقة، الذي يعتبر بناء الروابط طويلة الأمد مع العملاء غاية استراتيجية تسبق مجرد إتمام عمليات البيع</w:t>
      </w:r>
      <w:r w:rsidRPr="00C85ABF">
        <w:rPr>
          <w:rFonts w:ascii="Simplified Arabic" w:eastAsia="Times New Roman" w:hAnsi="Simplified Arabic" w:cs="Simplified Arabic"/>
          <w:color w:val="000000" w:themeColor="text1"/>
          <w:kern w:val="0"/>
          <w:sz w:val="28"/>
          <w:szCs w:val="28"/>
          <w14:ligatures w14:val="none"/>
        </w:rPr>
        <w:t>.</w:t>
      </w:r>
    </w:p>
    <w:p w14:paraId="2767FEA6"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وفي السياق الإسكاني تحديدًا، يكتسب مفهوم ولاء المستفيدين طابعًا خاصًا يُميّزه عن سياقات أخرى، إذ يتعامل المستفيد مع منتج بالغ الأهمية يمس حياته الشخصية والعائلية على المدى البعيد، وتمتد فيه العلاقة مع المنظمة لسنوات طويلة تشمل مراحل التقديم والتخصيص والتسليم وما بعده. وتتحوّل هذه العلاقة الممتدة إلى فرصة لبناء ولاء عميق أو إلى مخاطرة تُفضي إلى تشوهات في السمعة إذا لم تُدار بعناية. ويأتي هذا المبحث ليؤسس نظريًا لمفهوم ولاء المستفيدين، ويستعرض أهميته وأهدافه وأبعاده واستراتيجيات تعزيزه، بما يُهيّئ لفهم موقعه بوصفه متغيرًا تابعًا تتأثر مستوياته بأبعاد إدارة تجربة العميل في الشركة الوطنية للإسكان</w:t>
      </w:r>
      <w:r w:rsidRPr="00C85ABF">
        <w:rPr>
          <w:rFonts w:ascii="Simplified Arabic" w:eastAsia="Times New Roman" w:hAnsi="Simplified Arabic" w:cs="Simplified Arabic"/>
          <w:color w:val="000000" w:themeColor="text1"/>
          <w:kern w:val="0"/>
          <w:sz w:val="28"/>
          <w:szCs w:val="28"/>
          <w14:ligatures w14:val="none"/>
        </w:rPr>
        <w:t>.</w:t>
      </w:r>
    </w:p>
    <w:p w14:paraId="5BA0E0AC" w14:textId="01E8C4E0" w:rsidR="00230F8A" w:rsidRPr="00C85ABF" w:rsidRDefault="008E6323" w:rsidP="008E63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980965"/>
      <w:r w:rsidRPr="00C85ABF">
        <w:rPr>
          <w:rFonts w:ascii="Simplified Arabic" w:eastAsia="Times New Roman" w:hAnsi="Simplified Arabic" w:cs="Simplified Arabic" w:hint="cs"/>
          <w:b/>
          <w:bCs/>
          <w:color w:val="000000" w:themeColor="text1"/>
          <w:kern w:val="0"/>
          <w:sz w:val="32"/>
          <w:szCs w:val="32"/>
          <w:rtl/>
          <w14:ligatures w14:val="none"/>
        </w:rPr>
        <w:t>2.2.2</w:t>
      </w:r>
      <w:r w:rsidR="00230F8A" w:rsidRPr="00C85ABF">
        <w:rPr>
          <w:rFonts w:ascii="Simplified Arabic" w:eastAsia="Times New Roman" w:hAnsi="Simplified Arabic" w:cs="Simplified Arabic"/>
          <w:b/>
          <w:bCs/>
          <w:color w:val="000000" w:themeColor="text1"/>
          <w:kern w:val="0"/>
          <w:sz w:val="32"/>
          <w:szCs w:val="32"/>
          <w:rtl/>
          <w14:ligatures w14:val="none"/>
        </w:rPr>
        <w:t xml:space="preserve"> مفهوم ولاء المستفيدين</w:t>
      </w:r>
      <w:bookmarkEnd w:id="50"/>
    </w:p>
    <w:p w14:paraId="45D8136E"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اختلفت رؤى الباحثين في تحديد مفهوم ولاء العميل، وتنوعت تعريفاتهم بين من ركّز على الجانب السلوكي المتمثل في تكرار التعامل، ومن أعطى الأولوية للجانب الاتجاهي المتصل بالارتباط النفسي، ومن جمع بين الجانبين ضمن مقاربة تكاملية. وقد أشار (الشكري، 2023) إلى أن ولاء الزبون يعني الالتزام العميق بإعادة شراء منتج معين أو التعامل مع مقدم خدمة بعينه بصورة متكررة في المستقبل، رغم كل المؤثرات الظرفية والجهود التسويقية التي قد تدفع نحو تغيير هذا السلوك. ويُبرز هذا التعريف الطابع الالتزامي للولاء ويُفرقه عن التكرار العشوائي للتعامل الذي قد ينتج عن غياب البدائل لا عن قناعة راسخة</w:t>
      </w:r>
      <w:r w:rsidRPr="00C85ABF">
        <w:rPr>
          <w:rFonts w:ascii="Simplified Arabic" w:eastAsia="Times New Roman" w:hAnsi="Simplified Arabic" w:cs="Simplified Arabic"/>
          <w:color w:val="000000" w:themeColor="text1"/>
          <w:kern w:val="0"/>
          <w:sz w:val="28"/>
          <w:szCs w:val="28"/>
          <w14:ligatures w14:val="none"/>
        </w:rPr>
        <w:t>.</w:t>
      </w:r>
    </w:p>
    <w:p w14:paraId="0D6E40D9"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ومن منظور علاقاتي، يُعرّف (الجابري، 2021) الولاء بأنه حالة نفسية تُعبّر عن ارتباط العميل بمقدم الخدمة، تنشأ من إدراكه لمصداقية ما يُقدَّم له وثقته في اتساق الأداء مع الوعود المُعلنة، وأن هذه الحالة تُترجَم إلى سلوكيات إيجابية كالاستمرارية في التعامل والدفاع عن المنظمة أمام الآخرين. ويُبرز هذا التعريف الأساس المعرفي والوجداني الذي يقوم عليه الولاء، ويُبرز دور المصداقية بوصفها ركيزة أساسية في تكوينه</w:t>
      </w:r>
      <w:r w:rsidRPr="00C85ABF">
        <w:rPr>
          <w:rFonts w:ascii="Simplified Arabic" w:eastAsia="Times New Roman" w:hAnsi="Simplified Arabic" w:cs="Simplified Arabic"/>
          <w:color w:val="000000" w:themeColor="text1"/>
          <w:kern w:val="0"/>
          <w:sz w:val="28"/>
          <w:szCs w:val="28"/>
          <w14:ligatures w14:val="none"/>
        </w:rPr>
        <w:t>.</w:t>
      </w:r>
    </w:p>
    <w:p w14:paraId="59BA8F29"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وفي مقاربة سلوكية موسعة، يذهب (زيود، 2024) إلى أن ولاء العميل يتجلى في مجموعة من المؤشرات المترابطة، تشمل نية إعادة الشراء، والاستعداد لدفع سعر أعلى مقابل الحصول على المنتج نفسه، والتوصية بالمنظمة للآخرين، ومقاومة عروض المنافسين. ويرى أن الولاء لا يُقاس بمؤشر واحد بل بمنظومة من المؤشرات المتكاملة التي تُعبّر عن استقرار العلاقة بين العميل والمنظمة</w:t>
      </w:r>
      <w:r w:rsidRPr="00C85ABF">
        <w:rPr>
          <w:rFonts w:ascii="Simplified Arabic" w:eastAsia="Times New Roman" w:hAnsi="Simplified Arabic" w:cs="Simplified Arabic"/>
          <w:color w:val="000000" w:themeColor="text1"/>
          <w:kern w:val="0"/>
          <w:sz w:val="28"/>
          <w:szCs w:val="28"/>
          <w14:ligatures w14:val="none"/>
        </w:rPr>
        <w:t>.</w:t>
      </w:r>
    </w:p>
    <w:p w14:paraId="6512F8ED"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ويُقدم (حسن وآخرون، 2021) قراءة تسويقية تفاعلية للمفهوم، ترى أن ولاء العميل يُمثل نتاجًا لسلسلة من التفاعلات الإيجابية بين المنظمة وعملائها عبر مختلف قنوات الاتصال، وأن هذه التفاعلات تُنتج بمرور الوقت روابط عاطفية ومعرفية يصعب على المنافسين اختراقها. ويعكس هذا التعريف تحولًا في فهم الولاء من كونه ناتجًا لحظيًا إلى كونه محصلة تراكمية تتشكل عبر رحلة ممتدة</w:t>
      </w:r>
      <w:r w:rsidRPr="00C85ABF">
        <w:rPr>
          <w:rFonts w:ascii="Simplified Arabic" w:eastAsia="Times New Roman" w:hAnsi="Simplified Arabic" w:cs="Simplified Arabic"/>
          <w:color w:val="000000" w:themeColor="text1"/>
          <w:kern w:val="0"/>
          <w:sz w:val="28"/>
          <w:szCs w:val="28"/>
          <w14:ligatures w14:val="none"/>
        </w:rPr>
        <w:t>.</w:t>
      </w:r>
    </w:p>
    <w:p w14:paraId="23E47E8E"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ومن زاوية تعزيز الرضا، يرى (برينيس، 2025) أن الولاء يُعدّ مرحلة متقدمة من الرضا، إذ يبدأ الرضا استجابة انفعالية عابرة لتلبية توقع معين، ثم يتطور – بتراكم الخبرات الإيجابية – إلى حالة من الولاء الراسخ الذي يتجاوز حدود المعاملة الواحدة ويصبح جزءًا من التفضيل الشخصي المستقر لدى العميل</w:t>
      </w:r>
      <w:r w:rsidRPr="00C85ABF">
        <w:rPr>
          <w:rFonts w:ascii="Simplified Arabic" w:eastAsia="Times New Roman" w:hAnsi="Simplified Arabic" w:cs="Simplified Arabic"/>
          <w:color w:val="000000" w:themeColor="text1"/>
          <w:kern w:val="0"/>
          <w:sz w:val="28"/>
          <w:szCs w:val="28"/>
          <w14:ligatures w14:val="none"/>
        </w:rPr>
        <w:t>.</w:t>
      </w:r>
    </w:p>
    <w:p w14:paraId="0FD7DAFD"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وفي القطاع المصرفي، عرّف</w:t>
      </w:r>
      <w:r w:rsidRPr="00C85ABF">
        <w:rPr>
          <w:rFonts w:ascii="Simplified Arabic" w:eastAsia="Times New Roman" w:hAnsi="Simplified Arabic" w:cs="Simplified Arabic"/>
          <w:color w:val="000000" w:themeColor="text1"/>
          <w:kern w:val="0"/>
          <w:sz w:val="28"/>
          <w:szCs w:val="28"/>
          <w14:ligatures w14:val="none"/>
        </w:rPr>
        <w:t xml:space="preserve"> (Makudza, 2021) </w:t>
      </w:r>
      <w:r w:rsidRPr="00C85ABF">
        <w:rPr>
          <w:rFonts w:ascii="Simplified Arabic" w:eastAsia="Times New Roman" w:hAnsi="Simplified Arabic" w:cs="Simplified Arabic"/>
          <w:color w:val="000000" w:themeColor="text1"/>
          <w:kern w:val="0"/>
          <w:sz w:val="28"/>
          <w:szCs w:val="28"/>
          <w:rtl/>
          <w14:ligatures w14:val="none"/>
        </w:rPr>
        <w:t>الولاء بأنه التزام العميل الراسخ نفسيًا وسلوكيًا بالتعامل مع مؤسسة مصرفية بعينها، بحيث يُصبح خيارها هو الخيار المُفضل والافتراضي في مختلف احتياجاته المصرفية، وتنعكس هذه الحالة في مؤشرات موضوعية كطول فترة العلاقة وتنوع المنتجات المستخدمة وضعف الاستجابة لعروض المنافسين. ويُبرز هذا التعريف البُعد المؤسسي للولاء وارتباطه بالخيار الاستراتيجي للعميل بين البدائل المتاحة</w:t>
      </w:r>
      <w:r w:rsidRPr="00C85ABF">
        <w:rPr>
          <w:rFonts w:ascii="Simplified Arabic" w:eastAsia="Times New Roman" w:hAnsi="Simplified Arabic" w:cs="Simplified Arabic"/>
          <w:color w:val="000000" w:themeColor="text1"/>
          <w:kern w:val="0"/>
          <w:sz w:val="28"/>
          <w:szCs w:val="28"/>
          <w14:ligatures w14:val="none"/>
        </w:rPr>
        <w:t>.</w:t>
      </w:r>
    </w:p>
    <w:p w14:paraId="66F8E7BC"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ومن منظور الامتنان والتقدير المتبادل، يرى</w:t>
      </w:r>
      <w:r w:rsidRPr="00C85ABF">
        <w:rPr>
          <w:rFonts w:ascii="Simplified Arabic" w:eastAsia="Times New Roman" w:hAnsi="Simplified Arabic" w:cs="Simplified Arabic"/>
          <w:color w:val="000000" w:themeColor="text1"/>
          <w:kern w:val="0"/>
          <w:sz w:val="28"/>
          <w:szCs w:val="28"/>
          <w14:ligatures w14:val="none"/>
        </w:rPr>
        <w:t xml:space="preserve"> (Audrain-Pontevia &amp; Garnier, 2021) </w:t>
      </w:r>
      <w:r w:rsidRPr="00C85ABF">
        <w:rPr>
          <w:rFonts w:ascii="Simplified Arabic" w:eastAsia="Times New Roman" w:hAnsi="Simplified Arabic" w:cs="Simplified Arabic"/>
          <w:color w:val="000000" w:themeColor="text1"/>
          <w:kern w:val="0"/>
          <w:sz w:val="28"/>
          <w:szCs w:val="28"/>
          <w:rtl/>
          <w14:ligatures w14:val="none"/>
        </w:rPr>
        <w:t>أن الولاء يتشكل من تفاعل بين تجربة العميل والشعور بالامتنان تجاه المنظمة، بحيث لا يقتصر الأمر على تلبية التوقعات، بل يتجاوزها إلى تجاوزها بشكل يُشعر العميل بأنه يتلقى قيمة تفوق ما يقدمه، فيتشكل لديه دافع نفسي لرد الجميل عبر الاستمرار في التعامل والدفاع عن المنظمة</w:t>
      </w:r>
      <w:r w:rsidRPr="00C85ABF">
        <w:rPr>
          <w:rFonts w:ascii="Simplified Arabic" w:eastAsia="Times New Roman" w:hAnsi="Simplified Arabic" w:cs="Simplified Arabic"/>
          <w:color w:val="000000" w:themeColor="text1"/>
          <w:kern w:val="0"/>
          <w:sz w:val="28"/>
          <w:szCs w:val="28"/>
          <w14:ligatures w14:val="none"/>
        </w:rPr>
        <w:t>.</w:t>
      </w:r>
    </w:p>
    <w:p w14:paraId="75DF109A"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ويُضيف</w:t>
      </w:r>
      <w:r w:rsidRPr="00C85ABF">
        <w:rPr>
          <w:rFonts w:ascii="Simplified Arabic" w:eastAsia="Times New Roman" w:hAnsi="Simplified Arabic" w:cs="Simplified Arabic"/>
          <w:color w:val="000000" w:themeColor="text1"/>
          <w:kern w:val="0"/>
          <w:sz w:val="28"/>
          <w:szCs w:val="28"/>
          <w14:ligatures w14:val="none"/>
        </w:rPr>
        <w:t xml:space="preserve"> (Chiguvi et al., 2025) </w:t>
      </w:r>
      <w:r w:rsidRPr="00C85ABF">
        <w:rPr>
          <w:rFonts w:ascii="Simplified Arabic" w:eastAsia="Times New Roman" w:hAnsi="Simplified Arabic" w:cs="Simplified Arabic"/>
          <w:color w:val="000000" w:themeColor="text1"/>
          <w:kern w:val="0"/>
          <w:sz w:val="28"/>
          <w:szCs w:val="28"/>
          <w:rtl/>
          <w14:ligatures w14:val="none"/>
        </w:rPr>
        <w:t>بُعدًا استراتيجيًا للتعريف حين يذهب إلى أن الولاء يُمثل حالة عميقة من الالتزام تنسجم فيها قيم العميل مع قيم المنظمة، بحيث يُنظر إلى الاستمرار في التعامل بوصفه امتدادًا لتوجهات شخصية أوسع، وليس مجرد قرار شرائي معزول</w:t>
      </w:r>
      <w:r w:rsidRPr="00C85ABF">
        <w:rPr>
          <w:rFonts w:ascii="Simplified Arabic" w:eastAsia="Times New Roman" w:hAnsi="Simplified Arabic" w:cs="Simplified Arabic"/>
          <w:color w:val="000000" w:themeColor="text1"/>
          <w:kern w:val="0"/>
          <w:sz w:val="28"/>
          <w:szCs w:val="28"/>
          <w14:ligatures w14:val="none"/>
        </w:rPr>
        <w:t>.</w:t>
      </w:r>
    </w:p>
    <w:p w14:paraId="098CE713"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ويستنتج الباحث من مجمل التعريفات السابقة أن ولاء المستفيد يُمثل حالة مركبة تجمع بين الالتزام النفسي والاستمرارية السلوكية، تنشأ من تراكم تجارب إيجابية متسقة، وتنعكس في نية إعادة التعامل، والتوصية بالمنظمة للأقارب والأصدقاء، والاستعداد لتحمل بعض التكاليف مقابل الاحتفاظ بالعلاقة، ومقاومة الإغراءات التي يُقدمها المنافسون. ويرى الباحث أن ما يُميز الولاء في السياق الإسكاني هو ارتباطه بمنتج بالغ الحساسية العاطفية والمالية، وأن العلاقة الممتدة بين المستفيد والشركة تُشكل بيئة خصبة لبناء ولاء عميق، لكنها في الوقت نفسه تُضاعف تبعات أي إخفاق في إدارة نقاط التماس المتعددة</w:t>
      </w:r>
      <w:r w:rsidRPr="00C85ABF">
        <w:rPr>
          <w:rFonts w:ascii="Simplified Arabic" w:eastAsia="Times New Roman" w:hAnsi="Simplified Arabic" w:cs="Simplified Arabic"/>
          <w:color w:val="000000" w:themeColor="text1"/>
          <w:kern w:val="0"/>
          <w:sz w:val="28"/>
          <w:szCs w:val="28"/>
          <w14:ligatures w14:val="none"/>
        </w:rPr>
        <w:t>.</w:t>
      </w:r>
    </w:p>
    <w:p w14:paraId="7D897294" w14:textId="08247203" w:rsidR="00230F8A" w:rsidRPr="00C85ABF" w:rsidRDefault="008E6323" w:rsidP="008E63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980966"/>
      <w:r w:rsidRPr="00C85ABF">
        <w:rPr>
          <w:rFonts w:ascii="Simplified Arabic" w:eastAsia="Times New Roman" w:hAnsi="Simplified Arabic" w:cs="Simplified Arabic" w:hint="cs"/>
          <w:b/>
          <w:bCs/>
          <w:color w:val="000000" w:themeColor="text1"/>
          <w:kern w:val="0"/>
          <w:sz w:val="32"/>
          <w:szCs w:val="32"/>
          <w:rtl/>
          <w14:ligatures w14:val="none"/>
        </w:rPr>
        <w:t>3.2.2</w:t>
      </w:r>
      <w:r w:rsidR="00230F8A" w:rsidRPr="00C85ABF">
        <w:rPr>
          <w:rFonts w:ascii="Simplified Arabic" w:eastAsia="Times New Roman" w:hAnsi="Simplified Arabic" w:cs="Simplified Arabic"/>
          <w:b/>
          <w:bCs/>
          <w:color w:val="000000" w:themeColor="text1"/>
          <w:kern w:val="0"/>
          <w:sz w:val="32"/>
          <w:szCs w:val="32"/>
          <w:rtl/>
          <w14:ligatures w14:val="none"/>
        </w:rPr>
        <w:t xml:space="preserve"> أهمية ولاء المستفيدين</w:t>
      </w:r>
      <w:bookmarkEnd w:id="51"/>
    </w:p>
    <w:p w14:paraId="1CFD9E31"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يحتل ولاء المستفيدين مكانة استراتيجية في المنظومة الإدارية للمنظمات المعاصرة، إذ يتجاوز أثره حدود الأداء التسويقي ليمتد إلى مختلف جوانب الأداء المؤسسي. وتنبع أهمية هذا المتغير من طبيعة الاقتصاد المعاصر الذي يشتد فيه التنافس على استقطاب العملاء وترتفع فيه تكاليف اكتساب عملاء جدد، مما يجعل الاحتفاظ بالعملاء الحاليين مكسبًا اقتصاديًا واستراتيجيًا في آن معًا</w:t>
      </w:r>
      <w:r w:rsidRPr="00C85ABF">
        <w:rPr>
          <w:rFonts w:ascii="Simplified Arabic" w:eastAsia="Times New Roman" w:hAnsi="Simplified Arabic" w:cs="Simplified Arabic"/>
          <w:color w:val="000000" w:themeColor="text1"/>
          <w:kern w:val="0"/>
          <w:sz w:val="28"/>
          <w:szCs w:val="28"/>
          <w14:ligatures w14:val="none"/>
        </w:rPr>
        <w:t>.</w:t>
      </w:r>
    </w:p>
    <w:p w14:paraId="48AA6C2E"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ويشير (الجابري، 2021) إلى أن أهمية ولاء العملاء تتجلى في جملة من الاعتبارات، أولها: أنه يُوفر تدفقًا نقديًا مستقرًا للمنظمة يُقلل من تذبذب الإيرادات ويُتيح تخطيطًا ماليًا أكثر دقة؛ وثانيها: أنه يُقلل الحاجة إلى استثمارات مكثفة في جذب عملاء جدد ويُحرر الموارد لأولويات أخرى؛ وثالثها: أنه يُشكل حائطًا واقيًا أمام تحركات المنافسين ويحد من فاعلية حملاتهم؛ ورابعها: أنه يُنتج تسويقًا شفويًا إيجابيًا يُعزز سمعة المنظمة دون تكلفة إضافية؛ وخامسها: أنه يُغذي رصيد المصداقية الذي تراكمه المنظمة عبر الزمن</w:t>
      </w:r>
      <w:r w:rsidRPr="00C85ABF">
        <w:rPr>
          <w:rFonts w:ascii="Simplified Arabic" w:eastAsia="Times New Roman" w:hAnsi="Simplified Arabic" w:cs="Simplified Arabic"/>
          <w:color w:val="000000" w:themeColor="text1"/>
          <w:kern w:val="0"/>
          <w:sz w:val="28"/>
          <w:szCs w:val="28"/>
          <w14:ligatures w14:val="none"/>
        </w:rPr>
        <w:t>.</w:t>
      </w:r>
    </w:p>
    <w:p w14:paraId="4D050B42"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ويرى (زيود، 2024) أن ولاء العملاء يحمل أهمية اقتصادية واستراتيجية متنامية، تظهر من خلال إسهامه في تعزيز الحصة السوقية للمنظمة عبر بناء قاعدة عملاء مستقرة، وتقليل حساسية العميل تجاه تغيرات الأسعار، وفتح المجال أمام المنظمة لتوسيع محفظتها من المنتجات والخدمات بالاعتماد على الثقة المتراكمة، وتعزيز قدرتها على استيعاب الصدمات السوقية المفاجئة، فضلًا عن تحسين موقعها التفاوضي أمام الموردين والشركاء</w:t>
      </w:r>
      <w:r w:rsidRPr="00C85ABF">
        <w:rPr>
          <w:rFonts w:ascii="Simplified Arabic" w:eastAsia="Times New Roman" w:hAnsi="Simplified Arabic" w:cs="Simplified Arabic"/>
          <w:color w:val="000000" w:themeColor="text1"/>
          <w:kern w:val="0"/>
          <w:sz w:val="28"/>
          <w:szCs w:val="28"/>
          <w14:ligatures w14:val="none"/>
        </w:rPr>
        <w:t>.</w:t>
      </w:r>
    </w:p>
    <w:p w14:paraId="558DC80E"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ويُضيف</w:t>
      </w:r>
      <w:r w:rsidRPr="00C85ABF">
        <w:rPr>
          <w:rFonts w:ascii="Simplified Arabic" w:eastAsia="Times New Roman" w:hAnsi="Simplified Arabic" w:cs="Simplified Arabic"/>
          <w:color w:val="000000" w:themeColor="text1"/>
          <w:kern w:val="0"/>
          <w:sz w:val="28"/>
          <w:szCs w:val="28"/>
          <w14:ligatures w14:val="none"/>
        </w:rPr>
        <w:t xml:space="preserve"> (Walpola &amp; Gunawardana, 2025) </w:t>
      </w:r>
      <w:r w:rsidRPr="00C85ABF">
        <w:rPr>
          <w:rFonts w:ascii="Simplified Arabic" w:eastAsia="Times New Roman" w:hAnsi="Simplified Arabic" w:cs="Simplified Arabic"/>
          <w:color w:val="000000" w:themeColor="text1"/>
          <w:kern w:val="0"/>
          <w:sz w:val="28"/>
          <w:szCs w:val="28"/>
          <w:rtl/>
          <w14:ligatures w14:val="none"/>
        </w:rPr>
        <w:t>أن أهمية الولاء تتجلى في القطاع المصرفي بصفة خاصة، إذ يُسهم في تعميق العلاقة بين العميل والمؤسسة المالية عبر توسيع نطاق المنتجات المستخدمة من قبل العميل الواحد، ويُقلل تكاليف الحصول على المعلومات من كلا الطرفين لأن التاريخ التعاملي يُغني عن التقييم المتجدد، ويُعزز استقرار الودائع ومصادر التمويل، ويُوفر بيئة أكثر ملاءمة لطرح المنتجات المبتكرة على شريحة عملاء أثبتت قابليتها للتفاعل مع المنظمة</w:t>
      </w:r>
      <w:r w:rsidRPr="00C85ABF">
        <w:rPr>
          <w:rFonts w:ascii="Simplified Arabic" w:eastAsia="Times New Roman" w:hAnsi="Simplified Arabic" w:cs="Simplified Arabic"/>
          <w:color w:val="000000" w:themeColor="text1"/>
          <w:kern w:val="0"/>
          <w:sz w:val="28"/>
          <w:szCs w:val="28"/>
          <w14:ligatures w14:val="none"/>
        </w:rPr>
        <w:t>.</w:t>
      </w:r>
    </w:p>
    <w:p w14:paraId="3B409C33"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ويوضح</w:t>
      </w:r>
      <w:r w:rsidRPr="00C85ABF">
        <w:rPr>
          <w:rFonts w:ascii="Simplified Arabic" w:eastAsia="Times New Roman" w:hAnsi="Simplified Arabic" w:cs="Simplified Arabic"/>
          <w:color w:val="000000" w:themeColor="text1"/>
          <w:kern w:val="0"/>
          <w:sz w:val="28"/>
          <w:szCs w:val="28"/>
          <w14:ligatures w14:val="none"/>
        </w:rPr>
        <w:t xml:space="preserve"> (Karim et al., 2022) </w:t>
      </w:r>
      <w:r w:rsidRPr="00C85ABF">
        <w:rPr>
          <w:rFonts w:ascii="Simplified Arabic" w:eastAsia="Times New Roman" w:hAnsi="Simplified Arabic" w:cs="Simplified Arabic"/>
          <w:color w:val="000000" w:themeColor="text1"/>
          <w:kern w:val="0"/>
          <w:sz w:val="28"/>
          <w:szCs w:val="28"/>
          <w:rtl/>
          <w14:ligatures w14:val="none"/>
        </w:rPr>
        <w:t>أن ولاء العملاء في قطاع الخدمات المالية والضيافة يحمل قيمة استراتيجية استثنائية، تظهر من خلال قدرته على تحويل العميل إلى قناة تسويقية غير مباشرة تُسهم في استقطاب عملاء جدد عبر التوصيات، وتعزيز الثقة العامة في المنظمة، وتقليل الحاجة إلى الاعتماد على القنوات الإعلانية التقليدية المرتفعة الكلفة، فضلًا عن دعم عمليات التوسع في أسواق جغرافية جديدة بالاستناد إلى سمعة راسخة</w:t>
      </w:r>
      <w:r w:rsidRPr="00C85ABF">
        <w:rPr>
          <w:rFonts w:ascii="Simplified Arabic" w:eastAsia="Times New Roman" w:hAnsi="Simplified Arabic" w:cs="Simplified Arabic"/>
          <w:color w:val="000000" w:themeColor="text1"/>
          <w:kern w:val="0"/>
          <w:sz w:val="28"/>
          <w:szCs w:val="28"/>
          <w14:ligatures w14:val="none"/>
        </w:rPr>
        <w:t>.</w:t>
      </w:r>
    </w:p>
    <w:p w14:paraId="38B52592"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ويرى (عوان ومحمودي، 2023) أن الولاء يُشكل استثمارًا استراتيجيًا طويل الأمد، لأنه يُنتج عوائد مركبة تظهر آثارها بمرور الوقت، ولأنه يبني ذاكرة مؤسسية تعرف عملاءها وتفهم احتياجاتهم بدقة تفوق ما يستطيع المنافسون فعله في وقت قصير، ولأنه يُعزز شعور الموظفين بالفخر والانتماء حين يرون قاعدة عملاء ثابتة تُقدر ما يُقدمونه، وهو ما ينعكس بدوره على جودة الخدمة في حلقة إيجابية متصاعدة</w:t>
      </w:r>
      <w:r w:rsidRPr="00C85ABF">
        <w:rPr>
          <w:rFonts w:ascii="Simplified Arabic" w:eastAsia="Times New Roman" w:hAnsi="Simplified Arabic" w:cs="Simplified Arabic"/>
          <w:color w:val="000000" w:themeColor="text1"/>
          <w:kern w:val="0"/>
          <w:sz w:val="28"/>
          <w:szCs w:val="28"/>
          <w14:ligatures w14:val="none"/>
        </w:rPr>
        <w:t>.</w:t>
      </w:r>
    </w:p>
    <w:p w14:paraId="186F321A"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ويُشير (نوري وآخرون، 2026) إلى أن الولاء بات يُشكل مكونًا رئيسيًا في القيمة السوقية للمنظمات، إذ يُسهم في تعزيز صورتها الذهنية في السوق، ويُساعدها على تمييز نفسها في بيئة تنافسية مشبعة، ويُتيح لها بناء علاقات أكثر توازنًا مع مختلف أصحاب المصلحة، ويُقلل من الآثار السلبية للأزمات المؤقتة لأن العملاء الأوفياء أكثر ميلًا إلى إبداء التسامح مع الأخطاء العابرة</w:t>
      </w:r>
      <w:r w:rsidRPr="00C85ABF">
        <w:rPr>
          <w:rFonts w:ascii="Simplified Arabic" w:eastAsia="Times New Roman" w:hAnsi="Simplified Arabic" w:cs="Simplified Arabic"/>
          <w:color w:val="000000" w:themeColor="text1"/>
          <w:kern w:val="0"/>
          <w:sz w:val="28"/>
          <w:szCs w:val="28"/>
          <w14:ligatures w14:val="none"/>
        </w:rPr>
        <w:t>.</w:t>
      </w:r>
    </w:p>
    <w:p w14:paraId="7CE1BDAC"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ويرى الباحث أن هذه الاعتبارات مجتمعة تجعل من ولاء المستفيدين هدفًا استراتيجيًا رفيع المستوى، لا سيما في القطاعات ذات الطابع الخدمي طويل الأمد كالإسكان، حيث تمتد العلاقة لسنوات وتتعدد نقاط التماس، مما يُضاعف قيمة الاستثمار في بناء الولاء وتعزيزه</w:t>
      </w:r>
      <w:r w:rsidRPr="00C85ABF">
        <w:rPr>
          <w:rFonts w:ascii="Simplified Arabic" w:eastAsia="Times New Roman" w:hAnsi="Simplified Arabic" w:cs="Simplified Arabic"/>
          <w:color w:val="000000" w:themeColor="text1"/>
          <w:kern w:val="0"/>
          <w:sz w:val="28"/>
          <w:szCs w:val="28"/>
          <w14:ligatures w14:val="none"/>
        </w:rPr>
        <w:t>.</w:t>
      </w:r>
    </w:p>
    <w:p w14:paraId="7B367275" w14:textId="7D76CA3D" w:rsidR="00230F8A" w:rsidRPr="00C85ABF" w:rsidRDefault="008E6323" w:rsidP="008E63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980967"/>
      <w:r w:rsidRPr="00C85ABF">
        <w:rPr>
          <w:rFonts w:ascii="Simplified Arabic" w:eastAsia="Times New Roman" w:hAnsi="Simplified Arabic" w:cs="Simplified Arabic" w:hint="cs"/>
          <w:b/>
          <w:bCs/>
          <w:color w:val="000000" w:themeColor="text1"/>
          <w:kern w:val="0"/>
          <w:sz w:val="32"/>
          <w:szCs w:val="32"/>
          <w:rtl/>
          <w14:ligatures w14:val="none"/>
        </w:rPr>
        <w:t>4.2.2</w:t>
      </w:r>
      <w:r w:rsidR="00230F8A" w:rsidRPr="00C85ABF">
        <w:rPr>
          <w:rFonts w:ascii="Simplified Arabic" w:eastAsia="Times New Roman" w:hAnsi="Simplified Arabic" w:cs="Simplified Arabic"/>
          <w:b/>
          <w:bCs/>
          <w:color w:val="000000" w:themeColor="text1"/>
          <w:kern w:val="0"/>
          <w:sz w:val="32"/>
          <w:szCs w:val="32"/>
          <w:rtl/>
          <w14:ligatures w14:val="none"/>
        </w:rPr>
        <w:t xml:space="preserve"> أهداف تعزيز ولاء المستفيدين</w:t>
      </w:r>
      <w:bookmarkEnd w:id="52"/>
    </w:p>
    <w:p w14:paraId="72D1DFD2"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يسعى تعزيز ولاء المستفيدين إلى تحقيق منظومة من الأهداف المترابطة التي تتوزع على المستويات التسويقية والمالية والاستراتيجية، وقد تناول الباحثون هذه الأهداف من زوايا متعددة تعكس تنوع تجاربهم البحثية والتطبيقية</w:t>
      </w:r>
      <w:r w:rsidRPr="00C85ABF">
        <w:rPr>
          <w:rFonts w:ascii="Simplified Arabic" w:eastAsia="Times New Roman" w:hAnsi="Simplified Arabic" w:cs="Simplified Arabic"/>
          <w:color w:val="000000" w:themeColor="text1"/>
          <w:kern w:val="0"/>
          <w:sz w:val="28"/>
          <w:szCs w:val="28"/>
          <w14:ligatures w14:val="none"/>
        </w:rPr>
        <w:t>.</w:t>
      </w:r>
    </w:p>
    <w:p w14:paraId="78847C16"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يُشير (عوان ومحمودي، 2023) إلى أن تعزيز ولاء العملاء يستهدف تحقيق جملة من الغايات، أبرزها: بناء علاقة طويلة الأمد مع العميل تتجاوز حدود المعاملة الواحدة؛ وترسيخ التفضيل النفسي للمنظمة على حساب المنافسين؛ وتحفيز السلوكيات الإيجابية كالتوصية للأقارب والأصدقاء والدفاع عن المنظمة في المواقف الحرجة؛ ورفع القيمة الحياتية للعميل التي تُمثل مجمل الإيرادات المتوقعة منه خلال دورة حياته مع المنظمة</w:t>
      </w:r>
      <w:r w:rsidRPr="00C85ABF">
        <w:rPr>
          <w:rFonts w:ascii="Simplified Arabic" w:eastAsia="Times New Roman" w:hAnsi="Simplified Arabic" w:cs="Simplified Arabic"/>
          <w:color w:val="000000" w:themeColor="text1"/>
          <w:kern w:val="0"/>
          <w:sz w:val="28"/>
          <w:szCs w:val="28"/>
          <w14:ligatures w14:val="none"/>
        </w:rPr>
        <w:t>.</w:t>
      </w:r>
    </w:p>
    <w:p w14:paraId="0D99617D"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C85ABF">
        <w:rPr>
          <w:rFonts w:ascii="Simplified Arabic" w:eastAsia="Times New Roman" w:hAnsi="Simplified Arabic" w:cs="Simplified Arabic"/>
          <w:color w:val="000000" w:themeColor="text1"/>
          <w:kern w:val="0"/>
          <w:sz w:val="28"/>
          <w:szCs w:val="28"/>
          <w:rtl/>
          <w14:ligatures w14:val="none"/>
        </w:rPr>
        <w:t>ويضيف</w:t>
      </w:r>
      <w:r w:rsidRPr="00C85ABF">
        <w:rPr>
          <w:rFonts w:ascii="Simplified Arabic" w:eastAsia="Times New Roman" w:hAnsi="Simplified Arabic" w:cs="Simplified Arabic"/>
          <w:color w:val="000000" w:themeColor="text1"/>
          <w:kern w:val="0"/>
          <w:sz w:val="28"/>
          <w:szCs w:val="28"/>
          <w14:ligatures w14:val="none"/>
        </w:rPr>
        <w:t xml:space="preserve"> (Ahmad et al., 2022) </w:t>
      </w:r>
      <w:r w:rsidRPr="00C85ABF">
        <w:rPr>
          <w:rFonts w:ascii="Simplified Arabic" w:eastAsia="Times New Roman" w:hAnsi="Simplified Arabic" w:cs="Simplified Arabic"/>
          <w:color w:val="000000" w:themeColor="text1"/>
          <w:kern w:val="0"/>
          <w:sz w:val="28"/>
          <w:szCs w:val="28"/>
          <w:rtl/>
          <w14:ligatures w14:val="none"/>
        </w:rPr>
        <w:t>أن الأهداف تتضمن: تعميق انخراط العميل مع المنظمة عبر مختلف قنواتها الرقمية والتقليدية؛ وتحويل العميل من متلقٍ سلبي إلى شريك فاعل في صياغة القيمة؛ وبناء مجتمع من العملاء الموثوقين يعمل بوصفه امتدادًا طبيعيًا لجهود المنظمة التسويقية؛ وتعزيز قدرة المنظمة على الاستفادة من التغذية الراجعة المستمرة من عملاء أوفياء يُبدون اهتمامًا حقيقيًا بتحسين الخدمة</w:t>
      </w:r>
      <w:r w:rsidRPr="00C85ABF">
        <w:rPr>
          <w:rFonts w:ascii="Simplified Arabic" w:eastAsia="Times New Roman" w:hAnsi="Simplified Arabic" w:cs="Simplified Arabic"/>
          <w:color w:val="000000" w:themeColor="text1"/>
          <w:kern w:val="0"/>
          <w:sz w:val="28"/>
          <w:szCs w:val="28"/>
          <w14:ligatures w14:val="none"/>
        </w:rPr>
        <w:t>.</w:t>
      </w:r>
    </w:p>
    <w:p w14:paraId="503DB7E0"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ويذهب</w:t>
      </w:r>
      <w:r w:rsidRPr="00C85ABF">
        <w:rPr>
          <w:rFonts w:ascii="Simplified Arabic" w:eastAsia="Times New Roman" w:hAnsi="Simplified Arabic" w:cs="Simplified Arabic"/>
          <w:color w:val="000000" w:themeColor="text1"/>
          <w:kern w:val="0"/>
          <w:sz w:val="28"/>
          <w:szCs w:val="28"/>
          <w14:ligatures w14:val="none"/>
        </w:rPr>
        <w:t xml:space="preserve"> (Gunawan et al., 2025) </w:t>
      </w:r>
      <w:r w:rsidRPr="00C85ABF">
        <w:rPr>
          <w:rFonts w:ascii="Simplified Arabic" w:eastAsia="Times New Roman" w:hAnsi="Simplified Arabic" w:cs="Simplified Arabic"/>
          <w:color w:val="000000" w:themeColor="text1"/>
          <w:kern w:val="0"/>
          <w:sz w:val="28"/>
          <w:szCs w:val="28"/>
          <w:rtl/>
          <w14:ligatures w14:val="none"/>
        </w:rPr>
        <w:t>إلى أن تعزيز الولاء يستهدف: رفع نية إعادة التعامل مع المنظمة والحد من نية التحول؛ وتحسين استجابة العميل لبرامج المكافآت وبطاقات العضوية بحيث تُصبح أدوات فاعلة لتعميق الارتباط؛ وتقليل تكاليف الاحتفاظ بالعميل بمرور الوقت لأن العلاقة الراسخة تُغني عن الحوافز المتكررة؛ فضلًا عن تحسين مؤشرات الرضا العامة التي تُشكل قاعدة موضوعية للولاء</w:t>
      </w:r>
      <w:r w:rsidRPr="00C85ABF">
        <w:rPr>
          <w:rFonts w:ascii="Simplified Arabic" w:eastAsia="Times New Roman" w:hAnsi="Simplified Arabic" w:cs="Simplified Arabic"/>
          <w:color w:val="000000" w:themeColor="text1"/>
          <w:kern w:val="0"/>
          <w:sz w:val="28"/>
          <w:szCs w:val="28"/>
          <w14:ligatures w14:val="none"/>
        </w:rPr>
        <w:t>.</w:t>
      </w:r>
    </w:p>
    <w:p w14:paraId="6AC3E071"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ويرى</w:t>
      </w:r>
      <w:r w:rsidRPr="00C85ABF">
        <w:rPr>
          <w:rFonts w:ascii="Simplified Arabic" w:eastAsia="Times New Roman" w:hAnsi="Simplified Arabic" w:cs="Simplified Arabic"/>
          <w:color w:val="000000" w:themeColor="text1"/>
          <w:kern w:val="0"/>
          <w:sz w:val="28"/>
          <w:szCs w:val="28"/>
          <w14:ligatures w14:val="none"/>
        </w:rPr>
        <w:t xml:space="preserve"> (Audrain-Pontevia &amp; Garnier, 2021) </w:t>
      </w:r>
      <w:r w:rsidRPr="00C85ABF">
        <w:rPr>
          <w:rFonts w:ascii="Simplified Arabic" w:eastAsia="Times New Roman" w:hAnsi="Simplified Arabic" w:cs="Simplified Arabic"/>
          <w:color w:val="000000" w:themeColor="text1"/>
          <w:kern w:val="0"/>
          <w:sz w:val="28"/>
          <w:szCs w:val="28"/>
          <w:rtl/>
          <w14:ligatures w14:val="none"/>
        </w:rPr>
        <w:t>أن الأهداف تشمل: توليد مشاعر الامتنان لدى العميل تجاه المنظمة بحيث يُصبح الاستمرار في التعامل استجابة نفسية طبيعية لما تلقاه من قيمة؛ ورفع كفاءة برامج الولاء من خلال تحويلها من مجرد أدوات تحفيز مادي إلى قنوات لبناء علاقة عاطفية أعمق؛ وتقليل حساسية العميل للتغيرات السعرية بحيث لا يتخلى عن المنظمة عند أول عرض تنافسي جاذب</w:t>
      </w:r>
      <w:r w:rsidRPr="00C85ABF">
        <w:rPr>
          <w:rFonts w:ascii="Simplified Arabic" w:eastAsia="Times New Roman" w:hAnsi="Simplified Arabic" w:cs="Simplified Arabic"/>
          <w:color w:val="000000" w:themeColor="text1"/>
          <w:kern w:val="0"/>
          <w:sz w:val="28"/>
          <w:szCs w:val="28"/>
          <w14:ligatures w14:val="none"/>
        </w:rPr>
        <w:t>.</w:t>
      </w:r>
    </w:p>
    <w:p w14:paraId="7786479B"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ويؤكد</w:t>
      </w:r>
      <w:r w:rsidRPr="00C85ABF">
        <w:rPr>
          <w:rFonts w:ascii="Simplified Arabic" w:eastAsia="Times New Roman" w:hAnsi="Simplified Arabic" w:cs="Simplified Arabic"/>
          <w:color w:val="000000" w:themeColor="text1"/>
          <w:kern w:val="0"/>
          <w:sz w:val="28"/>
          <w:szCs w:val="28"/>
          <w14:ligatures w14:val="none"/>
        </w:rPr>
        <w:t xml:space="preserve"> (Karim et al., 2022) </w:t>
      </w:r>
      <w:r w:rsidRPr="00C85ABF">
        <w:rPr>
          <w:rFonts w:ascii="Simplified Arabic" w:eastAsia="Times New Roman" w:hAnsi="Simplified Arabic" w:cs="Simplified Arabic"/>
          <w:color w:val="000000" w:themeColor="text1"/>
          <w:kern w:val="0"/>
          <w:sz w:val="28"/>
          <w:szCs w:val="28"/>
          <w:rtl/>
          <w14:ligatures w14:val="none"/>
        </w:rPr>
        <w:t>أن الأهداف تمتد لتشمل: بناء اتجاهات إيجابية لدى العميل تجاه المنظمة تعمل بوصفها وسيطًا بين التجربة الفعلية والسلوك المستقبلي؛ ودعم مساعي التحول الرقمي عبر تشجيع العملاء الأوفياء على تجربة القنوات الجديدة والانتقال إليها؛ وتعزيز الثقة العامة في المنظمة بوصفها كيانًا مسؤولًا يستحق الالتزام طويل الأمد</w:t>
      </w:r>
      <w:r w:rsidRPr="00C85ABF">
        <w:rPr>
          <w:rFonts w:ascii="Simplified Arabic" w:eastAsia="Times New Roman" w:hAnsi="Simplified Arabic" w:cs="Simplified Arabic"/>
          <w:color w:val="000000" w:themeColor="text1"/>
          <w:kern w:val="0"/>
          <w:sz w:val="28"/>
          <w:szCs w:val="28"/>
          <w14:ligatures w14:val="none"/>
        </w:rPr>
        <w:t>.</w:t>
      </w:r>
    </w:p>
    <w:p w14:paraId="75760F79"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ويضيف (الشكري، 2023) أن الأهداف تشمل: تحقيق ميزة تنافسية مستدامة يصعب على المنافسين محاكاتها لأنها تستند إلى علاقات مبنية بمرور الوقت؛ وتقليل هشاشة قاعدة العملاء أمام الحملات التنافسية العدائية؛ وتحسين الأداء المالي للمنظمة على المدى البعيد عبر تحقيق تدفقات نقدية أكثر استقرارًا وقابلية للتنبؤ</w:t>
      </w:r>
      <w:r w:rsidRPr="00C85ABF">
        <w:rPr>
          <w:rFonts w:ascii="Simplified Arabic" w:eastAsia="Times New Roman" w:hAnsi="Simplified Arabic" w:cs="Simplified Arabic"/>
          <w:color w:val="000000" w:themeColor="text1"/>
          <w:kern w:val="0"/>
          <w:sz w:val="28"/>
          <w:szCs w:val="28"/>
          <w14:ligatures w14:val="none"/>
        </w:rPr>
        <w:t>.</w:t>
      </w:r>
    </w:p>
    <w:p w14:paraId="4D3C9310"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ويلحظ الباحث أن هذه الأهداف تتكامل فيما بينها لتُشكل منظومة استراتيجية متسقة، تجعل من تعزيز الولاء غاية مركزية تخدم استقرار المنظمة ونموها وتُميّزها في بيئة تنافسية شديدة التقلب</w:t>
      </w:r>
      <w:r w:rsidRPr="00C85ABF">
        <w:rPr>
          <w:rFonts w:ascii="Simplified Arabic" w:eastAsia="Times New Roman" w:hAnsi="Simplified Arabic" w:cs="Simplified Arabic"/>
          <w:color w:val="000000" w:themeColor="text1"/>
          <w:kern w:val="0"/>
          <w:sz w:val="28"/>
          <w:szCs w:val="28"/>
          <w14:ligatures w14:val="none"/>
        </w:rPr>
        <w:t>.</w:t>
      </w:r>
    </w:p>
    <w:p w14:paraId="27E29B44" w14:textId="69A08757" w:rsidR="00230F8A" w:rsidRPr="00C85ABF" w:rsidRDefault="008E6323" w:rsidP="008E63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980968"/>
      <w:r w:rsidRPr="00C85ABF">
        <w:rPr>
          <w:rFonts w:ascii="Simplified Arabic" w:eastAsia="Times New Roman" w:hAnsi="Simplified Arabic" w:cs="Simplified Arabic" w:hint="cs"/>
          <w:b/>
          <w:bCs/>
          <w:color w:val="000000" w:themeColor="text1"/>
          <w:kern w:val="0"/>
          <w:sz w:val="32"/>
          <w:szCs w:val="32"/>
          <w:rtl/>
          <w14:ligatures w14:val="none"/>
        </w:rPr>
        <w:t>5.2.2</w:t>
      </w:r>
      <w:r w:rsidR="00230F8A" w:rsidRPr="00C85ABF">
        <w:rPr>
          <w:rFonts w:ascii="Simplified Arabic" w:eastAsia="Times New Roman" w:hAnsi="Simplified Arabic" w:cs="Simplified Arabic"/>
          <w:b/>
          <w:bCs/>
          <w:color w:val="000000" w:themeColor="text1"/>
          <w:kern w:val="0"/>
          <w:sz w:val="32"/>
          <w:szCs w:val="32"/>
          <w:rtl/>
          <w14:ligatures w14:val="none"/>
        </w:rPr>
        <w:t xml:space="preserve"> أبعاد ولاء المستفيدين</w:t>
      </w:r>
      <w:bookmarkEnd w:id="53"/>
    </w:p>
    <w:p w14:paraId="3B6B39FF"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تناول الباحثون ولاء العميل بوصفه بناءً متعدد الأبعاد، وقد أشار (زيود، 2024) إلى أن مؤشرات الولاء تتوزع على نية إعادة التعامل، والتوصية بالمنظمة، ومقاومة عروض المنافسين، والاستعداد لدفع سعر أعلى مقابل البقاء مع المنظمة، وذلك على الرغم من كون المتغير التابع في الدراسة الحالية أحادي المحور</w:t>
      </w:r>
      <w:r w:rsidRPr="00C85ABF">
        <w:rPr>
          <w:rFonts w:ascii="Simplified Arabic" w:eastAsia="Times New Roman" w:hAnsi="Simplified Arabic" w:cs="Simplified Arabic"/>
          <w:color w:val="000000" w:themeColor="text1"/>
          <w:kern w:val="0"/>
          <w:sz w:val="28"/>
          <w:szCs w:val="28"/>
          <w14:ligatures w14:val="none"/>
        </w:rPr>
        <w:t>.</w:t>
      </w:r>
    </w:p>
    <w:p w14:paraId="1B9CD19E"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ويتمثل بُعد نية إعادة التعامل في استعداد المستفيد الذاتي لتكرار تعامله مع الشركة مستقبلًا حين تتاح الفرصة أو تنشأ الحاجة، وهو مؤشر تطلعي يعكس رؤية العميل لعلاقته المستقبلية مع المنظمة استنادًا إلى تراكم خبراته السابقة. ويرى</w:t>
      </w:r>
      <w:r w:rsidRPr="00C85ABF">
        <w:rPr>
          <w:rFonts w:ascii="Simplified Arabic" w:eastAsia="Times New Roman" w:hAnsi="Simplified Arabic" w:cs="Simplified Arabic"/>
          <w:color w:val="000000" w:themeColor="text1"/>
          <w:kern w:val="0"/>
          <w:sz w:val="28"/>
          <w:szCs w:val="28"/>
          <w14:ligatures w14:val="none"/>
        </w:rPr>
        <w:t xml:space="preserve"> (Makudza, 2021) </w:t>
      </w:r>
      <w:r w:rsidRPr="00C85ABF">
        <w:rPr>
          <w:rFonts w:ascii="Simplified Arabic" w:eastAsia="Times New Roman" w:hAnsi="Simplified Arabic" w:cs="Simplified Arabic"/>
          <w:color w:val="000000" w:themeColor="text1"/>
          <w:kern w:val="0"/>
          <w:sz w:val="28"/>
          <w:szCs w:val="28"/>
          <w:rtl/>
          <w14:ligatures w14:val="none"/>
        </w:rPr>
        <w:t>أن هذا المؤشر يُعد من أهم مؤشرات الولاء لأنه يجمع بين البُعد الاتجاهي والبُعد السلوكي المتوقع، إذ يُعبّر عن قناعة داخلية سيتم ترجمتها إلى فعل حين تتوفر الظروف. وفي السياق الإسكاني، تكتسب هذه النية طابعًا خاصًا لأن قرار الشراء الإسكاني ليس متكررًا بالمعنى التقليدي، لكنها تتحول إلى مؤشر على الاستعداد للتعامل مع الشركة في خدمات مكملة أو للتوصية بها لمن يفكر في اتخاذ قرار مماثل</w:t>
      </w:r>
      <w:r w:rsidRPr="00C85ABF">
        <w:rPr>
          <w:rFonts w:ascii="Simplified Arabic" w:eastAsia="Times New Roman" w:hAnsi="Simplified Arabic" w:cs="Simplified Arabic"/>
          <w:color w:val="000000" w:themeColor="text1"/>
          <w:kern w:val="0"/>
          <w:sz w:val="28"/>
          <w:szCs w:val="28"/>
          <w14:ligatures w14:val="none"/>
        </w:rPr>
        <w:t>.</w:t>
      </w:r>
    </w:p>
    <w:p w14:paraId="6A22560A"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ويتمثل بُعد التوصية والترويج الإيجابي في مبادرة المستفيد بمشاركة تجربته الإيجابية مع الآخرين وتشجيعهم على التعامل مع المنظمة، وهو ما يُعرف بالتسويق الشفوي الإيجابي. ويرى (حسن وآخرون، 2021) أن هذا البُعد يُمثل أعلى درجات الولاء لأنه يستدعي من العميل إعارة سمعته الشخصية للمنظمة أمام محيطه الاجتماعي، وهو ما لا يُقدم عليه إلا من امتلك قناعة راسخة بمصداقية المنظمة وجودة ما تُقدمه. ويرتبط هذا البُعد ارتباطًا وثيقًا بمفهوم “المُروّج الطوعي” الذي يعمل بوصفه امتدادًا لجهود المنظمة التسويقية دون تكلفة إضافية، وتُعدّ التوصية للأقارب والأصدقاء إحدى أقوى قنوات التأثير في قرارات الآخرين لأنها تحمل ضمانة الثقة الشخصية</w:t>
      </w:r>
      <w:r w:rsidRPr="00C85ABF">
        <w:rPr>
          <w:rFonts w:ascii="Simplified Arabic" w:eastAsia="Times New Roman" w:hAnsi="Simplified Arabic" w:cs="Simplified Arabic"/>
          <w:color w:val="000000" w:themeColor="text1"/>
          <w:kern w:val="0"/>
          <w:sz w:val="28"/>
          <w:szCs w:val="28"/>
          <w14:ligatures w14:val="none"/>
        </w:rPr>
        <w:t>.</w:t>
      </w:r>
    </w:p>
    <w:p w14:paraId="424BADF3"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lastRenderedPageBreak/>
        <w:t>ويتمثل بُعد مقاومة عروض المنافسين في ثبات المستفيد أمام المحاولات التي يبذلها المنافسون لاستقطابه، سواء عبر تقديم أسعار أفضل أو مزايا إضافية أو حملات ترويجية موجهة. ويرى (الجابري، 2021) أن هذا البُعد يُعدّ الاختبار الحقيقي للولاء، إذ يُميّز بين الولاء الأصيل الذي يقوم على قناعة راسخة، والولاء الظاهري الذي ينهار أمام أول إغراء تنافسي. ويرتبط هذا البُعد بمفهوم “التكلفة النفسية للتحول” التي تنشأ من الروابط المتراكمة بين العميل والمنظمة والتي يشعر العميل بأنه سيخسرها إذا انتقل إلى منافس آخر</w:t>
      </w:r>
      <w:r w:rsidRPr="00C85ABF">
        <w:rPr>
          <w:rFonts w:ascii="Simplified Arabic" w:eastAsia="Times New Roman" w:hAnsi="Simplified Arabic" w:cs="Simplified Arabic"/>
          <w:color w:val="000000" w:themeColor="text1"/>
          <w:kern w:val="0"/>
          <w:sz w:val="28"/>
          <w:szCs w:val="28"/>
          <w14:ligatures w14:val="none"/>
        </w:rPr>
        <w:t>.</w:t>
      </w:r>
    </w:p>
    <w:p w14:paraId="6C5D27D4"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ويتضمن ولاء المستفيدين أيضًا بُعد الاستمرارية والالتزام طويل الأمد الذي يعكس رغبة المستفيد في الحفاظ على العلاقة مع المنظمة عبر مختلف مراحل رحلته، ويشمل تنوع المنتجات والخدمات التي يقبلها منها ومدى انفتاحه على تجربة عروضها الجديدة. ويُشير</w:t>
      </w:r>
      <w:r w:rsidRPr="00C85ABF">
        <w:rPr>
          <w:rFonts w:ascii="Simplified Arabic" w:eastAsia="Times New Roman" w:hAnsi="Simplified Arabic" w:cs="Simplified Arabic"/>
          <w:color w:val="000000" w:themeColor="text1"/>
          <w:kern w:val="0"/>
          <w:sz w:val="28"/>
          <w:szCs w:val="28"/>
          <w14:ligatures w14:val="none"/>
        </w:rPr>
        <w:t xml:space="preserve"> (Chiguvi et al., 2025) </w:t>
      </w:r>
      <w:r w:rsidRPr="00C85ABF">
        <w:rPr>
          <w:rFonts w:ascii="Simplified Arabic" w:eastAsia="Times New Roman" w:hAnsi="Simplified Arabic" w:cs="Simplified Arabic"/>
          <w:color w:val="000000" w:themeColor="text1"/>
          <w:kern w:val="0"/>
          <w:sz w:val="28"/>
          <w:szCs w:val="28"/>
          <w:rtl/>
          <w14:ligatures w14:val="none"/>
        </w:rPr>
        <w:t>إلى أن الولاء المستدام يتجلى في توسع نطاق العلاقة بمرور الوقت لا في مجرد ثباتها</w:t>
      </w:r>
      <w:r w:rsidRPr="00C85ABF">
        <w:rPr>
          <w:rFonts w:ascii="Simplified Arabic" w:eastAsia="Times New Roman" w:hAnsi="Simplified Arabic" w:cs="Simplified Arabic"/>
          <w:color w:val="000000" w:themeColor="text1"/>
          <w:kern w:val="0"/>
          <w:sz w:val="28"/>
          <w:szCs w:val="28"/>
          <w14:ligatures w14:val="none"/>
        </w:rPr>
        <w:t>.</w:t>
      </w:r>
    </w:p>
    <w:p w14:paraId="4CCDE714"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ومن الأبعاد المكملة البُعد العاطفي والارتباط الوجداني، الذي يتجاوز الاعتبارات العقلانية ليُشير إلى مدى شعور المستفيد بأن المنظمة “جزء منه” أو “خيار طبيعي” له. ويرى</w:t>
      </w:r>
      <w:r w:rsidRPr="00C85ABF">
        <w:rPr>
          <w:rFonts w:ascii="Simplified Arabic" w:eastAsia="Times New Roman" w:hAnsi="Simplified Arabic" w:cs="Simplified Arabic"/>
          <w:color w:val="000000" w:themeColor="text1"/>
          <w:kern w:val="0"/>
          <w:sz w:val="28"/>
          <w:szCs w:val="28"/>
          <w14:ligatures w14:val="none"/>
        </w:rPr>
        <w:t xml:space="preserve"> (Audrain-Pontevia &amp; Garnier, 2021) </w:t>
      </w:r>
      <w:r w:rsidRPr="00C85ABF">
        <w:rPr>
          <w:rFonts w:ascii="Simplified Arabic" w:eastAsia="Times New Roman" w:hAnsi="Simplified Arabic" w:cs="Simplified Arabic"/>
          <w:color w:val="000000" w:themeColor="text1"/>
          <w:kern w:val="0"/>
          <w:sz w:val="28"/>
          <w:szCs w:val="28"/>
          <w:rtl/>
          <w14:ligatures w14:val="none"/>
        </w:rPr>
        <w:t>أن هذا البُعد الوجداني يعمل بوصفه محركًا داخليًا للسلوكيات الإيجابية المتعلقة بالولاء، وأنه يتشكل بمرور الوقت نتيجة تراكم تجارب إيجابية تحمل قيمة معنوية تتجاوز قيمة المنفعة الوظيفية</w:t>
      </w:r>
      <w:r w:rsidRPr="00C85ABF">
        <w:rPr>
          <w:rFonts w:ascii="Simplified Arabic" w:eastAsia="Times New Roman" w:hAnsi="Simplified Arabic" w:cs="Simplified Arabic"/>
          <w:color w:val="000000" w:themeColor="text1"/>
          <w:kern w:val="0"/>
          <w:sz w:val="28"/>
          <w:szCs w:val="28"/>
          <w14:ligatures w14:val="none"/>
        </w:rPr>
        <w:t>.</w:t>
      </w:r>
    </w:p>
    <w:p w14:paraId="1226B5DF"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كما يمكن الإشارة إلى بُعد التسامح مع الأخطاء العابرة، إذ يُميل العميل الوفي إلى تفسير الأخطاء الظرفية للمنظمة تفسيرًا حسنًا يمنحها فرصة للتصحيح، بينما يميل العميل غير الوفي إلى النظر إلى الأخطاء بوصفها دليلًا يُبرر قراره في التخلي عن المنظمة. ويُشير (نوري وآخرون، 2026) إلى أن قابلية المسامحة تُعدّ مؤشرًا دقيقًا على متانة العلاقة، وأنها تمنح المنظمة “هامش تسامح” يُتيح لها تصحيح الإخفاقات دون أن تفقد جمهورها</w:t>
      </w:r>
      <w:r w:rsidRPr="00C85ABF">
        <w:rPr>
          <w:rFonts w:ascii="Simplified Arabic" w:eastAsia="Times New Roman" w:hAnsi="Simplified Arabic" w:cs="Simplified Arabic"/>
          <w:color w:val="000000" w:themeColor="text1"/>
          <w:kern w:val="0"/>
          <w:sz w:val="28"/>
          <w:szCs w:val="28"/>
          <w14:ligatures w14:val="none"/>
        </w:rPr>
        <w:t>.</w:t>
      </w:r>
    </w:p>
    <w:p w14:paraId="721BEA0D" w14:textId="7BFEDF6F" w:rsidR="00230F8A" w:rsidRPr="00C85ABF" w:rsidRDefault="008E6323" w:rsidP="008E632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980969"/>
      <w:r w:rsidRPr="00C85ABF">
        <w:rPr>
          <w:rFonts w:ascii="Simplified Arabic" w:eastAsia="Times New Roman" w:hAnsi="Simplified Arabic" w:cs="Simplified Arabic" w:hint="cs"/>
          <w:b/>
          <w:bCs/>
          <w:color w:val="000000" w:themeColor="text1"/>
          <w:kern w:val="0"/>
          <w:sz w:val="32"/>
          <w:szCs w:val="32"/>
          <w:rtl/>
          <w14:ligatures w14:val="none"/>
        </w:rPr>
        <w:t>6.2.2</w:t>
      </w:r>
      <w:r w:rsidR="00230F8A" w:rsidRPr="00C85ABF">
        <w:rPr>
          <w:rFonts w:ascii="Simplified Arabic" w:eastAsia="Times New Roman" w:hAnsi="Simplified Arabic" w:cs="Simplified Arabic"/>
          <w:b/>
          <w:bCs/>
          <w:color w:val="000000" w:themeColor="text1"/>
          <w:kern w:val="0"/>
          <w:sz w:val="32"/>
          <w:szCs w:val="32"/>
          <w:rtl/>
          <w14:ligatures w14:val="none"/>
        </w:rPr>
        <w:t xml:space="preserve"> استراتيجيات تعزيز ولاء المستفيدين</w:t>
      </w:r>
      <w:bookmarkEnd w:id="54"/>
    </w:p>
    <w:p w14:paraId="33EEDDD9"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تتعدد الاستراتيجيات التي يمكن اعتمادها لتعزيز ولاء المستفيدين، وتتنوع بحسب طبيعة القطاع وخصائص الجمهور المستهدف. ومن أبرز هذه الاستراتيجيات استراتيجية تعزيز جودة التجربة الشاملة، التي تقوم على أن الولاء لا يُبنى بجهود منفصلة بل بمنظومة متكاملة من التحسينات في كل نقاط تماس المستفيد مع المنظمة. ويرى</w:t>
      </w:r>
      <w:r w:rsidRPr="00C85ABF">
        <w:rPr>
          <w:rFonts w:ascii="Simplified Arabic" w:eastAsia="Times New Roman" w:hAnsi="Simplified Arabic" w:cs="Simplified Arabic"/>
          <w:color w:val="000000" w:themeColor="text1"/>
          <w:kern w:val="0"/>
          <w:sz w:val="28"/>
          <w:szCs w:val="28"/>
          <w14:ligatures w14:val="none"/>
        </w:rPr>
        <w:t xml:space="preserve"> (Walpola &amp; Gunawardana, 2025) </w:t>
      </w:r>
      <w:r w:rsidRPr="00C85ABF">
        <w:rPr>
          <w:rFonts w:ascii="Simplified Arabic" w:eastAsia="Times New Roman" w:hAnsi="Simplified Arabic" w:cs="Simplified Arabic"/>
          <w:color w:val="000000" w:themeColor="text1"/>
          <w:kern w:val="0"/>
          <w:sz w:val="28"/>
          <w:szCs w:val="28"/>
          <w:rtl/>
          <w14:ligatures w14:val="none"/>
        </w:rPr>
        <w:t xml:space="preserve">أن هذه الاستراتيجية تُشكل المدخل </w:t>
      </w:r>
      <w:r w:rsidRPr="00C85ABF">
        <w:rPr>
          <w:rFonts w:ascii="Simplified Arabic" w:eastAsia="Times New Roman" w:hAnsi="Simplified Arabic" w:cs="Simplified Arabic"/>
          <w:color w:val="000000" w:themeColor="text1"/>
          <w:kern w:val="0"/>
          <w:sz w:val="28"/>
          <w:szCs w:val="28"/>
          <w:rtl/>
          <w14:ligatures w14:val="none"/>
        </w:rPr>
        <w:lastRenderedPageBreak/>
        <w:t>الأساسي لبناء ولاء متين، لأنها تُعالج جذور تكوين الاتجاهات الإيجابية بدلًا من الاكتفاء بتحفيز السلوك من الخارج</w:t>
      </w:r>
      <w:r w:rsidRPr="00C85ABF">
        <w:rPr>
          <w:rFonts w:ascii="Simplified Arabic" w:eastAsia="Times New Roman" w:hAnsi="Simplified Arabic" w:cs="Simplified Arabic"/>
          <w:color w:val="000000" w:themeColor="text1"/>
          <w:kern w:val="0"/>
          <w:sz w:val="28"/>
          <w:szCs w:val="28"/>
          <w14:ligatures w14:val="none"/>
        </w:rPr>
        <w:t>.</w:t>
      </w:r>
    </w:p>
    <w:p w14:paraId="6DC1A1AD"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وثمة أيضًا استراتيجية تصميم برامج الولاء المُخصصة، التي تعتمد على تقديم مكافآت وامتيازات تُلائم تفضيلات المستفيدين المختلفة. ويُنبّه</w:t>
      </w:r>
      <w:r w:rsidRPr="00C85ABF">
        <w:rPr>
          <w:rFonts w:ascii="Simplified Arabic" w:eastAsia="Times New Roman" w:hAnsi="Simplified Arabic" w:cs="Simplified Arabic"/>
          <w:color w:val="000000" w:themeColor="text1"/>
          <w:kern w:val="0"/>
          <w:sz w:val="28"/>
          <w:szCs w:val="28"/>
          <w14:ligatures w14:val="none"/>
        </w:rPr>
        <w:t xml:space="preserve"> (Audrain-Pontevia &amp; Garnier, 2021) </w:t>
      </w:r>
      <w:r w:rsidRPr="00C85ABF">
        <w:rPr>
          <w:rFonts w:ascii="Simplified Arabic" w:eastAsia="Times New Roman" w:hAnsi="Simplified Arabic" w:cs="Simplified Arabic"/>
          <w:color w:val="000000" w:themeColor="text1"/>
          <w:kern w:val="0"/>
          <w:sz w:val="28"/>
          <w:szCs w:val="28"/>
          <w:rtl/>
          <w14:ligatures w14:val="none"/>
        </w:rPr>
        <w:t>إلى أن فاعلية هذه البرامج تتوقف على قدرتها على توليد مشاعر الامتنان لدى العميل لا على مجرد الحوافز المادية، وأن البرامج التي تُقدم مكافآت ذات معنى معنوي وتُشعر العميل بأنه محل تقدير خاص تُنتج آثارًا أعمق من البرامج القائمة على الحوافز المالية البحتة</w:t>
      </w:r>
      <w:r w:rsidRPr="00C85ABF">
        <w:rPr>
          <w:rFonts w:ascii="Simplified Arabic" w:eastAsia="Times New Roman" w:hAnsi="Simplified Arabic" w:cs="Simplified Arabic"/>
          <w:color w:val="000000" w:themeColor="text1"/>
          <w:kern w:val="0"/>
          <w:sz w:val="28"/>
          <w:szCs w:val="28"/>
          <w14:ligatures w14:val="none"/>
        </w:rPr>
        <w:t>.</w:t>
      </w:r>
    </w:p>
    <w:p w14:paraId="38644D81"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كما تبرز استراتيجية الاتصال التسويقي المتكامل، التي يرى (الشكري، 2023) أنها تعتمد على توظيف مختلف قنوات الاتصال بصورة متكاملة ومتسقة لبناء علاقة مستدامة مع العميل، والحفاظ على حضور المنظمة الذهني عبر رسائل تُعزز إدراك القيمة وتُذكّر بمصداقية المنظمة</w:t>
      </w:r>
      <w:r w:rsidRPr="00C85ABF">
        <w:rPr>
          <w:rFonts w:ascii="Simplified Arabic" w:eastAsia="Times New Roman" w:hAnsi="Simplified Arabic" w:cs="Simplified Arabic"/>
          <w:color w:val="000000" w:themeColor="text1"/>
          <w:kern w:val="0"/>
          <w:sz w:val="28"/>
          <w:szCs w:val="28"/>
          <w14:ligatures w14:val="none"/>
        </w:rPr>
        <w:t>.</w:t>
      </w:r>
    </w:p>
    <w:p w14:paraId="7AFE17D0"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وتُكمل هذه الاستراتيجيات استراتيجية استرداد الخدمة الفاعل، التي تركز على إدارة الشكاوى ومعالجة إخفاقات الخدمة بطريقة تُحوّل اللحظات السلبية إلى فرص لتعميق الولاء. ويرى</w:t>
      </w:r>
      <w:r w:rsidRPr="00C85ABF">
        <w:rPr>
          <w:rFonts w:ascii="Simplified Arabic" w:eastAsia="Times New Roman" w:hAnsi="Simplified Arabic" w:cs="Simplified Arabic"/>
          <w:color w:val="000000" w:themeColor="text1"/>
          <w:kern w:val="0"/>
          <w:sz w:val="28"/>
          <w:szCs w:val="28"/>
          <w14:ligatures w14:val="none"/>
        </w:rPr>
        <w:t xml:space="preserve"> (Chiguvi et al., 2025) </w:t>
      </w:r>
      <w:r w:rsidRPr="00C85ABF">
        <w:rPr>
          <w:rFonts w:ascii="Simplified Arabic" w:eastAsia="Times New Roman" w:hAnsi="Simplified Arabic" w:cs="Simplified Arabic"/>
          <w:color w:val="000000" w:themeColor="text1"/>
          <w:kern w:val="0"/>
          <w:sz w:val="28"/>
          <w:szCs w:val="28"/>
          <w:rtl/>
          <w14:ligatures w14:val="none"/>
        </w:rPr>
        <w:t>أن الأسلوب الذي تتعامل به المنظمة مع أخطائها يُمثل اختبارًا حقيقيًا لقيمها المُعلنة، وأن الاسترداد الفاعل قد يُنتج ولاءً أعمق مما لو لم يقع الخطأ أصلًا</w:t>
      </w:r>
      <w:r w:rsidRPr="00C85ABF">
        <w:rPr>
          <w:rFonts w:ascii="Simplified Arabic" w:eastAsia="Times New Roman" w:hAnsi="Simplified Arabic" w:cs="Simplified Arabic"/>
          <w:color w:val="000000" w:themeColor="text1"/>
          <w:kern w:val="0"/>
          <w:sz w:val="28"/>
          <w:szCs w:val="28"/>
          <w14:ligatures w14:val="none"/>
        </w:rPr>
        <w:t>.</w:t>
      </w:r>
    </w:p>
    <w:p w14:paraId="00E4917C"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85ABF">
        <w:rPr>
          <w:rFonts w:ascii="Simplified Arabic" w:eastAsia="Times New Roman" w:hAnsi="Simplified Arabic" w:cs="Simplified Arabic"/>
          <w:color w:val="000000" w:themeColor="text1"/>
          <w:kern w:val="0"/>
          <w:sz w:val="28"/>
          <w:szCs w:val="28"/>
          <w:rtl/>
          <w14:ligatures w14:val="none"/>
        </w:rPr>
        <w:t>ومن الاستراتيجيات المهمة استراتيجية الابتكار المستمر في تجديد العرض، إذ يُشير (زيود، 2024) إلى أن ولاء العملاء لا يُبنى بمنتج ثابت بل بقدرة المنظمة على تجديد ما تُقدمه بما يواكب توقعات العملاء المتغيرة ويُبقي العلاقة معهم في حالة تجدد دائم</w:t>
      </w:r>
      <w:r w:rsidRPr="00C85ABF">
        <w:rPr>
          <w:rFonts w:ascii="Simplified Arabic" w:eastAsia="Times New Roman" w:hAnsi="Simplified Arabic" w:cs="Simplified Arabic"/>
          <w:color w:val="000000" w:themeColor="text1"/>
          <w:kern w:val="0"/>
          <w:sz w:val="28"/>
          <w:szCs w:val="28"/>
          <w14:ligatures w14:val="none"/>
        </w:rPr>
        <w:t>.</w:t>
      </w:r>
    </w:p>
    <w:p w14:paraId="5BADEC88" w14:textId="77777777" w:rsidR="00230F8A" w:rsidRPr="00C85ABF" w:rsidRDefault="00230F8A" w:rsidP="008E632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85ABF">
        <w:rPr>
          <w:rFonts w:ascii="Simplified Arabic" w:eastAsia="Times New Roman" w:hAnsi="Simplified Arabic" w:cs="Simplified Arabic"/>
          <w:color w:val="000000" w:themeColor="text1"/>
          <w:kern w:val="0"/>
          <w:sz w:val="28"/>
          <w:szCs w:val="28"/>
          <w:rtl/>
          <w14:ligatures w14:val="none"/>
        </w:rPr>
        <w:t>وأخيرًا، تأتي استراتيجية بناء الثقة والمصداقية، التي يرى (نوري وآخرون، 2026) أنها تُشكل الركيزة الأخلاقية للولاء، إذ تعتمد على الالتزام بالوعود والشفافية في التعامل والاعتراف بالأخطاء والعمل الجاد على تصحيحها، وهي عناصر تُنتج مع الوقت رصيدًا من الثقة يُشكل حصنًا منيعًا أمام أي محاولات لاستقطاب العملاء</w:t>
      </w:r>
      <w:r w:rsidRPr="00C85ABF">
        <w:rPr>
          <w:rFonts w:ascii="Simplified Arabic" w:eastAsia="Times New Roman" w:hAnsi="Simplified Arabic" w:cs="Simplified Arabic"/>
          <w:color w:val="000000" w:themeColor="text1"/>
          <w:kern w:val="0"/>
          <w:sz w:val="28"/>
          <w:szCs w:val="28"/>
          <w14:ligatures w14:val="none"/>
        </w:rPr>
        <w:t>.</w:t>
      </w:r>
    </w:p>
    <w:p w14:paraId="29C30BCC" w14:textId="420C123A" w:rsidR="00B57182" w:rsidRPr="00C85ABF" w:rsidRDefault="008E6323" w:rsidP="00554801">
      <w:pPr>
        <w:jc w:val="center"/>
        <w:outlineLvl w:val="0"/>
        <w:rPr>
          <w:rFonts w:ascii="Simplified Arabic" w:hAnsi="Simplified Arabic" w:cs="Simplified Arabic"/>
          <w:b/>
          <w:bCs/>
          <w:color w:val="000000" w:themeColor="text1"/>
          <w:szCs w:val="28"/>
          <w:rtl/>
        </w:rPr>
        <w:sectPr w:rsidR="00B57182" w:rsidRPr="00C85ABF" w:rsidSect="00D517EF">
          <w:footerReference w:type="default" r:id="rId10"/>
          <w:pgSz w:w="11906" w:h="16838" w:code="9"/>
          <w:pgMar w:top="1134" w:right="1701" w:bottom="1134" w:left="1134" w:header="720" w:footer="720" w:gutter="0"/>
          <w:pgNumType w:start="1"/>
          <w:cols w:space="708"/>
          <w:bidi/>
          <w:rtlGutter/>
          <w:docGrid w:linePitch="360"/>
        </w:sectPr>
      </w:pPr>
      <w:r w:rsidRPr="00C85ABF">
        <w:rPr>
          <w:rFonts w:ascii="Simplified Arabic" w:eastAsia="Times New Roman" w:hAnsi="Simplified Arabic" w:cs="Simplified Arabic"/>
          <w:b/>
          <w:bCs/>
          <w:color w:val="000000" w:themeColor="text1"/>
          <w:kern w:val="0"/>
          <w:sz w:val="40"/>
          <w:szCs w:val="40"/>
          <w:rtl/>
          <w14:ligatures w14:val="none"/>
        </w:rPr>
        <w:br w:type="page"/>
      </w:r>
      <w:bookmarkStart w:id="55" w:name="_GoBack"/>
      <w:bookmarkEnd w:id="28"/>
      <w:bookmarkEnd w:id="55"/>
    </w:p>
    <w:p w14:paraId="29D4231B" w14:textId="71AF7253" w:rsidR="0081623B" w:rsidRPr="00C85ABF" w:rsidRDefault="00E27D3B" w:rsidP="008E632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C85ABF">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0463E847">
            <wp:simplePos x="0" y="0"/>
            <wp:positionH relativeFrom="column">
              <wp:posOffset>4141470</wp:posOffset>
            </wp:positionH>
            <wp:positionV relativeFrom="paragraph">
              <wp:posOffset>0</wp:posOffset>
            </wp:positionV>
            <wp:extent cx="1499235" cy="1388110"/>
            <wp:effectExtent l="0" t="0" r="5715" b="2540"/>
            <wp:wrapTight wrapText="bothSides">
              <wp:wrapPolygon edited="0">
                <wp:start x="0" y="0"/>
                <wp:lineTo x="0" y="21343"/>
                <wp:lineTo x="21408" y="21343"/>
                <wp:lineTo x="2140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9235" cy="138811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C85ABF">
        <w:rPr>
          <w:rFonts w:asciiTheme="majorBidi" w:eastAsia="Calibri" w:hAnsiTheme="majorBidi" w:cstheme="majorBidi"/>
          <w:b/>
          <w:bCs/>
          <w:color w:val="000000" w:themeColor="text1"/>
          <w:kern w:val="0"/>
          <w:sz w:val="32"/>
          <w:szCs w:val="32"/>
          <w:lang w:bidi="ar-EG"/>
          <w14:ligatures w14:val="none"/>
        </w:rPr>
        <w:t>Mid</w:t>
      </w:r>
      <w:r w:rsidR="000D353F" w:rsidRPr="00C85ABF">
        <w:rPr>
          <w:rFonts w:asciiTheme="majorBidi" w:eastAsia="Calibri" w:hAnsiTheme="majorBidi" w:cstheme="majorBidi"/>
          <w:b/>
          <w:bCs/>
          <w:color w:val="000000" w:themeColor="text1"/>
          <w:kern w:val="0"/>
          <w:sz w:val="32"/>
          <w:szCs w:val="32"/>
          <w:lang w:bidi="ar-EG"/>
          <w14:ligatures w14:val="none"/>
        </w:rPr>
        <w:t xml:space="preserve"> </w:t>
      </w:r>
      <w:r w:rsidR="0081623B" w:rsidRPr="00C85ABF">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C85ABF" w:rsidRDefault="0081623B" w:rsidP="008E632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C85ABF">
        <w:rPr>
          <w:rFonts w:asciiTheme="majorBidi" w:eastAsia="Calibri" w:hAnsiTheme="majorBidi" w:cstheme="majorBidi"/>
          <w:b/>
          <w:bCs/>
          <w:color w:val="000000" w:themeColor="text1"/>
          <w:kern w:val="0"/>
          <w:sz w:val="32"/>
          <w:szCs w:val="32"/>
          <w:lang w:bidi="ar-EG"/>
          <w14:ligatures w14:val="none"/>
        </w:rPr>
        <w:t>College of Management</w:t>
      </w:r>
    </w:p>
    <w:p w14:paraId="7DB263AA" w14:textId="77777777" w:rsidR="002C04F8" w:rsidRPr="00C85ABF" w:rsidRDefault="00857739" w:rsidP="008E632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C85ABF">
        <w:rPr>
          <w:rFonts w:asciiTheme="majorBidi" w:eastAsia="Calibri" w:hAnsiTheme="majorBidi" w:cstheme="majorBidi"/>
          <w:b/>
          <w:bCs/>
          <w:color w:val="000000" w:themeColor="text1"/>
          <w:kern w:val="0"/>
          <w:sz w:val="32"/>
          <w:szCs w:val="32"/>
          <w:lang w:bidi="ar-EG"/>
          <w14:ligatures w14:val="none"/>
        </w:rPr>
        <w:t xml:space="preserve">Department of </w:t>
      </w:r>
      <w:r w:rsidR="002C04F8" w:rsidRPr="00C85ABF">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C85ABF" w:rsidRDefault="00E27D3B" w:rsidP="008E632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7572532B" w14:textId="5B56876B" w:rsidR="0092004E" w:rsidRPr="00C85ABF" w:rsidRDefault="00D5353E" w:rsidP="00B57182">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C85ABF">
        <w:rPr>
          <w:rFonts w:asciiTheme="majorBidi" w:eastAsia="Calibri" w:hAnsiTheme="majorBidi" w:cstheme="majorBidi"/>
          <w:b/>
          <w:bCs/>
          <w:color w:val="000000" w:themeColor="text1"/>
          <w:kern w:val="0"/>
          <w:sz w:val="40"/>
          <w:szCs w:val="40"/>
          <w:lang w:bidi="ar-EG"/>
          <w14:ligatures w14:val="none"/>
        </w:rPr>
        <w:t>The impact of customer experience management on enhancing the loyalty of beneficiaries in the Saudi housing sector: a field study on the National Housing Company (NHC).</w:t>
      </w:r>
    </w:p>
    <w:p w14:paraId="0330A8D9" w14:textId="77777777" w:rsidR="00B57182" w:rsidRPr="00C85ABF" w:rsidRDefault="00B57182" w:rsidP="00B5718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322FF90E" w:rsidR="000D353F" w:rsidRPr="00C85ABF" w:rsidRDefault="000D353F" w:rsidP="00B5718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85ABF">
        <w:rPr>
          <w:rFonts w:asciiTheme="majorBidi" w:eastAsia="Calibri" w:hAnsiTheme="majorBidi" w:cstheme="majorBidi"/>
          <w:b/>
          <w:bCs/>
          <w:color w:val="000000" w:themeColor="text1"/>
          <w:kern w:val="0"/>
          <w:sz w:val="36"/>
          <w:szCs w:val="36"/>
          <w:lang w:bidi="ar-EG"/>
          <w14:ligatures w14:val="none"/>
        </w:rPr>
        <w:t>Prepared by:</w:t>
      </w:r>
    </w:p>
    <w:p w14:paraId="5F45A181" w14:textId="02B35450" w:rsidR="00D5353E" w:rsidRPr="00C85ABF" w:rsidRDefault="00D5353E" w:rsidP="00B5718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C85ABF">
        <w:rPr>
          <w:rFonts w:asciiTheme="majorBidi" w:eastAsia="Calibri" w:hAnsiTheme="majorBidi" w:cstheme="majorBidi"/>
          <w:color w:val="000000" w:themeColor="text1"/>
          <w:kern w:val="0"/>
          <w:sz w:val="36"/>
          <w:szCs w:val="36"/>
          <w:lang w:bidi="ar-EG"/>
          <w14:ligatures w14:val="none"/>
        </w:rPr>
        <w:t>RAZAN MOHAMMED ALSANHANI</w:t>
      </w:r>
    </w:p>
    <w:p w14:paraId="5596E526" w14:textId="23ED53C6" w:rsidR="00646233" w:rsidRPr="00C85ABF" w:rsidRDefault="00D5353E" w:rsidP="00B5718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C85ABF">
        <w:rPr>
          <w:rFonts w:asciiTheme="majorBidi" w:eastAsia="Calibri" w:hAnsiTheme="majorBidi" w:cstheme="majorBidi"/>
          <w:color w:val="000000" w:themeColor="text1"/>
          <w:kern w:val="0"/>
          <w:sz w:val="36"/>
          <w:szCs w:val="36"/>
          <w:lang w:bidi="ar-EG"/>
          <w14:ligatures w14:val="none"/>
        </w:rPr>
        <w:t>253000760</w:t>
      </w:r>
    </w:p>
    <w:p w14:paraId="0DF977ED" w14:textId="77777777" w:rsidR="00B57182" w:rsidRPr="00C85ABF" w:rsidRDefault="00B57182" w:rsidP="00B5718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57182" w:rsidRPr="00C85ABF" w14:paraId="6689A0AC" w14:textId="77777777" w:rsidTr="00B57182">
        <w:tc>
          <w:tcPr>
            <w:tcW w:w="4530" w:type="dxa"/>
          </w:tcPr>
          <w:p w14:paraId="128D22F3" w14:textId="77777777" w:rsidR="00B57182" w:rsidRPr="00C85ABF" w:rsidRDefault="00B57182" w:rsidP="00B5718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85ABF">
              <w:rPr>
                <w:rFonts w:asciiTheme="majorBidi" w:eastAsia="Calibri" w:hAnsiTheme="majorBidi" w:cstheme="majorBidi"/>
                <w:b/>
                <w:bCs/>
                <w:color w:val="000000" w:themeColor="text1"/>
                <w:kern w:val="0"/>
                <w:sz w:val="36"/>
                <w:szCs w:val="36"/>
                <w:lang w:bidi="ar-EG"/>
                <w14:ligatures w14:val="none"/>
              </w:rPr>
              <w:t>Main supervisor</w:t>
            </w:r>
            <w:r w:rsidRPr="00C85ABF">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B82732F" w14:textId="77777777" w:rsidR="00B57182" w:rsidRPr="00C85ABF" w:rsidRDefault="00B57182" w:rsidP="00B5718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85ABF">
              <w:rPr>
                <w:rFonts w:asciiTheme="majorBidi" w:eastAsia="Calibri" w:hAnsiTheme="majorBidi" w:cstheme="majorBidi"/>
                <w:b/>
                <w:bCs/>
                <w:color w:val="000000" w:themeColor="text1"/>
                <w:kern w:val="0"/>
                <w:sz w:val="36"/>
                <w:szCs w:val="36"/>
                <w:lang w:bidi="ar-EG"/>
                <w14:ligatures w14:val="none"/>
              </w:rPr>
              <w:t>Second supervisor</w:t>
            </w:r>
            <w:r w:rsidRPr="00C85ABF">
              <w:rPr>
                <w:rFonts w:asciiTheme="majorBidi" w:eastAsia="Calibri" w:hAnsiTheme="majorBidi" w:cstheme="majorBidi"/>
                <w:b/>
                <w:bCs/>
                <w:color w:val="000000" w:themeColor="text1"/>
                <w:kern w:val="0"/>
                <w:sz w:val="36"/>
                <w:szCs w:val="36"/>
                <w:rtl/>
                <w:lang w:bidi="ar-EG"/>
                <w14:ligatures w14:val="none"/>
              </w:rPr>
              <w:t>/</w:t>
            </w:r>
          </w:p>
        </w:tc>
      </w:tr>
      <w:tr w:rsidR="00B57182" w:rsidRPr="00C85ABF" w14:paraId="205368C2" w14:textId="77777777" w:rsidTr="00B57182">
        <w:tc>
          <w:tcPr>
            <w:tcW w:w="4530" w:type="dxa"/>
          </w:tcPr>
          <w:p w14:paraId="48E5D514" w14:textId="77777777" w:rsidR="00B57182" w:rsidRPr="00C85ABF" w:rsidRDefault="00B57182" w:rsidP="00B5718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85ABF">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342C3E01" w14:textId="77777777" w:rsidR="00B57182" w:rsidRPr="00C85ABF" w:rsidRDefault="00B57182" w:rsidP="00B5718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85ABF">
              <w:rPr>
                <w:rFonts w:asciiTheme="majorBidi" w:eastAsia="Calibri" w:hAnsiTheme="majorBidi" w:cstheme="majorBidi"/>
                <w:color w:val="000000" w:themeColor="text1"/>
                <w:kern w:val="0"/>
                <w:sz w:val="36"/>
                <w:szCs w:val="36"/>
                <w:lang w:bidi="ar-EG"/>
                <w14:ligatures w14:val="none"/>
              </w:rPr>
              <w:t>Dr. Fayez Jarad</w:t>
            </w:r>
          </w:p>
        </w:tc>
      </w:tr>
    </w:tbl>
    <w:p w14:paraId="3AE69D63" w14:textId="77777777" w:rsidR="00B57182" w:rsidRPr="00C85ABF" w:rsidRDefault="00B57182" w:rsidP="00B57182">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C85ABF">
        <w:rPr>
          <w:rFonts w:asciiTheme="majorBidi" w:eastAsia="Calibri" w:hAnsiTheme="majorBidi" w:cstheme="majorBidi"/>
          <w:color w:val="000000" w:themeColor="text1"/>
          <w:kern w:val="0"/>
          <w:sz w:val="36"/>
          <w:szCs w:val="36"/>
          <w:rtl/>
          <w:lang w:bidi="ar-EG"/>
          <w14:ligatures w14:val="none"/>
        </w:rPr>
        <w:t>1448 – 2026</w:t>
      </w:r>
    </w:p>
    <w:p w14:paraId="367A72A6" w14:textId="77777777" w:rsidR="00B57182" w:rsidRPr="00C85ABF" w:rsidRDefault="00B57182" w:rsidP="00B5718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68287F43" w14:textId="77777777" w:rsidR="00E27D3B" w:rsidRPr="00C85ABF" w:rsidRDefault="00E27D3B" w:rsidP="008E632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DB27ED0" w:rsidR="009125CE" w:rsidRPr="00C85ABF" w:rsidRDefault="009125CE" w:rsidP="008E6323">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C85ABF" w:rsidSect="00D517EF">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F07416" w14:textId="77777777" w:rsidR="00354D88" w:rsidRDefault="00354D88" w:rsidP="009125CE">
      <w:pPr>
        <w:spacing w:after="0" w:line="240" w:lineRule="auto"/>
      </w:pPr>
      <w:r>
        <w:separator/>
      </w:r>
    </w:p>
  </w:endnote>
  <w:endnote w:type="continuationSeparator" w:id="0">
    <w:p w14:paraId="4EF4622E" w14:textId="77777777" w:rsidR="00354D88" w:rsidRDefault="00354D8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473742553"/>
      <w:docPartObj>
        <w:docPartGallery w:val="Page Numbers (Bottom of Page)"/>
        <w:docPartUnique/>
      </w:docPartObj>
    </w:sdtPr>
    <w:sdtEndPr>
      <w:rPr>
        <w:noProof/>
      </w:rPr>
    </w:sdtEndPr>
    <w:sdtContent>
      <w:p w14:paraId="13047AE1" w14:textId="14B5624A" w:rsidR="00B57182" w:rsidRPr="008E6323" w:rsidRDefault="00B57182" w:rsidP="008E6323">
        <w:pPr>
          <w:pStyle w:val="Footer"/>
          <w:tabs>
            <w:tab w:val="left" w:pos="4295"/>
            <w:tab w:val="center" w:pos="4535"/>
          </w:tabs>
          <w:rPr>
            <w:rFonts w:ascii="Simplified Arabic" w:hAnsi="Simplified Arabic" w:cs="Simplified Arabic"/>
            <w:b/>
            <w:bCs/>
            <w:sz w:val="24"/>
            <w:szCs w:val="24"/>
          </w:rPr>
        </w:pPr>
        <w:r w:rsidRPr="008E6323">
          <w:rPr>
            <w:rFonts w:ascii="Simplified Arabic" w:hAnsi="Simplified Arabic" w:cs="Simplified Arabic"/>
            <w:b/>
            <w:bCs/>
            <w:sz w:val="24"/>
            <w:szCs w:val="24"/>
            <w:rtl/>
          </w:rPr>
          <w:tab/>
        </w:r>
        <w:r w:rsidRPr="008E6323">
          <w:rPr>
            <w:rFonts w:ascii="Simplified Arabic" w:hAnsi="Simplified Arabic" w:cs="Simplified Arabic"/>
            <w:b/>
            <w:bCs/>
            <w:sz w:val="24"/>
            <w:szCs w:val="24"/>
            <w:rtl/>
          </w:rPr>
          <w:tab/>
        </w:r>
        <w:r w:rsidRPr="008E6323">
          <w:rPr>
            <w:rFonts w:ascii="Simplified Arabic" w:hAnsi="Simplified Arabic" w:cs="Simplified Arabic"/>
            <w:b/>
            <w:bCs/>
            <w:sz w:val="24"/>
            <w:szCs w:val="24"/>
            <w:rtl/>
          </w:rPr>
          <w:tab/>
        </w:r>
        <w:r w:rsidRPr="008E6323">
          <w:rPr>
            <w:rFonts w:ascii="Simplified Arabic" w:hAnsi="Simplified Arabic" w:cs="Simplified Arabic"/>
            <w:b/>
            <w:bCs/>
            <w:sz w:val="24"/>
            <w:szCs w:val="24"/>
          </w:rPr>
          <w:fldChar w:fldCharType="begin"/>
        </w:r>
        <w:r w:rsidRPr="008E6323">
          <w:rPr>
            <w:rFonts w:ascii="Simplified Arabic" w:hAnsi="Simplified Arabic" w:cs="Simplified Arabic"/>
            <w:b/>
            <w:bCs/>
            <w:sz w:val="24"/>
            <w:szCs w:val="24"/>
          </w:rPr>
          <w:instrText xml:space="preserve"> PAGE   \* MERGEFORMAT </w:instrText>
        </w:r>
        <w:r w:rsidRPr="008E6323">
          <w:rPr>
            <w:rFonts w:ascii="Simplified Arabic" w:hAnsi="Simplified Arabic" w:cs="Simplified Arabic"/>
            <w:b/>
            <w:bCs/>
            <w:sz w:val="24"/>
            <w:szCs w:val="24"/>
          </w:rPr>
          <w:fldChar w:fldCharType="separate"/>
        </w:r>
        <w:r>
          <w:rPr>
            <w:rFonts w:ascii="Simplified Arabic" w:hAnsi="Simplified Arabic" w:cs="Simplified Arabic" w:hint="eastAsia"/>
            <w:b/>
            <w:bCs/>
            <w:noProof/>
            <w:sz w:val="24"/>
            <w:szCs w:val="24"/>
            <w:rtl/>
          </w:rPr>
          <w:t>‌أ</w:t>
        </w:r>
        <w:r w:rsidRPr="008E6323">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47670812"/>
      <w:docPartObj>
        <w:docPartGallery w:val="Page Numbers (Bottom of Page)"/>
        <w:docPartUnique/>
      </w:docPartObj>
    </w:sdtPr>
    <w:sdtEndPr>
      <w:rPr>
        <w:noProof/>
      </w:rPr>
    </w:sdtEndPr>
    <w:sdtContent>
      <w:p w14:paraId="346D2148" w14:textId="77777777" w:rsidR="00B57182" w:rsidRPr="008E6323" w:rsidRDefault="00B57182" w:rsidP="008E6323">
        <w:pPr>
          <w:pStyle w:val="Footer"/>
          <w:tabs>
            <w:tab w:val="left" w:pos="4295"/>
            <w:tab w:val="center" w:pos="4535"/>
          </w:tabs>
          <w:rPr>
            <w:rFonts w:ascii="Simplified Arabic" w:hAnsi="Simplified Arabic" w:cs="Simplified Arabic"/>
            <w:b/>
            <w:bCs/>
            <w:sz w:val="24"/>
            <w:szCs w:val="24"/>
          </w:rPr>
        </w:pPr>
        <w:r w:rsidRPr="008E6323">
          <w:rPr>
            <w:rFonts w:ascii="Simplified Arabic" w:hAnsi="Simplified Arabic" w:cs="Simplified Arabic"/>
            <w:b/>
            <w:bCs/>
            <w:sz w:val="24"/>
            <w:szCs w:val="24"/>
            <w:rtl/>
          </w:rPr>
          <w:tab/>
        </w:r>
        <w:r w:rsidRPr="008E6323">
          <w:rPr>
            <w:rFonts w:ascii="Simplified Arabic" w:hAnsi="Simplified Arabic" w:cs="Simplified Arabic"/>
            <w:b/>
            <w:bCs/>
            <w:sz w:val="24"/>
            <w:szCs w:val="24"/>
            <w:rtl/>
          </w:rPr>
          <w:tab/>
        </w:r>
        <w:r w:rsidRPr="008E6323">
          <w:rPr>
            <w:rFonts w:ascii="Simplified Arabic" w:hAnsi="Simplified Arabic" w:cs="Simplified Arabic"/>
            <w:b/>
            <w:bCs/>
            <w:sz w:val="24"/>
            <w:szCs w:val="24"/>
            <w:rtl/>
          </w:rPr>
          <w:tab/>
        </w:r>
        <w:r w:rsidRPr="008E6323">
          <w:rPr>
            <w:rFonts w:ascii="Simplified Arabic" w:hAnsi="Simplified Arabic" w:cs="Simplified Arabic"/>
            <w:b/>
            <w:bCs/>
            <w:sz w:val="24"/>
            <w:szCs w:val="24"/>
          </w:rPr>
          <w:fldChar w:fldCharType="begin"/>
        </w:r>
        <w:r w:rsidRPr="008E6323">
          <w:rPr>
            <w:rFonts w:ascii="Simplified Arabic" w:hAnsi="Simplified Arabic" w:cs="Simplified Arabic"/>
            <w:b/>
            <w:bCs/>
            <w:sz w:val="24"/>
            <w:szCs w:val="24"/>
          </w:rPr>
          <w:instrText xml:space="preserve"> PAGE   \* MERGEFORMAT </w:instrText>
        </w:r>
        <w:r w:rsidRPr="008E6323">
          <w:rPr>
            <w:rFonts w:ascii="Simplified Arabic" w:hAnsi="Simplified Arabic" w:cs="Simplified Arabic"/>
            <w:b/>
            <w:bCs/>
            <w:sz w:val="24"/>
            <w:szCs w:val="24"/>
          </w:rPr>
          <w:fldChar w:fldCharType="separate"/>
        </w:r>
        <w:r w:rsidR="00554801">
          <w:rPr>
            <w:rFonts w:ascii="Simplified Arabic" w:hAnsi="Simplified Arabic" w:cs="Simplified Arabic"/>
            <w:b/>
            <w:bCs/>
            <w:noProof/>
            <w:sz w:val="24"/>
            <w:szCs w:val="24"/>
            <w:rtl/>
          </w:rPr>
          <w:t>39</w:t>
        </w:r>
        <w:r w:rsidRPr="008E6323">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2F85FC" w14:textId="3FD34D35" w:rsidR="00B57182" w:rsidRPr="008E6323" w:rsidRDefault="00B57182" w:rsidP="00B57182">
    <w:pPr>
      <w:pStyle w:val="Footer"/>
      <w:tabs>
        <w:tab w:val="left" w:pos="4295"/>
        <w:tab w:val="center" w:pos="4535"/>
      </w:tabs>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3DAC21" w14:textId="77777777" w:rsidR="00354D88" w:rsidRDefault="00354D88" w:rsidP="009125CE">
      <w:pPr>
        <w:spacing w:after="0" w:line="240" w:lineRule="auto"/>
      </w:pPr>
      <w:r>
        <w:separator/>
      </w:r>
    </w:p>
  </w:footnote>
  <w:footnote w:type="continuationSeparator" w:id="0">
    <w:p w14:paraId="75B529A5" w14:textId="77777777" w:rsidR="00354D88" w:rsidRDefault="00354D8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E3C2A"/>
    <w:multiLevelType w:val="multilevel"/>
    <w:tmpl w:val="898C2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9A7A07"/>
    <w:multiLevelType w:val="hybridMultilevel"/>
    <w:tmpl w:val="7774FDA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78B5D90"/>
    <w:multiLevelType w:val="hybridMultilevel"/>
    <w:tmpl w:val="080C02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CE0DBF"/>
    <w:multiLevelType w:val="multilevel"/>
    <w:tmpl w:val="1AEC1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D63EFA"/>
    <w:multiLevelType w:val="hybridMultilevel"/>
    <w:tmpl w:val="975C07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D05BA5"/>
    <w:multiLevelType w:val="hybridMultilevel"/>
    <w:tmpl w:val="4092B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2F35C6"/>
    <w:multiLevelType w:val="multilevel"/>
    <w:tmpl w:val="75F47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F80FA8"/>
    <w:multiLevelType w:val="hybridMultilevel"/>
    <w:tmpl w:val="834ED4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E33000"/>
    <w:multiLevelType w:val="hybridMultilevel"/>
    <w:tmpl w:val="36C6CD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C940C3B"/>
    <w:multiLevelType w:val="multilevel"/>
    <w:tmpl w:val="EED2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29143D1"/>
    <w:multiLevelType w:val="hybridMultilevel"/>
    <w:tmpl w:val="E084B64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3466191"/>
    <w:multiLevelType w:val="hybridMultilevel"/>
    <w:tmpl w:val="A37AEE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8F4EF5"/>
    <w:multiLevelType w:val="hybridMultilevel"/>
    <w:tmpl w:val="9F725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D06F74"/>
    <w:multiLevelType w:val="hybridMultilevel"/>
    <w:tmpl w:val="1788262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6">
    <w:nsid w:val="6DC27847"/>
    <w:multiLevelType w:val="multilevel"/>
    <w:tmpl w:val="28665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F2D5232"/>
    <w:multiLevelType w:val="multilevel"/>
    <w:tmpl w:val="213C5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31B3437"/>
    <w:multiLevelType w:val="hybridMultilevel"/>
    <w:tmpl w:val="CEFA0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4E0B95"/>
    <w:multiLevelType w:val="hybridMultilevel"/>
    <w:tmpl w:val="0B4CB7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94E05E4"/>
    <w:multiLevelType w:val="hybridMultilevel"/>
    <w:tmpl w:val="5516C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B331842"/>
    <w:multiLevelType w:val="hybridMultilevel"/>
    <w:tmpl w:val="99E2EC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6"/>
  </w:num>
  <w:num w:numId="4">
    <w:abstractNumId w:val="3"/>
  </w:num>
  <w:num w:numId="5">
    <w:abstractNumId w:val="18"/>
  </w:num>
  <w:num w:numId="6">
    <w:abstractNumId w:val="5"/>
  </w:num>
  <w:num w:numId="7">
    <w:abstractNumId w:val="20"/>
  </w:num>
  <w:num w:numId="8">
    <w:abstractNumId w:val="0"/>
  </w:num>
  <w:num w:numId="9">
    <w:abstractNumId w:val="17"/>
  </w:num>
  <w:num w:numId="10">
    <w:abstractNumId w:val="19"/>
  </w:num>
  <w:num w:numId="11">
    <w:abstractNumId w:val="21"/>
  </w:num>
  <w:num w:numId="12">
    <w:abstractNumId w:val="9"/>
  </w:num>
  <w:num w:numId="13">
    <w:abstractNumId w:val="11"/>
  </w:num>
  <w:num w:numId="14">
    <w:abstractNumId w:val="13"/>
  </w:num>
  <w:num w:numId="15">
    <w:abstractNumId w:val="4"/>
  </w:num>
  <w:num w:numId="16">
    <w:abstractNumId w:val="8"/>
  </w:num>
  <w:num w:numId="17">
    <w:abstractNumId w:val="14"/>
  </w:num>
  <w:num w:numId="18">
    <w:abstractNumId w:val="1"/>
  </w:num>
  <w:num w:numId="19">
    <w:abstractNumId w:val="2"/>
  </w:num>
  <w:num w:numId="20">
    <w:abstractNumId w:val="12"/>
  </w:num>
  <w:num w:numId="21">
    <w:abstractNumId w:val="6"/>
  </w:num>
  <w:num w:numId="22">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57072"/>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FD3"/>
    <w:rsid w:val="00150B32"/>
    <w:rsid w:val="001510C1"/>
    <w:rsid w:val="00152611"/>
    <w:rsid w:val="00153B41"/>
    <w:rsid w:val="00170871"/>
    <w:rsid w:val="00174E80"/>
    <w:rsid w:val="00175050"/>
    <w:rsid w:val="00180436"/>
    <w:rsid w:val="0018142E"/>
    <w:rsid w:val="001840E8"/>
    <w:rsid w:val="001856D4"/>
    <w:rsid w:val="00185851"/>
    <w:rsid w:val="001867D0"/>
    <w:rsid w:val="00186C33"/>
    <w:rsid w:val="001902DB"/>
    <w:rsid w:val="0019163E"/>
    <w:rsid w:val="00194472"/>
    <w:rsid w:val="00195B18"/>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0F8A"/>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5D0C"/>
    <w:rsid w:val="00323FD3"/>
    <w:rsid w:val="00333A26"/>
    <w:rsid w:val="0033775D"/>
    <w:rsid w:val="00341565"/>
    <w:rsid w:val="0034173E"/>
    <w:rsid w:val="00341900"/>
    <w:rsid w:val="00343EE8"/>
    <w:rsid w:val="00354D8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5312"/>
    <w:rsid w:val="003A757C"/>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1DC4"/>
    <w:rsid w:val="004D23E7"/>
    <w:rsid w:val="004D6581"/>
    <w:rsid w:val="004D6B08"/>
    <w:rsid w:val="004E439C"/>
    <w:rsid w:val="004F1444"/>
    <w:rsid w:val="004F2475"/>
    <w:rsid w:val="004F3AF6"/>
    <w:rsid w:val="00513B3A"/>
    <w:rsid w:val="005146DA"/>
    <w:rsid w:val="0051585E"/>
    <w:rsid w:val="00522010"/>
    <w:rsid w:val="0052581D"/>
    <w:rsid w:val="005260C9"/>
    <w:rsid w:val="005423FA"/>
    <w:rsid w:val="00544E3F"/>
    <w:rsid w:val="00545455"/>
    <w:rsid w:val="005459E0"/>
    <w:rsid w:val="00545E45"/>
    <w:rsid w:val="00550EC8"/>
    <w:rsid w:val="005527F0"/>
    <w:rsid w:val="00554801"/>
    <w:rsid w:val="00557A05"/>
    <w:rsid w:val="00557B85"/>
    <w:rsid w:val="0058285E"/>
    <w:rsid w:val="0058591B"/>
    <w:rsid w:val="00586EC7"/>
    <w:rsid w:val="00586F13"/>
    <w:rsid w:val="00590B27"/>
    <w:rsid w:val="00597F74"/>
    <w:rsid w:val="005A243A"/>
    <w:rsid w:val="005A4FB6"/>
    <w:rsid w:val="005A755A"/>
    <w:rsid w:val="005B112C"/>
    <w:rsid w:val="005B2F92"/>
    <w:rsid w:val="005B5824"/>
    <w:rsid w:val="005B7D85"/>
    <w:rsid w:val="005D0451"/>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0EDD"/>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62E8B"/>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6323"/>
    <w:rsid w:val="008E7314"/>
    <w:rsid w:val="008F0712"/>
    <w:rsid w:val="008F1EAE"/>
    <w:rsid w:val="008F4209"/>
    <w:rsid w:val="008F4A13"/>
    <w:rsid w:val="008F6829"/>
    <w:rsid w:val="008F6B36"/>
    <w:rsid w:val="008F750F"/>
    <w:rsid w:val="0090105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182"/>
    <w:rsid w:val="00B57582"/>
    <w:rsid w:val="00B63B0F"/>
    <w:rsid w:val="00B653F7"/>
    <w:rsid w:val="00B67F94"/>
    <w:rsid w:val="00B7180A"/>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B4C84"/>
    <w:rsid w:val="00BC24EE"/>
    <w:rsid w:val="00BC454D"/>
    <w:rsid w:val="00BC61BD"/>
    <w:rsid w:val="00BD03D1"/>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5ABF"/>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A37"/>
    <w:rsid w:val="00D10F38"/>
    <w:rsid w:val="00D1454F"/>
    <w:rsid w:val="00D17749"/>
    <w:rsid w:val="00D216C5"/>
    <w:rsid w:val="00D22171"/>
    <w:rsid w:val="00D274B5"/>
    <w:rsid w:val="00D27AED"/>
    <w:rsid w:val="00D30845"/>
    <w:rsid w:val="00D3210F"/>
    <w:rsid w:val="00D32470"/>
    <w:rsid w:val="00D417B5"/>
    <w:rsid w:val="00D4565B"/>
    <w:rsid w:val="00D50802"/>
    <w:rsid w:val="00D517EF"/>
    <w:rsid w:val="00D5353E"/>
    <w:rsid w:val="00D5653F"/>
    <w:rsid w:val="00D57D04"/>
    <w:rsid w:val="00D60743"/>
    <w:rsid w:val="00D86584"/>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3A5D"/>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6Colorful">
    <w:name w:val="Grid Table 6 Colorful"/>
    <w:basedOn w:val="TableNormal"/>
    <w:uiPriority w:val="51"/>
    <w:rsid w:val="008E6323"/>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B57182"/>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C2CA0B-82D3-4B14-8AF6-94778319E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11182</Words>
  <Characters>63740</Characters>
  <Application>Microsoft Office Word</Application>
  <DocSecurity>0</DocSecurity>
  <Lines>531</Lines>
  <Paragraphs>149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2026-07-03T11:28:00Z</cp:lastPrinted>
  <dcterms:created xsi:type="dcterms:W3CDTF">2026-07-03T11:27:00Z</dcterms:created>
  <dcterms:modified xsi:type="dcterms:W3CDTF">2026-07-03T11:28:00Z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