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C1FE34" w14:textId="4F4A4C0D" w:rsidR="0028680C" w:rsidRDefault="0028680C" w:rsidP="0028680C">
      <w:pPr>
        <w:bidi/>
        <w:spacing w:after="200" w:line="360" w:lineRule="auto"/>
        <w:rPr>
          <w:rFonts w:ascii="Traditional Arabic" w:eastAsia="Times New Roman" w:hAnsi="Traditional Arabic" w:cs="Traditional Arabic" w:hint="cs"/>
          <w:b/>
          <w:bCs/>
          <w:sz w:val="32"/>
          <w:szCs w:val="32"/>
          <w:rtl/>
        </w:rPr>
      </w:pPr>
    </w:p>
    <w:p w14:paraId="0CE5C18E" w14:textId="77777777" w:rsidR="0025309F" w:rsidRDefault="0025309F" w:rsidP="0025309F">
      <w:pPr>
        <w:bidi/>
        <w:spacing w:after="200" w:line="360" w:lineRule="auto"/>
        <w:rPr>
          <w:rFonts w:ascii="Traditional Arabic" w:eastAsia="Times New Roman" w:hAnsi="Traditional Arabic" w:cs="Traditional Arabic"/>
          <w:b/>
          <w:bCs/>
          <w:sz w:val="32"/>
          <w:szCs w:val="32"/>
          <w:rtl/>
        </w:rPr>
      </w:pPr>
    </w:p>
    <w:p w14:paraId="653F27DF" w14:textId="77777777" w:rsidR="0025309F" w:rsidRDefault="0025309F" w:rsidP="0025309F">
      <w:pPr>
        <w:bidi/>
        <w:spacing w:after="200" w:line="360" w:lineRule="auto"/>
        <w:rPr>
          <w:rFonts w:ascii="Traditional Arabic" w:eastAsia="Times New Roman" w:hAnsi="Traditional Arabic" w:cs="Traditional Arabic"/>
          <w:b/>
          <w:bCs/>
          <w:sz w:val="32"/>
          <w:szCs w:val="32"/>
          <w:rtl/>
        </w:rPr>
      </w:pPr>
    </w:p>
    <w:p w14:paraId="42E97432" w14:textId="77777777" w:rsidR="0025309F" w:rsidRDefault="0025309F" w:rsidP="0025309F">
      <w:pPr>
        <w:bidi/>
        <w:spacing w:after="200" w:line="360" w:lineRule="auto"/>
        <w:rPr>
          <w:rFonts w:ascii="Traditional Arabic" w:eastAsia="Times New Roman" w:hAnsi="Traditional Arabic" w:cs="Traditional Arabic"/>
          <w:b/>
          <w:bCs/>
          <w:sz w:val="32"/>
          <w:szCs w:val="32"/>
          <w:rtl/>
        </w:rPr>
      </w:pPr>
    </w:p>
    <w:p w14:paraId="111B885F" w14:textId="77777777" w:rsidR="0025309F" w:rsidRDefault="0025309F" w:rsidP="0025309F">
      <w:pPr>
        <w:bidi/>
        <w:spacing w:after="200" w:line="360" w:lineRule="auto"/>
        <w:rPr>
          <w:rFonts w:ascii="Traditional Arabic" w:eastAsia="Times New Roman" w:hAnsi="Traditional Arabic" w:cs="Traditional Arabic"/>
          <w:b/>
          <w:bCs/>
          <w:sz w:val="32"/>
          <w:szCs w:val="32"/>
          <w:rtl/>
        </w:rPr>
      </w:pPr>
    </w:p>
    <w:p w14:paraId="684B4EB2" w14:textId="77777777" w:rsidR="0025309F" w:rsidRDefault="0025309F" w:rsidP="0025309F">
      <w:pPr>
        <w:bidi/>
        <w:spacing w:after="200" w:line="360" w:lineRule="auto"/>
        <w:rPr>
          <w:rFonts w:ascii="Traditional Arabic" w:eastAsia="Times New Roman" w:hAnsi="Traditional Arabic" w:cs="Traditional Arabic"/>
          <w:b/>
          <w:bCs/>
          <w:sz w:val="32"/>
          <w:szCs w:val="32"/>
          <w:rtl/>
        </w:rPr>
      </w:pPr>
    </w:p>
    <w:p w14:paraId="2C16E69F" w14:textId="77777777" w:rsidR="0025309F" w:rsidRDefault="0025309F" w:rsidP="0025309F">
      <w:pPr>
        <w:bidi/>
        <w:spacing w:after="200" w:line="360" w:lineRule="auto"/>
        <w:rPr>
          <w:rFonts w:ascii="Traditional Arabic" w:eastAsia="Times New Roman" w:hAnsi="Traditional Arabic" w:cs="Traditional Arabic"/>
          <w:b/>
          <w:bCs/>
          <w:sz w:val="32"/>
          <w:szCs w:val="32"/>
          <w:rtl/>
        </w:rPr>
      </w:pPr>
    </w:p>
    <w:p w14:paraId="059A2114" w14:textId="77777777" w:rsidR="0025309F" w:rsidRDefault="0025309F" w:rsidP="0025309F">
      <w:pPr>
        <w:bidi/>
        <w:spacing w:after="200" w:line="360" w:lineRule="auto"/>
        <w:rPr>
          <w:rFonts w:ascii="Traditional Arabic" w:eastAsia="Times New Roman" w:hAnsi="Traditional Arabic" w:cs="Traditional Arabic"/>
          <w:b/>
          <w:bCs/>
          <w:sz w:val="32"/>
          <w:szCs w:val="32"/>
          <w:rtl/>
        </w:rPr>
      </w:pPr>
    </w:p>
    <w:p w14:paraId="04F3C267" w14:textId="77777777" w:rsidR="0025309F" w:rsidRDefault="0025309F" w:rsidP="0025309F">
      <w:pPr>
        <w:bidi/>
        <w:spacing w:after="200" w:line="360" w:lineRule="auto"/>
        <w:rPr>
          <w:rFonts w:ascii="Traditional Arabic" w:eastAsia="Times New Roman" w:hAnsi="Traditional Arabic" w:cs="Traditional Arabic"/>
          <w:b/>
          <w:bCs/>
          <w:sz w:val="32"/>
          <w:szCs w:val="32"/>
          <w:rtl/>
        </w:rPr>
      </w:pPr>
    </w:p>
    <w:p w14:paraId="502DB5B2" w14:textId="04A0439C" w:rsidR="0025309F" w:rsidRPr="0028680C" w:rsidRDefault="0025309F" w:rsidP="0025309F">
      <w:pPr>
        <w:bidi/>
        <w:spacing w:after="200" w:line="360" w:lineRule="auto"/>
        <w:rPr>
          <w:rFonts w:ascii="Traditional Arabic" w:eastAsia="Times New Roman" w:hAnsi="Traditional Arabic" w:cs="Traditional Arabic"/>
          <w:b/>
          <w:bCs/>
          <w:sz w:val="32"/>
          <w:szCs w:val="32"/>
          <w:rtl/>
        </w:rPr>
      </w:pPr>
      <w:r>
        <w:rPr>
          <w:rFonts w:ascii="Traditional Arabic" w:eastAsia="Times New Roman" w:hAnsi="Traditional Arabic" w:cs="Traditional Arabic"/>
          <w:b/>
          <w:bCs/>
          <w:sz w:val="32"/>
          <w:szCs w:val="32"/>
          <w:rtl/>
        </w:rPr>
        <w:br w:type="page"/>
      </w:r>
    </w:p>
    <w:p w14:paraId="7E0EC082" w14:textId="77777777" w:rsidR="0025309F" w:rsidRPr="0025309F" w:rsidRDefault="0025309F" w:rsidP="0025309F">
      <w:pPr>
        <w:bidi/>
        <w:spacing w:before="100" w:beforeAutospacing="1" w:after="100" w:afterAutospacing="1" w:line="360" w:lineRule="auto"/>
        <w:jc w:val="center"/>
        <w:rPr>
          <w:rFonts w:ascii="Traditional Arabic" w:eastAsia="Times New Roman" w:hAnsi="Traditional Arabic" w:cs="Traditional Arabic"/>
          <w:b/>
          <w:bCs/>
          <w:sz w:val="36"/>
          <w:szCs w:val="36"/>
          <w:rtl/>
        </w:rPr>
      </w:pPr>
      <w:r w:rsidRPr="0025309F">
        <w:rPr>
          <w:rFonts w:ascii="Traditional Arabic" w:eastAsia="Times New Roman" w:hAnsi="Traditional Arabic" w:cs="Traditional Arabic"/>
          <w:b/>
          <w:bCs/>
          <w:sz w:val="36"/>
          <w:szCs w:val="36"/>
          <w:rtl/>
        </w:rPr>
        <w:lastRenderedPageBreak/>
        <w:t>الفصل الثالث: منهجية الدراسة وإجراءاتها</w:t>
      </w:r>
    </w:p>
    <w:p w14:paraId="16FC3E81" w14:textId="77777777" w:rsidR="0025309F" w:rsidRPr="0025309F" w:rsidRDefault="0025309F" w:rsidP="0025309F">
      <w:pPr>
        <w:bidi/>
        <w:spacing w:before="100" w:beforeAutospacing="1" w:after="100" w:afterAutospacing="1" w:line="360" w:lineRule="auto"/>
        <w:jc w:val="both"/>
        <w:rPr>
          <w:rFonts w:ascii="Traditional Arabic" w:eastAsia="Times New Roman" w:hAnsi="Traditional Arabic" w:cs="Traditional Arabic"/>
          <w:b/>
          <w:bCs/>
          <w:sz w:val="32"/>
          <w:szCs w:val="32"/>
          <w:rtl/>
        </w:rPr>
      </w:pPr>
      <w:r w:rsidRPr="0025309F">
        <w:rPr>
          <w:rFonts w:ascii="Traditional Arabic" w:eastAsia="Times New Roman" w:hAnsi="Traditional Arabic" w:cs="Traditional Arabic" w:hint="cs"/>
          <w:b/>
          <w:bCs/>
          <w:sz w:val="32"/>
          <w:szCs w:val="32"/>
          <w:rtl/>
        </w:rPr>
        <w:t xml:space="preserve">3.1 </w:t>
      </w:r>
      <w:r w:rsidRPr="0025309F">
        <w:rPr>
          <w:rFonts w:ascii="Traditional Arabic" w:eastAsia="Times New Roman" w:hAnsi="Traditional Arabic" w:cs="Traditional Arabic"/>
          <w:b/>
          <w:bCs/>
          <w:sz w:val="32"/>
          <w:szCs w:val="32"/>
          <w:rtl/>
        </w:rPr>
        <w:t>مقدمة</w:t>
      </w:r>
    </w:p>
    <w:p w14:paraId="65F6A2DE" w14:textId="77777777" w:rsidR="0025309F" w:rsidRPr="0025309F" w:rsidRDefault="0025309F" w:rsidP="0025309F">
      <w:pPr>
        <w:bidi/>
        <w:spacing w:before="100" w:beforeAutospacing="1" w:after="100" w:afterAutospacing="1"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يهدف هذا الفصل إلى عرض المنهجية العلمية التي اعتمدها الباحث لتنفيذ الدراسة، والإجراءات التي اتبعها للإجابة عن أسئلتها واختبار فرضياتها، بما يضمن تحقيق أهداف الدراسة والوصول إلى نتائج تتمتع بدرجة عالية من الدقة والموضوعية. ويتناول الفصل وصفًا لمنهج الدراسة وتصميمها، ومجتمع الدراسة وعينتها، ومتغيرات الدراسة، وأداة جمع البيانات المتمثلة في الاستبانة، إضافة إلى إجراءات التحقق من صدق الأداة وثباتها، والإجراءات التي اتبعها الباحث في جمع البيانات، والأساليب الإحصائية المستخدمة في تحليلها واختبار فرضيات الدراسة</w:t>
      </w:r>
      <w:r w:rsidRPr="0025309F">
        <w:rPr>
          <w:rFonts w:ascii="Traditional Arabic" w:eastAsia="Times New Roman" w:hAnsi="Traditional Arabic" w:cs="Traditional Arabic"/>
          <w:sz w:val="32"/>
          <w:szCs w:val="32"/>
        </w:rPr>
        <w:t>.</w:t>
      </w:r>
    </w:p>
    <w:p w14:paraId="41D30DD8" w14:textId="77777777" w:rsidR="0025309F" w:rsidRPr="0025309F" w:rsidRDefault="0025309F" w:rsidP="0025309F">
      <w:pPr>
        <w:bidi/>
        <w:spacing w:before="100" w:beforeAutospacing="1" w:after="100" w:afterAutospacing="1" w:line="360" w:lineRule="auto"/>
        <w:jc w:val="both"/>
        <w:rPr>
          <w:rFonts w:ascii="Traditional Arabic" w:eastAsia="Times New Roman" w:hAnsi="Traditional Arabic" w:cs="Traditional Arabic"/>
          <w:sz w:val="32"/>
          <w:szCs w:val="32"/>
          <w:rtl/>
          <w:lang w:bidi="ar-JO"/>
        </w:rPr>
      </w:pPr>
      <w:r w:rsidRPr="0025309F">
        <w:rPr>
          <w:rFonts w:ascii="Traditional Arabic" w:eastAsia="Times New Roman" w:hAnsi="Traditional Arabic" w:cs="Traditional Arabic"/>
          <w:sz w:val="32"/>
          <w:szCs w:val="32"/>
          <w:rtl/>
        </w:rPr>
        <w:t>ويأتي تنظيم هذا الفصل بصورة متسلسلة ومنهجية بما يتوافق مع طبيعة الدراسة التي تبحث في أثر الاحتراق الوظيفي كمتغير وسيط في العلاقة بين استراتيجيات مواجهة ضغوط العمل والرضا الوظيفي لدى العاملين بمحكمة الأحوال الشخصية بجدة، وبما يسهم في توفير إطار منهجي واضح يضمن سلامة إجراءات الدراسة وإمكانية الاعتماد على نتائجها في تفسير العلاقات بين متغيراتها</w:t>
      </w:r>
      <w:r w:rsidRPr="0025309F">
        <w:rPr>
          <w:rFonts w:ascii="Traditional Arabic" w:eastAsia="Times New Roman" w:hAnsi="Traditional Arabic" w:cs="Traditional Arabic"/>
          <w:sz w:val="32"/>
          <w:szCs w:val="32"/>
        </w:rPr>
        <w:t>.</w:t>
      </w:r>
    </w:p>
    <w:p w14:paraId="58C6E039" w14:textId="77777777" w:rsidR="0025309F" w:rsidRPr="0025309F" w:rsidRDefault="0025309F" w:rsidP="0025309F">
      <w:pPr>
        <w:bidi/>
        <w:spacing w:before="100" w:beforeAutospacing="1" w:after="100" w:afterAutospacing="1" w:line="360" w:lineRule="auto"/>
        <w:jc w:val="both"/>
        <w:rPr>
          <w:rFonts w:ascii="Traditional Arabic" w:eastAsia="Times New Roman" w:hAnsi="Traditional Arabic" w:cs="Traditional Arabic"/>
          <w:sz w:val="32"/>
          <w:szCs w:val="32"/>
          <w:rtl/>
          <w:lang w:bidi="ar-JO"/>
        </w:rPr>
      </w:pPr>
    </w:p>
    <w:p w14:paraId="6094D2DB" w14:textId="77777777" w:rsidR="0025309F" w:rsidRPr="0025309F" w:rsidRDefault="0025309F" w:rsidP="0025309F">
      <w:pPr>
        <w:bidi/>
        <w:spacing w:before="100" w:beforeAutospacing="1" w:after="100" w:afterAutospacing="1" w:line="360" w:lineRule="auto"/>
        <w:rPr>
          <w:rFonts w:ascii="Traditional Arabic" w:eastAsia="Times New Roman" w:hAnsi="Traditional Arabic" w:cs="Traditional Arabic"/>
          <w:b/>
          <w:bCs/>
          <w:sz w:val="32"/>
          <w:szCs w:val="32"/>
          <w:rtl/>
        </w:rPr>
      </w:pPr>
      <w:r w:rsidRPr="0025309F">
        <w:rPr>
          <w:rFonts w:ascii="Traditional Arabic" w:eastAsia="Times New Roman" w:hAnsi="Traditional Arabic" w:cs="Traditional Arabic"/>
          <w:b/>
          <w:bCs/>
          <w:sz w:val="32"/>
          <w:szCs w:val="32"/>
          <w:rtl/>
        </w:rPr>
        <w:t>3.2 منهج الدراسة وتصميمها</w:t>
      </w:r>
    </w:p>
    <w:p w14:paraId="3BD9FD9E" w14:textId="488E9C03" w:rsidR="00F5595F" w:rsidRPr="00F5595F" w:rsidRDefault="00F5595F" w:rsidP="00F5595F">
      <w:pPr>
        <w:bidi/>
        <w:spacing w:before="100" w:beforeAutospacing="1" w:after="100" w:afterAutospacing="1" w:line="360" w:lineRule="auto"/>
        <w:jc w:val="both"/>
        <w:rPr>
          <w:rFonts w:ascii="Traditional Arabic" w:eastAsia="Times New Roman" w:hAnsi="Traditional Arabic" w:cs="Traditional Arabic"/>
          <w:sz w:val="32"/>
          <w:szCs w:val="32"/>
        </w:rPr>
      </w:pPr>
      <w:r w:rsidRPr="00F5595F">
        <w:rPr>
          <w:rFonts w:ascii="Traditional Arabic" w:eastAsia="Times New Roman" w:hAnsi="Traditional Arabic" w:cs="Traditional Arabic"/>
          <w:sz w:val="32"/>
          <w:szCs w:val="32"/>
          <w:rtl/>
        </w:rPr>
        <w:t xml:space="preserve">اعتمدت الدراسة الحالية المنهج الوصفي التحليلي ذا الطابع التفسيري، لملاءمته لطبيعة الدراسة وأهدافها، إذ يُعد من أكثر المناهج استخدامًا في الدراسات الإدارية والسلوكية التي تهدف إلى وصف </w:t>
      </w:r>
      <w:r w:rsidRPr="00F5595F">
        <w:rPr>
          <w:rFonts w:ascii="Traditional Arabic" w:eastAsia="Times New Roman" w:hAnsi="Traditional Arabic" w:cs="Traditional Arabic"/>
          <w:sz w:val="32"/>
          <w:szCs w:val="32"/>
          <w:rtl/>
        </w:rPr>
        <w:lastRenderedPageBreak/>
        <w:t>الظواهر كما هي في الواقع، وتحليل العلاقات بين متغيراتها، وتفسيرها في ضوء الأدبيات والنظريات العلمية (</w:t>
      </w:r>
      <w:r w:rsidRPr="00F5595F">
        <w:rPr>
          <w:rFonts w:ascii="Traditional Arabic" w:eastAsia="Times New Roman" w:hAnsi="Traditional Arabic" w:cs="Traditional Arabic"/>
          <w:sz w:val="32"/>
          <w:szCs w:val="32"/>
        </w:rPr>
        <w:t>Creswell &amp; Creswell, 2023</w:t>
      </w:r>
      <w:r w:rsidRPr="00F5595F">
        <w:rPr>
          <w:rFonts w:ascii="Traditional Arabic" w:eastAsia="Times New Roman" w:hAnsi="Traditional Arabic" w:cs="Traditional Arabic"/>
          <w:sz w:val="32"/>
          <w:szCs w:val="32"/>
          <w:rtl/>
        </w:rPr>
        <w:t>).</w:t>
      </w:r>
    </w:p>
    <w:p w14:paraId="34E36CCB" w14:textId="77777777" w:rsidR="00F5595F" w:rsidRPr="00F5595F" w:rsidRDefault="00F5595F" w:rsidP="00F5595F">
      <w:pPr>
        <w:bidi/>
        <w:spacing w:before="100" w:beforeAutospacing="1" w:after="100" w:afterAutospacing="1" w:line="360" w:lineRule="auto"/>
        <w:jc w:val="both"/>
        <w:rPr>
          <w:rFonts w:ascii="Traditional Arabic" w:eastAsia="Times New Roman" w:hAnsi="Traditional Arabic" w:cs="Traditional Arabic"/>
          <w:sz w:val="32"/>
          <w:szCs w:val="32"/>
        </w:rPr>
      </w:pPr>
      <w:r w:rsidRPr="00F5595F">
        <w:rPr>
          <w:rFonts w:ascii="Traditional Arabic" w:eastAsia="Times New Roman" w:hAnsi="Traditional Arabic" w:cs="Traditional Arabic"/>
          <w:sz w:val="32"/>
          <w:szCs w:val="32"/>
          <w:rtl/>
        </w:rPr>
        <w:t>ويهدف هذا المنهج إلى جمع البيانات من أفراد مجتمع الدراسة من خلال أداة علمية مناسبة، ثم تحليلها باستخدام الأساليب الإحصائية الملائمة؛ للتعرف إلى مستوى استخدام استراتيجيات مواجهة ضغوط العمل لدى العاملين بمحكمة الأحوال الشخصية بجدة، وقياس مستوى كل من الاحتراق الوظيفي والرضا الوظيفي لديهم، وتحليل العلاقة بين كل بُعد من أبعاد استراتيجيات مواجهة ضغوط العمل وكل من الاحتراق الوظيفي والرضا الوظيفي، فضلًا عن اختبار الدور الوسيط الذي يؤديه الاحتراق الوظيفي في العلاقة بين كل بُعد من أبعاد استراتيجيات مواجهة ضغوط العمل والرضا الوظيفي</w:t>
      </w:r>
      <w:r w:rsidRPr="00F5595F">
        <w:rPr>
          <w:rFonts w:ascii="Traditional Arabic" w:eastAsia="Times New Roman" w:hAnsi="Traditional Arabic" w:cs="Traditional Arabic"/>
          <w:sz w:val="32"/>
          <w:szCs w:val="32"/>
        </w:rPr>
        <w:t>.</w:t>
      </w:r>
    </w:p>
    <w:p w14:paraId="13D16BC9" w14:textId="77777777" w:rsidR="00F5595F" w:rsidRPr="00F5595F" w:rsidRDefault="00F5595F" w:rsidP="00F5595F">
      <w:pPr>
        <w:bidi/>
        <w:spacing w:before="100" w:beforeAutospacing="1" w:after="100" w:afterAutospacing="1" w:line="360" w:lineRule="auto"/>
        <w:jc w:val="both"/>
        <w:rPr>
          <w:rFonts w:ascii="Traditional Arabic" w:eastAsia="Times New Roman" w:hAnsi="Traditional Arabic" w:cs="Traditional Arabic"/>
          <w:sz w:val="32"/>
          <w:szCs w:val="32"/>
        </w:rPr>
      </w:pPr>
      <w:r w:rsidRPr="00F5595F">
        <w:rPr>
          <w:rFonts w:ascii="Traditional Arabic" w:eastAsia="Times New Roman" w:hAnsi="Traditional Arabic" w:cs="Traditional Arabic"/>
          <w:sz w:val="32"/>
          <w:szCs w:val="32"/>
          <w:rtl/>
        </w:rPr>
        <w:t>وقد استند تصميم الدراسة إلى نموذج مفاهيمي يتضمن ثلاثة متغيرات رئيسة، هي: استراتيجيات مواجهة ضغوط العمل بوصفها المتغير المستقل، والاحتراق الوظيفي بوصفه المتغير الوسيط، والرضا الوظيفي بوصفه المتغير التابع. ويتكون المتغير المستقل من أربعة أبعاد هي: استراتيجية حل المشكلات، واستراتيجية طلب الدعم الاجتماعي، واستراتيجية التجنب، واستراتيجية الانسحاب. ونظرًا إلى اختلاف الطبيعة المفاهيمية لهذه الاستراتيجيات، فقد تم التعامل مع كل بُعد منها بصورة مستقلة في التحليل الإحصائي، بحيث تعكس الدرجة المرتفعة في كل بُعد زيادة مستوى استخدام الاستراتيجية التي يمثلها ذلك البُعد، دون دمج الأبعاد الأربعة في درجة كلية واحدة</w:t>
      </w:r>
      <w:r w:rsidRPr="00F5595F">
        <w:rPr>
          <w:rFonts w:ascii="Traditional Arabic" w:eastAsia="Times New Roman" w:hAnsi="Traditional Arabic" w:cs="Traditional Arabic"/>
          <w:sz w:val="32"/>
          <w:szCs w:val="32"/>
        </w:rPr>
        <w:t>.</w:t>
      </w:r>
    </w:p>
    <w:p w14:paraId="6420AECC" w14:textId="77777777" w:rsidR="00F5595F" w:rsidRPr="00F5595F" w:rsidRDefault="00F5595F" w:rsidP="00F5595F">
      <w:pPr>
        <w:bidi/>
        <w:spacing w:before="100" w:beforeAutospacing="1" w:after="100" w:afterAutospacing="1" w:line="360" w:lineRule="auto"/>
        <w:jc w:val="both"/>
        <w:rPr>
          <w:rFonts w:ascii="Traditional Arabic" w:eastAsia="Times New Roman" w:hAnsi="Traditional Arabic" w:cs="Traditional Arabic"/>
          <w:sz w:val="32"/>
          <w:szCs w:val="32"/>
        </w:rPr>
      </w:pPr>
      <w:r w:rsidRPr="00F5595F">
        <w:rPr>
          <w:rFonts w:ascii="Traditional Arabic" w:eastAsia="Times New Roman" w:hAnsi="Traditional Arabic" w:cs="Traditional Arabic"/>
          <w:sz w:val="32"/>
          <w:szCs w:val="32"/>
          <w:rtl/>
        </w:rPr>
        <w:t xml:space="preserve">ويقوم تصميم الدراسة على اختبار العلاقة بين كل بُعد من أبعاد استراتيجيات مواجهة ضغوط العمل والرضا الوظيفي، والعلاقة بين كل بُعد منها والاحتراق الوظيفي، إلى جانب اختبار أثر الاحتراق الوظيفي في الرضا الوظيفي. كما يتضمن التصميم اختبار الأثر غير المباشر لكل بُعد من أبعاد استراتيجيات </w:t>
      </w:r>
      <w:r w:rsidRPr="00F5595F">
        <w:rPr>
          <w:rFonts w:ascii="Traditional Arabic" w:eastAsia="Times New Roman" w:hAnsi="Traditional Arabic" w:cs="Traditional Arabic"/>
          <w:sz w:val="32"/>
          <w:szCs w:val="32"/>
          <w:rtl/>
        </w:rPr>
        <w:lastRenderedPageBreak/>
        <w:t>مواجهة ضغوط العمل في الرضا الوظيفي من خلال الاحتراق الوظيفي، بما يسمح بالكشف عن اختلاف طبيعة واتجاه العلاقات المرتبطة بكل استراتيجية، ويوفر فهمًا أكثر دقة للآلية التي يمكن أن يؤدي من خلالها الاحتراق الوظيفي دورًا وسيطًا في هذه العلاقات</w:t>
      </w:r>
      <w:r w:rsidRPr="00F5595F">
        <w:rPr>
          <w:rFonts w:ascii="Traditional Arabic" w:eastAsia="Times New Roman" w:hAnsi="Traditional Arabic" w:cs="Traditional Arabic"/>
          <w:sz w:val="32"/>
          <w:szCs w:val="32"/>
        </w:rPr>
        <w:t>.</w:t>
      </w:r>
    </w:p>
    <w:p w14:paraId="54DEAB77" w14:textId="77777777" w:rsidR="00F5595F" w:rsidRPr="00F5595F" w:rsidRDefault="00F5595F" w:rsidP="00F5595F">
      <w:pPr>
        <w:bidi/>
        <w:spacing w:before="100" w:beforeAutospacing="1" w:after="100" w:afterAutospacing="1" w:line="360" w:lineRule="auto"/>
        <w:jc w:val="both"/>
        <w:rPr>
          <w:rFonts w:ascii="Traditional Arabic" w:eastAsia="Times New Roman" w:hAnsi="Traditional Arabic" w:cs="Traditional Arabic"/>
          <w:sz w:val="32"/>
          <w:szCs w:val="32"/>
        </w:rPr>
      </w:pPr>
      <w:r w:rsidRPr="00F5595F">
        <w:rPr>
          <w:rFonts w:ascii="Traditional Arabic" w:eastAsia="Times New Roman" w:hAnsi="Traditional Arabic" w:cs="Traditional Arabic"/>
          <w:sz w:val="32"/>
          <w:szCs w:val="32"/>
          <w:rtl/>
        </w:rPr>
        <w:t>واعتمد الباحث على الاستبانة بوصفها أداة رئيسة لجمع البيانات من أفراد عينة الدراسة، نظرًا لملاءمتها لطبيعة المتغيرات المدروسة، وقدرتها على جمع البيانات من عدد كبير من المبحوثين بصورة منظمة، بما يحقق أهداف الدراسة ويوفر بيانات كمية قابلة للتحليل الإحصائي</w:t>
      </w:r>
      <w:r w:rsidRPr="00F5595F">
        <w:rPr>
          <w:rFonts w:ascii="Traditional Arabic" w:eastAsia="Times New Roman" w:hAnsi="Traditional Arabic" w:cs="Traditional Arabic"/>
          <w:sz w:val="32"/>
          <w:szCs w:val="32"/>
        </w:rPr>
        <w:t>.</w:t>
      </w:r>
    </w:p>
    <w:p w14:paraId="7D64C885" w14:textId="0EE99AC5" w:rsidR="00F5595F" w:rsidRPr="00F5595F" w:rsidRDefault="00F5595F" w:rsidP="00F5595F">
      <w:pPr>
        <w:bidi/>
        <w:spacing w:before="100" w:beforeAutospacing="1" w:after="100" w:afterAutospacing="1" w:line="360" w:lineRule="auto"/>
        <w:jc w:val="both"/>
        <w:rPr>
          <w:rFonts w:ascii="Traditional Arabic" w:eastAsia="Times New Roman" w:hAnsi="Traditional Arabic" w:cs="Traditional Arabic"/>
          <w:sz w:val="32"/>
          <w:szCs w:val="32"/>
        </w:rPr>
      </w:pPr>
      <w:r w:rsidRPr="00F5595F">
        <w:rPr>
          <w:rFonts w:ascii="Traditional Arabic" w:eastAsia="Times New Roman" w:hAnsi="Traditional Arabic" w:cs="Traditional Arabic"/>
          <w:sz w:val="32"/>
          <w:szCs w:val="32"/>
          <w:rtl/>
        </w:rPr>
        <w:t>كما اعتمدت الدراسة تصميمًا مقطعيًا (</w:t>
      </w:r>
      <w:r w:rsidRPr="00F5595F">
        <w:rPr>
          <w:rFonts w:ascii="Traditional Arabic" w:eastAsia="Times New Roman" w:hAnsi="Traditional Arabic" w:cs="Traditional Arabic"/>
          <w:sz w:val="32"/>
          <w:szCs w:val="32"/>
        </w:rPr>
        <w:t>Cross-sectional Design</w:t>
      </w:r>
      <w:r w:rsidRPr="00F5595F">
        <w:rPr>
          <w:rFonts w:ascii="Traditional Arabic" w:eastAsia="Times New Roman" w:hAnsi="Traditional Arabic" w:cs="Traditional Arabic"/>
          <w:sz w:val="32"/>
          <w:szCs w:val="32"/>
          <w:rtl/>
        </w:rPr>
        <w:t>)، حيث جُمعت البيانات من أفراد العينة خلال فترة زمنية واحدة، ثم حُللت باستخدام الأساليب الإحصائية المناسبة للإجابة عن أسئلة الدراسة واختبار فرضياتها، وقياس العلاقات المباشرة وغير المباشرة بين متغيراتها، بما ينسجم مع طبيعة الدراسات الوصفية التحليلية ذات الطابع التفسيري.</w:t>
      </w:r>
    </w:p>
    <w:p w14:paraId="1E6DA3C9" w14:textId="77777777" w:rsidR="00F5595F" w:rsidRPr="00F5595F" w:rsidRDefault="00F5595F" w:rsidP="00F5595F">
      <w:pPr>
        <w:bidi/>
        <w:spacing w:before="100" w:beforeAutospacing="1" w:after="100" w:afterAutospacing="1" w:line="360" w:lineRule="auto"/>
        <w:jc w:val="both"/>
        <w:rPr>
          <w:rFonts w:ascii="Traditional Arabic" w:eastAsia="Times New Roman" w:hAnsi="Traditional Arabic" w:cs="Traditional Arabic"/>
          <w:sz w:val="32"/>
          <w:szCs w:val="32"/>
        </w:rPr>
      </w:pPr>
      <w:r w:rsidRPr="00F5595F">
        <w:rPr>
          <w:rFonts w:ascii="Traditional Arabic" w:eastAsia="Times New Roman" w:hAnsi="Traditional Arabic" w:cs="Traditional Arabic"/>
          <w:sz w:val="32"/>
          <w:szCs w:val="32"/>
          <w:rtl/>
        </w:rPr>
        <w:t>وبذلك يوفر هذا التصميم المنهجي إطارًا علميًا مناسبًا لتحقيق أهداف الدراسة واختبار فرضياتها، من خلال تحليل استراتيجيات مواجهة ضغوط العمل الأربع بصورة مستقلة، وتحديد علاقتها بكل من الاحتراق الوظيفي والرضا الوظيفي، واختبار الدور الوسيط للاحتراق الوظيفي في العلاقة بين كل استراتيجية من استراتيجيات مواجهة ضغوط العمل والرضا الوظيفي لدى العاملين بمحكمة الأحوال الشخصية بجدة</w:t>
      </w:r>
      <w:r w:rsidRPr="00F5595F">
        <w:rPr>
          <w:rFonts w:ascii="Traditional Arabic" w:eastAsia="Times New Roman" w:hAnsi="Traditional Arabic" w:cs="Traditional Arabic"/>
          <w:sz w:val="32"/>
          <w:szCs w:val="32"/>
        </w:rPr>
        <w:t>.</w:t>
      </w:r>
    </w:p>
    <w:p w14:paraId="617D8534" w14:textId="77777777" w:rsidR="0025309F" w:rsidRPr="00F5595F" w:rsidRDefault="0025309F" w:rsidP="0025309F">
      <w:pPr>
        <w:bidi/>
        <w:spacing w:before="100" w:beforeAutospacing="1" w:after="100" w:afterAutospacing="1" w:line="360" w:lineRule="auto"/>
        <w:jc w:val="both"/>
        <w:rPr>
          <w:rFonts w:ascii="Traditional Arabic" w:eastAsia="Times New Roman" w:hAnsi="Traditional Arabic" w:cs="Traditional Arabic"/>
          <w:b/>
          <w:bCs/>
          <w:sz w:val="36"/>
          <w:szCs w:val="36"/>
          <w:rtl/>
        </w:rPr>
      </w:pPr>
    </w:p>
    <w:p w14:paraId="276BF3EF" w14:textId="77777777" w:rsidR="0025309F" w:rsidRPr="0025309F" w:rsidRDefault="0025309F" w:rsidP="0025309F">
      <w:pPr>
        <w:bidi/>
        <w:spacing w:before="100" w:beforeAutospacing="1" w:after="100" w:afterAutospacing="1" w:line="360" w:lineRule="auto"/>
        <w:jc w:val="both"/>
        <w:rPr>
          <w:rFonts w:ascii="Traditional Arabic" w:eastAsia="Times New Roman" w:hAnsi="Traditional Arabic" w:cs="Traditional Arabic"/>
          <w:b/>
          <w:bCs/>
          <w:sz w:val="36"/>
          <w:szCs w:val="36"/>
          <w:rtl/>
        </w:rPr>
      </w:pPr>
      <w:r w:rsidRPr="0025309F">
        <w:rPr>
          <w:rFonts w:ascii="Traditional Arabic" w:eastAsia="Times New Roman" w:hAnsi="Traditional Arabic" w:cs="Traditional Arabic"/>
          <w:b/>
          <w:bCs/>
          <w:sz w:val="36"/>
          <w:szCs w:val="36"/>
          <w:rtl/>
        </w:rPr>
        <w:t>3.3 مجتمع الدراسة</w:t>
      </w:r>
    </w:p>
    <w:p w14:paraId="7379DBB5" w14:textId="44B2FC4B" w:rsidR="0025309F" w:rsidRPr="0025309F" w:rsidRDefault="0025309F" w:rsidP="0025309F">
      <w:pPr>
        <w:bidi/>
        <w:spacing w:before="100" w:beforeAutospacing="1" w:after="100" w:afterAutospacing="1"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lastRenderedPageBreak/>
        <w:t xml:space="preserve">تكون مجتمع الدراسة من جميع العاملين في محكمة الأحوال الشخصية بمدينة جدة في المملكة العربية السعودية، ويشمل ذلك مختلف الفئات الوظيفية العاملة في المحكمة مثل </w:t>
      </w:r>
      <w:r w:rsidR="00D73409" w:rsidRPr="00D73409">
        <w:rPr>
          <w:rFonts w:ascii="Traditional Arabic" w:eastAsia="Times New Roman" w:hAnsi="Traditional Arabic" w:cs="Traditional Arabic"/>
          <w:sz w:val="32"/>
          <w:szCs w:val="32"/>
          <w:rtl/>
        </w:rPr>
        <w:t>القضاة، الباحثون الشرعيون، كتّاب الضبط، الموظفون الإداريون، وموظفو الخدمات المساندة</w:t>
      </w:r>
      <w:r w:rsidRPr="0025309F">
        <w:rPr>
          <w:rFonts w:ascii="Traditional Arabic" w:eastAsia="Times New Roman" w:hAnsi="Traditional Arabic" w:cs="Traditional Arabic"/>
          <w:sz w:val="32"/>
          <w:szCs w:val="32"/>
          <w:rtl/>
        </w:rPr>
        <w:t>. وقد استُهدف هؤلاء العاملون باعتبارهم الفئة الأكثر ارتباطًا ببيئة العمل التنظيمية داخل المحكمة، والأكثر قدرة على تقييم استراتيجيات مواجهة ضغوط العمل التي يستخدمونها، ومستوى الاحتراق الوظيفي الذي قد يتعرضون له، ومدى انعكاس ذلك على مستوى الرضا الوظيفي</w:t>
      </w:r>
      <w:r w:rsidRPr="0025309F">
        <w:rPr>
          <w:rFonts w:ascii="Traditional Arabic" w:eastAsia="Times New Roman" w:hAnsi="Traditional Arabic" w:cs="Traditional Arabic"/>
          <w:sz w:val="32"/>
          <w:szCs w:val="32"/>
        </w:rPr>
        <w:t>.</w:t>
      </w:r>
    </w:p>
    <w:p w14:paraId="24EE9E53" w14:textId="77777777" w:rsidR="0025309F" w:rsidRPr="0025309F" w:rsidRDefault="0025309F" w:rsidP="0025309F">
      <w:pPr>
        <w:bidi/>
        <w:spacing w:before="100" w:beforeAutospacing="1" w:after="100" w:afterAutospacing="1"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واختيرت محكمة الأحوال الشخصية بمدينة جدة ميدانًا للدراسة نظرًا لما تؤديه من دور محوري في المنظومة القضائية بالمملكة العربية السعودية، وما تتميز به طبيعة العمل فيها من مسؤوليات مهنية، وتعدد في المهام، وكثافة في التعامل مع المراجعين، الأمر الذي قد يفرض على العاملين مستويات متفاوتة من ضغوط العمل، ويجعلها بيئة مناسبة لدراسة العلاقة بين استراتيجيات مواجهة ضغوط العمل، والاحتراق الوظيفي، والرضا الوظيفي</w:t>
      </w:r>
      <w:r w:rsidRPr="0025309F">
        <w:rPr>
          <w:rFonts w:ascii="Traditional Arabic" w:eastAsia="Times New Roman" w:hAnsi="Traditional Arabic" w:cs="Traditional Arabic"/>
          <w:sz w:val="32"/>
          <w:szCs w:val="32"/>
        </w:rPr>
        <w:t>.</w:t>
      </w:r>
    </w:p>
    <w:p w14:paraId="36B72EF2" w14:textId="77777777" w:rsidR="004D7B3D" w:rsidRDefault="004D7B3D" w:rsidP="004D7B3D">
      <w:pPr>
        <w:bidi/>
        <w:spacing w:before="100" w:beforeAutospacing="1" w:after="100" w:afterAutospacing="1" w:line="360" w:lineRule="auto"/>
        <w:jc w:val="both"/>
        <w:rPr>
          <w:rFonts w:ascii="Traditional Arabic" w:eastAsia="Times New Roman" w:hAnsi="Traditional Arabic" w:cs="Traditional Arabic"/>
          <w:sz w:val="32"/>
          <w:szCs w:val="32"/>
          <w:rtl/>
        </w:rPr>
      </w:pPr>
      <w:r w:rsidRPr="004D7B3D">
        <w:rPr>
          <w:rFonts w:ascii="Traditional Arabic" w:eastAsia="Times New Roman" w:hAnsi="Traditional Arabic" w:cs="Traditional Arabic"/>
          <w:sz w:val="32"/>
          <w:szCs w:val="32"/>
          <w:rtl/>
        </w:rPr>
        <w:t>استنادًا إلى سجلات إدارة الموارد البشرية بمحكمة الأحوال الشخصية بمدينة جدة لعام 2026، بلغ عدد العاملين في المحكمة نحو (420) موظفًا وموظفة من مختلف الفئات الوظيفية، ويمثل هذا العدد مجتمع الدراسة الذي استُمدت منه عينة الدراسة، واعتمد أساسًا في تحديد حجم العينة وفق الأساليب العلمية المناسبة</w:t>
      </w:r>
    </w:p>
    <w:p w14:paraId="3D24D862" w14:textId="2C90DA33" w:rsidR="0025309F" w:rsidRPr="0025309F" w:rsidRDefault="0025309F" w:rsidP="004D7B3D">
      <w:pPr>
        <w:bidi/>
        <w:spacing w:before="100" w:beforeAutospacing="1" w:after="100" w:afterAutospacing="1" w:line="360" w:lineRule="auto"/>
        <w:jc w:val="both"/>
        <w:rPr>
          <w:rFonts w:ascii="Traditional Arabic" w:eastAsia="Times New Roman" w:hAnsi="Traditional Arabic" w:cs="Traditional Arabic"/>
          <w:sz w:val="32"/>
          <w:szCs w:val="32"/>
          <w:rtl/>
        </w:rPr>
      </w:pPr>
      <w:r w:rsidRPr="0025309F">
        <w:rPr>
          <w:rFonts w:ascii="Traditional Arabic" w:eastAsia="Times New Roman" w:hAnsi="Traditional Arabic" w:cs="Traditional Arabic"/>
          <w:sz w:val="32"/>
          <w:szCs w:val="32"/>
          <w:rtl/>
        </w:rPr>
        <w:t xml:space="preserve">ويتميز مجتمع الدراسة بتنوعه من حيث طبيعة الوظائف والمسؤوليات، الأمر الذي يوفر بيئة مناسبة لدراسة متغيرات الدراسة، ويسهم في الحصول على بيانات تعكس واقع العاملين بالمحكمة بصورة أكثر </w:t>
      </w:r>
      <w:r w:rsidRPr="0025309F">
        <w:rPr>
          <w:rFonts w:ascii="Traditional Arabic" w:eastAsia="Times New Roman" w:hAnsi="Traditional Arabic" w:cs="Traditional Arabic"/>
          <w:sz w:val="32"/>
          <w:szCs w:val="32"/>
          <w:rtl/>
        </w:rPr>
        <w:lastRenderedPageBreak/>
        <w:t>دقة، بما يدعم إمكانية تفسير العلاقات بين استراتيجيات مواجهة ضغوط العمل، والاحتراق الوظيفي، والرضا الوظيفي</w:t>
      </w:r>
      <w:r w:rsidRPr="0025309F">
        <w:rPr>
          <w:rFonts w:ascii="Traditional Arabic" w:eastAsia="Times New Roman" w:hAnsi="Traditional Arabic" w:cs="Traditional Arabic"/>
          <w:sz w:val="32"/>
          <w:szCs w:val="32"/>
        </w:rPr>
        <w:t>.</w:t>
      </w:r>
    </w:p>
    <w:p w14:paraId="498DEB43" w14:textId="77777777" w:rsidR="0025309F" w:rsidRPr="0025309F" w:rsidRDefault="0025309F" w:rsidP="0025309F">
      <w:pPr>
        <w:bidi/>
        <w:spacing w:before="100" w:beforeAutospacing="1" w:after="100" w:afterAutospacing="1" w:line="360" w:lineRule="auto"/>
        <w:jc w:val="both"/>
        <w:rPr>
          <w:rFonts w:ascii="Traditional Arabic" w:eastAsia="Times New Roman" w:hAnsi="Traditional Arabic" w:cs="Traditional Arabic"/>
          <w:sz w:val="32"/>
          <w:szCs w:val="32"/>
        </w:rPr>
      </w:pPr>
    </w:p>
    <w:p w14:paraId="64874400" w14:textId="77777777" w:rsidR="0025309F" w:rsidRPr="0025309F" w:rsidRDefault="0025309F" w:rsidP="0025309F">
      <w:pPr>
        <w:bidi/>
        <w:spacing w:before="100" w:beforeAutospacing="1" w:after="100" w:afterAutospacing="1" w:line="360" w:lineRule="auto"/>
        <w:jc w:val="both"/>
        <w:rPr>
          <w:rFonts w:ascii="Traditional Arabic" w:eastAsia="Times New Roman" w:hAnsi="Traditional Arabic" w:cs="Traditional Arabic"/>
          <w:b/>
          <w:bCs/>
          <w:sz w:val="32"/>
          <w:szCs w:val="32"/>
          <w:rtl/>
        </w:rPr>
      </w:pPr>
      <w:r w:rsidRPr="0025309F">
        <w:rPr>
          <w:rFonts w:ascii="Traditional Arabic" w:eastAsia="Times New Roman" w:hAnsi="Traditional Arabic" w:cs="Traditional Arabic"/>
          <w:b/>
          <w:bCs/>
          <w:sz w:val="32"/>
          <w:szCs w:val="32"/>
          <w:rtl/>
        </w:rPr>
        <w:t>3.4 عينة الدراسة</w:t>
      </w:r>
    </w:p>
    <w:p w14:paraId="40ABAC39" w14:textId="0880B219" w:rsidR="00E7392A" w:rsidRPr="00E7392A" w:rsidRDefault="00E7392A" w:rsidP="00E7392A">
      <w:pPr>
        <w:bidi/>
        <w:spacing w:before="100" w:beforeAutospacing="1" w:after="100" w:afterAutospacing="1" w:line="360" w:lineRule="auto"/>
        <w:jc w:val="both"/>
        <w:rPr>
          <w:rFonts w:ascii="Traditional Arabic" w:eastAsia="Times New Roman" w:hAnsi="Traditional Arabic" w:cs="Traditional Arabic"/>
          <w:sz w:val="32"/>
          <w:szCs w:val="32"/>
        </w:rPr>
      </w:pPr>
      <w:r w:rsidRPr="00E7392A">
        <w:rPr>
          <w:rFonts w:ascii="Traditional Arabic" w:eastAsia="Times New Roman" w:hAnsi="Traditional Arabic" w:cs="Traditional Arabic"/>
          <w:sz w:val="32"/>
          <w:szCs w:val="32"/>
          <w:rtl/>
        </w:rPr>
        <w:t>اعتمدت الدراسة أسلوب العينة الطبقية العشوائية (</w:t>
      </w:r>
      <w:r w:rsidRPr="00E7392A">
        <w:rPr>
          <w:rFonts w:ascii="Traditional Arabic" w:eastAsia="Times New Roman" w:hAnsi="Traditional Arabic" w:cs="Traditional Arabic"/>
          <w:sz w:val="32"/>
          <w:szCs w:val="32"/>
        </w:rPr>
        <w:t>Stratified Random Sampling</w:t>
      </w:r>
      <w:r w:rsidRPr="00E7392A">
        <w:rPr>
          <w:rFonts w:ascii="Traditional Arabic" w:eastAsia="Times New Roman" w:hAnsi="Traditional Arabic" w:cs="Traditional Arabic"/>
          <w:sz w:val="32"/>
          <w:szCs w:val="32"/>
          <w:rtl/>
        </w:rPr>
        <w:t>) لاختيار أفراد عينة الدراسة، ويُعد هذا الأسلوب من أكثر أساليب المعاينة ملاءمةً للدراسات التي يتكون مجتمعها من فئات أو طبقات وظيفية متعددة، إذ يتيح تمثيل مختلف الفئات المستهدفة في العينة وفق أوزانها النسبية في مجتمع الدراسة، ويقلل من احتمالية التحيز في الاختيار، بما يسهم في زيادة دقة النتائج وقابليتها للتعميم على مجتمع الدراسة في حدودها المكانية والبشرية (</w:t>
      </w:r>
      <w:r w:rsidRPr="00E7392A">
        <w:rPr>
          <w:rFonts w:ascii="Traditional Arabic" w:eastAsia="Times New Roman" w:hAnsi="Traditional Arabic" w:cs="Traditional Arabic"/>
          <w:sz w:val="32"/>
          <w:szCs w:val="32"/>
        </w:rPr>
        <w:t>Sekaran &amp; Bougie, 2020</w:t>
      </w:r>
      <w:r w:rsidRPr="00E7392A">
        <w:rPr>
          <w:rFonts w:ascii="Traditional Arabic" w:eastAsia="Times New Roman" w:hAnsi="Traditional Arabic" w:cs="Traditional Arabic"/>
          <w:sz w:val="32"/>
          <w:szCs w:val="32"/>
          <w:rtl/>
        </w:rPr>
        <w:t>).</w:t>
      </w:r>
    </w:p>
    <w:p w14:paraId="14FAE92A" w14:textId="59727BF0" w:rsidR="00E7392A" w:rsidRPr="00E7392A" w:rsidRDefault="00E7392A" w:rsidP="00E7392A">
      <w:pPr>
        <w:bidi/>
        <w:spacing w:before="100" w:beforeAutospacing="1" w:after="100" w:afterAutospacing="1" w:line="360" w:lineRule="auto"/>
        <w:jc w:val="both"/>
        <w:rPr>
          <w:rFonts w:ascii="Traditional Arabic" w:eastAsia="Times New Roman" w:hAnsi="Traditional Arabic" w:cs="Traditional Arabic"/>
          <w:sz w:val="32"/>
          <w:szCs w:val="32"/>
        </w:rPr>
      </w:pPr>
      <w:r w:rsidRPr="00E7392A">
        <w:rPr>
          <w:rFonts w:ascii="Traditional Arabic" w:eastAsia="Times New Roman" w:hAnsi="Traditional Arabic" w:cs="Traditional Arabic"/>
          <w:sz w:val="32"/>
          <w:szCs w:val="32"/>
          <w:rtl/>
        </w:rPr>
        <w:t>وتكونت الفئات الوظيفية المستهدفة في الدراسة من القضاة، والباحثين الشرعيين، وكتّاب الضبط، والموظفين الإداريين، وموظفي الخدمات المساندة في محكمة الأحوال الشخصية بمدينة جدة. وقد تم اعتماد هذه الفئات لكونها تمثل الفئات الوظيفية الرئيسة العاملة في المحكمة، وتتباين فيما بينها من حيث طبيعة المهام والمسؤوليات ومستوى التعرض لضغوط العمل، الأمر الذي يجعل تمثيلها في العينة ضروريًا لتحقيق أهداف الدراسة واختبار العلاقات بين متغيراتها.</w:t>
      </w:r>
    </w:p>
    <w:p w14:paraId="78CFBDA8" w14:textId="2C39EA07" w:rsidR="00E7392A" w:rsidRPr="00E7392A" w:rsidRDefault="00E7392A" w:rsidP="00E7392A">
      <w:pPr>
        <w:bidi/>
        <w:spacing w:before="100" w:beforeAutospacing="1" w:after="100" w:afterAutospacing="1" w:line="360" w:lineRule="auto"/>
        <w:jc w:val="both"/>
        <w:rPr>
          <w:rFonts w:ascii="Traditional Arabic" w:eastAsia="Times New Roman" w:hAnsi="Traditional Arabic" w:cs="Traditional Arabic"/>
          <w:sz w:val="32"/>
          <w:szCs w:val="32"/>
        </w:rPr>
      </w:pPr>
      <w:r w:rsidRPr="00E7392A">
        <w:rPr>
          <w:rFonts w:ascii="Traditional Arabic" w:eastAsia="Times New Roman" w:hAnsi="Traditional Arabic" w:cs="Traditional Arabic"/>
          <w:sz w:val="32"/>
          <w:szCs w:val="32"/>
          <w:rtl/>
        </w:rPr>
        <w:lastRenderedPageBreak/>
        <w:t>وجرى تقسيم مجتمع الدراسة إلى طبقات وفق المسمى الوظيفي، ثم تم اختيار أفراد العينة عشوائيًا من كل طبقة بما يتناسب مع حجمها النسبي في مجتمع الدراسة، وذلك بهدف ضمان تمثيل مختلف الفئات الوظيفية بصورة عادلة، وعدم زيادة تمثيل فئة على حساب أخرى.</w:t>
      </w:r>
    </w:p>
    <w:p w14:paraId="54ABC839" w14:textId="1CBDB7F0" w:rsidR="00E7392A" w:rsidRPr="00E7392A" w:rsidRDefault="00E7392A" w:rsidP="00E7392A">
      <w:pPr>
        <w:bidi/>
        <w:spacing w:before="100" w:beforeAutospacing="1" w:after="100" w:afterAutospacing="1" w:line="360" w:lineRule="auto"/>
        <w:jc w:val="both"/>
        <w:rPr>
          <w:rFonts w:ascii="Traditional Arabic" w:eastAsia="Times New Roman" w:hAnsi="Traditional Arabic" w:cs="Traditional Arabic"/>
          <w:sz w:val="32"/>
          <w:szCs w:val="32"/>
        </w:rPr>
      </w:pPr>
      <w:r w:rsidRPr="00E7392A">
        <w:rPr>
          <w:rFonts w:ascii="Traditional Arabic" w:eastAsia="Times New Roman" w:hAnsi="Traditional Arabic" w:cs="Traditional Arabic"/>
          <w:sz w:val="32"/>
          <w:szCs w:val="32"/>
          <w:rtl/>
        </w:rPr>
        <w:t xml:space="preserve">واستنادًا إلى البيانات الإدارية المتاحة، بلغ حجم مجتمع الدراسة نحو (420) موظفًا وموظفة. وتم تحديد الحجم المناسب للعينة بالرجوع إلى جدول </w:t>
      </w:r>
      <w:proofErr w:type="spellStart"/>
      <w:r w:rsidRPr="00E7392A">
        <w:rPr>
          <w:rFonts w:ascii="Traditional Arabic" w:eastAsia="Times New Roman" w:hAnsi="Traditional Arabic" w:cs="Traditional Arabic"/>
          <w:sz w:val="32"/>
          <w:szCs w:val="32"/>
          <w:rtl/>
        </w:rPr>
        <w:t>كريجسي</w:t>
      </w:r>
      <w:proofErr w:type="spellEnd"/>
      <w:r w:rsidRPr="00E7392A">
        <w:rPr>
          <w:rFonts w:ascii="Traditional Arabic" w:eastAsia="Times New Roman" w:hAnsi="Traditional Arabic" w:cs="Traditional Arabic"/>
          <w:sz w:val="32"/>
          <w:szCs w:val="32"/>
          <w:rtl/>
        </w:rPr>
        <w:t xml:space="preserve"> ومورغان (</w:t>
      </w:r>
      <w:proofErr w:type="spellStart"/>
      <w:r w:rsidRPr="00E7392A">
        <w:rPr>
          <w:rFonts w:ascii="Traditional Arabic" w:eastAsia="Times New Roman" w:hAnsi="Traditional Arabic" w:cs="Traditional Arabic"/>
          <w:sz w:val="32"/>
          <w:szCs w:val="32"/>
        </w:rPr>
        <w:t>Krejcie</w:t>
      </w:r>
      <w:proofErr w:type="spellEnd"/>
      <w:r w:rsidRPr="00E7392A">
        <w:rPr>
          <w:rFonts w:ascii="Traditional Arabic" w:eastAsia="Times New Roman" w:hAnsi="Traditional Arabic" w:cs="Traditional Arabic"/>
          <w:sz w:val="32"/>
          <w:szCs w:val="32"/>
        </w:rPr>
        <w:t xml:space="preserve"> &amp; Morgan, 1970</w:t>
      </w:r>
      <w:r w:rsidRPr="00E7392A">
        <w:rPr>
          <w:rFonts w:ascii="Traditional Arabic" w:eastAsia="Times New Roman" w:hAnsi="Traditional Arabic" w:cs="Traditional Arabic"/>
          <w:sz w:val="32"/>
          <w:szCs w:val="32"/>
          <w:rtl/>
        </w:rPr>
        <w:t>)، حيث بلغ الحد الأدنى المناسب لعينة الدراسة (201) مفردة.</w:t>
      </w:r>
    </w:p>
    <w:p w14:paraId="233EB46E" w14:textId="2D8BE0E9" w:rsidR="00E7392A" w:rsidRPr="00E7392A" w:rsidRDefault="00E7392A" w:rsidP="00E7392A">
      <w:pPr>
        <w:bidi/>
        <w:spacing w:before="100" w:beforeAutospacing="1" w:after="100" w:afterAutospacing="1" w:line="360" w:lineRule="auto"/>
        <w:jc w:val="both"/>
        <w:rPr>
          <w:rFonts w:ascii="Traditional Arabic" w:eastAsia="Times New Roman" w:hAnsi="Traditional Arabic" w:cs="Traditional Arabic"/>
          <w:sz w:val="32"/>
          <w:szCs w:val="32"/>
        </w:rPr>
      </w:pPr>
      <w:r w:rsidRPr="00E7392A">
        <w:rPr>
          <w:rFonts w:ascii="Traditional Arabic" w:eastAsia="Times New Roman" w:hAnsi="Traditional Arabic" w:cs="Traditional Arabic"/>
          <w:sz w:val="32"/>
          <w:szCs w:val="32"/>
          <w:rtl/>
        </w:rPr>
        <w:t xml:space="preserve">وللتحقق من كفاية حجم العينة لإجراء التحليلات الإحصائية الاستدلالية المستخدمة في الدراسة، ولا سيما تحليل الانحدار واختبار الدور الوسيط، تم كذلك الاستناد إلى تحليل القوة الإحصائية باستخدام برنامج </w:t>
      </w:r>
      <w:r w:rsidRPr="00E7392A">
        <w:rPr>
          <w:rFonts w:ascii="Traditional Arabic" w:eastAsia="Times New Roman" w:hAnsi="Traditional Arabic" w:cs="Traditional Arabic"/>
          <w:sz w:val="32"/>
          <w:szCs w:val="32"/>
        </w:rPr>
        <w:t>G*Power</w:t>
      </w:r>
      <w:r w:rsidRPr="00E7392A">
        <w:rPr>
          <w:rFonts w:ascii="Traditional Arabic" w:eastAsia="Times New Roman" w:hAnsi="Traditional Arabic" w:cs="Traditional Arabic"/>
          <w:sz w:val="32"/>
          <w:szCs w:val="32"/>
          <w:rtl/>
        </w:rPr>
        <w:t>. وقد أُجري التحليل في ضوء استخدام أربعة متغيرات متنبئة تمثل أبعاد استراتيجيات مواجهة ضغوط العمل، وبافتراض حجم أثر متوسط بلغ (</w:t>
      </w:r>
      <w:r w:rsidRPr="00E7392A">
        <w:rPr>
          <w:rFonts w:ascii="Traditional Arabic" w:eastAsia="Times New Roman" w:hAnsi="Traditional Arabic" w:cs="Traditional Arabic"/>
          <w:sz w:val="32"/>
          <w:szCs w:val="32"/>
        </w:rPr>
        <w:t>f² = 0.15</w:t>
      </w:r>
      <w:r w:rsidRPr="00E7392A">
        <w:rPr>
          <w:rFonts w:ascii="Traditional Arabic" w:eastAsia="Times New Roman" w:hAnsi="Traditional Arabic" w:cs="Traditional Arabic"/>
          <w:sz w:val="32"/>
          <w:szCs w:val="32"/>
          <w:rtl/>
        </w:rPr>
        <w:t>)، ومستوى دلالة إحصائية (</w:t>
      </w:r>
      <w:r w:rsidRPr="00E7392A">
        <w:rPr>
          <w:rFonts w:ascii="Cambria" w:eastAsia="Times New Roman" w:hAnsi="Cambria" w:cs="Cambria"/>
          <w:sz w:val="32"/>
          <w:szCs w:val="32"/>
        </w:rPr>
        <w:t>α</w:t>
      </w:r>
      <w:r w:rsidRPr="00E7392A">
        <w:rPr>
          <w:rFonts w:ascii="Traditional Arabic" w:eastAsia="Times New Roman" w:hAnsi="Traditional Arabic" w:cs="Traditional Arabic"/>
          <w:sz w:val="32"/>
          <w:szCs w:val="32"/>
        </w:rPr>
        <w:t xml:space="preserve"> = 0.05</w:t>
      </w:r>
      <w:r w:rsidRPr="00E7392A">
        <w:rPr>
          <w:rFonts w:ascii="Traditional Arabic" w:eastAsia="Times New Roman" w:hAnsi="Traditional Arabic" w:cs="Traditional Arabic"/>
          <w:sz w:val="32"/>
          <w:szCs w:val="32"/>
          <w:rtl/>
        </w:rPr>
        <w:t xml:space="preserve">). وأظهر تحليل القوة أن الحد الأدنى المطلوب للعينة يبلغ نحو (85) مفردة عند قوة إحصائية مقدارها (0.80)، ونحو (108) مفردات عند قوة إحصائية مقدارها (0.90). وبذلك يتضح أن حجم العينة المحدد للدراسة والبالغ (201) مفردة يتجاوز الحد الأدنى المطلوب وفق تحليل القوة الإحصائية، بما يدعم كفايته لإجراء تحليلات الانحدار واختبار العلاقات المباشرة وغير المباشرة بين متغيرات الدراسة.ولمواجهة احتمالات عدم الاستجابة واستبعاد بعض الاستبانات غير المكتملة أو غير الصالحة للتحليل، قام الباحث بتوزيع (220) استبانة على أفراد الفئات الوظيفية المستهدفة وفق أسلوب التوزيع الطبقي النسبي. وقد تم استرداد (210) استبانات، بنسبة استرداد بلغت (95.5%) من إجمالي الاستبانات الموزعة. وبعد مراجعة الاستبانات المستردة والتأكد من اكتمالها وصلاحيتها للتحليل الإحصائي، تم استبعاد (6) استبانات بسبب عدم اكتمال الإجابات أو وجود أنماط استجابة غير </w:t>
      </w:r>
      <w:r w:rsidRPr="00E7392A">
        <w:rPr>
          <w:rFonts w:ascii="Traditional Arabic" w:eastAsia="Times New Roman" w:hAnsi="Traditional Arabic" w:cs="Traditional Arabic"/>
          <w:sz w:val="32"/>
          <w:szCs w:val="32"/>
          <w:rtl/>
        </w:rPr>
        <w:lastRenderedPageBreak/>
        <w:t>صالحة للتحليل، ليصبح العدد النهائي للاستبانات الصالحة للتحليل (204) استبانات، وبنسبة استجابة صالحة بلغت (92.7%) من إجمالي الاستبانات الموزعة.</w:t>
      </w:r>
    </w:p>
    <w:p w14:paraId="379CB4DB" w14:textId="5EDCB5AA" w:rsidR="00E7392A" w:rsidRPr="00E7392A" w:rsidRDefault="00E7392A" w:rsidP="00E7392A">
      <w:pPr>
        <w:bidi/>
        <w:spacing w:before="100" w:beforeAutospacing="1" w:after="100" w:afterAutospacing="1" w:line="360" w:lineRule="auto"/>
        <w:jc w:val="both"/>
        <w:rPr>
          <w:rFonts w:ascii="Traditional Arabic" w:eastAsia="Times New Roman" w:hAnsi="Traditional Arabic" w:cs="Traditional Arabic"/>
          <w:sz w:val="32"/>
          <w:szCs w:val="32"/>
        </w:rPr>
      </w:pPr>
      <w:r w:rsidRPr="00E7392A">
        <w:rPr>
          <w:rFonts w:ascii="Traditional Arabic" w:eastAsia="Times New Roman" w:hAnsi="Traditional Arabic" w:cs="Traditional Arabic"/>
          <w:sz w:val="32"/>
          <w:szCs w:val="32"/>
          <w:rtl/>
        </w:rPr>
        <w:t xml:space="preserve">ويُلاحظ أن العدد النهائي للاستبانات الصالحة للتحليل والبالغ (204) استبانات تجاوز الحد الأدنى المطلوب للعينة وفق جدول كريجسي ومورغان والبالغ (201) مفردة، كما تجاوز الحد الأدنى المطلوب وفق تحليل القوة الإحصائية باستخدام </w:t>
      </w:r>
      <w:r w:rsidRPr="00E7392A">
        <w:rPr>
          <w:rFonts w:ascii="Traditional Arabic" w:eastAsia="Times New Roman" w:hAnsi="Traditional Arabic" w:cs="Traditional Arabic"/>
          <w:sz w:val="32"/>
          <w:szCs w:val="32"/>
        </w:rPr>
        <w:t>G*Power</w:t>
      </w:r>
      <w:r w:rsidRPr="00E7392A">
        <w:rPr>
          <w:rFonts w:ascii="Traditional Arabic" w:eastAsia="Times New Roman" w:hAnsi="Traditional Arabic" w:cs="Traditional Arabic"/>
          <w:sz w:val="32"/>
          <w:szCs w:val="32"/>
          <w:rtl/>
        </w:rPr>
        <w:t>، الأمر الذي يدعم كفاية العينة النهائية لإجراء التحليلات الإحصائية المقررة في الدراسة.</w:t>
      </w:r>
    </w:p>
    <w:p w14:paraId="11D307AF" w14:textId="77777777" w:rsidR="00E7392A" w:rsidRPr="00E7392A" w:rsidRDefault="00E7392A" w:rsidP="00E7392A">
      <w:pPr>
        <w:bidi/>
        <w:spacing w:before="100" w:beforeAutospacing="1" w:after="100" w:afterAutospacing="1" w:line="360" w:lineRule="auto"/>
        <w:jc w:val="both"/>
        <w:rPr>
          <w:rFonts w:ascii="Traditional Arabic" w:eastAsia="Times New Roman" w:hAnsi="Traditional Arabic" w:cs="Traditional Arabic"/>
          <w:sz w:val="32"/>
          <w:szCs w:val="32"/>
        </w:rPr>
      </w:pPr>
      <w:r w:rsidRPr="00E7392A">
        <w:rPr>
          <w:rFonts w:ascii="Traditional Arabic" w:eastAsia="Times New Roman" w:hAnsi="Traditional Arabic" w:cs="Traditional Arabic"/>
          <w:sz w:val="32"/>
          <w:szCs w:val="32"/>
          <w:rtl/>
        </w:rPr>
        <w:t>وقد روعي عند توزيع الاستبانات أن يشمل التوزيع جميع الفئات الوظيفية المستهدفة وبما يتناسب مع الحجم النسبي لكل فئة في مجتمع الدراسة. ويوضح الجدول الآتي توزيع مجتمع الدراسة والعينة حسب الفئات الوظيفية</w:t>
      </w:r>
      <w:r w:rsidRPr="00E7392A">
        <w:rPr>
          <w:rFonts w:ascii="Traditional Arabic" w:eastAsia="Times New Roman" w:hAnsi="Traditional Arabic" w:cs="Traditional Arabic"/>
          <w:sz w:val="32"/>
          <w:szCs w:val="32"/>
        </w:rPr>
        <w:t>:</w:t>
      </w:r>
    </w:p>
    <w:p w14:paraId="67DA7B0C" w14:textId="77777777" w:rsidR="00E7392A" w:rsidRPr="00E7392A" w:rsidRDefault="00E7392A" w:rsidP="00E7392A">
      <w:pPr>
        <w:bidi/>
        <w:spacing w:before="100" w:beforeAutospacing="1" w:after="100" w:afterAutospacing="1" w:line="360" w:lineRule="auto"/>
        <w:jc w:val="center"/>
        <w:rPr>
          <w:rFonts w:ascii="Traditional Arabic" w:eastAsia="Times New Roman" w:hAnsi="Traditional Arabic" w:cs="Traditional Arabic"/>
          <w:sz w:val="32"/>
          <w:szCs w:val="32"/>
        </w:rPr>
      </w:pPr>
      <w:r w:rsidRPr="00E7392A">
        <w:rPr>
          <w:rFonts w:ascii="Traditional Arabic" w:eastAsia="Times New Roman" w:hAnsi="Traditional Arabic" w:cs="Traditional Arabic"/>
          <w:b/>
          <w:bCs/>
          <w:sz w:val="32"/>
          <w:szCs w:val="32"/>
          <w:rtl/>
        </w:rPr>
        <w:t>جدول (3-1): توزيع مجتمع الدراسة والعينة حسب الفئات الوظيفية</w:t>
      </w:r>
    </w:p>
    <w:tbl>
      <w:tblPr>
        <w:tblStyle w:val="a7"/>
        <w:bidiVisual/>
        <w:tblW w:w="0" w:type="auto"/>
        <w:tblLook w:val="04A0" w:firstRow="1" w:lastRow="0" w:firstColumn="1" w:lastColumn="0" w:noHBand="0" w:noVBand="1"/>
      </w:tblPr>
      <w:tblGrid>
        <w:gridCol w:w="2074"/>
        <w:gridCol w:w="1830"/>
        <w:gridCol w:w="2160"/>
        <w:gridCol w:w="2232"/>
      </w:tblGrid>
      <w:tr w:rsidR="00E7392A" w:rsidRPr="00E7392A" w14:paraId="2897194D" w14:textId="77777777" w:rsidTr="00E7392A">
        <w:tc>
          <w:tcPr>
            <w:tcW w:w="0" w:type="auto"/>
            <w:hideMark/>
          </w:tcPr>
          <w:p w14:paraId="43AF5739" w14:textId="77777777" w:rsidR="00E7392A" w:rsidRPr="00E7392A" w:rsidRDefault="00E7392A" w:rsidP="00E7392A">
            <w:pPr>
              <w:bidi/>
              <w:spacing w:before="100" w:beforeAutospacing="1" w:after="100" w:afterAutospacing="1" w:line="360" w:lineRule="auto"/>
              <w:jc w:val="both"/>
              <w:rPr>
                <w:rFonts w:ascii="Traditional Arabic" w:eastAsia="Times New Roman" w:hAnsi="Traditional Arabic" w:cs="Traditional Arabic"/>
                <w:b/>
                <w:bCs/>
                <w:sz w:val="32"/>
                <w:szCs w:val="32"/>
              </w:rPr>
            </w:pPr>
            <w:r w:rsidRPr="00E7392A">
              <w:rPr>
                <w:rFonts w:ascii="Traditional Arabic" w:eastAsia="Times New Roman" w:hAnsi="Traditional Arabic" w:cs="Traditional Arabic"/>
                <w:b/>
                <w:bCs/>
                <w:sz w:val="32"/>
                <w:szCs w:val="32"/>
                <w:rtl/>
              </w:rPr>
              <w:t>الفئة الوظيفية</w:t>
            </w:r>
          </w:p>
        </w:tc>
        <w:tc>
          <w:tcPr>
            <w:tcW w:w="0" w:type="auto"/>
            <w:hideMark/>
          </w:tcPr>
          <w:p w14:paraId="38B1F3B5" w14:textId="77777777" w:rsidR="00E7392A" w:rsidRPr="00E7392A" w:rsidRDefault="00E7392A" w:rsidP="00E7392A">
            <w:pPr>
              <w:bidi/>
              <w:spacing w:before="100" w:beforeAutospacing="1" w:after="100" w:afterAutospacing="1" w:line="360" w:lineRule="auto"/>
              <w:jc w:val="both"/>
              <w:rPr>
                <w:rFonts w:ascii="Traditional Arabic" w:eastAsia="Times New Roman" w:hAnsi="Traditional Arabic" w:cs="Traditional Arabic"/>
                <w:b/>
                <w:bCs/>
                <w:sz w:val="32"/>
                <w:szCs w:val="32"/>
              </w:rPr>
            </w:pPr>
            <w:r w:rsidRPr="00E7392A">
              <w:rPr>
                <w:rFonts w:ascii="Traditional Arabic" w:eastAsia="Times New Roman" w:hAnsi="Traditional Arabic" w:cs="Traditional Arabic"/>
                <w:b/>
                <w:bCs/>
                <w:sz w:val="32"/>
                <w:szCs w:val="32"/>
                <w:rtl/>
              </w:rPr>
              <w:t>حجم الفئة في المجتمع</w:t>
            </w:r>
          </w:p>
        </w:tc>
        <w:tc>
          <w:tcPr>
            <w:tcW w:w="0" w:type="auto"/>
            <w:hideMark/>
          </w:tcPr>
          <w:p w14:paraId="1DDF43F8" w14:textId="77777777" w:rsidR="00E7392A" w:rsidRPr="00E7392A" w:rsidRDefault="00E7392A" w:rsidP="00E7392A">
            <w:pPr>
              <w:bidi/>
              <w:spacing w:before="100" w:beforeAutospacing="1" w:after="100" w:afterAutospacing="1" w:line="360" w:lineRule="auto"/>
              <w:jc w:val="both"/>
              <w:rPr>
                <w:rFonts w:ascii="Traditional Arabic" w:eastAsia="Times New Roman" w:hAnsi="Traditional Arabic" w:cs="Traditional Arabic"/>
                <w:b/>
                <w:bCs/>
                <w:sz w:val="32"/>
                <w:szCs w:val="32"/>
              </w:rPr>
            </w:pPr>
            <w:r w:rsidRPr="00E7392A">
              <w:rPr>
                <w:rFonts w:ascii="Traditional Arabic" w:eastAsia="Times New Roman" w:hAnsi="Traditional Arabic" w:cs="Traditional Arabic"/>
                <w:b/>
                <w:bCs/>
                <w:sz w:val="32"/>
                <w:szCs w:val="32"/>
                <w:rtl/>
              </w:rPr>
              <w:t>النسبة من مجتمع الدراسة</w:t>
            </w:r>
          </w:p>
        </w:tc>
        <w:tc>
          <w:tcPr>
            <w:tcW w:w="0" w:type="auto"/>
            <w:hideMark/>
          </w:tcPr>
          <w:p w14:paraId="193F3313" w14:textId="77777777" w:rsidR="00E7392A" w:rsidRPr="00E7392A" w:rsidRDefault="00E7392A" w:rsidP="00E7392A">
            <w:pPr>
              <w:bidi/>
              <w:spacing w:before="100" w:beforeAutospacing="1" w:after="100" w:afterAutospacing="1" w:line="360" w:lineRule="auto"/>
              <w:jc w:val="both"/>
              <w:rPr>
                <w:rFonts w:ascii="Traditional Arabic" w:eastAsia="Times New Roman" w:hAnsi="Traditional Arabic" w:cs="Traditional Arabic"/>
                <w:b/>
                <w:bCs/>
                <w:sz w:val="32"/>
                <w:szCs w:val="32"/>
              </w:rPr>
            </w:pPr>
            <w:r w:rsidRPr="00E7392A">
              <w:rPr>
                <w:rFonts w:ascii="Traditional Arabic" w:eastAsia="Times New Roman" w:hAnsi="Traditional Arabic" w:cs="Traditional Arabic"/>
                <w:b/>
                <w:bCs/>
                <w:sz w:val="32"/>
                <w:szCs w:val="32"/>
                <w:rtl/>
              </w:rPr>
              <w:t>العدد المستهدف في العينة</w:t>
            </w:r>
          </w:p>
        </w:tc>
      </w:tr>
      <w:tr w:rsidR="00E7392A" w:rsidRPr="00E7392A" w14:paraId="07F0C76B" w14:textId="77777777" w:rsidTr="00E7392A">
        <w:tc>
          <w:tcPr>
            <w:tcW w:w="0" w:type="auto"/>
            <w:hideMark/>
          </w:tcPr>
          <w:p w14:paraId="47B257B1" w14:textId="77777777" w:rsidR="00E7392A" w:rsidRPr="00E7392A" w:rsidRDefault="00E7392A" w:rsidP="00E7392A">
            <w:pPr>
              <w:bidi/>
              <w:spacing w:before="100" w:beforeAutospacing="1" w:after="100" w:afterAutospacing="1" w:line="360" w:lineRule="auto"/>
              <w:jc w:val="both"/>
              <w:rPr>
                <w:rFonts w:ascii="Traditional Arabic" w:eastAsia="Times New Roman" w:hAnsi="Traditional Arabic" w:cs="Traditional Arabic"/>
                <w:sz w:val="32"/>
                <w:szCs w:val="32"/>
              </w:rPr>
            </w:pPr>
            <w:r w:rsidRPr="00E7392A">
              <w:rPr>
                <w:rFonts w:ascii="Traditional Arabic" w:eastAsia="Times New Roman" w:hAnsi="Traditional Arabic" w:cs="Traditional Arabic"/>
                <w:sz w:val="32"/>
                <w:szCs w:val="32"/>
                <w:rtl/>
              </w:rPr>
              <w:t>القضاة</w:t>
            </w:r>
          </w:p>
        </w:tc>
        <w:tc>
          <w:tcPr>
            <w:tcW w:w="0" w:type="auto"/>
            <w:hideMark/>
          </w:tcPr>
          <w:p w14:paraId="1FDB0E66" w14:textId="77777777" w:rsidR="00E7392A" w:rsidRPr="00E7392A" w:rsidRDefault="00E7392A" w:rsidP="00E7392A">
            <w:pPr>
              <w:bidi/>
              <w:spacing w:before="100" w:beforeAutospacing="1" w:after="100" w:afterAutospacing="1" w:line="360" w:lineRule="auto"/>
              <w:jc w:val="both"/>
              <w:rPr>
                <w:rFonts w:ascii="Traditional Arabic" w:eastAsia="Times New Roman" w:hAnsi="Traditional Arabic" w:cs="Traditional Arabic"/>
                <w:sz w:val="32"/>
                <w:szCs w:val="32"/>
              </w:rPr>
            </w:pPr>
            <w:r w:rsidRPr="00E7392A">
              <w:rPr>
                <w:rFonts w:ascii="Traditional Arabic" w:eastAsia="Times New Roman" w:hAnsi="Traditional Arabic" w:cs="Traditional Arabic"/>
                <w:sz w:val="32"/>
                <w:szCs w:val="32"/>
              </w:rPr>
              <w:t>28</w:t>
            </w:r>
          </w:p>
        </w:tc>
        <w:tc>
          <w:tcPr>
            <w:tcW w:w="0" w:type="auto"/>
            <w:hideMark/>
          </w:tcPr>
          <w:p w14:paraId="31C42484" w14:textId="77777777" w:rsidR="00E7392A" w:rsidRPr="00E7392A" w:rsidRDefault="00E7392A" w:rsidP="00E7392A">
            <w:pPr>
              <w:bidi/>
              <w:spacing w:before="100" w:beforeAutospacing="1" w:after="100" w:afterAutospacing="1" w:line="360" w:lineRule="auto"/>
              <w:jc w:val="both"/>
              <w:rPr>
                <w:rFonts w:ascii="Traditional Arabic" w:eastAsia="Times New Roman" w:hAnsi="Traditional Arabic" w:cs="Traditional Arabic"/>
                <w:sz w:val="32"/>
                <w:szCs w:val="32"/>
              </w:rPr>
            </w:pPr>
            <w:r w:rsidRPr="00E7392A">
              <w:rPr>
                <w:rFonts w:ascii="Traditional Arabic" w:eastAsia="Times New Roman" w:hAnsi="Traditional Arabic" w:cs="Traditional Arabic"/>
                <w:sz w:val="32"/>
                <w:szCs w:val="32"/>
              </w:rPr>
              <w:t>6.7%</w:t>
            </w:r>
          </w:p>
        </w:tc>
        <w:tc>
          <w:tcPr>
            <w:tcW w:w="0" w:type="auto"/>
            <w:hideMark/>
          </w:tcPr>
          <w:p w14:paraId="4CB99E0A" w14:textId="77777777" w:rsidR="00E7392A" w:rsidRPr="00E7392A" w:rsidRDefault="00E7392A" w:rsidP="00E7392A">
            <w:pPr>
              <w:bidi/>
              <w:spacing w:before="100" w:beforeAutospacing="1" w:after="100" w:afterAutospacing="1" w:line="360" w:lineRule="auto"/>
              <w:jc w:val="both"/>
              <w:rPr>
                <w:rFonts w:ascii="Traditional Arabic" w:eastAsia="Times New Roman" w:hAnsi="Traditional Arabic" w:cs="Traditional Arabic"/>
                <w:sz w:val="32"/>
                <w:szCs w:val="32"/>
              </w:rPr>
            </w:pPr>
            <w:r w:rsidRPr="00E7392A">
              <w:rPr>
                <w:rFonts w:ascii="Traditional Arabic" w:eastAsia="Times New Roman" w:hAnsi="Traditional Arabic" w:cs="Traditional Arabic"/>
                <w:sz w:val="32"/>
                <w:szCs w:val="32"/>
              </w:rPr>
              <w:t>13</w:t>
            </w:r>
          </w:p>
        </w:tc>
      </w:tr>
      <w:tr w:rsidR="00E7392A" w:rsidRPr="00E7392A" w14:paraId="5B6FC82E" w14:textId="77777777" w:rsidTr="00E7392A">
        <w:tc>
          <w:tcPr>
            <w:tcW w:w="0" w:type="auto"/>
            <w:hideMark/>
          </w:tcPr>
          <w:p w14:paraId="3B1F08EC" w14:textId="77777777" w:rsidR="00E7392A" w:rsidRPr="00E7392A" w:rsidRDefault="00E7392A" w:rsidP="00E7392A">
            <w:pPr>
              <w:bidi/>
              <w:spacing w:before="100" w:beforeAutospacing="1" w:after="100" w:afterAutospacing="1" w:line="360" w:lineRule="auto"/>
              <w:jc w:val="both"/>
              <w:rPr>
                <w:rFonts w:ascii="Traditional Arabic" w:eastAsia="Times New Roman" w:hAnsi="Traditional Arabic" w:cs="Traditional Arabic"/>
                <w:sz w:val="32"/>
                <w:szCs w:val="32"/>
              </w:rPr>
            </w:pPr>
            <w:r w:rsidRPr="00E7392A">
              <w:rPr>
                <w:rFonts w:ascii="Traditional Arabic" w:eastAsia="Times New Roman" w:hAnsi="Traditional Arabic" w:cs="Traditional Arabic"/>
                <w:sz w:val="32"/>
                <w:szCs w:val="32"/>
                <w:rtl/>
              </w:rPr>
              <w:t>الباحثون الشرعيون</w:t>
            </w:r>
          </w:p>
        </w:tc>
        <w:tc>
          <w:tcPr>
            <w:tcW w:w="0" w:type="auto"/>
            <w:hideMark/>
          </w:tcPr>
          <w:p w14:paraId="30A6104A" w14:textId="77777777" w:rsidR="00E7392A" w:rsidRPr="00E7392A" w:rsidRDefault="00E7392A" w:rsidP="00E7392A">
            <w:pPr>
              <w:bidi/>
              <w:spacing w:before="100" w:beforeAutospacing="1" w:after="100" w:afterAutospacing="1" w:line="360" w:lineRule="auto"/>
              <w:jc w:val="both"/>
              <w:rPr>
                <w:rFonts w:ascii="Traditional Arabic" w:eastAsia="Times New Roman" w:hAnsi="Traditional Arabic" w:cs="Traditional Arabic"/>
                <w:sz w:val="32"/>
                <w:szCs w:val="32"/>
              </w:rPr>
            </w:pPr>
            <w:r w:rsidRPr="00E7392A">
              <w:rPr>
                <w:rFonts w:ascii="Traditional Arabic" w:eastAsia="Times New Roman" w:hAnsi="Traditional Arabic" w:cs="Traditional Arabic"/>
                <w:sz w:val="32"/>
                <w:szCs w:val="32"/>
              </w:rPr>
              <w:t>42</w:t>
            </w:r>
          </w:p>
        </w:tc>
        <w:tc>
          <w:tcPr>
            <w:tcW w:w="0" w:type="auto"/>
            <w:hideMark/>
          </w:tcPr>
          <w:p w14:paraId="6DCBB674" w14:textId="77777777" w:rsidR="00E7392A" w:rsidRPr="00E7392A" w:rsidRDefault="00E7392A" w:rsidP="00E7392A">
            <w:pPr>
              <w:bidi/>
              <w:spacing w:before="100" w:beforeAutospacing="1" w:after="100" w:afterAutospacing="1" w:line="360" w:lineRule="auto"/>
              <w:jc w:val="both"/>
              <w:rPr>
                <w:rFonts w:ascii="Traditional Arabic" w:eastAsia="Times New Roman" w:hAnsi="Traditional Arabic" w:cs="Traditional Arabic"/>
                <w:sz w:val="32"/>
                <w:szCs w:val="32"/>
              </w:rPr>
            </w:pPr>
            <w:r w:rsidRPr="00E7392A">
              <w:rPr>
                <w:rFonts w:ascii="Traditional Arabic" w:eastAsia="Times New Roman" w:hAnsi="Traditional Arabic" w:cs="Traditional Arabic"/>
                <w:sz w:val="32"/>
                <w:szCs w:val="32"/>
              </w:rPr>
              <w:t>10.0%</w:t>
            </w:r>
          </w:p>
        </w:tc>
        <w:tc>
          <w:tcPr>
            <w:tcW w:w="0" w:type="auto"/>
            <w:hideMark/>
          </w:tcPr>
          <w:p w14:paraId="3B237C99" w14:textId="77777777" w:rsidR="00E7392A" w:rsidRPr="00E7392A" w:rsidRDefault="00E7392A" w:rsidP="00E7392A">
            <w:pPr>
              <w:bidi/>
              <w:spacing w:before="100" w:beforeAutospacing="1" w:after="100" w:afterAutospacing="1" w:line="360" w:lineRule="auto"/>
              <w:jc w:val="both"/>
              <w:rPr>
                <w:rFonts w:ascii="Traditional Arabic" w:eastAsia="Times New Roman" w:hAnsi="Traditional Arabic" w:cs="Traditional Arabic"/>
                <w:sz w:val="32"/>
                <w:szCs w:val="32"/>
              </w:rPr>
            </w:pPr>
            <w:r w:rsidRPr="00E7392A">
              <w:rPr>
                <w:rFonts w:ascii="Traditional Arabic" w:eastAsia="Times New Roman" w:hAnsi="Traditional Arabic" w:cs="Traditional Arabic"/>
                <w:sz w:val="32"/>
                <w:szCs w:val="32"/>
              </w:rPr>
              <w:t>20</w:t>
            </w:r>
          </w:p>
        </w:tc>
      </w:tr>
      <w:tr w:rsidR="00E7392A" w:rsidRPr="00E7392A" w14:paraId="56A88BC3" w14:textId="77777777" w:rsidTr="00E7392A">
        <w:tc>
          <w:tcPr>
            <w:tcW w:w="0" w:type="auto"/>
            <w:hideMark/>
          </w:tcPr>
          <w:p w14:paraId="6A5F7B4E" w14:textId="77777777" w:rsidR="00E7392A" w:rsidRPr="00E7392A" w:rsidRDefault="00E7392A" w:rsidP="00E7392A">
            <w:pPr>
              <w:bidi/>
              <w:spacing w:before="100" w:beforeAutospacing="1" w:after="100" w:afterAutospacing="1" w:line="360" w:lineRule="auto"/>
              <w:jc w:val="both"/>
              <w:rPr>
                <w:rFonts w:ascii="Traditional Arabic" w:eastAsia="Times New Roman" w:hAnsi="Traditional Arabic" w:cs="Traditional Arabic"/>
                <w:sz w:val="32"/>
                <w:szCs w:val="32"/>
              </w:rPr>
            </w:pPr>
            <w:r w:rsidRPr="00E7392A">
              <w:rPr>
                <w:rFonts w:ascii="Traditional Arabic" w:eastAsia="Times New Roman" w:hAnsi="Traditional Arabic" w:cs="Traditional Arabic"/>
                <w:sz w:val="32"/>
                <w:szCs w:val="32"/>
                <w:rtl/>
              </w:rPr>
              <w:t>كتّاب الضبط</w:t>
            </w:r>
          </w:p>
        </w:tc>
        <w:tc>
          <w:tcPr>
            <w:tcW w:w="0" w:type="auto"/>
            <w:hideMark/>
          </w:tcPr>
          <w:p w14:paraId="6C0A3D12" w14:textId="77777777" w:rsidR="00E7392A" w:rsidRPr="00E7392A" w:rsidRDefault="00E7392A" w:rsidP="00E7392A">
            <w:pPr>
              <w:bidi/>
              <w:spacing w:before="100" w:beforeAutospacing="1" w:after="100" w:afterAutospacing="1" w:line="360" w:lineRule="auto"/>
              <w:jc w:val="both"/>
              <w:rPr>
                <w:rFonts w:ascii="Traditional Arabic" w:eastAsia="Times New Roman" w:hAnsi="Traditional Arabic" w:cs="Traditional Arabic"/>
                <w:sz w:val="32"/>
                <w:szCs w:val="32"/>
              </w:rPr>
            </w:pPr>
            <w:r w:rsidRPr="00E7392A">
              <w:rPr>
                <w:rFonts w:ascii="Traditional Arabic" w:eastAsia="Times New Roman" w:hAnsi="Traditional Arabic" w:cs="Traditional Arabic"/>
                <w:sz w:val="32"/>
                <w:szCs w:val="32"/>
              </w:rPr>
              <w:t>120</w:t>
            </w:r>
          </w:p>
        </w:tc>
        <w:tc>
          <w:tcPr>
            <w:tcW w:w="0" w:type="auto"/>
            <w:hideMark/>
          </w:tcPr>
          <w:p w14:paraId="5FD5BE4B" w14:textId="77777777" w:rsidR="00E7392A" w:rsidRPr="00E7392A" w:rsidRDefault="00E7392A" w:rsidP="00E7392A">
            <w:pPr>
              <w:bidi/>
              <w:spacing w:before="100" w:beforeAutospacing="1" w:after="100" w:afterAutospacing="1" w:line="360" w:lineRule="auto"/>
              <w:jc w:val="both"/>
              <w:rPr>
                <w:rFonts w:ascii="Traditional Arabic" w:eastAsia="Times New Roman" w:hAnsi="Traditional Arabic" w:cs="Traditional Arabic"/>
                <w:sz w:val="32"/>
                <w:szCs w:val="32"/>
              </w:rPr>
            </w:pPr>
            <w:r w:rsidRPr="00E7392A">
              <w:rPr>
                <w:rFonts w:ascii="Traditional Arabic" w:eastAsia="Times New Roman" w:hAnsi="Traditional Arabic" w:cs="Traditional Arabic"/>
                <w:sz w:val="32"/>
                <w:szCs w:val="32"/>
              </w:rPr>
              <w:t>28.6%</w:t>
            </w:r>
          </w:p>
        </w:tc>
        <w:tc>
          <w:tcPr>
            <w:tcW w:w="0" w:type="auto"/>
            <w:hideMark/>
          </w:tcPr>
          <w:p w14:paraId="25F22CAC" w14:textId="77777777" w:rsidR="00E7392A" w:rsidRPr="00E7392A" w:rsidRDefault="00E7392A" w:rsidP="00E7392A">
            <w:pPr>
              <w:bidi/>
              <w:spacing w:before="100" w:beforeAutospacing="1" w:after="100" w:afterAutospacing="1" w:line="360" w:lineRule="auto"/>
              <w:jc w:val="both"/>
              <w:rPr>
                <w:rFonts w:ascii="Traditional Arabic" w:eastAsia="Times New Roman" w:hAnsi="Traditional Arabic" w:cs="Traditional Arabic"/>
                <w:sz w:val="32"/>
                <w:szCs w:val="32"/>
              </w:rPr>
            </w:pPr>
            <w:r w:rsidRPr="00E7392A">
              <w:rPr>
                <w:rFonts w:ascii="Traditional Arabic" w:eastAsia="Times New Roman" w:hAnsi="Traditional Arabic" w:cs="Traditional Arabic"/>
                <w:sz w:val="32"/>
                <w:szCs w:val="32"/>
              </w:rPr>
              <w:t>57</w:t>
            </w:r>
          </w:p>
        </w:tc>
      </w:tr>
      <w:tr w:rsidR="00E7392A" w:rsidRPr="00E7392A" w14:paraId="3D63DF86" w14:textId="77777777" w:rsidTr="00E7392A">
        <w:tc>
          <w:tcPr>
            <w:tcW w:w="0" w:type="auto"/>
            <w:hideMark/>
          </w:tcPr>
          <w:p w14:paraId="1B06AA68" w14:textId="77777777" w:rsidR="00E7392A" w:rsidRPr="00E7392A" w:rsidRDefault="00E7392A" w:rsidP="00E7392A">
            <w:pPr>
              <w:bidi/>
              <w:spacing w:before="100" w:beforeAutospacing="1" w:after="100" w:afterAutospacing="1" w:line="360" w:lineRule="auto"/>
              <w:jc w:val="both"/>
              <w:rPr>
                <w:rFonts w:ascii="Traditional Arabic" w:eastAsia="Times New Roman" w:hAnsi="Traditional Arabic" w:cs="Traditional Arabic"/>
                <w:sz w:val="32"/>
                <w:szCs w:val="32"/>
              </w:rPr>
            </w:pPr>
            <w:r w:rsidRPr="00E7392A">
              <w:rPr>
                <w:rFonts w:ascii="Traditional Arabic" w:eastAsia="Times New Roman" w:hAnsi="Traditional Arabic" w:cs="Traditional Arabic"/>
                <w:sz w:val="32"/>
                <w:szCs w:val="32"/>
                <w:rtl/>
              </w:rPr>
              <w:t>الموظفون الإداريون</w:t>
            </w:r>
          </w:p>
        </w:tc>
        <w:tc>
          <w:tcPr>
            <w:tcW w:w="0" w:type="auto"/>
            <w:hideMark/>
          </w:tcPr>
          <w:p w14:paraId="69C42734" w14:textId="77777777" w:rsidR="00E7392A" w:rsidRPr="00E7392A" w:rsidRDefault="00E7392A" w:rsidP="00E7392A">
            <w:pPr>
              <w:bidi/>
              <w:spacing w:before="100" w:beforeAutospacing="1" w:after="100" w:afterAutospacing="1" w:line="360" w:lineRule="auto"/>
              <w:jc w:val="both"/>
              <w:rPr>
                <w:rFonts w:ascii="Traditional Arabic" w:eastAsia="Times New Roman" w:hAnsi="Traditional Arabic" w:cs="Traditional Arabic"/>
                <w:sz w:val="32"/>
                <w:szCs w:val="32"/>
              </w:rPr>
            </w:pPr>
            <w:r w:rsidRPr="00E7392A">
              <w:rPr>
                <w:rFonts w:ascii="Traditional Arabic" w:eastAsia="Times New Roman" w:hAnsi="Traditional Arabic" w:cs="Traditional Arabic"/>
                <w:sz w:val="32"/>
                <w:szCs w:val="32"/>
              </w:rPr>
              <w:t>160</w:t>
            </w:r>
          </w:p>
        </w:tc>
        <w:tc>
          <w:tcPr>
            <w:tcW w:w="0" w:type="auto"/>
            <w:hideMark/>
          </w:tcPr>
          <w:p w14:paraId="2520E469" w14:textId="77777777" w:rsidR="00E7392A" w:rsidRPr="00E7392A" w:rsidRDefault="00E7392A" w:rsidP="00E7392A">
            <w:pPr>
              <w:bidi/>
              <w:spacing w:before="100" w:beforeAutospacing="1" w:after="100" w:afterAutospacing="1" w:line="360" w:lineRule="auto"/>
              <w:jc w:val="both"/>
              <w:rPr>
                <w:rFonts w:ascii="Traditional Arabic" w:eastAsia="Times New Roman" w:hAnsi="Traditional Arabic" w:cs="Traditional Arabic"/>
                <w:sz w:val="32"/>
                <w:szCs w:val="32"/>
              </w:rPr>
            </w:pPr>
            <w:r w:rsidRPr="00E7392A">
              <w:rPr>
                <w:rFonts w:ascii="Traditional Arabic" w:eastAsia="Times New Roman" w:hAnsi="Traditional Arabic" w:cs="Traditional Arabic"/>
                <w:sz w:val="32"/>
                <w:szCs w:val="32"/>
              </w:rPr>
              <w:t>38.1%</w:t>
            </w:r>
          </w:p>
        </w:tc>
        <w:tc>
          <w:tcPr>
            <w:tcW w:w="0" w:type="auto"/>
            <w:hideMark/>
          </w:tcPr>
          <w:p w14:paraId="79E766E9" w14:textId="77777777" w:rsidR="00E7392A" w:rsidRPr="00E7392A" w:rsidRDefault="00E7392A" w:rsidP="00E7392A">
            <w:pPr>
              <w:bidi/>
              <w:spacing w:before="100" w:beforeAutospacing="1" w:after="100" w:afterAutospacing="1" w:line="360" w:lineRule="auto"/>
              <w:jc w:val="both"/>
              <w:rPr>
                <w:rFonts w:ascii="Traditional Arabic" w:eastAsia="Times New Roman" w:hAnsi="Traditional Arabic" w:cs="Traditional Arabic"/>
                <w:sz w:val="32"/>
                <w:szCs w:val="32"/>
              </w:rPr>
            </w:pPr>
            <w:r w:rsidRPr="00E7392A">
              <w:rPr>
                <w:rFonts w:ascii="Traditional Arabic" w:eastAsia="Times New Roman" w:hAnsi="Traditional Arabic" w:cs="Traditional Arabic"/>
                <w:sz w:val="32"/>
                <w:szCs w:val="32"/>
              </w:rPr>
              <w:t>77</w:t>
            </w:r>
          </w:p>
        </w:tc>
      </w:tr>
      <w:tr w:rsidR="00E7392A" w:rsidRPr="00E7392A" w14:paraId="49C3330A" w14:textId="77777777" w:rsidTr="00E7392A">
        <w:tc>
          <w:tcPr>
            <w:tcW w:w="0" w:type="auto"/>
            <w:hideMark/>
          </w:tcPr>
          <w:p w14:paraId="3B82DA4B" w14:textId="77777777" w:rsidR="00E7392A" w:rsidRPr="00E7392A" w:rsidRDefault="00E7392A" w:rsidP="00E7392A">
            <w:pPr>
              <w:bidi/>
              <w:spacing w:before="100" w:beforeAutospacing="1" w:after="100" w:afterAutospacing="1" w:line="360" w:lineRule="auto"/>
              <w:jc w:val="both"/>
              <w:rPr>
                <w:rFonts w:ascii="Traditional Arabic" w:eastAsia="Times New Roman" w:hAnsi="Traditional Arabic" w:cs="Traditional Arabic"/>
                <w:sz w:val="32"/>
                <w:szCs w:val="32"/>
              </w:rPr>
            </w:pPr>
            <w:r w:rsidRPr="00E7392A">
              <w:rPr>
                <w:rFonts w:ascii="Traditional Arabic" w:eastAsia="Times New Roman" w:hAnsi="Traditional Arabic" w:cs="Traditional Arabic"/>
                <w:sz w:val="32"/>
                <w:szCs w:val="32"/>
                <w:rtl/>
              </w:rPr>
              <w:t xml:space="preserve">موظفو الخدمات </w:t>
            </w:r>
            <w:r w:rsidRPr="00E7392A">
              <w:rPr>
                <w:rFonts w:ascii="Traditional Arabic" w:eastAsia="Times New Roman" w:hAnsi="Traditional Arabic" w:cs="Traditional Arabic"/>
                <w:sz w:val="32"/>
                <w:szCs w:val="32"/>
                <w:rtl/>
              </w:rPr>
              <w:lastRenderedPageBreak/>
              <w:t>المساندة</w:t>
            </w:r>
          </w:p>
        </w:tc>
        <w:tc>
          <w:tcPr>
            <w:tcW w:w="0" w:type="auto"/>
            <w:hideMark/>
          </w:tcPr>
          <w:p w14:paraId="25FD3515" w14:textId="77777777" w:rsidR="00E7392A" w:rsidRPr="00E7392A" w:rsidRDefault="00E7392A" w:rsidP="00E7392A">
            <w:pPr>
              <w:bidi/>
              <w:spacing w:before="100" w:beforeAutospacing="1" w:after="100" w:afterAutospacing="1" w:line="360" w:lineRule="auto"/>
              <w:jc w:val="both"/>
              <w:rPr>
                <w:rFonts w:ascii="Traditional Arabic" w:eastAsia="Times New Roman" w:hAnsi="Traditional Arabic" w:cs="Traditional Arabic"/>
                <w:sz w:val="32"/>
                <w:szCs w:val="32"/>
              </w:rPr>
            </w:pPr>
            <w:r w:rsidRPr="00E7392A">
              <w:rPr>
                <w:rFonts w:ascii="Traditional Arabic" w:eastAsia="Times New Roman" w:hAnsi="Traditional Arabic" w:cs="Traditional Arabic"/>
                <w:sz w:val="32"/>
                <w:szCs w:val="32"/>
              </w:rPr>
              <w:lastRenderedPageBreak/>
              <w:t>70</w:t>
            </w:r>
          </w:p>
        </w:tc>
        <w:tc>
          <w:tcPr>
            <w:tcW w:w="0" w:type="auto"/>
            <w:hideMark/>
          </w:tcPr>
          <w:p w14:paraId="7DEA2531" w14:textId="77777777" w:rsidR="00E7392A" w:rsidRPr="00E7392A" w:rsidRDefault="00E7392A" w:rsidP="00E7392A">
            <w:pPr>
              <w:bidi/>
              <w:spacing w:before="100" w:beforeAutospacing="1" w:after="100" w:afterAutospacing="1" w:line="360" w:lineRule="auto"/>
              <w:jc w:val="both"/>
              <w:rPr>
                <w:rFonts w:ascii="Traditional Arabic" w:eastAsia="Times New Roman" w:hAnsi="Traditional Arabic" w:cs="Traditional Arabic"/>
                <w:sz w:val="32"/>
                <w:szCs w:val="32"/>
              </w:rPr>
            </w:pPr>
            <w:r w:rsidRPr="00E7392A">
              <w:rPr>
                <w:rFonts w:ascii="Traditional Arabic" w:eastAsia="Times New Roman" w:hAnsi="Traditional Arabic" w:cs="Traditional Arabic"/>
                <w:sz w:val="32"/>
                <w:szCs w:val="32"/>
              </w:rPr>
              <w:t>16.7%</w:t>
            </w:r>
          </w:p>
        </w:tc>
        <w:tc>
          <w:tcPr>
            <w:tcW w:w="0" w:type="auto"/>
            <w:hideMark/>
          </w:tcPr>
          <w:p w14:paraId="1AA1BC58" w14:textId="77777777" w:rsidR="00E7392A" w:rsidRPr="00E7392A" w:rsidRDefault="00E7392A" w:rsidP="00E7392A">
            <w:pPr>
              <w:bidi/>
              <w:spacing w:before="100" w:beforeAutospacing="1" w:after="100" w:afterAutospacing="1" w:line="360" w:lineRule="auto"/>
              <w:jc w:val="both"/>
              <w:rPr>
                <w:rFonts w:ascii="Traditional Arabic" w:eastAsia="Times New Roman" w:hAnsi="Traditional Arabic" w:cs="Traditional Arabic"/>
                <w:sz w:val="32"/>
                <w:szCs w:val="32"/>
              </w:rPr>
            </w:pPr>
            <w:r w:rsidRPr="00E7392A">
              <w:rPr>
                <w:rFonts w:ascii="Traditional Arabic" w:eastAsia="Times New Roman" w:hAnsi="Traditional Arabic" w:cs="Traditional Arabic"/>
                <w:sz w:val="32"/>
                <w:szCs w:val="32"/>
              </w:rPr>
              <w:t>34</w:t>
            </w:r>
          </w:p>
        </w:tc>
      </w:tr>
      <w:tr w:rsidR="00E7392A" w:rsidRPr="00E7392A" w14:paraId="428F250E" w14:textId="77777777" w:rsidTr="00E7392A">
        <w:tc>
          <w:tcPr>
            <w:tcW w:w="0" w:type="auto"/>
            <w:hideMark/>
          </w:tcPr>
          <w:p w14:paraId="6089F3E0" w14:textId="77777777" w:rsidR="00E7392A" w:rsidRPr="00E7392A" w:rsidRDefault="00E7392A" w:rsidP="00E7392A">
            <w:pPr>
              <w:bidi/>
              <w:spacing w:before="100" w:beforeAutospacing="1" w:after="100" w:afterAutospacing="1" w:line="360" w:lineRule="auto"/>
              <w:jc w:val="both"/>
              <w:rPr>
                <w:rFonts w:ascii="Traditional Arabic" w:eastAsia="Times New Roman" w:hAnsi="Traditional Arabic" w:cs="Traditional Arabic"/>
                <w:sz w:val="32"/>
                <w:szCs w:val="32"/>
              </w:rPr>
            </w:pPr>
            <w:r w:rsidRPr="00E7392A">
              <w:rPr>
                <w:rFonts w:ascii="Traditional Arabic" w:eastAsia="Times New Roman" w:hAnsi="Traditional Arabic" w:cs="Traditional Arabic"/>
                <w:b/>
                <w:bCs/>
                <w:sz w:val="32"/>
                <w:szCs w:val="32"/>
                <w:rtl/>
              </w:rPr>
              <w:t>المجموع</w:t>
            </w:r>
          </w:p>
        </w:tc>
        <w:tc>
          <w:tcPr>
            <w:tcW w:w="0" w:type="auto"/>
            <w:hideMark/>
          </w:tcPr>
          <w:p w14:paraId="275DD223" w14:textId="77777777" w:rsidR="00E7392A" w:rsidRPr="00E7392A" w:rsidRDefault="00E7392A" w:rsidP="00E7392A">
            <w:pPr>
              <w:bidi/>
              <w:spacing w:before="100" w:beforeAutospacing="1" w:after="100" w:afterAutospacing="1" w:line="360" w:lineRule="auto"/>
              <w:jc w:val="both"/>
              <w:rPr>
                <w:rFonts w:ascii="Traditional Arabic" w:eastAsia="Times New Roman" w:hAnsi="Traditional Arabic" w:cs="Traditional Arabic"/>
                <w:sz w:val="32"/>
                <w:szCs w:val="32"/>
              </w:rPr>
            </w:pPr>
            <w:r w:rsidRPr="00E7392A">
              <w:rPr>
                <w:rFonts w:ascii="Traditional Arabic" w:eastAsia="Times New Roman" w:hAnsi="Traditional Arabic" w:cs="Traditional Arabic"/>
                <w:b/>
                <w:bCs/>
                <w:sz w:val="32"/>
                <w:szCs w:val="32"/>
              </w:rPr>
              <w:t>420</w:t>
            </w:r>
          </w:p>
        </w:tc>
        <w:tc>
          <w:tcPr>
            <w:tcW w:w="0" w:type="auto"/>
            <w:hideMark/>
          </w:tcPr>
          <w:p w14:paraId="5553428F" w14:textId="77777777" w:rsidR="00E7392A" w:rsidRPr="00E7392A" w:rsidRDefault="00E7392A" w:rsidP="00E7392A">
            <w:pPr>
              <w:bidi/>
              <w:spacing w:before="100" w:beforeAutospacing="1" w:after="100" w:afterAutospacing="1" w:line="360" w:lineRule="auto"/>
              <w:jc w:val="both"/>
              <w:rPr>
                <w:rFonts w:ascii="Traditional Arabic" w:eastAsia="Times New Roman" w:hAnsi="Traditional Arabic" w:cs="Traditional Arabic"/>
                <w:sz w:val="32"/>
                <w:szCs w:val="32"/>
              </w:rPr>
            </w:pPr>
            <w:r w:rsidRPr="00E7392A">
              <w:rPr>
                <w:rFonts w:ascii="Traditional Arabic" w:eastAsia="Times New Roman" w:hAnsi="Traditional Arabic" w:cs="Traditional Arabic"/>
                <w:b/>
                <w:bCs/>
                <w:sz w:val="32"/>
                <w:szCs w:val="32"/>
              </w:rPr>
              <w:t>100%</w:t>
            </w:r>
          </w:p>
        </w:tc>
        <w:tc>
          <w:tcPr>
            <w:tcW w:w="0" w:type="auto"/>
            <w:hideMark/>
          </w:tcPr>
          <w:p w14:paraId="762D4A7A" w14:textId="77777777" w:rsidR="00E7392A" w:rsidRPr="00E7392A" w:rsidRDefault="00E7392A" w:rsidP="00E7392A">
            <w:pPr>
              <w:bidi/>
              <w:spacing w:before="100" w:beforeAutospacing="1" w:after="100" w:afterAutospacing="1" w:line="360" w:lineRule="auto"/>
              <w:jc w:val="both"/>
              <w:rPr>
                <w:rFonts w:ascii="Traditional Arabic" w:eastAsia="Times New Roman" w:hAnsi="Traditional Arabic" w:cs="Traditional Arabic"/>
                <w:sz w:val="32"/>
                <w:szCs w:val="32"/>
              </w:rPr>
            </w:pPr>
            <w:r w:rsidRPr="00E7392A">
              <w:rPr>
                <w:rFonts w:ascii="Traditional Arabic" w:eastAsia="Times New Roman" w:hAnsi="Traditional Arabic" w:cs="Traditional Arabic"/>
                <w:b/>
                <w:bCs/>
                <w:sz w:val="32"/>
                <w:szCs w:val="32"/>
              </w:rPr>
              <w:t>201</w:t>
            </w:r>
          </w:p>
        </w:tc>
      </w:tr>
    </w:tbl>
    <w:p w14:paraId="088D51F2" w14:textId="77777777" w:rsidR="00E7392A" w:rsidRPr="00E7392A" w:rsidRDefault="00E7392A" w:rsidP="00E7392A">
      <w:pPr>
        <w:bidi/>
        <w:spacing w:before="100" w:beforeAutospacing="1" w:after="100" w:afterAutospacing="1" w:line="360" w:lineRule="auto"/>
        <w:jc w:val="both"/>
        <w:rPr>
          <w:rFonts w:ascii="Traditional Arabic" w:eastAsia="Times New Roman" w:hAnsi="Traditional Arabic" w:cs="Traditional Arabic"/>
          <w:sz w:val="32"/>
          <w:szCs w:val="32"/>
        </w:rPr>
      </w:pPr>
      <w:r w:rsidRPr="00E7392A">
        <w:rPr>
          <w:rFonts w:ascii="Traditional Arabic" w:eastAsia="Times New Roman" w:hAnsi="Traditional Arabic" w:cs="Traditional Arabic"/>
          <w:sz w:val="32"/>
          <w:szCs w:val="32"/>
          <w:rtl/>
        </w:rPr>
        <w:t>وبذلك جمعت الدراسة بين تحديد حجم العينة في ضوء حجم مجتمع الدراسة باستخدام جدول كريجسي ومورغان، والتحقق من كفايتها إحصائيًا باستخدام تحليل القوة عبر برنامج</w:t>
      </w:r>
      <w:r w:rsidRPr="00E7392A">
        <w:rPr>
          <w:rFonts w:ascii="Traditional Arabic" w:eastAsia="Times New Roman" w:hAnsi="Traditional Arabic" w:cs="Traditional Arabic"/>
          <w:sz w:val="32"/>
          <w:szCs w:val="32"/>
        </w:rPr>
        <w:t xml:space="preserve"> G*Power</w:t>
      </w:r>
      <w:r w:rsidRPr="00E7392A">
        <w:rPr>
          <w:rFonts w:ascii="Traditional Arabic" w:eastAsia="Times New Roman" w:hAnsi="Traditional Arabic" w:cs="Traditional Arabic"/>
          <w:sz w:val="32"/>
          <w:szCs w:val="32"/>
          <w:rtl/>
        </w:rPr>
        <w:t>، إلى جانب تطبيق أسلوب العينة الطبقية العشوائية بما يضمن تمثيل مختلف الفئات الوظيفية في مجتمع الدراسة</w:t>
      </w:r>
      <w:r w:rsidRPr="00E7392A">
        <w:rPr>
          <w:rFonts w:ascii="Traditional Arabic" w:eastAsia="Times New Roman" w:hAnsi="Traditional Arabic" w:cs="Traditional Arabic"/>
          <w:sz w:val="32"/>
          <w:szCs w:val="32"/>
        </w:rPr>
        <w:t>.</w:t>
      </w:r>
    </w:p>
    <w:p w14:paraId="3C683970" w14:textId="3CFC6C95" w:rsidR="0025309F" w:rsidRPr="00E7392A" w:rsidRDefault="0025309F" w:rsidP="0025309F">
      <w:pPr>
        <w:bidi/>
        <w:spacing w:before="100" w:beforeAutospacing="1" w:after="100" w:afterAutospacing="1" w:line="360" w:lineRule="auto"/>
        <w:jc w:val="both"/>
        <w:rPr>
          <w:rFonts w:ascii="Traditional Arabic" w:eastAsia="Times New Roman" w:hAnsi="Traditional Arabic" w:cs="Traditional Arabic"/>
          <w:b/>
          <w:bCs/>
          <w:sz w:val="36"/>
          <w:szCs w:val="36"/>
          <w:rtl/>
          <w:lang w:bidi="ar-JO"/>
        </w:rPr>
      </w:pPr>
    </w:p>
    <w:p w14:paraId="05705056" w14:textId="77777777" w:rsidR="0025309F" w:rsidRPr="0025309F" w:rsidRDefault="0025309F" w:rsidP="0025309F">
      <w:pPr>
        <w:bidi/>
        <w:spacing w:before="100" w:beforeAutospacing="1" w:after="100" w:afterAutospacing="1" w:line="360" w:lineRule="auto"/>
        <w:jc w:val="both"/>
        <w:rPr>
          <w:rFonts w:ascii="Traditional Arabic" w:eastAsia="Times New Roman" w:hAnsi="Traditional Arabic" w:cs="Traditional Arabic"/>
          <w:b/>
          <w:bCs/>
          <w:sz w:val="32"/>
          <w:szCs w:val="32"/>
          <w:rtl/>
        </w:rPr>
      </w:pPr>
      <w:r w:rsidRPr="0025309F">
        <w:rPr>
          <w:rFonts w:ascii="Traditional Arabic" w:eastAsia="Times New Roman" w:hAnsi="Traditional Arabic" w:cs="Traditional Arabic"/>
          <w:b/>
          <w:bCs/>
          <w:sz w:val="32"/>
          <w:szCs w:val="32"/>
          <w:rtl/>
        </w:rPr>
        <w:t>3.5 متغيرات الدراس</w:t>
      </w:r>
      <w:r w:rsidRPr="0025309F">
        <w:rPr>
          <w:rFonts w:ascii="Traditional Arabic" w:eastAsia="Times New Roman" w:hAnsi="Traditional Arabic" w:cs="Traditional Arabic" w:hint="cs"/>
          <w:b/>
          <w:bCs/>
          <w:sz w:val="32"/>
          <w:szCs w:val="32"/>
          <w:rtl/>
        </w:rPr>
        <w:t>ة</w:t>
      </w:r>
    </w:p>
    <w:p w14:paraId="09E085F8" w14:textId="77777777" w:rsidR="00F5595F" w:rsidRPr="00F5595F" w:rsidRDefault="00F5595F" w:rsidP="00F5595F">
      <w:pPr>
        <w:bidi/>
        <w:spacing w:before="100" w:beforeAutospacing="1" w:after="100" w:afterAutospacing="1" w:line="360" w:lineRule="auto"/>
        <w:jc w:val="both"/>
        <w:rPr>
          <w:rFonts w:ascii="Traditional Arabic" w:eastAsia="Times New Roman" w:hAnsi="Traditional Arabic" w:cs="Traditional Arabic"/>
          <w:sz w:val="32"/>
          <w:szCs w:val="32"/>
        </w:rPr>
      </w:pPr>
      <w:r w:rsidRPr="00F5595F">
        <w:rPr>
          <w:rFonts w:ascii="Traditional Arabic" w:eastAsia="Times New Roman" w:hAnsi="Traditional Arabic" w:cs="Traditional Arabic"/>
          <w:sz w:val="32"/>
          <w:szCs w:val="32"/>
          <w:rtl/>
        </w:rPr>
        <w:t>استنادًا إلى مشكلة الدراسة، وأهدافها، وأسئلتها، وفرضياتها، والإطار النظري، والدراسات السابقة ذات الصلة، اشتملت الدراسة الحالية على ثلاثة متغيرات رئيسة، هي: استراتيجيات مواجهة ضغوط العمل بوصفها المتغير المستقل، والاحتراق الوظيفي بوصفه المتغير الوسيط، والرضا الوظيفي بوصفه المتغير التابع. ويهدف هذا البناء إلى تحليل العلاقات المباشرة بين أبعاد استراتيجيات مواجهة ضغوط العمل وكل من الاحتراق الوظيفي والرضا الوظيفي، إضافة إلى اختبار الدور الوسيط للاحتراق الوظيفي في العلاقة بين كل بُعد من أبعاد استراتيجيات مواجهة ضغوط العمل والرضا الوظيفي لدى العاملين بمحكمة الأحوال الشخصية بمدينة جدة</w:t>
      </w:r>
      <w:r w:rsidRPr="00F5595F">
        <w:rPr>
          <w:rFonts w:ascii="Traditional Arabic" w:eastAsia="Times New Roman" w:hAnsi="Traditional Arabic" w:cs="Traditional Arabic"/>
          <w:sz w:val="32"/>
          <w:szCs w:val="32"/>
        </w:rPr>
        <w:t>.</w:t>
      </w:r>
    </w:p>
    <w:p w14:paraId="0580364A" w14:textId="77777777" w:rsidR="00F5595F" w:rsidRPr="00F5595F" w:rsidRDefault="00F5595F" w:rsidP="00F5595F">
      <w:pPr>
        <w:bidi/>
        <w:spacing w:before="100" w:beforeAutospacing="1" w:after="100" w:afterAutospacing="1" w:line="360" w:lineRule="auto"/>
        <w:ind w:left="720"/>
        <w:jc w:val="both"/>
        <w:rPr>
          <w:rFonts w:ascii="Traditional Arabic" w:eastAsia="Times New Roman" w:hAnsi="Traditional Arabic" w:cs="Traditional Arabic"/>
          <w:sz w:val="32"/>
          <w:szCs w:val="32"/>
        </w:rPr>
      </w:pPr>
      <w:r w:rsidRPr="00F5595F">
        <w:rPr>
          <w:rFonts w:ascii="Traditional Arabic" w:eastAsia="Times New Roman" w:hAnsi="Traditional Arabic" w:cs="Traditional Arabic"/>
          <w:b/>
          <w:bCs/>
          <w:sz w:val="32"/>
          <w:szCs w:val="32"/>
          <w:rtl/>
        </w:rPr>
        <w:t>أولاً: المتغير المستقل: استراتيجيات مواجهة ضغوط العمل</w:t>
      </w:r>
    </w:p>
    <w:p w14:paraId="22AF7B64" w14:textId="77777777" w:rsidR="00F5595F" w:rsidRPr="00F5595F" w:rsidRDefault="00F5595F" w:rsidP="00F5595F">
      <w:pPr>
        <w:bidi/>
        <w:spacing w:before="100" w:beforeAutospacing="1" w:after="100" w:afterAutospacing="1" w:line="360" w:lineRule="auto"/>
        <w:jc w:val="both"/>
        <w:rPr>
          <w:rFonts w:ascii="Traditional Arabic" w:eastAsia="Times New Roman" w:hAnsi="Traditional Arabic" w:cs="Traditional Arabic"/>
          <w:sz w:val="32"/>
          <w:szCs w:val="32"/>
        </w:rPr>
      </w:pPr>
      <w:r w:rsidRPr="00F5595F">
        <w:rPr>
          <w:rFonts w:ascii="Traditional Arabic" w:eastAsia="Times New Roman" w:hAnsi="Traditional Arabic" w:cs="Traditional Arabic"/>
          <w:sz w:val="32"/>
          <w:szCs w:val="32"/>
          <w:rtl/>
        </w:rPr>
        <w:lastRenderedPageBreak/>
        <w:t>يتمثل المتغير المستقل في استراتيجيات مواجهة ضغوط العمل، ويقصد بها الأساليب والسلوكيات التي يستخدمها العاملون للتعامل مع المواقف والضغوط المرتبطة بالعمل. وقد تم قياس هذا المتغير من خلال أربعة أبعاد رئيسة، هي</w:t>
      </w:r>
      <w:r w:rsidRPr="00F5595F">
        <w:rPr>
          <w:rFonts w:ascii="Traditional Arabic" w:eastAsia="Times New Roman" w:hAnsi="Traditional Arabic" w:cs="Traditional Arabic"/>
          <w:sz w:val="32"/>
          <w:szCs w:val="32"/>
        </w:rPr>
        <w:t>:</w:t>
      </w:r>
    </w:p>
    <w:p w14:paraId="411D823F" w14:textId="77777777" w:rsidR="00F5595F" w:rsidRPr="00F5595F" w:rsidRDefault="00F5595F" w:rsidP="00F5595F">
      <w:pPr>
        <w:numPr>
          <w:ilvl w:val="0"/>
          <w:numId w:val="36"/>
        </w:numPr>
        <w:bidi/>
        <w:spacing w:before="100" w:beforeAutospacing="1" w:after="100" w:afterAutospacing="1" w:line="360" w:lineRule="auto"/>
        <w:jc w:val="both"/>
        <w:rPr>
          <w:rFonts w:ascii="Traditional Arabic" w:eastAsia="Times New Roman" w:hAnsi="Traditional Arabic" w:cs="Traditional Arabic"/>
          <w:sz w:val="32"/>
          <w:szCs w:val="32"/>
        </w:rPr>
      </w:pPr>
      <w:r w:rsidRPr="00F5595F">
        <w:rPr>
          <w:rFonts w:ascii="Traditional Arabic" w:eastAsia="Times New Roman" w:hAnsi="Traditional Arabic" w:cs="Traditional Arabic"/>
          <w:sz w:val="32"/>
          <w:szCs w:val="32"/>
          <w:rtl/>
        </w:rPr>
        <w:t>استراتيجية حل المشكلات</w:t>
      </w:r>
      <w:r w:rsidRPr="00F5595F">
        <w:rPr>
          <w:rFonts w:ascii="Traditional Arabic" w:eastAsia="Times New Roman" w:hAnsi="Traditional Arabic" w:cs="Traditional Arabic"/>
          <w:sz w:val="32"/>
          <w:szCs w:val="32"/>
        </w:rPr>
        <w:t>.</w:t>
      </w:r>
    </w:p>
    <w:p w14:paraId="241A7957" w14:textId="77777777" w:rsidR="00F5595F" w:rsidRPr="00F5595F" w:rsidRDefault="00F5595F" w:rsidP="00F5595F">
      <w:pPr>
        <w:numPr>
          <w:ilvl w:val="0"/>
          <w:numId w:val="36"/>
        </w:numPr>
        <w:bidi/>
        <w:spacing w:before="100" w:beforeAutospacing="1" w:after="100" w:afterAutospacing="1" w:line="360" w:lineRule="auto"/>
        <w:jc w:val="both"/>
        <w:rPr>
          <w:rFonts w:ascii="Traditional Arabic" w:eastAsia="Times New Roman" w:hAnsi="Traditional Arabic" w:cs="Traditional Arabic"/>
          <w:sz w:val="32"/>
          <w:szCs w:val="32"/>
        </w:rPr>
      </w:pPr>
      <w:r w:rsidRPr="00F5595F">
        <w:rPr>
          <w:rFonts w:ascii="Traditional Arabic" w:eastAsia="Times New Roman" w:hAnsi="Traditional Arabic" w:cs="Traditional Arabic"/>
          <w:sz w:val="32"/>
          <w:szCs w:val="32"/>
          <w:rtl/>
        </w:rPr>
        <w:t>استراتيجية طلب الدعم الاجتماعي</w:t>
      </w:r>
      <w:r w:rsidRPr="00F5595F">
        <w:rPr>
          <w:rFonts w:ascii="Traditional Arabic" w:eastAsia="Times New Roman" w:hAnsi="Traditional Arabic" w:cs="Traditional Arabic"/>
          <w:sz w:val="32"/>
          <w:szCs w:val="32"/>
        </w:rPr>
        <w:t>.</w:t>
      </w:r>
    </w:p>
    <w:p w14:paraId="26ADB8E7" w14:textId="77777777" w:rsidR="00F5595F" w:rsidRPr="00F5595F" w:rsidRDefault="00F5595F" w:rsidP="00F5595F">
      <w:pPr>
        <w:numPr>
          <w:ilvl w:val="0"/>
          <w:numId w:val="36"/>
        </w:numPr>
        <w:bidi/>
        <w:spacing w:before="100" w:beforeAutospacing="1" w:after="100" w:afterAutospacing="1" w:line="360" w:lineRule="auto"/>
        <w:jc w:val="both"/>
        <w:rPr>
          <w:rFonts w:ascii="Traditional Arabic" w:eastAsia="Times New Roman" w:hAnsi="Traditional Arabic" w:cs="Traditional Arabic"/>
          <w:sz w:val="32"/>
          <w:szCs w:val="32"/>
        </w:rPr>
      </w:pPr>
      <w:r w:rsidRPr="00F5595F">
        <w:rPr>
          <w:rFonts w:ascii="Traditional Arabic" w:eastAsia="Times New Roman" w:hAnsi="Traditional Arabic" w:cs="Traditional Arabic"/>
          <w:sz w:val="32"/>
          <w:szCs w:val="32"/>
          <w:rtl/>
        </w:rPr>
        <w:t>استراتيجية التجنب</w:t>
      </w:r>
      <w:r w:rsidRPr="00F5595F">
        <w:rPr>
          <w:rFonts w:ascii="Traditional Arabic" w:eastAsia="Times New Roman" w:hAnsi="Traditional Arabic" w:cs="Traditional Arabic"/>
          <w:sz w:val="32"/>
          <w:szCs w:val="32"/>
        </w:rPr>
        <w:t>.</w:t>
      </w:r>
    </w:p>
    <w:p w14:paraId="719B3588" w14:textId="77777777" w:rsidR="00F5595F" w:rsidRPr="00F5595F" w:rsidRDefault="00F5595F" w:rsidP="00F5595F">
      <w:pPr>
        <w:numPr>
          <w:ilvl w:val="0"/>
          <w:numId w:val="36"/>
        </w:numPr>
        <w:bidi/>
        <w:spacing w:before="100" w:beforeAutospacing="1" w:after="100" w:afterAutospacing="1" w:line="360" w:lineRule="auto"/>
        <w:jc w:val="both"/>
        <w:rPr>
          <w:rFonts w:ascii="Traditional Arabic" w:eastAsia="Times New Roman" w:hAnsi="Traditional Arabic" w:cs="Traditional Arabic"/>
          <w:sz w:val="32"/>
          <w:szCs w:val="32"/>
        </w:rPr>
      </w:pPr>
      <w:r w:rsidRPr="00F5595F">
        <w:rPr>
          <w:rFonts w:ascii="Traditional Arabic" w:eastAsia="Times New Roman" w:hAnsi="Traditional Arabic" w:cs="Traditional Arabic"/>
          <w:sz w:val="32"/>
          <w:szCs w:val="32"/>
          <w:rtl/>
        </w:rPr>
        <w:t>استراتيجية الانسحاب</w:t>
      </w:r>
      <w:r w:rsidRPr="00F5595F">
        <w:rPr>
          <w:rFonts w:ascii="Traditional Arabic" w:eastAsia="Times New Roman" w:hAnsi="Traditional Arabic" w:cs="Traditional Arabic"/>
          <w:sz w:val="32"/>
          <w:szCs w:val="32"/>
        </w:rPr>
        <w:t>.</w:t>
      </w:r>
    </w:p>
    <w:p w14:paraId="3A21A076" w14:textId="77777777" w:rsidR="00F5595F" w:rsidRPr="00F5595F" w:rsidRDefault="00F5595F" w:rsidP="00F5595F">
      <w:pPr>
        <w:bidi/>
        <w:spacing w:before="100" w:beforeAutospacing="1" w:after="100" w:afterAutospacing="1" w:line="360" w:lineRule="auto"/>
        <w:jc w:val="both"/>
        <w:rPr>
          <w:rFonts w:ascii="Traditional Arabic" w:eastAsia="Times New Roman" w:hAnsi="Traditional Arabic" w:cs="Traditional Arabic"/>
          <w:sz w:val="32"/>
          <w:szCs w:val="32"/>
        </w:rPr>
      </w:pPr>
      <w:r w:rsidRPr="00F5595F">
        <w:rPr>
          <w:rFonts w:ascii="Traditional Arabic" w:eastAsia="Times New Roman" w:hAnsi="Traditional Arabic" w:cs="Traditional Arabic"/>
          <w:sz w:val="32"/>
          <w:szCs w:val="32"/>
          <w:rtl/>
        </w:rPr>
        <w:t>ونظرًا إلى أن هذه الأبعاد تمثل أنماطًا مختلفة من استراتيجيات المواجهة، فقد تم التعامل مع كل بُعد منها بصورة مستقلة في التحليل الإحصائي، بحيث تعكس الدرجة المرتفعة في كل بُعد ارتفاع مستوى استخدام الاستراتيجية التي يمثلها ذلك البُعد. وعليه، لم يتم دمج الأبعاد الأربعة في درجة كلية واحدة عند اختبار العلاقات والفرضيات، وإنما تم احتساب درجة مستقلة لكل من استراتيجية حل المشكلات، واستراتيجية طلب الدعم الاجتماعي، واستراتيجية التجنب، واستراتيجية الانسحاب</w:t>
      </w:r>
      <w:r w:rsidRPr="00F5595F">
        <w:rPr>
          <w:rFonts w:ascii="Traditional Arabic" w:eastAsia="Times New Roman" w:hAnsi="Traditional Arabic" w:cs="Traditional Arabic"/>
          <w:sz w:val="32"/>
          <w:szCs w:val="32"/>
        </w:rPr>
        <w:t>.</w:t>
      </w:r>
    </w:p>
    <w:p w14:paraId="3715B36C" w14:textId="77777777" w:rsidR="00F5595F" w:rsidRPr="00F5595F" w:rsidRDefault="00F5595F" w:rsidP="00F5595F">
      <w:pPr>
        <w:bidi/>
        <w:spacing w:before="100" w:beforeAutospacing="1" w:after="100" w:afterAutospacing="1" w:line="360" w:lineRule="auto"/>
        <w:jc w:val="both"/>
        <w:rPr>
          <w:rFonts w:ascii="Traditional Arabic" w:eastAsia="Times New Roman" w:hAnsi="Traditional Arabic" w:cs="Traditional Arabic"/>
          <w:sz w:val="32"/>
          <w:szCs w:val="32"/>
        </w:rPr>
      </w:pPr>
      <w:r w:rsidRPr="00F5595F">
        <w:rPr>
          <w:rFonts w:ascii="Traditional Arabic" w:eastAsia="Times New Roman" w:hAnsi="Traditional Arabic" w:cs="Traditional Arabic"/>
          <w:sz w:val="32"/>
          <w:szCs w:val="32"/>
          <w:rtl/>
        </w:rPr>
        <w:t>كما لم يتم عكس درجات بُعدي التجنب والانسحاب؛ لأن الفقرات المخصصة لهما تقيس مدى استخدام هاتين الاستراتيجيتين بصورة مباشرة، ولا تمثل فقرات عكسية لاستراتيجيتي حل المشكلات أو طلب الدعم الاجتماعي</w:t>
      </w:r>
      <w:r w:rsidRPr="00F5595F">
        <w:rPr>
          <w:rFonts w:ascii="Traditional Arabic" w:eastAsia="Times New Roman" w:hAnsi="Traditional Arabic" w:cs="Traditional Arabic"/>
          <w:sz w:val="32"/>
          <w:szCs w:val="32"/>
        </w:rPr>
        <w:t>.</w:t>
      </w:r>
    </w:p>
    <w:p w14:paraId="569106EE" w14:textId="77777777" w:rsidR="00F5595F" w:rsidRPr="00F5595F" w:rsidRDefault="00F5595F" w:rsidP="00F5595F">
      <w:pPr>
        <w:bidi/>
        <w:spacing w:before="100" w:beforeAutospacing="1" w:after="100" w:afterAutospacing="1" w:line="360" w:lineRule="auto"/>
        <w:ind w:left="720"/>
        <w:jc w:val="both"/>
        <w:rPr>
          <w:rFonts w:ascii="Traditional Arabic" w:eastAsia="Times New Roman" w:hAnsi="Traditional Arabic" w:cs="Traditional Arabic"/>
          <w:sz w:val="32"/>
          <w:szCs w:val="32"/>
        </w:rPr>
      </w:pPr>
      <w:r w:rsidRPr="00F5595F">
        <w:rPr>
          <w:rFonts w:ascii="Traditional Arabic" w:eastAsia="Times New Roman" w:hAnsi="Traditional Arabic" w:cs="Traditional Arabic"/>
          <w:b/>
          <w:bCs/>
          <w:sz w:val="32"/>
          <w:szCs w:val="32"/>
          <w:rtl/>
        </w:rPr>
        <w:t>ثانياً: المتغير الوسيط: الاحتراق الوظيفي</w:t>
      </w:r>
    </w:p>
    <w:p w14:paraId="14C3CA5B" w14:textId="77777777" w:rsidR="00F5595F" w:rsidRPr="00F5595F" w:rsidRDefault="00F5595F" w:rsidP="00F5595F">
      <w:pPr>
        <w:bidi/>
        <w:spacing w:before="100" w:beforeAutospacing="1" w:after="100" w:afterAutospacing="1" w:line="360" w:lineRule="auto"/>
        <w:jc w:val="both"/>
        <w:rPr>
          <w:rFonts w:ascii="Traditional Arabic" w:eastAsia="Times New Roman" w:hAnsi="Traditional Arabic" w:cs="Traditional Arabic"/>
          <w:sz w:val="32"/>
          <w:szCs w:val="32"/>
        </w:rPr>
      </w:pPr>
      <w:r w:rsidRPr="00F5595F">
        <w:rPr>
          <w:rFonts w:ascii="Traditional Arabic" w:eastAsia="Times New Roman" w:hAnsi="Traditional Arabic" w:cs="Traditional Arabic"/>
          <w:sz w:val="32"/>
          <w:szCs w:val="32"/>
          <w:rtl/>
        </w:rPr>
        <w:lastRenderedPageBreak/>
        <w:t>يتمثل المتغير الوسيط في الاحتراق الوظيفي، ويقصد به حالة الإجهاد والاستنزاف النفسي التي قد يتعرض لها العامل نتيجة الضغوط المهنية المستمرة. وتم قياسه من خلال ثلاثة أبعاد رئيسة، هي</w:t>
      </w:r>
      <w:r w:rsidRPr="00F5595F">
        <w:rPr>
          <w:rFonts w:ascii="Traditional Arabic" w:eastAsia="Times New Roman" w:hAnsi="Traditional Arabic" w:cs="Traditional Arabic"/>
          <w:sz w:val="32"/>
          <w:szCs w:val="32"/>
        </w:rPr>
        <w:t>:</w:t>
      </w:r>
    </w:p>
    <w:p w14:paraId="3636BC22" w14:textId="77777777" w:rsidR="00F5595F" w:rsidRPr="00F5595F" w:rsidRDefault="00F5595F" w:rsidP="00F5595F">
      <w:pPr>
        <w:numPr>
          <w:ilvl w:val="0"/>
          <w:numId w:val="37"/>
        </w:numPr>
        <w:bidi/>
        <w:spacing w:before="100" w:beforeAutospacing="1" w:after="100" w:afterAutospacing="1" w:line="360" w:lineRule="auto"/>
        <w:jc w:val="both"/>
        <w:rPr>
          <w:rFonts w:ascii="Traditional Arabic" w:eastAsia="Times New Roman" w:hAnsi="Traditional Arabic" w:cs="Traditional Arabic"/>
          <w:sz w:val="32"/>
          <w:szCs w:val="32"/>
        </w:rPr>
      </w:pPr>
      <w:r w:rsidRPr="00F5595F">
        <w:rPr>
          <w:rFonts w:ascii="Traditional Arabic" w:eastAsia="Times New Roman" w:hAnsi="Traditional Arabic" w:cs="Traditional Arabic"/>
          <w:sz w:val="32"/>
          <w:szCs w:val="32"/>
          <w:rtl/>
        </w:rPr>
        <w:t>الإنهاك العاطفي</w:t>
      </w:r>
      <w:r w:rsidRPr="00F5595F">
        <w:rPr>
          <w:rFonts w:ascii="Traditional Arabic" w:eastAsia="Times New Roman" w:hAnsi="Traditional Arabic" w:cs="Traditional Arabic"/>
          <w:sz w:val="32"/>
          <w:szCs w:val="32"/>
        </w:rPr>
        <w:t>.</w:t>
      </w:r>
    </w:p>
    <w:p w14:paraId="6CDC2B3B" w14:textId="77777777" w:rsidR="00F5595F" w:rsidRPr="00F5595F" w:rsidRDefault="00F5595F" w:rsidP="00F5595F">
      <w:pPr>
        <w:numPr>
          <w:ilvl w:val="0"/>
          <w:numId w:val="37"/>
        </w:numPr>
        <w:bidi/>
        <w:spacing w:before="100" w:beforeAutospacing="1" w:after="100" w:afterAutospacing="1" w:line="360" w:lineRule="auto"/>
        <w:jc w:val="both"/>
        <w:rPr>
          <w:rFonts w:ascii="Traditional Arabic" w:eastAsia="Times New Roman" w:hAnsi="Traditional Arabic" w:cs="Traditional Arabic"/>
          <w:sz w:val="32"/>
          <w:szCs w:val="32"/>
        </w:rPr>
      </w:pPr>
      <w:r w:rsidRPr="00F5595F">
        <w:rPr>
          <w:rFonts w:ascii="Traditional Arabic" w:eastAsia="Times New Roman" w:hAnsi="Traditional Arabic" w:cs="Traditional Arabic"/>
          <w:sz w:val="32"/>
          <w:szCs w:val="32"/>
          <w:rtl/>
        </w:rPr>
        <w:t>تبلد المشاعر</w:t>
      </w:r>
      <w:r w:rsidRPr="00F5595F">
        <w:rPr>
          <w:rFonts w:ascii="Traditional Arabic" w:eastAsia="Times New Roman" w:hAnsi="Traditional Arabic" w:cs="Traditional Arabic"/>
          <w:sz w:val="32"/>
          <w:szCs w:val="32"/>
        </w:rPr>
        <w:t>.</w:t>
      </w:r>
    </w:p>
    <w:p w14:paraId="55737031" w14:textId="77777777" w:rsidR="00F5595F" w:rsidRPr="00F5595F" w:rsidRDefault="00F5595F" w:rsidP="00F5595F">
      <w:pPr>
        <w:numPr>
          <w:ilvl w:val="0"/>
          <w:numId w:val="37"/>
        </w:numPr>
        <w:bidi/>
        <w:spacing w:before="100" w:beforeAutospacing="1" w:after="100" w:afterAutospacing="1" w:line="360" w:lineRule="auto"/>
        <w:jc w:val="both"/>
        <w:rPr>
          <w:rFonts w:ascii="Traditional Arabic" w:eastAsia="Times New Roman" w:hAnsi="Traditional Arabic" w:cs="Traditional Arabic"/>
          <w:sz w:val="32"/>
          <w:szCs w:val="32"/>
        </w:rPr>
      </w:pPr>
      <w:r w:rsidRPr="00F5595F">
        <w:rPr>
          <w:rFonts w:ascii="Traditional Arabic" w:eastAsia="Times New Roman" w:hAnsi="Traditional Arabic" w:cs="Traditional Arabic"/>
          <w:sz w:val="32"/>
          <w:szCs w:val="32"/>
          <w:rtl/>
        </w:rPr>
        <w:t>انخفاض الإنجاز الشخصي</w:t>
      </w:r>
      <w:r w:rsidRPr="00F5595F">
        <w:rPr>
          <w:rFonts w:ascii="Traditional Arabic" w:eastAsia="Times New Roman" w:hAnsi="Traditional Arabic" w:cs="Traditional Arabic"/>
          <w:sz w:val="32"/>
          <w:szCs w:val="32"/>
        </w:rPr>
        <w:t>.</w:t>
      </w:r>
    </w:p>
    <w:p w14:paraId="48A3E815" w14:textId="77777777" w:rsidR="00F5595F" w:rsidRPr="00F5595F" w:rsidRDefault="00F5595F" w:rsidP="00F5595F">
      <w:pPr>
        <w:bidi/>
        <w:spacing w:before="100" w:beforeAutospacing="1" w:after="100" w:afterAutospacing="1" w:line="360" w:lineRule="auto"/>
        <w:jc w:val="both"/>
        <w:rPr>
          <w:rFonts w:ascii="Traditional Arabic" w:eastAsia="Times New Roman" w:hAnsi="Traditional Arabic" w:cs="Traditional Arabic"/>
          <w:sz w:val="32"/>
          <w:szCs w:val="32"/>
        </w:rPr>
      </w:pPr>
      <w:r w:rsidRPr="00F5595F">
        <w:rPr>
          <w:rFonts w:ascii="Traditional Arabic" w:eastAsia="Times New Roman" w:hAnsi="Traditional Arabic" w:cs="Traditional Arabic"/>
          <w:sz w:val="32"/>
          <w:szCs w:val="32"/>
          <w:rtl/>
        </w:rPr>
        <w:t>وقد خُصص لكل بُعد ثلاث فقرات، ليبلغ إجمالي فقرات المتغير الوسيط (9) فقرات. ويؤدي الاحتراق الوظيفي في النموذج المفاهيمي للدراسة دور المتغير الوسيط في العلاقة بين كل بُعد من أبعاد استراتيجيات مواجهة ضغوط العمل والرضا الوظيفي</w:t>
      </w:r>
      <w:r w:rsidRPr="00F5595F">
        <w:rPr>
          <w:rFonts w:ascii="Traditional Arabic" w:eastAsia="Times New Roman" w:hAnsi="Traditional Arabic" w:cs="Traditional Arabic"/>
          <w:sz w:val="32"/>
          <w:szCs w:val="32"/>
        </w:rPr>
        <w:t>.</w:t>
      </w:r>
    </w:p>
    <w:p w14:paraId="530B5721" w14:textId="77777777" w:rsidR="00F5595F" w:rsidRPr="00F5595F" w:rsidRDefault="00F5595F" w:rsidP="00F5595F">
      <w:pPr>
        <w:bidi/>
        <w:spacing w:before="100" w:beforeAutospacing="1" w:after="100" w:afterAutospacing="1" w:line="360" w:lineRule="auto"/>
        <w:ind w:left="720"/>
        <w:jc w:val="both"/>
        <w:rPr>
          <w:rFonts w:ascii="Traditional Arabic" w:eastAsia="Times New Roman" w:hAnsi="Traditional Arabic" w:cs="Traditional Arabic"/>
          <w:sz w:val="32"/>
          <w:szCs w:val="32"/>
        </w:rPr>
      </w:pPr>
      <w:r w:rsidRPr="00F5595F">
        <w:rPr>
          <w:rFonts w:ascii="Traditional Arabic" w:eastAsia="Times New Roman" w:hAnsi="Traditional Arabic" w:cs="Traditional Arabic"/>
          <w:b/>
          <w:bCs/>
          <w:sz w:val="32"/>
          <w:szCs w:val="32"/>
          <w:rtl/>
        </w:rPr>
        <w:t>ثالثاً: المتغير التابع: الرضا الوظيفي</w:t>
      </w:r>
    </w:p>
    <w:p w14:paraId="751A5D3C" w14:textId="77777777" w:rsidR="00F5595F" w:rsidRPr="00F5595F" w:rsidRDefault="00F5595F" w:rsidP="00F5595F">
      <w:pPr>
        <w:bidi/>
        <w:spacing w:before="100" w:beforeAutospacing="1" w:after="100" w:afterAutospacing="1" w:line="360" w:lineRule="auto"/>
        <w:jc w:val="both"/>
        <w:rPr>
          <w:rFonts w:ascii="Traditional Arabic" w:eastAsia="Times New Roman" w:hAnsi="Traditional Arabic" w:cs="Traditional Arabic"/>
          <w:sz w:val="32"/>
          <w:szCs w:val="32"/>
        </w:rPr>
      </w:pPr>
      <w:r w:rsidRPr="00F5595F">
        <w:rPr>
          <w:rFonts w:ascii="Traditional Arabic" w:eastAsia="Times New Roman" w:hAnsi="Traditional Arabic" w:cs="Traditional Arabic"/>
          <w:sz w:val="32"/>
          <w:szCs w:val="32"/>
          <w:rtl/>
        </w:rPr>
        <w:t>يتمثل المتغير التابع في الرضا الوظيفي، ويقصد به مستوى شعور العامل بالرضا تجاه عمله والبيئة الوظيفية التي يعمل فيها. وتم قياسه من خلال بُعدين رئيسين، هما</w:t>
      </w:r>
      <w:r w:rsidRPr="00F5595F">
        <w:rPr>
          <w:rFonts w:ascii="Traditional Arabic" w:eastAsia="Times New Roman" w:hAnsi="Traditional Arabic" w:cs="Traditional Arabic"/>
          <w:sz w:val="32"/>
          <w:szCs w:val="32"/>
        </w:rPr>
        <w:t>:</w:t>
      </w:r>
    </w:p>
    <w:p w14:paraId="0F77B53F" w14:textId="77777777" w:rsidR="00F5595F" w:rsidRPr="00F5595F" w:rsidRDefault="00F5595F" w:rsidP="00F5595F">
      <w:pPr>
        <w:numPr>
          <w:ilvl w:val="0"/>
          <w:numId w:val="38"/>
        </w:numPr>
        <w:bidi/>
        <w:spacing w:before="100" w:beforeAutospacing="1" w:after="100" w:afterAutospacing="1" w:line="360" w:lineRule="auto"/>
        <w:jc w:val="both"/>
        <w:rPr>
          <w:rFonts w:ascii="Traditional Arabic" w:eastAsia="Times New Roman" w:hAnsi="Traditional Arabic" w:cs="Traditional Arabic"/>
          <w:sz w:val="32"/>
          <w:szCs w:val="32"/>
        </w:rPr>
      </w:pPr>
      <w:r w:rsidRPr="00F5595F">
        <w:rPr>
          <w:rFonts w:ascii="Traditional Arabic" w:eastAsia="Times New Roman" w:hAnsi="Traditional Arabic" w:cs="Traditional Arabic"/>
          <w:sz w:val="32"/>
          <w:szCs w:val="32"/>
          <w:rtl/>
        </w:rPr>
        <w:t>الرضا الداخلي</w:t>
      </w:r>
      <w:r w:rsidRPr="00F5595F">
        <w:rPr>
          <w:rFonts w:ascii="Traditional Arabic" w:eastAsia="Times New Roman" w:hAnsi="Traditional Arabic" w:cs="Traditional Arabic"/>
          <w:sz w:val="32"/>
          <w:szCs w:val="32"/>
        </w:rPr>
        <w:t>.</w:t>
      </w:r>
    </w:p>
    <w:p w14:paraId="7E70DB52" w14:textId="77777777" w:rsidR="00F5595F" w:rsidRPr="00F5595F" w:rsidRDefault="00F5595F" w:rsidP="00F5595F">
      <w:pPr>
        <w:numPr>
          <w:ilvl w:val="0"/>
          <w:numId w:val="38"/>
        </w:numPr>
        <w:bidi/>
        <w:spacing w:before="100" w:beforeAutospacing="1" w:after="100" w:afterAutospacing="1" w:line="360" w:lineRule="auto"/>
        <w:jc w:val="both"/>
        <w:rPr>
          <w:rFonts w:ascii="Traditional Arabic" w:eastAsia="Times New Roman" w:hAnsi="Traditional Arabic" w:cs="Traditional Arabic"/>
          <w:sz w:val="32"/>
          <w:szCs w:val="32"/>
        </w:rPr>
      </w:pPr>
      <w:r w:rsidRPr="00F5595F">
        <w:rPr>
          <w:rFonts w:ascii="Traditional Arabic" w:eastAsia="Times New Roman" w:hAnsi="Traditional Arabic" w:cs="Traditional Arabic"/>
          <w:sz w:val="32"/>
          <w:szCs w:val="32"/>
          <w:rtl/>
        </w:rPr>
        <w:t>الرضا الخارجي</w:t>
      </w:r>
      <w:r w:rsidRPr="00F5595F">
        <w:rPr>
          <w:rFonts w:ascii="Traditional Arabic" w:eastAsia="Times New Roman" w:hAnsi="Traditional Arabic" w:cs="Traditional Arabic"/>
          <w:sz w:val="32"/>
          <w:szCs w:val="32"/>
        </w:rPr>
        <w:t>.</w:t>
      </w:r>
    </w:p>
    <w:p w14:paraId="4A9AC3C9" w14:textId="77777777" w:rsidR="00F5595F" w:rsidRPr="00F5595F" w:rsidRDefault="00F5595F" w:rsidP="00F5595F">
      <w:pPr>
        <w:bidi/>
        <w:spacing w:before="100" w:beforeAutospacing="1" w:after="100" w:afterAutospacing="1" w:line="360" w:lineRule="auto"/>
        <w:ind w:left="360"/>
        <w:jc w:val="both"/>
        <w:rPr>
          <w:rFonts w:ascii="Traditional Arabic" w:eastAsia="Times New Roman" w:hAnsi="Traditional Arabic" w:cs="Traditional Arabic"/>
          <w:sz w:val="32"/>
          <w:szCs w:val="32"/>
        </w:rPr>
      </w:pPr>
      <w:r w:rsidRPr="00F5595F">
        <w:rPr>
          <w:rFonts w:ascii="Traditional Arabic" w:eastAsia="Times New Roman" w:hAnsi="Traditional Arabic" w:cs="Traditional Arabic"/>
          <w:sz w:val="32"/>
          <w:szCs w:val="32"/>
          <w:rtl/>
        </w:rPr>
        <w:t>ويمثل الرضا الوظيفي المتغير التابع الذي يتم اختبار علاقته بكل بُعد من أبعاد استراتيجيات مواجهة ضغوط العمل بصورة مستقلة، إضافة إلى اختبار أثر الاحتراق الوظيفي فيه والدور الوسيط الذي يؤديه الاحتراق الوظيفي في تفسير العلاقة بين استراتيجيات مواجهة ضغوط العمل والرضا الوظيفي</w:t>
      </w:r>
      <w:r w:rsidRPr="00F5595F">
        <w:rPr>
          <w:rFonts w:ascii="Traditional Arabic" w:eastAsia="Times New Roman" w:hAnsi="Traditional Arabic" w:cs="Traditional Arabic"/>
          <w:sz w:val="32"/>
          <w:szCs w:val="32"/>
        </w:rPr>
        <w:t>.</w:t>
      </w:r>
    </w:p>
    <w:p w14:paraId="1555497E" w14:textId="77777777" w:rsidR="0025309F" w:rsidRPr="0025309F" w:rsidRDefault="0025309F" w:rsidP="00F5595F">
      <w:pPr>
        <w:bidi/>
        <w:spacing w:before="100" w:beforeAutospacing="1" w:after="100" w:afterAutospacing="1" w:line="360" w:lineRule="auto"/>
        <w:jc w:val="both"/>
        <w:rPr>
          <w:rFonts w:ascii="Traditional Arabic" w:eastAsia="Times New Roman" w:hAnsi="Traditional Arabic" w:cs="Traditional Arabic"/>
          <w:sz w:val="32"/>
          <w:szCs w:val="32"/>
        </w:rPr>
      </w:pPr>
    </w:p>
    <w:p w14:paraId="03F11382" w14:textId="77777777" w:rsidR="0025309F" w:rsidRPr="0025309F" w:rsidRDefault="0025309F" w:rsidP="0025309F">
      <w:pPr>
        <w:bidi/>
        <w:spacing w:after="200" w:line="360" w:lineRule="auto"/>
        <w:jc w:val="both"/>
        <w:rPr>
          <w:rFonts w:ascii="Traditional Arabic" w:eastAsia="Times New Roman" w:hAnsi="Traditional Arabic" w:cs="Traditional Arabic"/>
          <w:b/>
          <w:bCs/>
          <w:sz w:val="32"/>
          <w:szCs w:val="32"/>
          <w:rtl/>
        </w:rPr>
      </w:pPr>
      <w:r w:rsidRPr="0025309F">
        <w:rPr>
          <w:rFonts w:ascii="Traditional Arabic" w:eastAsia="Times New Roman" w:hAnsi="Traditional Arabic" w:cs="Traditional Arabic"/>
          <w:b/>
          <w:bCs/>
          <w:sz w:val="32"/>
          <w:szCs w:val="32"/>
          <w:rtl/>
        </w:rPr>
        <w:lastRenderedPageBreak/>
        <w:t>3.6 أداة الدراسة</w:t>
      </w:r>
    </w:p>
    <w:p w14:paraId="5286268F" w14:textId="77777777" w:rsidR="0025309F" w:rsidRPr="0025309F" w:rsidRDefault="0025309F" w:rsidP="0025309F">
      <w:p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اعتمدت الدراسة الحالية على الاستبانة بوصفها الأداة الرئيسة لجمع البيانات من أفراد عينة الدراسة، وذلك لملاءمتها لطبيعة الدراسة وأهدافها، ولقدرتها على جمع البيانات من عدد كبير من المبحوثين في وقت مناسب، إضافة إلى سهولة تطبيقها وتحليل بياناتها إحصائيًا. وقد جرى إعداد الاستبانة بالاعتماد على الأدبيات النظرية والدراسات السابقة، والاستفادة من المقاييس العالمية التي أثبتت صدقها وثباتها في قياس متغيرات الدراسة، مع إعادة صياغة بعض الفقرات بما يتلاءم مع طبيعة العمل في محكمة الأحوال الشخصية بمدينة جدة، وبما يحافظ على المفاهيم الأصلية للمقاييس المستخدمة</w:t>
      </w:r>
      <w:r w:rsidRPr="0025309F">
        <w:rPr>
          <w:rFonts w:ascii="Traditional Arabic" w:eastAsia="Times New Roman" w:hAnsi="Traditional Arabic" w:cs="Traditional Arabic"/>
          <w:sz w:val="32"/>
          <w:szCs w:val="32"/>
        </w:rPr>
        <w:t>.</w:t>
      </w:r>
    </w:p>
    <w:p w14:paraId="7F822EF6" w14:textId="77777777" w:rsidR="0025309F" w:rsidRPr="0025309F" w:rsidRDefault="0025309F" w:rsidP="0025309F">
      <w:p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وتكونت أداة الدراسة من جزأين رئيسين، وذلك على النحو الآتي</w:t>
      </w:r>
      <w:r w:rsidRPr="0025309F">
        <w:rPr>
          <w:rFonts w:ascii="Traditional Arabic" w:eastAsia="Times New Roman" w:hAnsi="Traditional Arabic" w:cs="Traditional Arabic"/>
          <w:sz w:val="32"/>
          <w:szCs w:val="32"/>
        </w:rPr>
        <w:t>:</w:t>
      </w:r>
    </w:p>
    <w:p w14:paraId="40508C9A" w14:textId="77777777" w:rsidR="0025309F" w:rsidRPr="0025309F" w:rsidRDefault="0025309F" w:rsidP="0025309F">
      <w:pPr>
        <w:bidi/>
        <w:spacing w:after="200" w:line="360" w:lineRule="auto"/>
        <w:jc w:val="both"/>
        <w:rPr>
          <w:rFonts w:ascii="Traditional Arabic" w:eastAsia="Times New Roman" w:hAnsi="Traditional Arabic" w:cs="Traditional Arabic"/>
          <w:b/>
          <w:bCs/>
          <w:sz w:val="32"/>
          <w:szCs w:val="32"/>
        </w:rPr>
      </w:pPr>
      <w:r w:rsidRPr="0025309F">
        <w:rPr>
          <w:rFonts w:ascii="Traditional Arabic" w:eastAsia="Times New Roman" w:hAnsi="Traditional Arabic" w:cs="Traditional Arabic"/>
          <w:b/>
          <w:bCs/>
          <w:sz w:val="32"/>
          <w:szCs w:val="32"/>
          <w:rtl/>
        </w:rPr>
        <w:t>أولاً: البيانات الشخصية والوظيفية</w:t>
      </w:r>
    </w:p>
    <w:p w14:paraId="6D2EC5BC" w14:textId="77777777" w:rsidR="0025309F" w:rsidRPr="0025309F" w:rsidRDefault="0025309F" w:rsidP="0025309F">
      <w:p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تضمن هذا الجزء مجموعة من المتغيرات الشخصية والوظيفية الخاصة بأفراد الدراسة، والتي هدفت إلى وصف خصائص عينة الدراسة، وشملت</w:t>
      </w:r>
      <w:r w:rsidRPr="0025309F">
        <w:rPr>
          <w:rFonts w:ascii="Traditional Arabic" w:eastAsia="Times New Roman" w:hAnsi="Traditional Arabic" w:cs="Traditional Arabic"/>
          <w:sz w:val="32"/>
          <w:szCs w:val="32"/>
        </w:rPr>
        <w:t>:</w:t>
      </w:r>
    </w:p>
    <w:p w14:paraId="3664BCAD" w14:textId="77777777" w:rsidR="0025309F" w:rsidRPr="0025309F" w:rsidRDefault="0025309F" w:rsidP="0025309F">
      <w:pPr>
        <w:numPr>
          <w:ilvl w:val="0"/>
          <w:numId w:val="23"/>
        </w:num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الجنس</w:t>
      </w:r>
      <w:r w:rsidRPr="0025309F">
        <w:rPr>
          <w:rFonts w:ascii="Traditional Arabic" w:eastAsia="Times New Roman" w:hAnsi="Traditional Arabic" w:cs="Traditional Arabic"/>
          <w:sz w:val="32"/>
          <w:szCs w:val="32"/>
        </w:rPr>
        <w:t>.</w:t>
      </w:r>
    </w:p>
    <w:p w14:paraId="51A70A98" w14:textId="77777777" w:rsidR="0025309F" w:rsidRPr="0025309F" w:rsidRDefault="0025309F" w:rsidP="0025309F">
      <w:pPr>
        <w:numPr>
          <w:ilvl w:val="0"/>
          <w:numId w:val="23"/>
        </w:num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العمر</w:t>
      </w:r>
      <w:r w:rsidRPr="0025309F">
        <w:rPr>
          <w:rFonts w:ascii="Traditional Arabic" w:eastAsia="Times New Roman" w:hAnsi="Traditional Arabic" w:cs="Traditional Arabic"/>
          <w:sz w:val="32"/>
          <w:szCs w:val="32"/>
        </w:rPr>
        <w:t>.</w:t>
      </w:r>
    </w:p>
    <w:p w14:paraId="104E4994" w14:textId="77777777" w:rsidR="0025309F" w:rsidRPr="0025309F" w:rsidRDefault="0025309F" w:rsidP="0025309F">
      <w:pPr>
        <w:numPr>
          <w:ilvl w:val="0"/>
          <w:numId w:val="23"/>
        </w:num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المؤهل العلمي</w:t>
      </w:r>
      <w:r w:rsidRPr="0025309F">
        <w:rPr>
          <w:rFonts w:ascii="Traditional Arabic" w:eastAsia="Times New Roman" w:hAnsi="Traditional Arabic" w:cs="Traditional Arabic"/>
          <w:sz w:val="32"/>
          <w:szCs w:val="32"/>
        </w:rPr>
        <w:t>.</w:t>
      </w:r>
    </w:p>
    <w:p w14:paraId="26697CDF" w14:textId="77777777" w:rsidR="0025309F" w:rsidRPr="0025309F" w:rsidRDefault="0025309F" w:rsidP="0025309F">
      <w:pPr>
        <w:numPr>
          <w:ilvl w:val="0"/>
          <w:numId w:val="23"/>
        </w:num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سنوات الخبرة الوظيفية</w:t>
      </w:r>
      <w:r w:rsidRPr="0025309F">
        <w:rPr>
          <w:rFonts w:ascii="Traditional Arabic" w:eastAsia="Times New Roman" w:hAnsi="Traditional Arabic" w:cs="Traditional Arabic"/>
          <w:sz w:val="32"/>
          <w:szCs w:val="32"/>
        </w:rPr>
        <w:t>.</w:t>
      </w:r>
    </w:p>
    <w:p w14:paraId="37E84324" w14:textId="77777777" w:rsidR="0025309F" w:rsidRPr="0025309F" w:rsidRDefault="0025309F" w:rsidP="0025309F">
      <w:pPr>
        <w:numPr>
          <w:ilvl w:val="0"/>
          <w:numId w:val="23"/>
        </w:num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المسمى الوظيفي</w:t>
      </w:r>
      <w:r w:rsidRPr="0025309F">
        <w:rPr>
          <w:rFonts w:ascii="Traditional Arabic" w:eastAsia="Times New Roman" w:hAnsi="Traditional Arabic" w:cs="Traditional Arabic"/>
          <w:sz w:val="32"/>
          <w:szCs w:val="32"/>
        </w:rPr>
        <w:t>.</w:t>
      </w:r>
    </w:p>
    <w:p w14:paraId="64648488" w14:textId="77777777" w:rsidR="0025309F" w:rsidRPr="0025309F" w:rsidRDefault="0025309F" w:rsidP="0025309F">
      <w:pPr>
        <w:numPr>
          <w:ilvl w:val="0"/>
          <w:numId w:val="23"/>
        </w:num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lastRenderedPageBreak/>
        <w:t>المرتبة أو المستوى الوظيفي</w:t>
      </w:r>
      <w:r w:rsidRPr="0025309F">
        <w:rPr>
          <w:rFonts w:ascii="Traditional Arabic" w:eastAsia="Times New Roman" w:hAnsi="Traditional Arabic" w:cs="Traditional Arabic"/>
          <w:sz w:val="32"/>
          <w:szCs w:val="32"/>
        </w:rPr>
        <w:t>.</w:t>
      </w:r>
    </w:p>
    <w:p w14:paraId="7F3D480B" w14:textId="77777777" w:rsidR="0025309F" w:rsidRPr="0025309F" w:rsidRDefault="0025309F" w:rsidP="0025309F">
      <w:pPr>
        <w:numPr>
          <w:ilvl w:val="0"/>
          <w:numId w:val="23"/>
        </w:num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عدد الدورات التدريبية المتعلقة بإدارة ضغوط العمل أو التطوير المهني</w:t>
      </w:r>
      <w:r w:rsidRPr="0025309F">
        <w:rPr>
          <w:rFonts w:ascii="Traditional Arabic" w:eastAsia="Times New Roman" w:hAnsi="Traditional Arabic" w:cs="Traditional Arabic"/>
          <w:sz w:val="32"/>
          <w:szCs w:val="32"/>
        </w:rPr>
        <w:t>.</w:t>
      </w:r>
    </w:p>
    <w:p w14:paraId="6D01CAC0" w14:textId="77777777" w:rsidR="0025309F" w:rsidRPr="0025309F" w:rsidRDefault="0025309F" w:rsidP="0025309F">
      <w:pPr>
        <w:numPr>
          <w:ilvl w:val="0"/>
          <w:numId w:val="23"/>
        </w:num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مدة العمل في المحكمة الحالية</w:t>
      </w:r>
      <w:r w:rsidRPr="0025309F">
        <w:rPr>
          <w:rFonts w:ascii="Traditional Arabic" w:eastAsia="Times New Roman" w:hAnsi="Traditional Arabic" w:cs="Traditional Arabic"/>
          <w:sz w:val="32"/>
          <w:szCs w:val="32"/>
        </w:rPr>
        <w:t>.</w:t>
      </w:r>
    </w:p>
    <w:p w14:paraId="78CC1238" w14:textId="77777777" w:rsidR="0025309F" w:rsidRPr="0025309F" w:rsidRDefault="0025309F" w:rsidP="0025309F">
      <w:p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وقد أُدرجت هذه المتغيرات بهدف تقديم وصف إحصائي لعينة الدراسة، والاستفادة منها في تفسير النتائج عند الحاجة</w:t>
      </w:r>
      <w:r w:rsidRPr="0025309F">
        <w:rPr>
          <w:rFonts w:ascii="Traditional Arabic" w:eastAsia="Times New Roman" w:hAnsi="Traditional Arabic" w:cs="Traditional Arabic"/>
          <w:sz w:val="32"/>
          <w:szCs w:val="32"/>
        </w:rPr>
        <w:t>.</w:t>
      </w:r>
    </w:p>
    <w:p w14:paraId="47E3F2E4" w14:textId="77777777" w:rsidR="0025309F" w:rsidRPr="0025309F" w:rsidRDefault="0025309F" w:rsidP="0025309F">
      <w:pPr>
        <w:bidi/>
        <w:spacing w:after="200" w:line="360" w:lineRule="auto"/>
        <w:jc w:val="both"/>
        <w:rPr>
          <w:rFonts w:ascii="Traditional Arabic" w:eastAsia="Times New Roman" w:hAnsi="Traditional Arabic" w:cs="Traditional Arabic"/>
          <w:b/>
          <w:bCs/>
          <w:sz w:val="32"/>
          <w:szCs w:val="32"/>
        </w:rPr>
      </w:pPr>
      <w:r w:rsidRPr="0025309F">
        <w:rPr>
          <w:rFonts w:ascii="Traditional Arabic" w:eastAsia="Times New Roman" w:hAnsi="Traditional Arabic" w:cs="Traditional Arabic"/>
          <w:b/>
          <w:bCs/>
          <w:sz w:val="32"/>
          <w:szCs w:val="32"/>
          <w:rtl/>
        </w:rPr>
        <w:t>ثانياً: متغيرات الدراسة</w:t>
      </w:r>
    </w:p>
    <w:p w14:paraId="0CC66A67" w14:textId="310EBFA5" w:rsidR="008577CA" w:rsidRPr="008577CA" w:rsidRDefault="008577CA" w:rsidP="008577CA">
      <w:pPr>
        <w:bidi/>
        <w:spacing w:after="200" w:line="360" w:lineRule="auto"/>
        <w:jc w:val="both"/>
        <w:rPr>
          <w:rFonts w:ascii="Traditional Arabic" w:eastAsia="Times New Roman" w:hAnsi="Traditional Arabic" w:cs="Traditional Arabic"/>
          <w:sz w:val="32"/>
          <w:szCs w:val="32"/>
        </w:rPr>
      </w:pPr>
      <w:r w:rsidRPr="008577CA">
        <w:rPr>
          <w:rFonts w:ascii="Traditional Arabic" w:eastAsia="Times New Roman" w:hAnsi="Traditional Arabic" w:cs="Traditional Arabic"/>
          <w:sz w:val="32"/>
          <w:szCs w:val="32"/>
          <w:rtl/>
        </w:rPr>
        <w:t xml:space="preserve">اشتمل هذا </w:t>
      </w:r>
      <w:r w:rsidR="00D01A67" w:rsidRPr="00D01A67">
        <w:rPr>
          <w:rFonts w:ascii="Traditional Arabic" w:eastAsia="Times New Roman" w:hAnsi="Traditional Arabic" w:cs="Traditional Arabic"/>
          <w:sz w:val="32"/>
          <w:szCs w:val="32"/>
          <w:rtl/>
        </w:rPr>
        <w:t>الجزء على (33) فقرة موزعة على ثلاثة متغيرات رئيسة، هي: استراتيجيات مواجهة ضغوط العمل، والاحتراق الوظيفي، والرضا الوظيفي. وقد جرى إعداد فقرات الأداة وتكييفها بما يتلاءم مع طبيعة العمل في محكمة الأحوال الشخصية بمدينة جدة، مع تحديد المصدر المباشر الذي استند إليه قياس كل متغير، وعدم الخلط بين المقاييس الأصلية والمراجع النظرية المساندة.</w:t>
      </w:r>
    </w:p>
    <w:p w14:paraId="42E66050" w14:textId="1B09B614" w:rsidR="00D01A67" w:rsidRPr="00D01A67" w:rsidRDefault="00D01A67" w:rsidP="00D01A67">
      <w:pPr>
        <w:pStyle w:val="a3"/>
        <w:numPr>
          <w:ilvl w:val="0"/>
          <w:numId w:val="32"/>
        </w:numPr>
        <w:bidi/>
        <w:spacing w:after="200" w:line="360" w:lineRule="auto"/>
        <w:jc w:val="both"/>
        <w:rPr>
          <w:rFonts w:ascii="Traditional Arabic" w:eastAsia="Times New Roman" w:hAnsi="Traditional Arabic" w:cs="Traditional Arabic"/>
          <w:b/>
          <w:bCs/>
          <w:sz w:val="32"/>
          <w:szCs w:val="32"/>
          <w:rtl/>
        </w:rPr>
      </w:pPr>
      <w:r w:rsidRPr="00D01A67">
        <w:rPr>
          <w:rFonts w:ascii="Traditional Arabic" w:eastAsia="Times New Roman" w:hAnsi="Traditional Arabic" w:cs="Traditional Arabic"/>
          <w:b/>
          <w:bCs/>
          <w:sz w:val="32"/>
          <w:szCs w:val="32"/>
          <w:rtl/>
        </w:rPr>
        <w:t>استراتيجيات مواجهة ضغوط العمل</w:t>
      </w:r>
    </w:p>
    <w:p w14:paraId="0A385990" w14:textId="2ED0ABB3" w:rsidR="00D01A67" w:rsidRPr="00D01A67" w:rsidRDefault="008577CA" w:rsidP="00D01A67">
      <w:pPr>
        <w:bidi/>
        <w:spacing w:after="200" w:line="360" w:lineRule="auto"/>
        <w:jc w:val="both"/>
        <w:rPr>
          <w:rFonts w:ascii="Traditional Arabic" w:eastAsia="Times New Roman" w:hAnsi="Traditional Arabic" w:cs="Traditional Arabic"/>
          <w:sz w:val="32"/>
          <w:szCs w:val="32"/>
        </w:rPr>
      </w:pPr>
      <w:r w:rsidRPr="00D01A67">
        <w:rPr>
          <w:rFonts w:ascii="Traditional Arabic" w:eastAsia="Times New Roman" w:hAnsi="Traditional Arabic" w:cs="Traditional Arabic"/>
          <w:sz w:val="32"/>
          <w:szCs w:val="32"/>
          <w:rtl/>
        </w:rPr>
        <w:t xml:space="preserve">تم قياس </w:t>
      </w:r>
      <w:r w:rsidR="00D01A67" w:rsidRPr="00D01A67">
        <w:rPr>
          <w:rFonts w:ascii="Traditional Arabic" w:eastAsia="Times New Roman" w:hAnsi="Traditional Arabic" w:cs="Traditional Arabic"/>
          <w:sz w:val="32"/>
          <w:szCs w:val="32"/>
          <w:rtl/>
        </w:rPr>
        <w:t xml:space="preserve">استراتيجيات مواجهة ضغوط العمل باستخدام (12) فقرة جرى تكييفها بالاستناد إلى </w:t>
      </w:r>
      <w:r w:rsidR="00D01A67" w:rsidRPr="00D01A67">
        <w:rPr>
          <w:rFonts w:ascii="Traditional Arabic" w:eastAsia="Times New Roman" w:hAnsi="Traditional Arabic" w:cs="Traditional Arabic"/>
          <w:sz w:val="32"/>
          <w:szCs w:val="32"/>
        </w:rPr>
        <w:t>Coping Strategies Inventory (CSI)</w:t>
      </w:r>
      <w:r w:rsidR="00D01A67" w:rsidRPr="00D01A67">
        <w:rPr>
          <w:rFonts w:ascii="Traditional Arabic" w:eastAsia="Times New Roman" w:hAnsi="Traditional Arabic" w:cs="Traditional Arabic"/>
          <w:sz w:val="32"/>
          <w:szCs w:val="32"/>
          <w:rtl/>
        </w:rPr>
        <w:t xml:space="preserve"> الذي قدمه </w:t>
      </w:r>
      <w:r w:rsidR="00D01A67" w:rsidRPr="00D01A67">
        <w:rPr>
          <w:rFonts w:ascii="Traditional Arabic" w:eastAsia="Times New Roman" w:hAnsi="Traditional Arabic" w:cs="Traditional Arabic"/>
          <w:sz w:val="32"/>
          <w:szCs w:val="32"/>
        </w:rPr>
        <w:t>Tobin et al</w:t>
      </w:r>
      <w:r w:rsidR="00D01A67" w:rsidRPr="00D01A67">
        <w:rPr>
          <w:rFonts w:ascii="Traditional Arabic" w:eastAsia="Times New Roman" w:hAnsi="Traditional Arabic" w:cs="Traditional Arabic"/>
          <w:sz w:val="32"/>
          <w:szCs w:val="32"/>
          <w:rtl/>
        </w:rPr>
        <w:t xml:space="preserve">. (1989). وقد أُعيدت صياغة الفقرات بما يتلاءم مع طبيعة ضغوط العمل في البيئة القضائية السعودية، مع المحافظة قدر الإمكان على المضمون المفاهيمي لاستراتيجيات المواجهة. ويُعد </w:t>
      </w:r>
      <w:r w:rsidR="00D01A67" w:rsidRPr="00D01A67">
        <w:rPr>
          <w:rFonts w:ascii="Traditional Arabic" w:eastAsia="Times New Roman" w:hAnsi="Traditional Arabic" w:cs="Traditional Arabic"/>
          <w:sz w:val="32"/>
          <w:szCs w:val="32"/>
        </w:rPr>
        <w:t>CSI</w:t>
      </w:r>
      <w:r w:rsidR="00D01A67" w:rsidRPr="00D01A67">
        <w:rPr>
          <w:rFonts w:ascii="Traditional Arabic" w:eastAsia="Times New Roman" w:hAnsi="Traditional Arabic" w:cs="Traditional Arabic"/>
          <w:sz w:val="32"/>
          <w:szCs w:val="32"/>
          <w:rtl/>
        </w:rPr>
        <w:t xml:space="preserve"> المصدر المباشر المعتمد لهذا المتغير في الدراسة، دون دمجه مع مقاييس أخرى مثل </w:t>
      </w:r>
      <w:r w:rsidR="00D01A67" w:rsidRPr="00D01A67">
        <w:rPr>
          <w:rFonts w:ascii="Traditional Arabic" w:eastAsia="Times New Roman" w:hAnsi="Traditional Arabic" w:cs="Traditional Arabic"/>
          <w:sz w:val="32"/>
          <w:szCs w:val="32"/>
        </w:rPr>
        <w:t>COPE</w:t>
      </w:r>
      <w:r w:rsidR="00D01A67" w:rsidRPr="00D01A67">
        <w:rPr>
          <w:rFonts w:ascii="Traditional Arabic" w:eastAsia="Times New Roman" w:hAnsi="Traditional Arabic" w:cs="Traditional Arabic"/>
          <w:sz w:val="32"/>
          <w:szCs w:val="32"/>
          <w:rtl/>
        </w:rPr>
        <w:t xml:space="preserve"> في وصف أداة القياس. ويعرض </w:t>
      </w:r>
      <w:r w:rsidR="00D01A67" w:rsidRPr="00D01A67">
        <w:rPr>
          <w:rFonts w:ascii="Traditional Arabic" w:eastAsia="Times New Roman" w:hAnsi="Traditional Arabic" w:cs="Traditional Arabic"/>
          <w:sz w:val="32"/>
          <w:szCs w:val="32"/>
        </w:rPr>
        <w:t>Tobin et al</w:t>
      </w:r>
      <w:r w:rsidR="00D01A67" w:rsidRPr="00D01A67">
        <w:rPr>
          <w:rFonts w:ascii="Traditional Arabic" w:eastAsia="Times New Roman" w:hAnsi="Traditional Arabic" w:cs="Traditional Arabic"/>
          <w:sz w:val="32"/>
          <w:szCs w:val="32"/>
          <w:rtl/>
        </w:rPr>
        <w:t>. (1989) البناء الهرمي لـ</w:t>
      </w:r>
      <w:r w:rsidR="00D01A67" w:rsidRPr="00D01A67">
        <w:rPr>
          <w:rFonts w:ascii="Traditional Arabic" w:eastAsia="Times New Roman" w:hAnsi="Traditional Arabic" w:cs="Traditional Arabic"/>
          <w:sz w:val="32"/>
          <w:szCs w:val="32"/>
        </w:rPr>
        <w:t>Coping Strategies Inventory</w:t>
      </w:r>
      <w:r w:rsidR="00D01A67" w:rsidRPr="00D01A67">
        <w:rPr>
          <w:rFonts w:ascii="Traditional Arabic" w:eastAsia="Times New Roman" w:hAnsi="Traditional Arabic" w:cs="Traditional Arabic"/>
          <w:sz w:val="32"/>
          <w:szCs w:val="32"/>
          <w:rtl/>
        </w:rPr>
        <w:t>.</w:t>
      </w:r>
    </w:p>
    <w:p w14:paraId="581F56DC" w14:textId="77777777" w:rsidR="008577CA" w:rsidRPr="008577CA" w:rsidRDefault="008577CA" w:rsidP="008577CA">
      <w:pPr>
        <w:bidi/>
        <w:spacing w:after="200" w:line="360" w:lineRule="auto"/>
        <w:jc w:val="both"/>
        <w:rPr>
          <w:rFonts w:ascii="Traditional Arabic" w:eastAsia="Times New Roman" w:hAnsi="Traditional Arabic" w:cs="Traditional Arabic"/>
          <w:sz w:val="32"/>
          <w:szCs w:val="32"/>
        </w:rPr>
      </w:pPr>
      <w:r w:rsidRPr="008577CA">
        <w:rPr>
          <w:rFonts w:ascii="Traditional Arabic" w:eastAsia="Times New Roman" w:hAnsi="Traditional Arabic" w:cs="Traditional Arabic"/>
          <w:sz w:val="32"/>
          <w:szCs w:val="32"/>
          <w:rtl/>
        </w:rPr>
        <w:lastRenderedPageBreak/>
        <w:t>وتوزعت الفقرات على أربعة أبعاد تشغيلية اعتمدتها الدراسة، بواقع ثلاث فقرات لكل بعد، وهي</w:t>
      </w:r>
      <w:r w:rsidRPr="008577CA">
        <w:rPr>
          <w:rFonts w:ascii="Traditional Arabic" w:eastAsia="Times New Roman" w:hAnsi="Traditional Arabic" w:cs="Traditional Arabic"/>
          <w:sz w:val="32"/>
          <w:szCs w:val="32"/>
        </w:rPr>
        <w:t>:</w:t>
      </w:r>
    </w:p>
    <w:p w14:paraId="45540B0A" w14:textId="77777777" w:rsidR="008577CA" w:rsidRPr="008577CA" w:rsidRDefault="008577CA" w:rsidP="008577CA">
      <w:pPr>
        <w:numPr>
          <w:ilvl w:val="0"/>
          <w:numId w:val="31"/>
        </w:numPr>
        <w:bidi/>
        <w:spacing w:after="200" w:line="360" w:lineRule="auto"/>
        <w:jc w:val="both"/>
        <w:rPr>
          <w:rFonts w:ascii="Traditional Arabic" w:eastAsia="Times New Roman" w:hAnsi="Traditional Arabic" w:cs="Traditional Arabic"/>
          <w:sz w:val="32"/>
          <w:szCs w:val="32"/>
        </w:rPr>
      </w:pPr>
      <w:r w:rsidRPr="008577CA">
        <w:rPr>
          <w:rFonts w:ascii="Traditional Arabic" w:eastAsia="Times New Roman" w:hAnsi="Traditional Arabic" w:cs="Traditional Arabic"/>
          <w:sz w:val="32"/>
          <w:szCs w:val="32"/>
          <w:rtl/>
        </w:rPr>
        <w:t>استراتيجية حل المشكلات</w:t>
      </w:r>
      <w:r w:rsidRPr="008577CA">
        <w:rPr>
          <w:rFonts w:ascii="Traditional Arabic" w:eastAsia="Times New Roman" w:hAnsi="Traditional Arabic" w:cs="Traditional Arabic"/>
          <w:sz w:val="32"/>
          <w:szCs w:val="32"/>
        </w:rPr>
        <w:t xml:space="preserve">. </w:t>
      </w:r>
    </w:p>
    <w:p w14:paraId="443865A9" w14:textId="77777777" w:rsidR="008577CA" w:rsidRPr="008577CA" w:rsidRDefault="008577CA" w:rsidP="008577CA">
      <w:pPr>
        <w:numPr>
          <w:ilvl w:val="0"/>
          <w:numId w:val="31"/>
        </w:numPr>
        <w:bidi/>
        <w:spacing w:after="200" w:line="360" w:lineRule="auto"/>
        <w:jc w:val="both"/>
        <w:rPr>
          <w:rFonts w:ascii="Traditional Arabic" w:eastAsia="Times New Roman" w:hAnsi="Traditional Arabic" w:cs="Traditional Arabic"/>
          <w:sz w:val="32"/>
          <w:szCs w:val="32"/>
        </w:rPr>
      </w:pPr>
      <w:r w:rsidRPr="008577CA">
        <w:rPr>
          <w:rFonts w:ascii="Traditional Arabic" w:eastAsia="Times New Roman" w:hAnsi="Traditional Arabic" w:cs="Traditional Arabic"/>
          <w:sz w:val="32"/>
          <w:szCs w:val="32"/>
          <w:rtl/>
        </w:rPr>
        <w:t>استراتيجية طلب الدعم الاجتماعي</w:t>
      </w:r>
      <w:r w:rsidRPr="008577CA">
        <w:rPr>
          <w:rFonts w:ascii="Traditional Arabic" w:eastAsia="Times New Roman" w:hAnsi="Traditional Arabic" w:cs="Traditional Arabic"/>
          <w:sz w:val="32"/>
          <w:szCs w:val="32"/>
        </w:rPr>
        <w:t xml:space="preserve">. </w:t>
      </w:r>
    </w:p>
    <w:p w14:paraId="42A0D4DE" w14:textId="77777777" w:rsidR="008577CA" w:rsidRPr="008577CA" w:rsidRDefault="008577CA" w:rsidP="008577CA">
      <w:pPr>
        <w:numPr>
          <w:ilvl w:val="0"/>
          <w:numId w:val="31"/>
        </w:numPr>
        <w:bidi/>
        <w:spacing w:after="200" w:line="360" w:lineRule="auto"/>
        <w:jc w:val="both"/>
        <w:rPr>
          <w:rFonts w:ascii="Traditional Arabic" w:eastAsia="Times New Roman" w:hAnsi="Traditional Arabic" w:cs="Traditional Arabic"/>
          <w:sz w:val="32"/>
          <w:szCs w:val="32"/>
        </w:rPr>
      </w:pPr>
      <w:r w:rsidRPr="008577CA">
        <w:rPr>
          <w:rFonts w:ascii="Traditional Arabic" w:eastAsia="Times New Roman" w:hAnsi="Traditional Arabic" w:cs="Traditional Arabic"/>
          <w:sz w:val="32"/>
          <w:szCs w:val="32"/>
          <w:rtl/>
        </w:rPr>
        <w:t>استراتيجية التجنب</w:t>
      </w:r>
      <w:r w:rsidRPr="008577CA">
        <w:rPr>
          <w:rFonts w:ascii="Traditional Arabic" w:eastAsia="Times New Roman" w:hAnsi="Traditional Arabic" w:cs="Traditional Arabic"/>
          <w:sz w:val="32"/>
          <w:szCs w:val="32"/>
        </w:rPr>
        <w:t xml:space="preserve">. </w:t>
      </w:r>
    </w:p>
    <w:p w14:paraId="2F1325A3" w14:textId="77777777" w:rsidR="008577CA" w:rsidRPr="008577CA" w:rsidRDefault="008577CA" w:rsidP="008577CA">
      <w:pPr>
        <w:numPr>
          <w:ilvl w:val="0"/>
          <w:numId w:val="31"/>
        </w:numPr>
        <w:bidi/>
        <w:spacing w:after="200" w:line="360" w:lineRule="auto"/>
        <w:jc w:val="both"/>
        <w:rPr>
          <w:rFonts w:ascii="Traditional Arabic" w:eastAsia="Times New Roman" w:hAnsi="Traditional Arabic" w:cs="Traditional Arabic"/>
          <w:sz w:val="32"/>
          <w:szCs w:val="32"/>
        </w:rPr>
      </w:pPr>
      <w:r w:rsidRPr="008577CA">
        <w:rPr>
          <w:rFonts w:ascii="Traditional Arabic" w:eastAsia="Times New Roman" w:hAnsi="Traditional Arabic" w:cs="Traditional Arabic"/>
          <w:sz w:val="32"/>
          <w:szCs w:val="32"/>
          <w:rtl/>
        </w:rPr>
        <w:t>استراتيجية الانسحاب</w:t>
      </w:r>
      <w:r w:rsidRPr="008577CA">
        <w:rPr>
          <w:rFonts w:ascii="Traditional Arabic" w:eastAsia="Times New Roman" w:hAnsi="Traditional Arabic" w:cs="Traditional Arabic"/>
          <w:sz w:val="32"/>
          <w:szCs w:val="32"/>
        </w:rPr>
        <w:t>.</w:t>
      </w:r>
    </w:p>
    <w:p w14:paraId="1E099C27" w14:textId="77777777" w:rsidR="00DF34EC" w:rsidRPr="00DF34EC" w:rsidRDefault="00DF34EC" w:rsidP="00DF34EC">
      <w:pPr>
        <w:bidi/>
        <w:spacing w:after="200" w:line="360" w:lineRule="auto"/>
        <w:jc w:val="both"/>
        <w:rPr>
          <w:rFonts w:ascii="Traditional Arabic" w:eastAsia="Times New Roman" w:hAnsi="Traditional Arabic" w:cs="Traditional Arabic"/>
          <w:sz w:val="32"/>
          <w:szCs w:val="32"/>
        </w:rPr>
      </w:pPr>
    </w:p>
    <w:p w14:paraId="6B212AD5" w14:textId="1F738ABF" w:rsidR="00DF34EC" w:rsidRDefault="00DF34EC" w:rsidP="00DF34EC">
      <w:pPr>
        <w:bidi/>
        <w:spacing w:after="200" w:line="360" w:lineRule="auto"/>
        <w:jc w:val="both"/>
        <w:rPr>
          <w:rFonts w:ascii="Traditional Arabic" w:eastAsia="Times New Roman" w:hAnsi="Traditional Arabic" w:cs="Traditional Arabic"/>
          <w:b/>
          <w:bCs/>
          <w:sz w:val="32"/>
          <w:szCs w:val="32"/>
          <w:rtl/>
        </w:rPr>
      </w:pPr>
      <w:r w:rsidRPr="00DF34EC">
        <w:rPr>
          <w:rFonts w:ascii="Traditional Arabic" w:eastAsia="Times New Roman" w:hAnsi="Traditional Arabic" w:cs="Traditional Arabic"/>
          <w:b/>
          <w:bCs/>
          <w:sz w:val="32"/>
          <w:szCs w:val="32"/>
        </w:rPr>
        <w:t>2</w:t>
      </w:r>
      <w:r w:rsidRPr="00DF34EC">
        <w:rPr>
          <w:rFonts w:ascii="Traditional Arabic" w:eastAsia="Times New Roman" w:hAnsi="Traditional Arabic" w:cs="Traditional Arabic"/>
          <w:b/>
          <w:bCs/>
          <w:sz w:val="32"/>
          <w:szCs w:val="32"/>
          <w:rtl/>
        </w:rPr>
        <w:t>. الاحتراق الوظيفي</w:t>
      </w:r>
    </w:p>
    <w:p w14:paraId="530C7993" w14:textId="3F5029A8" w:rsidR="00D01A67" w:rsidRPr="00D01A67" w:rsidRDefault="00D01A67" w:rsidP="00D01A67">
      <w:pPr>
        <w:bidi/>
        <w:spacing w:after="200" w:line="360" w:lineRule="auto"/>
        <w:jc w:val="both"/>
        <w:rPr>
          <w:rFonts w:ascii="Traditional Arabic" w:eastAsia="Times New Roman" w:hAnsi="Traditional Arabic" w:cs="Traditional Arabic"/>
          <w:sz w:val="32"/>
          <w:szCs w:val="32"/>
        </w:rPr>
      </w:pPr>
      <w:r w:rsidRPr="00D01A67">
        <w:rPr>
          <w:rFonts w:ascii="Traditional Arabic" w:eastAsia="Times New Roman" w:hAnsi="Traditional Arabic" w:cs="Traditional Arabic"/>
          <w:sz w:val="32"/>
          <w:szCs w:val="32"/>
          <w:rtl/>
        </w:rPr>
        <w:t xml:space="preserve">تم قياس الاحتراق الوظيفي باستخدام (9) فقرات جرى اختيارها وتكييفها في ضوء الأبعاد الرئيسة التي يقوم عليها </w:t>
      </w:r>
      <w:r w:rsidRPr="00D01A67">
        <w:rPr>
          <w:rFonts w:ascii="Traditional Arabic" w:eastAsia="Times New Roman" w:hAnsi="Traditional Arabic" w:cs="Traditional Arabic"/>
          <w:sz w:val="32"/>
          <w:szCs w:val="32"/>
        </w:rPr>
        <w:t>Maslach Burnout Inventory (MBI)</w:t>
      </w:r>
      <w:r w:rsidRPr="00D01A67">
        <w:rPr>
          <w:rFonts w:ascii="Traditional Arabic" w:eastAsia="Times New Roman" w:hAnsi="Traditional Arabic" w:cs="Traditional Arabic"/>
          <w:sz w:val="32"/>
          <w:szCs w:val="32"/>
          <w:rtl/>
        </w:rPr>
        <w:t xml:space="preserve">، وهي: الإنهاك العاطفي، وتبلد المشاعر، وانخفاض الإنجاز الشخصي. وقد ارتبط تطوير هذا المقياس بأعمال </w:t>
      </w:r>
      <w:r w:rsidRPr="00D01A67">
        <w:rPr>
          <w:rFonts w:ascii="Traditional Arabic" w:eastAsia="Times New Roman" w:hAnsi="Traditional Arabic" w:cs="Traditional Arabic"/>
          <w:sz w:val="32"/>
          <w:szCs w:val="32"/>
        </w:rPr>
        <w:t>Maslach and Jackson</w:t>
      </w:r>
      <w:r w:rsidRPr="00D01A67">
        <w:rPr>
          <w:rFonts w:ascii="Traditional Arabic" w:eastAsia="Times New Roman" w:hAnsi="Traditional Arabic" w:cs="Traditional Arabic"/>
          <w:sz w:val="32"/>
          <w:szCs w:val="32"/>
          <w:rtl/>
        </w:rPr>
        <w:t xml:space="preserve"> (1981)، التي عرضت قياس الاحتراق من خلال ثلاثة أبعاد أساسية.</w:t>
      </w:r>
    </w:p>
    <w:p w14:paraId="20A0CCBA" w14:textId="270DF39C" w:rsidR="00D01A67" w:rsidRPr="00D01A67" w:rsidRDefault="00D01A67" w:rsidP="00D01A67">
      <w:pPr>
        <w:bidi/>
        <w:spacing w:after="200" w:line="360" w:lineRule="auto"/>
        <w:jc w:val="both"/>
        <w:rPr>
          <w:rFonts w:ascii="Traditional Arabic" w:eastAsia="Times New Roman" w:hAnsi="Traditional Arabic" w:cs="Traditional Arabic"/>
          <w:sz w:val="32"/>
          <w:szCs w:val="32"/>
        </w:rPr>
      </w:pPr>
      <w:r w:rsidRPr="00D01A67">
        <w:rPr>
          <w:rFonts w:ascii="Traditional Arabic" w:eastAsia="Times New Roman" w:hAnsi="Traditional Arabic" w:cs="Traditional Arabic"/>
          <w:sz w:val="32"/>
          <w:szCs w:val="32"/>
          <w:rtl/>
        </w:rPr>
        <w:t xml:space="preserve">ولم تُعامل الفقرات التسع المستخدمة في الدراسة على أنها نسخة مختصرة معيارية مستقلة من </w:t>
      </w:r>
      <w:r w:rsidRPr="00D01A67">
        <w:rPr>
          <w:rFonts w:ascii="Traditional Arabic" w:eastAsia="Times New Roman" w:hAnsi="Traditional Arabic" w:cs="Traditional Arabic"/>
          <w:sz w:val="32"/>
          <w:szCs w:val="32"/>
        </w:rPr>
        <w:t>MBI</w:t>
      </w:r>
      <w:r w:rsidRPr="00D01A67">
        <w:rPr>
          <w:rFonts w:ascii="Traditional Arabic" w:eastAsia="Times New Roman" w:hAnsi="Traditional Arabic" w:cs="Traditional Arabic"/>
          <w:sz w:val="32"/>
          <w:szCs w:val="32"/>
          <w:rtl/>
        </w:rPr>
        <w:t>، وإنما بوصفها مجموعة فقرات جرى اختيارها وتكييفها لتمثيل الأبعاد الثلاثة للاحتراق الوظيفي في سياق الدراسة الحالية، بواقع ثلاث فقرات لكل بعد، مع إعادة صياغتها بما يتلاءم مع طبيعة العمل في محكمة الأحوال الشخصية بمدينة جدة.</w:t>
      </w:r>
    </w:p>
    <w:p w14:paraId="53DACA9E" w14:textId="77777777" w:rsidR="00D01A67" w:rsidRPr="00D01A67" w:rsidRDefault="00D01A67" w:rsidP="00D01A67">
      <w:pPr>
        <w:bidi/>
        <w:spacing w:after="200" w:line="360" w:lineRule="auto"/>
        <w:jc w:val="both"/>
        <w:rPr>
          <w:rFonts w:ascii="Traditional Arabic" w:eastAsia="Times New Roman" w:hAnsi="Traditional Arabic" w:cs="Traditional Arabic"/>
          <w:sz w:val="32"/>
          <w:szCs w:val="32"/>
        </w:rPr>
      </w:pPr>
      <w:r w:rsidRPr="00D01A67">
        <w:rPr>
          <w:rFonts w:ascii="Traditional Arabic" w:eastAsia="Times New Roman" w:hAnsi="Traditional Arabic" w:cs="Traditional Arabic"/>
          <w:sz w:val="32"/>
          <w:szCs w:val="32"/>
          <w:rtl/>
        </w:rPr>
        <w:t>وتوزعت الفقرات على الأبعاد الآتية</w:t>
      </w:r>
      <w:r w:rsidRPr="00D01A67">
        <w:rPr>
          <w:rFonts w:ascii="Traditional Arabic" w:eastAsia="Times New Roman" w:hAnsi="Traditional Arabic" w:cs="Traditional Arabic"/>
          <w:sz w:val="32"/>
          <w:szCs w:val="32"/>
        </w:rPr>
        <w:t>:</w:t>
      </w:r>
    </w:p>
    <w:p w14:paraId="0B9C0171" w14:textId="77777777" w:rsidR="00D01A67" w:rsidRPr="00D01A67" w:rsidRDefault="00D01A67" w:rsidP="00D01A67">
      <w:pPr>
        <w:numPr>
          <w:ilvl w:val="0"/>
          <w:numId w:val="33"/>
        </w:numPr>
        <w:bidi/>
        <w:spacing w:after="200" w:line="360" w:lineRule="auto"/>
        <w:jc w:val="both"/>
        <w:rPr>
          <w:rFonts w:ascii="Traditional Arabic" w:eastAsia="Times New Roman" w:hAnsi="Traditional Arabic" w:cs="Traditional Arabic"/>
          <w:sz w:val="32"/>
          <w:szCs w:val="32"/>
        </w:rPr>
      </w:pPr>
      <w:r w:rsidRPr="00D01A67">
        <w:rPr>
          <w:rFonts w:ascii="Traditional Arabic" w:eastAsia="Times New Roman" w:hAnsi="Traditional Arabic" w:cs="Traditional Arabic"/>
          <w:sz w:val="32"/>
          <w:szCs w:val="32"/>
          <w:rtl/>
        </w:rPr>
        <w:lastRenderedPageBreak/>
        <w:t>الإنهاك العاطفي</w:t>
      </w:r>
      <w:r w:rsidRPr="00D01A67">
        <w:rPr>
          <w:rFonts w:ascii="Traditional Arabic" w:eastAsia="Times New Roman" w:hAnsi="Traditional Arabic" w:cs="Traditional Arabic"/>
          <w:sz w:val="32"/>
          <w:szCs w:val="32"/>
        </w:rPr>
        <w:t xml:space="preserve">. </w:t>
      </w:r>
    </w:p>
    <w:p w14:paraId="7AF0110E" w14:textId="77777777" w:rsidR="00D01A67" w:rsidRPr="00D01A67" w:rsidRDefault="00D01A67" w:rsidP="00D01A67">
      <w:pPr>
        <w:numPr>
          <w:ilvl w:val="0"/>
          <w:numId w:val="33"/>
        </w:numPr>
        <w:bidi/>
        <w:spacing w:after="200" w:line="360" w:lineRule="auto"/>
        <w:jc w:val="both"/>
        <w:rPr>
          <w:rFonts w:ascii="Traditional Arabic" w:eastAsia="Times New Roman" w:hAnsi="Traditional Arabic" w:cs="Traditional Arabic"/>
          <w:sz w:val="32"/>
          <w:szCs w:val="32"/>
        </w:rPr>
      </w:pPr>
      <w:r w:rsidRPr="00D01A67">
        <w:rPr>
          <w:rFonts w:ascii="Traditional Arabic" w:eastAsia="Times New Roman" w:hAnsi="Traditional Arabic" w:cs="Traditional Arabic"/>
          <w:sz w:val="32"/>
          <w:szCs w:val="32"/>
          <w:rtl/>
        </w:rPr>
        <w:t>تبلد المشاعر</w:t>
      </w:r>
      <w:r w:rsidRPr="00D01A67">
        <w:rPr>
          <w:rFonts w:ascii="Traditional Arabic" w:eastAsia="Times New Roman" w:hAnsi="Traditional Arabic" w:cs="Traditional Arabic"/>
          <w:sz w:val="32"/>
          <w:szCs w:val="32"/>
        </w:rPr>
        <w:t xml:space="preserve">. </w:t>
      </w:r>
    </w:p>
    <w:p w14:paraId="66CB5173" w14:textId="77777777" w:rsidR="00D01A67" w:rsidRPr="00D01A67" w:rsidRDefault="00D01A67" w:rsidP="00D01A67">
      <w:pPr>
        <w:numPr>
          <w:ilvl w:val="0"/>
          <w:numId w:val="33"/>
        </w:numPr>
        <w:bidi/>
        <w:spacing w:after="200" w:line="360" w:lineRule="auto"/>
        <w:jc w:val="both"/>
        <w:rPr>
          <w:rFonts w:ascii="Traditional Arabic" w:eastAsia="Times New Roman" w:hAnsi="Traditional Arabic" w:cs="Traditional Arabic"/>
          <w:sz w:val="32"/>
          <w:szCs w:val="32"/>
        </w:rPr>
      </w:pPr>
      <w:r w:rsidRPr="00D01A67">
        <w:rPr>
          <w:rFonts w:ascii="Traditional Arabic" w:eastAsia="Times New Roman" w:hAnsi="Traditional Arabic" w:cs="Traditional Arabic"/>
          <w:sz w:val="32"/>
          <w:szCs w:val="32"/>
          <w:rtl/>
        </w:rPr>
        <w:t>انخفاض الإنجاز الشخصي</w:t>
      </w:r>
      <w:r w:rsidRPr="00D01A67">
        <w:rPr>
          <w:rFonts w:ascii="Traditional Arabic" w:eastAsia="Times New Roman" w:hAnsi="Traditional Arabic" w:cs="Traditional Arabic"/>
          <w:sz w:val="32"/>
          <w:szCs w:val="32"/>
        </w:rPr>
        <w:t>.</w:t>
      </w:r>
    </w:p>
    <w:p w14:paraId="75ABD935" w14:textId="77777777" w:rsidR="00DF34EC" w:rsidRDefault="00DF34EC" w:rsidP="00DF34EC">
      <w:pPr>
        <w:bidi/>
        <w:spacing w:after="200" w:line="360" w:lineRule="auto"/>
        <w:jc w:val="both"/>
        <w:rPr>
          <w:rFonts w:ascii="Traditional Arabic" w:eastAsia="Times New Roman" w:hAnsi="Traditional Arabic" w:cs="Traditional Arabic"/>
          <w:b/>
          <w:bCs/>
          <w:sz w:val="32"/>
          <w:szCs w:val="32"/>
          <w:rtl/>
        </w:rPr>
      </w:pPr>
      <w:r w:rsidRPr="00DF34EC">
        <w:rPr>
          <w:rFonts w:ascii="Traditional Arabic" w:eastAsia="Times New Roman" w:hAnsi="Traditional Arabic" w:cs="Traditional Arabic"/>
          <w:b/>
          <w:bCs/>
          <w:sz w:val="32"/>
          <w:szCs w:val="32"/>
        </w:rPr>
        <w:t>3</w:t>
      </w:r>
      <w:r w:rsidRPr="00DF34EC">
        <w:rPr>
          <w:rFonts w:ascii="Traditional Arabic" w:eastAsia="Times New Roman" w:hAnsi="Traditional Arabic" w:cs="Traditional Arabic"/>
          <w:b/>
          <w:bCs/>
          <w:sz w:val="32"/>
          <w:szCs w:val="32"/>
          <w:rtl/>
        </w:rPr>
        <w:t>. الرضا الوظيفي</w:t>
      </w:r>
    </w:p>
    <w:p w14:paraId="3FDFAFE1" w14:textId="0C0583DE" w:rsidR="00D01A67" w:rsidRPr="00D01A67" w:rsidRDefault="00D01A67" w:rsidP="00D01A67">
      <w:pPr>
        <w:bidi/>
        <w:spacing w:after="200" w:line="360" w:lineRule="auto"/>
        <w:jc w:val="both"/>
        <w:rPr>
          <w:rFonts w:ascii="Traditional Arabic" w:eastAsia="Times New Roman" w:hAnsi="Traditional Arabic" w:cs="Traditional Arabic"/>
          <w:sz w:val="32"/>
          <w:szCs w:val="32"/>
        </w:rPr>
      </w:pPr>
      <w:r w:rsidRPr="00D01A67">
        <w:rPr>
          <w:rFonts w:ascii="Traditional Arabic" w:eastAsia="Times New Roman" w:hAnsi="Traditional Arabic" w:cs="Traditional Arabic"/>
          <w:sz w:val="32"/>
          <w:szCs w:val="32"/>
          <w:rtl/>
        </w:rPr>
        <w:t xml:space="preserve">تم قياس الرضا الوظيفي باستخدام (12) فقرة جرى إعدادها وتكييفها بالاستناد بصورة رئيسة إلى </w:t>
      </w:r>
      <w:r w:rsidRPr="00D01A67">
        <w:rPr>
          <w:rFonts w:ascii="Traditional Arabic" w:eastAsia="Times New Roman" w:hAnsi="Traditional Arabic" w:cs="Traditional Arabic"/>
          <w:sz w:val="32"/>
          <w:szCs w:val="32"/>
        </w:rPr>
        <w:t>Minnesota Satisfaction Questionnaire (MSQ)</w:t>
      </w:r>
      <w:r w:rsidRPr="00D01A67">
        <w:rPr>
          <w:rFonts w:ascii="Traditional Arabic" w:eastAsia="Times New Roman" w:hAnsi="Traditional Arabic" w:cs="Traditional Arabic"/>
          <w:sz w:val="32"/>
          <w:szCs w:val="32"/>
          <w:rtl/>
        </w:rPr>
        <w:t xml:space="preserve"> الذي طوره </w:t>
      </w:r>
      <w:r w:rsidRPr="00D01A67">
        <w:rPr>
          <w:rFonts w:ascii="Traditional Arabic" w:eastAsia="Times New Roman" w:hAnsi="Traditional Arabic" w:cs="Traditional Arabic"/>
          <w:sz w:val="32"/>
          <w:szCs w:val="32"/>
        </w:rPr>
        <w:t>Weiss et al</w:t>
      </w:r>
      <w:r w:rsidRPr="00D01A67">
        <w:rPr>
          <w:rFonts w:ascii="Traditional Arabic" w:eastAsia="Times New Roman" w:hAnsi="Traditional Arabic" w:cs="Traditional Arabic"/>
          <w:sz w:val="32"/>
          <w:szCs w:val="32"/>
          <w:rtl/>
        </w:rPr>
        <w:t xml:space="preserve">. (1967)، مع الاستفادة من بعض مضامين </w:t>
      </w:r>
      <w:r w:rsidRPr="00D01A67">
        <w:rPr>
          <w:rFonts w:ascii="Traditional Arabic" w:eastAsia="Times New Roman" w:hAnsi="Traditional Arabic" w:cs="Traditional Arabic"/>
          <w:sz w:val="32"/>
          <w:szCs w:val="32"/>
        </w:rPr>
        <w:t>Job Satisfaction Survey (JSS)</w:t>
      </w:r>
      <w:r w:rsidRPr="00D01A67">
        <w:rPr>
          <w:rFonts w:ascii="Traditional Arabic" w:eastAsia="Times New Roman" w:hAnsi="Traditional Arabic" w:cs="Traditional Arabic"/>
          <w:sz w:val="32"/>
          <w:szCs w:val="32"/>
          <w:rtl/>
        </w:rPr>
        <w:t xml:space="preserve"> الذي طوره </w:t>
      </w:r>
      <w:r w:rsidRPr="00D01A67">
        <w:rPr>
          <w:rFonts w:ascii="Traditional Arabic" w:eastAsia="Times New Roman" w:hAnsi="Traditional Arabic" w:cs="Traditional Arabic"/>
          <w:sz w:val="32"/>
          <w:szCs w:val="32"/>
        </w:rPr>
        <w:t>Spector</w:t>
      </w:r>
      <w:r w:rsidRPr="00D01A67">
        <w:rPr>
          <w:rFonts w:ascii="Traditional Arabic" w:eastAsia="Times New Roman" w:hAnsi="Traditional Arabic" w:cs="Traditional Arabic"/>
          <w:sz w:val="32"/>
          <w:szCs w:val="32"/>
          <w:rtl/>
        </w:rPr>
        <w:t xml:space="preserve"> (1985). ولذلك لا تمثل الفقرات الاثنتا عشرة المستخدمة في الدراسة النسخة المختصرة الأصلية من </w:t>
      </w:r>
      <w:r w:rsidRPr="00D01A67">
        <w:rPr>
          <w:rFonts w:ascii="Traditional Arabic" w:eastAsia="Times New Roman" w:hAnsi="Traditional Arabic" w:cs="Traditional Arabic"/>
          <w:sz w:val="32"/>
          <w:szCs w:val="32"/>
        </w:rPr>
        <w:t>MSQ</w:t>
      </w:r>
      <w:r w:rsidRPr="00D01A67">
        <w:rPr>
          <w:rFonts w:ascii="Traditional Arabic" w:eastAsia="Times New Roman" w:hAnsi="Traditional Arabic" w:cs="Traditional Arabic"/>
          <w:sz w:val="32"/>
          <w:szCs w:val="32"/>
          <w:rtl/>
        </w:rPr>
        <w:t xml:space="preserve">، وإنما تمثل أداة مكيفة أعدت لأغراض الدراسة الحالية بالاستفادة من المقياسين السابقين. ويرجع </w:t>
      </w:r>
      <w:r w:rsidRPr="00D01A67">
        <w:rPr>
          <w:rFonts w:ascii="Traditional Arabic" w:eastAsia="Times New Roman" w:hAnsi="Traditional Arabic" w:cs="Traditional Arabic"/>
          <w:sz w:val="32"/>
          <w:szCs w:val="32"/>
        </w:rPr>
        <w:t>MSQ</w:t>
      </w:r>
      <w:r w:rsidRPr="00D01A67">
        <w:rPr>
          <w:rFonts w:ascii="Traditional Arabic" w:eastAsia="Times New Roman" w:hAnsi="Traditional Arabic" w:cs="Traditional Arabic"/>
          <w:sz w:val="32"/>
          <w:szCs w:val="32"/>
          <w:rtl/>
        </w:rPr>
        <w:t xml:space="preserve"> إلى </w:t>
      </w:r>
      <w:r w:rsidRPr="00D01A67">
        <w:rPr>
          <w:rFonts w:ascii="Traditional Arabic" w:eastAsia="Times New Roman" w:hAnsi="Traditional Arabic" w:cs="Traditional Arabic"/>
          <w:sz w:val="32"/>
          <w:szCs w:val="32"/>
        </w:rPr>
        <w:t>Weiss</w:t>
      </w:r>
      <w:r w:rsidRPr="00D01A67">
        <w:rPr>
          <w:rFonts w:ascii="Traditional Arabic" w:eastAsia="Times New Roman" w:hAnsi="Traditional Arabic" w:cs="Traditional Arabic"/>
          <w:sz w:val="32"/>
          <w:szCs w:val="32"/>
          <w:rtl/>
        </w:rPr>
        <w:t xml:space="preserve"> وزملائه عام 1967، في حين طُوّر </w:t>
      </w:r>
      <w:r w:rsidRPr="00D01A67">
        <w:rPr>
          <w:rFonts w:ascii="Traditional Arabic" w:eastAsia="Times New Roman" w:hAnsi="Traditional Arabic" w:cs="Traditional Arabic"/>
          <w:sz w:val="32"/>
          <w:szCs w:val="32"/>
        </w:rPr>
        <w:t>JSS</w:t>
      </w:r>
      <w:r w:rsidRPr="00D01A67">
        <w:rPr>
          <w:rFonts w:ascii="Traditional Arabic" w:eastAsia="Times New Roman" w:hAnsi="Traditional Arabic" w:cs="Traditional Arabic"/>
          <w:sz w:val="32"/>
          <w:szCs w:val="32"/>
          <w:rtl/>
        </w:rPr>
        <w:t xml:space="preserve"> بواسطة </w:t>
      </w:r>
      <w:r w:rsidRPr="00D01A67">
        <w:rPr>
          <w:rFonts w:ascii="Traditional Arabic" w:eastAsia="Times New Roman" w:hAnsi="Traditional Arabic" w:cs="Traditional Arabic"/>
          <w:sz w:val="32"/>
          <w:szCs w:val="32"/>
        </w:rPr>
        <w:t>Spector</w:t>
      </w:r>
      <w:r w:rsidRPr="00D01A67">
        <w:rPr>
          <w:rFonts w:ascii="Traditional Arabic" w:eastAsia="Times New Roman" w:hAnsi="Traditional Arabic" w:cs="Traditional Arabic"/>
          <w:sz w:val="32"/>
          <w:szCs w:val="32"/>
          <w:rtl/>
        </w:rPr>
        <w:t xml:space="preserve"> عام 1985.</w:t>
      </w:r>
    </w:p>
    <w:p w14:paraId="036B1166" w14:textId="77777777" w:rsidR="00D01A67" w:rsidRPr="00D01A67" w:rsidRDefault="00D01A67" w:rsidP="00D01A67">
      <w:pPr>
        <w:bidi/>
        <w:spacing w:after="200" w:line="360" w:lineRule="auto"/>
        <w:jc w:val="both"/>
        <w:rPr>
          <w:rFonts w:ascii="Traditional Arabic" w:eastAsia="Times New Roman" w:hAnsi="Traditional Arabic" w:cs="Traditional Arabic"/>
          <w:sz w:val="32"/>
          <w:szCs w:val="32"/>
        </w:rPr>
      </w:pPr>
      <w:r w:rsidRPr="00D01A67">
        <w:rPr>
          <w:rFonts w:ascii="Traditional Arabic" w:eastAsia="Times New Roman" w:hAnsi="Traditional Arabic" w:cs="Traditional Arabic"/>
          <w:sz w:val="32"/>
          <w:szCs w:val="32"/>
          <w:rtl/>
        </w:rPr>
        <w:t>وقد أُعيدت صياغة الفقرات بما يتلاءم مع طبيعة العمل القضائي والبيئة التنظيمية السعودية، وتوزعت على بعدين رئيسين هما</w:t>
      </w:r>
      <w:r w:rsidRPr="00D01A67">
        <w:rPr>
          <w:rFonts w:ascii="Traditional Arabic" w:eastAsia="Times New Roman" w:hAnsi="Traditional Arabic" w:cs="Traditional Arabic"/>
          <w:sz w:val="32"/>
          <w:szCs w:val="32"/>
        </w:rPr>
        <w:t>:</w:t>
      </w:r>
    </w:p>
    <w:p w14:paraId="3D87348C" w14:textId="77777777" w:rsidR="00D01A67" w:rsidRPr="00D01A67" w:rsidRDefault="00D01A67" w:rsidP="00D01A67">
      <w:pPr>
        <w:numPr>
          <w:ilvl w:val="0"/>
          <w:numId w:val="34"/>
        </w:numPr>
        <w:bidi/>
        <w:spacing w:after="200" w:line="360" w:lineRule="auto"/>
        <w:jc w:val="both"/>
        <w:rPr>
          <w:rFonts w:ascii="Traditional Arabic" w:eastAsia="Times New Roman" w:hAnsi="Traditional Arabic" w:cs="Traditional Arabic"/>
          <w:sz w:val="32"/>
          <w:szCs w:val="32"/>
        </w:rPr>
      </w:pPr>
      <w:r w:rsidRPr="00D01A67">
        <w:rPr>
          <w:rFonts w:ascii="Traditional Arabic" w:eastAsia="Times New Roman" w:hAnsi="Traditional Arabic" w:cs="Traditional Arabic"/>
          <w:sz w:val="32"/>
          <w:szCs w:val="32"/>
          <w:rtl/>
        </w:rPr>
        <w:t>الرضا الداخلي</w:t>
      </w:r>
      <w:r w:rsidRPr="00D01A67">
        <w:rPr>
          <w:rFonts w:ascii="Traditional Arabic" w:eastAsia="Times New Roman" w:hAnsi="Traditional Arabic" w:cs="Traditional Arabic"/>
          <w:sz w:val="32"/>
          <w:szCs w:val="32"/>
        </w:rPr>
        <w:t xml:space="preserve">. </w:t>
      </w:r>
    </w:p>
    <w:p w14:paraId="06F7A512" w14:textId="77777777" w:rsidR="00D01A67" w:rsidRPr="00D01A67" w:rsidRDefault="00D01A67" w:rsidP="00D01A67">
      <w:pPr>
        <w:numPr>
          <w:ilvl w:val="0"/>
          <w:numId w:val="34"/>
        </w:numPr>
        <w:bidi/>
        <w:spacing w:after="200" w:line="360" w:lineRule="auto"/>
        <w:jc w:val="both"/>
        <w:rPr>
          <w:rFonts w:ascii="Traditional Arabic" w:eastAsia="Times New Roman" w:hAnsi="Traditional Arabic" w:cs="Traditional Arabic"/>
          <w:sz w:val="32"/>
          <w:szCs w:val="32"/>
        </w:rPr>
      </w:pPr>
      <w:r w:rsidRPr="00D01A67">
        <w:rPr>
          <w:rFonts w:ascii="Traditional Arabic" w:eastAsia="Times New Roman" w:hAnsi="Traditional Arabic" w:cs="Traditional Arabic"/>
          <w:sz w:val="32"/>
          <w:szCs w:val="32"/>
          <w:rtl/>
        </w:rPr>
        <w:t>الرضا الخارجي</w:t>
      </w:r>
      <w:r w:rsidRPr="00D01A67">
        <w:rPr>
          <w:rFonts w:ascii="Traditional Arabic" w:eastAsia="Times New Roman" w:hAnsi="Traditional Arabic" w:cs="Traditional Arabic"/>
          <w:sz w:val="32"/>
          <w:szCs w:val="32"/>
        </w:rPr>
        <w:t xml:space="preserve">. </w:t>
      </w:r>
    </w:p>
    <w:p w14:paraId="65845E95" w14:textId="77777777" w:rsidR="00D01A67" w:rsidRPr="00D01A67" w:rsidRDefault="00D01A67" w:rsidP="00D01A67">
      <w:pPr>
        <w:bidi/>
        <w:spacing w:after="200" w:line="360" w:lineRule="auto"/>
        <w:jc w:val="both"/>
        <w:rPr>
          <w:rFonts w:ascii="Traditional Arabic" w:eastAsia="Times New Roman" w:hAnsi="Traditional Arabic" w:cs="Traditional Arabic"/>
          <w:sz w:val="32"/>
          <w:szCs w:val="32"/>
        </w:rPr>
      </w:pPr>
      <w:r w:rsidRPr="00D01A67">
        <w:rPr>
          <w:rFonts w:ascii="Traditional Arabic" w:eastAsia="Times New Roman" w:hAnsi="Traditional Arabic" w:cs="Traditional Arabic"/>
          <w:sz w:val="32"/>
          <w:szCs w:val="32"/>
          <w:rtl/>
        </w:rPr>
        <w:t>ويبين الجدول (3-2) مصادر فقرات أداة الدراسة، وأبعادها، وعدد فقراتها، وأرقامها، وطبيعة التعديلات التي أجريت عليها</w:t>
      </w:r>
      <w:r w:rsidRPr="00D01A67">
        <w:rPr>
          <w:rFonts w:ascii="Traditional Arabic" w:eastAsia="Times New Roman" w:hAnsi="Traditional Arabic" w:cs="Traditional Arabic"/>
          <w:sz w:val="32"/>
          <w:szCs w:val="32"/>
        </w:rPr>
        <w:t>.</w:t>
      </w:r>
    </w:p>
    <w:p w14:paraId="222D5911" w14:textId="77777777" w:rsidR="00D01A67" w:rsidRPr="00D01A67" w:rsidRDefault="00D01A67" w:rsidP="00D01A67">
      <w:pPr>
        <w:bidi/>
        <w:spacing w:after="200" w:line="240" w:lineRule="auto"/>
        <w:jc w:val="center"/>
        <w:rPr>
          <w:rFonts w:ascii="Traditional Arabic" w:eastAsia="Times New Roman" w:hAnsi="Traditional Arabic" w:cs="Traditional Arabic"/>
          <w:b/>
          <w:bCs/>
          <w:sz w:val="28"/>
          <w:szCs w:val="28"/>
        </w:rPr>
      </w:pPr>
      <w:r w:rsidRPr="00D01A67">
        <w:rPr>
          <w:rFonts w:ascii="Traditional Arabic" w:eastAsia="Times New Roman" w:hAnsi="Traditional Arabic" w:cs="Traditional Arabic"/>
          <w:b/>
          <w:bCs/>
          <w:sz w:val="28"/>
          <w:szCs w:val="28"/>
          <w:rtl/>
        </w:rPr>
        <w:lastRenderedPageBreak/>
        <w:t>جدول (3-2): مصادر فقرات أداة الدراسة وتوزيعها على المتغيرات والأبعاد</w:t>
      </w:r>
    </w:p>
    <w:tbl>
      <w:tblPr>
        <w:tblStyle w:val="a7"/>
        <w:bidiVisual/>
        <w:tblW w:w="0" w:type="auto"/>
        <w:tblLook w:val="04A0" w:firstRow="1" w:lastRow="0" w:firstColumn="1" w:lastColumn="0" w:noHBand="0" w:noVBand="1"/>
      </w:tblPr>
      <w:tblGrid>
        <w:gridCol w:w="1384"/>
        <w:gridCol w:w="1173"/>
        <w:gridCol w:w="874"/>
        <w:gridCol w:w="2152"/>
        <w:gridCol w:w="878"/>
        <w:gridCol w:w="1835"/>
      </w:tblGrid>
      <w:tr w:rsidR="00D01A67" w:rsidRPr="00D01A67" w14:paraId="48BB8785" w14:textId="77777777" w:rsidTr="00D01A67">
        <w:tc>
          <w:tcPr>
            <w:tcW w:w="0" w:type="auto"/>
            <w:hideMark/>
          </w:tcPr>
          <w:p w14:paraId="40BE99F9" w14:textId="77777777" w:rsidR="00D01A67" w:rsidRPr="00D01A67" w:rsidRDefault="00D01A67" w:rsidP="00D01A67">
            <w:pPr>
              <w:bidi/>
              <w:spacing w:after="200" w:line="240" w:lineRule="auto"/>
              <w:jc w:val="both"/>
              <w:rPr>
                <w:rFonts w:ascii="Traditional Arabic" w:eastAsia="Times New Roman" w:hAnsi="Traditional Arabic" w:cs="Traditional Arabic"/>
                <w:b/>
                <w:bCs/>
                <w:sz w:val="28"/>
                <w:szCs w:val="28"/>
              </w:rPr>
            </w:pPr>
            <w:r w:rsidRPr="00D01A67">
              <w:rPr>
                <w:rFonts w:ascii="Traditional Arabic" w:eastAsia="Times New Roman" w:hAnsi="Traditional Arabic" w:cs="Traditional Arabic"/>
                <w:b/>
                <w:bCs/>
                <w:sz w:val="28"/>
                <w:szCs w:val="28"/>
                <w:rtl/>
              </w:rPr>
              <w:t>المتغير</w:t>
            </w:r>
          </w:p>
        </w:tc>
        <w:tc>
          <w:tcPr>
            <w:tcW w:w="0" w:type="auto"/>
            <w:hideMark/>
          </w:tcPr>
          <w:p w14:paraId="6B25B328" w14:textId="77777777" w:rsidR="00D01A67" w:rsidRPr="00D01A67" w:rsidRDefault="00D01A67" w:rsidP="00D01A67">
            <w:pPr>
              <w:bidi/>
              <w:spacing w:after="200" w:line="240" w:lineRule="auto"/>
              <w:jc w:val="both"/>
              <w:rPr>
                <w:rFonts w:ascii="Traditional Arabic" w:eastAsia="Times New Roman" w:hAnsi="Traditional Arabic" w:cs="Traditional Arabic"/>
                <w:b/>
                <w:bCs/>
                <w:sz w:val="28"/>
                <w:szCs w:val="28"/>
              </w:rPr>
            </w:pPr>
            <w:r w:rsidRPr="00D01A67">
              <w:rPr>
                <w:rFonts w:ascii="Traditional Arabic" w:eastAsia="Times New Roman" w:hAnsi="Traditional Arabic" w:cs="Traditional Arabic"/>
                <w:b/>
                <w:bCs/>
                <w:sz w:val="28"/>
                <w:szCs w:val="28"/>
                <w:rtl/>
              </w:rPr>
              <w:t>الأبعاد</w:t>
            </w:r>
          </w:p>
        </w:tc>
        <w:tc>
          <w:tcPr>
            <w:tcW w:w="0" w:type="auto"/>
            <w:hideMark/>
          </w:tcPr>
          <w:p w14:paraId="2056ED3C" w14:textId="77777777" w:rsidR="00D01A67" w:rsidRPr="00D01A67" w:rsidRDefault="00D01A67" w:rsidP="00D01A67">
            <w:pPr>
              <w:bidi/>
              <w:spacing w:after="200" w:line="240" w:lineRule="auto"/>
              <w:jc w:val="both"/>
              <w:rPr>
                <w:rFonts w:ascii="Traditional Arabic" w:eastAsia="Times New Roman" w:hAnsi="Traditional Arabic" w:cs="Traditional Arabic"/>
                <w:b/>
                <w:bCs/>
                <w:sz w:val="28"/>
                <w:szCs w:val="28"/>
              </w:rPr>
            </w:pPr>
            <w:r w:rsidRPr="00D01A67">
              <w:rPr>
                <w:rFonts w:ascii="Traditional Arabic" w:eastAsia="Times New Roman" w:hAnsi="Traditional Arabic" w:cs="Traditional Arabic"/>
                <w:b/>
                <w:bCs/>
                <w:sz w:val="28"/>
                <w:szCs w:val="28"/>
                <w:rtl/>
              </w:rPr>
              <w:t>عدد الفقرات</w:t>
            </w:r>
          </w:p>
        </w:tc>
        <w:tc>
          <w:tcPr>
            <w:tcW w:w="0" w:type="auto"/>
            <w:hideMark/>
          </w:tcPr>
          <w:p w14:paraId="41D7D942" w14:textId="77777777" w:rsidR="00D01A67" w:rsidRPr="00D01A67" w:rsidRDefault="00D01A67" w:rsidP="00D01A67">
            <w:pPr>
              <w:bidi/>
              <w:spacing w:after="200" w:line="240" w:lineRule="auto"/>
              <w:jc w:val="both"/>
              <w:rPr>
                <w:rFonts w:ascii="Traditional Arabic" w:eastAsia="Times New Roman" w:hAnsi="Traditional Arabic" w:cs="Traditional Arabic"/>
                <w:b/>
                <w:bCs/>
                <w:sz w:val="28"/>
                <w:szCs w:val="28"/>
              </w:rPr>
            </w:pPr>
            <w:r w:rsidRPr="00D01A67">
              <w:rPr>
                <w:rFonts w:ascii="Traditional Arabic" w:eastAsia="Times New Roman" w:hAnsi="Traditional Arabic" w:cs="Traditional Arabic"/>
                <w:b/>
                <w:bCs/>
                <w:sz w:val="28"/>
                <w:szCs w:val="28"/>
                <w:rtl/>
              </w:rPr>
              <w:t>المصدر الأصلي</w:t>
            </w:r>
          </w:p>
        </w:tc>
        <w:tc>
          <w:tcPr>
            <w:tcW w:w="0" w:type="auto"/>
            <w:hideMark/>
          </w:tcPr>
          <w:p w14:paraId="10B6973D" w14:textId="77777777" w:rsidR="00D01A67" w:rsidRPr="00D01A67" w:rsidRDefault="00D01A67" w:rsidP="00D01A67">
            <w:pPr>
              <w:bidi/>
              <w:spacing w:after="200" w:line="240" w:lineRule="auto"/>
              <w:jc w:val="both"/>
              <w:rPr>
                <w:rFonts w:ascii="Traditional Arabic" w:eastAsia="Times New Roman" w:hAnsi="Traditional Arabic" w:cs="Traditional Arabic"/>
                <w:b/>
                <w:bCs/>
                <w:sz w:val="28"/>
                <w:szCs w:val="28"/>
              </w:rPr>
            </w:pPr>
            <w:r w:rsidRPr="00D01A67">
              <w:rPr>
                <w:rFonts w:ascii="Traditional Arabic" w:eastAsia="Times New Roman" w:hAnsi="Traditional Arabic" w:cs="Traditional Arabic"/>
                <w:b/>
                <w:bCs/>
                <w:sz w:val="28"/>
                <w:szCs w:val="28"/>
                <w:rtl/>
              </w:rPr>
              <w:t>أرقام الفقرات</w:t>
            </w:r>
          </w:p>
        </w:tc>
        <w:tc>
          <w:tcPr>
            <w:tcW w:w="0" w:type="auto"/>
            <w:hideMark/>
          </w:tcPr>
          <w:p w14:paraId="47D4C5F8" w14:textId="77777777" w:rsidR="00D01A67" w:rsidRPr="00D01A67" w:rsidRDefault="00D01A67" w:rsidP="00D01A67">
            <w:pPr>
              <w:bidi/>
              <w:spacing w:after="200" w:line="240" w:lineRule="auto"/>
              <w:jc w:val="both"/>
              <w:rPr>
                <w:rFonts w:ascii="Traditional Arabic" w:eastAsia="Times New Roman" w:hAnsi="Traditional Arabic" w:cs="Traditional Arabic"/>
                <w:b/>
                <w:bCs/>
                <w:sz w:val="28"/>
                <w:szCs w:val="28"/>
              </w:rPr>
            </w:pPr>
            <w:r w:rsidRPr="00D01A67">
              <w:rPr>
                <w:rFonts w:ascii="Traditional Arabic" w:eastAsia="Times New Roman" w:hAnsi="Traditional Arabic" w:cs="Traditional Arabic"/>
                <w:b/>
                <w:bCs/>
                <w:sz w:val="28"/>
                <w:szCs w:val="28"/>
                <w:rtl/>
              </w:rPr>
              <w:t>طريقة التعديل</w:t>
            </w:r>
          </w:p>
        </w:tc>
      </w:tr>
      <w:tr w:rsidR="00D01A67" w:rsidRPr="00D01A67" w14:paraId="76D33CC6" w14:textId="77777777" w:rsidTr="00D01A67">
        <w:tc>
          <w:tcPr>
            <w:tcW w:w="0" w:type="auto"/>
            <w:hideMark/>
          </w:tcPr>
          <w:p w14:paraId="5D4ADDA5"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sz w:val="28"/>
                <w:szCs w:val="28"/>
                <w:rtl/>
              </w:rPr>
              <w:t>استراتيجيات مواجهة ضغوط العمل</w:t>
            </w:r>
          </w:p>
        </w:tc>
        <w:tc>
          <w:tcPr>
            <w:tcW w:w="0" w:type="auto"/>
            <w:hideMark/>
          </w:tcPr>
          <w:p w14:paraId="1C25E51A"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sz w:val="28"/>
                <w:szCs w:val="28"/>
                <w:rtl/>
              </w:rPr>
              <w:t>حل المشكلات</w:t>
            </w:r>
          </w:p>
        </w:tc>
        <w:tc>
          <w:tcPr>
            <w:tcW w:w="0" w:type="auto"/>
            <w:hideMark/>
          </w:tcPr>
          <w:p w14:paraId="74D2C7F8"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sz w:val="28"/>
                <w:szCs w:val="28"/>
              </w:rPr>
              <w:t>3</w:t>
            </w:r>
          </w:p>
        </w:tc>
        <w:tc>
          <w:tcPr>
            <w:tcW w:w="0" w:type="auto"/>
            <w:hideMark/>
          </w:tcPr>
          <w:p w14:paraId="554E77C5"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sz w:val="28"/>
                <w:szCs w:val="28"/>
              </w:rPr>
              <w:t>Tobin et al. (1989) – CSI</w:t>
            </w:r>
          </w:p>
        </w:tc>
        <w:tc>
          <w:tcPr>
            <w:tcW w:w="0" w:type="auto"/>
            <w:hideMark/>
          </w:tcPr>
          <w:p w14:paraId="3E559204"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sz w:val="28"/>
                <w:szCs w:val="28"/>
              </w:rPr>
              <w:t>1–3</w:t>
            </w:r>
          </w:p>
        </w:tc>
        <w:tc>
          <w:tcPr>
            <w:tcW w:w="0" w:type="auto"/>
            <w:hideMark/>
          </w:tcPr>
          <w:p w14:paraId="73CF67EF"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sz w:val="28"/>
                <w:szCs w:val="28"/>
                <w:rtl/>
              </w:rPr>
              <w:t>ترجمة وتكييف وإعادة صياغة بما يتناسب مع طبيعة ضغوط العمل في البيئة القضائية</w:t>
            </w:r>
          </w:p>
        </w:tc>
      </w:tr>
      <w:tr w:rsidR="00D01A67" w:rsidRPr="00D01A67" w14:paraId="1D6215BC" w14:textId="77777777" w:rsidTr="00D01A67">
        <w:tc>
          <w:tcPr>
            <w:tcW w:w="0" w:type="auto"/>
            <w:hideMark/>
          </w:tcPr>
          <w:p w14:paraId="20CF6900"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p>
        </w:tc>
        <w:tc>
          <w:tcPr>
            <w:tcW w:w="0" w:type="auto"/>
            <w:hideMark/>
          </w:tcPr>
          <w:p w14:paraId="4FFBDC39"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sz w:val="28"/>
                <w:szCs w:val="28"/>
                <w:rtl/>
              </w:rPr>
              <w:t>طلب الدعم الاجتماعي</w:t>
            </w:r>
          </w:p>
        </w:tc>
        <w:tc>
          <w:tcPr>
            <w:tcW w:w="0" w:type="auto"/>
            <w:hideMark/>
          </w:tcPr>
          <w:p w14:paraId="0C3C4B88"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sz w:val="28"/>
                <w:szCs w:val="28"/>
              </w:rPr>
              <w:t>3</w:t>
            </w:r>
          </w:p>
        </w:tc>
        <w:tc>
          <w:tcPr>
            <w:tcW w:w="0" w:type="auto"/>
            <w:hideMark/>
          </w:tcPr>
          <w:p w14:paraId="002A4533"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sz w:val="28"/>
                <w:szCs w:val="28"/>
              </w:rPr>
              <w:t>Tobin et al. (1989) – CSI</w:t>
            </w:r>
          </w:p>
        </w:tc>
        <w:tc>
          <w:tcPr>
            <w:tcW w:w="0" w:type="auto"/>
            <w:hideMark/>
          </w:tcPr>
          <w:p w14:paraId="70AD701E"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sz w:val="28"/>
                <w:szCs w:val="28"/>
              </w:rPr>
              <w:t>4–6</w:t>
            </w:r>
          </w:p>
        </w:tc>
        <w:tc>
          <w:tcPr>
            <w:tcW w:w="0" w:type="auto"/>
            <w:hideMark/>
          </w:tcPr>
          <w:p w14:paraId="48B330C0"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sz w:val="28"/>
                <w:szCs w:val="28"/>
                <w:rtl/>
              </w:rPr>
              <w:t>ترجمة وتكييف وإعادة صياغة</w:t>
            </w:r>
          </w:p>
        </w:tc>
      </w:tr>
      <w:tr w:rsidR="00D01A67" w:rsidRPr="00D01A67" w14:paraId="0D09ADA4" w14:textId="77777777" w:rsidTr="00D01A67">
        <w:tc>
          <w:tcPr>
            <w:tcW w:w="0" w:type="auto"/>
            <w:hideMark/>
          </w:tcPr>
          <w:p w14:paraId="56E89AEC"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p>
        </w:tc>
        <w:tc>
          <w:tcPr>
            <w:tcW w:w="0" w:type="auto"/>
            <w:hideMark/>
          </w:tcPr>
          <w:p w14:paraId="348C3078"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sz w:val="28"/>
                <w:szCs w:val="28"/>
                <w:rtl/>
              </w:rPr>
              <w:t>التجنب</w:t>
            </w:r>
          </w:p>
        </w:tc>
        <w:tc>
          <w:tcPr>
            <w:tcW w:w="0" w:type="auto"/>
            <w:hideMark/>
          </w:tcPr>
          <w:p w14:paraId="012C322E"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sz w:val="28"/>
                <w:szCs w:val="28"/>
              </w:rPr>
              <w:t>3</w:t>
            </w:r>
          </w:p>
        </w:tc>
        <w:tc>
          <w:tcPr>
            <w:tcW w:w="0" w:type="auto"/>
            <w:hideMark/>
          </w:tcPr>
          <w:p w14:paraId="178DC63C"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sz w:val="28"/>
                <w:szCs w:val="28"/>
              </w:rPr>
              <w:t>Tobin et al. (1989) – CSI</w:t>
            </w:r>
          </w:p>
        </w:tc>
        <w:tc>
          <w:tcPr>
            <w:tcW w:w="0" w:type="auto"/>
            <w:hideMark/>
          </w:tcPr>
          <w:p w14:paraId="34FAB621"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sz w:val="28"/>
                <w:szCs w:val="28"/>
              </w:rPr>
              <w:t>7–9</w:t>
            </w:r>
          </w:p>
        </w:tc>
        <w:tc>
          <w:tcPr>
            <w:tcW w:w="0" w:type="auto"/>
            <w:hideMark/>
          </w:tcPr>
          <w:p w14:paraId="1129D629"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sz w:val="28"/>
                <w:szCs w:val="28"/>
                <w:rtl/>
              </w:rPr>
              <w:t>ترجمة وتكييف وإعادة صياغة</w:t>
            </w:r>
          </w:p>
        </w:tc>
      </w:tr>
      <w:tr w:rsidR="00D01A67" w:rsidRPr="00D01A67" w14:paraId="0ED3A524" w14:textId="77777777" w:rsidTr="00D01A67">
        <w:tc>
          <w:tcPr>
            <w:tcW w:w="0" w:type="auto"/>
            <w:hideMark/>
          </w:tcPr>
          <w:p w14:paraId="47571407"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p>
        </w:tc>
        <w:tc>
          <w:tcPr>
            <w:tcW w:w="0" w:type="auto"/>
            <w:hideMark/>
          </w:tcPr>
          <w:p w14:paraId="72A82F83"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sz w:val="28"/>
                <w:szCs w:val="28"/>
                <w:rtl/>
              </w:rPr>
              <w:t>الانسحاب</w:t>
            </w:r>
          </w:p>
        </w:tc>
        <w:tc>
          <w:tcPr>
            <w:tcW w:w="0" w:type="auto"/>
            <w:hideMark/>
          </w:tcPr>
          <w:p w14:paraId="3933AA61"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sz w:val="28"/>
                <w:szCs w:val="28"/>
              </w:rPr>
              <w:t>3</w:t>
            </w:r>
          </w:p>
        </w:tc>
        <w:tc>
          <w:tcPr>
            <w:tcW w:w="0" w:type="auto"/>
            <w:hideMark/>
          </w:tcPr>
          <w:p w14:paraId="0E1C1366"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sz w:val="28"/>
                <w:szCs w:val="28"/>
              </w:rPr>
              <w:t>Tobin et al. (1989) – CSI</w:t>
            </w:r>
          </w:p>
        </w:tc>
        <w:tc>
          <w:tcPr>
            <w:tcW w:w="0" w:type="auto"/>
            <w:hideMark/>
          </w:tcPr>
          <w:p w14:paraId="6620E075"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sz w:val="28"/>
                <w:szCs w:val="28"/>
              </w:rPr>
              <w:t>10–12</w:t>
            </w:r>
          </w:p>
        </w:tc>
        <w:tc>
          <w:tcPr>
            <w:tcW w:w="0" w:type="auto"/>
            <w:hideMark/>
          </w:tcPr>
          <w:p w14:paraId="164FCF62"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sz w:val="28"/>
                <w:szCs w:val="28"/>
                <w:rtl/>
              </w:rPr>
              <w:t>ترجمة وتكييف وإعادة صياغة</w:t>
            </w:r>
          </w:p>
        </w:tc>
      </w:tr>
      <w:tr w:rsidR="00D01A67" w:rsidRPr="00D01A67" w14:paraId="09EA6E98" w14:textId="77777777" w:rsidTr="00D01A67">
        <w:tc>
          <w:tcPr>
            <w:tcW w:w="0" w:type="auto"/>
            <w:hideMark/>
          </w:tcPr>
          <w:p w14:paraId="687314F1"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b/>
                <w:bCs/>
                <w:sz w:val="28"/>
                <w:szCs w:val="28"/>
                <w:rtl/>
              </w:rPr>
              <w:t>المجموع</w:t>
            </w:r>
          </w:p>
        </w:tc>
        <w:tc>
          <w:tcPr>
            <w:tcW w:w="0" w:type="auto"/>
            <w:hideMark/>
          </w:tcPr>
          <w:p w14:paraId="21F74A9A"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p>
        </w:tc>
        <w:tc>
          <w:tcPr>
            <w:tcW w:w="0" w:type="auto"/>
            <w:hideMark/>
          </w:tcPr>
          <w:p w14:paraId="26F5C2C0"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b/>
                <w:bCs/>
                <w:sz w:val="28"/>
                <w:szCs w:val="28"/>
              </w:rPr>
              <w:t>12</w:t>
            </w:r>
          </w:p>
        </w:tc>
        <w:tc>
          <w:tcPr>
            <w:tcW w:w="0" w:type="auto"/>
            <w:hideMark/>
          </w:tcPr>
          <w:p w14:paraId="3D3CFA32"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p>
        </w:tc>
        <w:tc>
          <w:tcPr>
            <w:tcW w:w="0" w:type="auto"/>
            <w:hideMark/>
          </w:tcPr>
          <w:p w14:paraId="67571DB6"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p>
        </w:tc>
        <w:tc>
          <w:tcPr>
            <w:tcW w:w="0" w:type="auto"/>
            <w:hideMark/>
          </w:tcPr>
          <w:p w14:paraId="141BCF3F"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p>
        </w:tc>
      </w:tr>
      <w:tr w:rsidR="00D01A67" w:rsidRPr="00D01A67" w14:paraId="53462728" w14:textId="77777777" w:rsidTr="00D01A67">
        <w:tc>
          <w:tcPr>
            <w:tcW w:w="0" w:type="auto"/>
            <w:hideMark/>
          </w:tcPr>
          <w:p w14:paraId="01A1745F"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sz w:val="28"/>
                <w:szCs w:val="28"/>
                <w:rtl/>
              </w:rPr>
              <w:t>الاحتراق الوظيفي</w:t>
            </w:r>
          </w:p>
        </w:tc>
        <w:tc>
          <w:tcPr>
            <w:tcW w:w="0" w:type="auto"/>
            <w:hideMark/>
          </w:tcPr>
          <w:p w14:paraId="29FA0800"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sz w:val="28"/>
                <w:szCs w:val="28"/>
                <w:rtl/>
              </w:rPr>
              <w:t>الإنهاك العاطفي</w:t>
            </w:r>
          </w:p>
        </w:tc>
        <w:tc>
          <w:tcPr>
            <w:tcW w:w="0" w:type="auto"/>
            <w:hideMark/>
          </w:tcPr>
          <w:p w14:paraId="7811B746"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sz w:val="28"/>
                <w:szCs w:val="28"/>
              </w:rPr>
              <w:t>3</w:t>
            </w:r>
          </w:p>
        </w:tc>
        <w:tc>
          <w:tcPr>
            <w:tcW w:w="0" w:type="auto"/>
            <w:hideMark/>
          </w:tcPr>
          <w:p w14:paraId="5AB0E483"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sz w:val="28"/>
                <w:szCs w:val="28"/>
              </w:rPr>
              <w:t>Maslach &amp; Jackson (1981) – MBI</w:t>
            </w:r>
          </w:p>
        </w:tc>
        <w:tc>
          <w:tcPr>
            <w:tcW w:w="0" w:type="auto"/>
            <w:hideMark/>
          </w:tcPr>
          <w:p w14:paraId="4F3B635C"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sz w:val="28"/>
                <w:szCs w:val="28"/>
              </w:rPr>
              <w:t>13–15</w:t>
            </w:r>
          </w:p>
        </w:tc>
        <w:tc>
          <w:tcPr>
            <w:tcW w:w="0" w:type="auto"/>
            <w:hideMark/>
          </w:tcPr>
          <w:p w14:paraId="345F9E3C"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sz w:val="28"/>
                <w:szCs w:val="28"/>
                <w:rtl/>
              </w:rPr>
              <w:t>اختيار وتكييف فقرات لتمثيل البعد دون وصفها بأنها نسخة مختصرة معيارية</w:t>
            </w:r>
          </w:p>
        </w:tc>
      </w:tr>
      <w:tr w:rsidR="00D01A67" w:rsidRPr="00D01A67" w14:paraId="51D9E3EC" w14:textId="77777777" w:rsidTr="00D01A67">
        <w:tc>
          <w:tcPr>
            <w:tcW w:w="0" w:type="auto"/>
            <w:hideMark/>
          </w:tcPr>
          <w:p w14:paraId="45590EAF"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p>
        </w:tc>
        <w:tc>
          <w:tcPr>
            <w:tcW w:w="0" w:type="auto"/>
            <w:hideMark/>
          </w:tcPr>
          <w:p w14:paraId="049531A9"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sz w:val="28"/>
                <w:szCs w:val="28"/>
                <w:rtl/>
              </w:rPr>
              <w:t>تبلد المشاعر</w:t>
            </w:r>
          </w:p>
        </w:tc>
        <w:tc>
          <w:tcPr>
            <w:tcW w:w="0" w:type="auto"/>
            <w:hideMark/>
          </w:tcPr>
          <w:p w14:paraId="6A9ECAF4"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sz w:val="28"/>
                <w:szCs w:val="28"/>
              </w:rPr>
              <w:t>3</w:t>
            </w:r>
          </w:p>
        </w:tc>
        <w:tc>
          <w:tcPr>
            <w:tcW w:w="0" w:type="auto"/>
            <w:hideMark/>
          </w:tcPr>
          <w:p w14:paraId="68DCD312"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sz w:val="28"/>
                <w:szCs w:val="28"/>
              </w:rPr>
              <w:t>Maslach &amp; Jackson (1981) – MBI</w:t>
            </w:r>
          </w:p>
        </w:tc>
        <w:tc>
          <w:tcPr>
            <w:tcW w:w="0" w:type="auto"/>
            <w:hideMark/>
          </w:tcPr>
          <w:p w14:paraId="7A9A50F9"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sz w:val="28"/>
                <w:szCs w:val="28"/>
              </w:rPr>
              <w:t>16–18</w:t>
            </w:r>
          </w:p>
        </w:tc>
        <w:tc>
          <w:tcPr>
            <w:tcW w:w="0" w:type="auto"/>
            <w:hideMark/>
          </w:tcPr>
          <w:p w14:paraId="0D214ED4"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sz w:val="28"/>
                <w:szCs w:val="28"/>
                <w:rtl/>
              </w:rPr>
              <w:t>اختيار وتكييف وإعادة صياغة</w:t>
            </w:r>
          </w:p>
        </w:tc>
      </w:tr>
      <w:tr w:rsidR="00D01A67" w:rsidRPr="00D01A67" w14:paraId="100A2FC1" w14:textId="77777777" w:rsidTr="00D01A67">
        <w:tc>
          <w:tcPr>
            <w:tcW w:w="0" w:type="auto"/>
            <w:hideMark/>
          </w:tcPr>
          <w:p w14:paraId="2F09A476"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p>
        </w:tc>
        <w:tc>
          <w:tcPr>
            <w:tcW w:w="0" w:type="auto"/>
            <w:hideMark/>
          </w:tcPr>
          <w:p w14:paraId="1FF70089"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sz w:val="28"/>
                <w:szCs w:val="28"/>
                <w:rtl/>
              </w:rPr>
              <w:t>انخفاض الإنجاز الشخصي</w:t>
            </w:r>
          </w:p>
        </w:tc>
        <w:tc>
          <w:tcPr>
            <w:tcW w:w="0" w:type="auto"/>
            <w:hideMark/>
          </w:tcPr>
          <w:p w14:paraId="61DC4E0D"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sz w:val="28"/>
                <w:szCs w:val="28"/>
              </w:rPr>
              <w:t>3</w:t>
            </w:r>
          </w:p>
        </w:tc>
        <w:tc>
          <w:tcPr>
            <w:tcW w:w="0" w:type="auto"/>
            <w:hideMark/>
          </w:tcPr>
          <w:p w14:paraId="5BAB3119"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sz w:val="28"/>
                <w:szCs w:val="28"/>
              </w:rPr>
              <w:t>Maslach &amp; Jackson (1981) – MBI</w:t>
            </w:r>
          </w:p>
        </w:tc>
        <w:tc>
          <w:tcPr>
            <w:tcW w:w="0" w:type="auto"/>
            <w:hideMark/>
          </w:tcPr>
          <w:p w14:paraId="518766E5"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sz w:val="28"/>
                <w:szCs w:val="28"/>
              </w:rPr>
              <w:t>19–21</w:t>
            </w:r>
          </w:p>
        </w:tc>
        <w:tc>
          <w:tcPr>
            <w:tcW w:w="0" w:type="auto"/>
            <w:hideMark/>
          </w:tcPr>
          <w:p w14:paraId="52833EB9"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sz w:val="28"/>
                <w:szCs w:val="28"/>
                <w:rtl/>
              </w:rPr>
              <w:t>اختيار وتكييف وإعادة صياغة</w:t>
            </w:r>
          </w:p>
        </w:tc>
      </w:tr>
      <w:tr w:rsidR="00D01A67" w:rsidRPr="00D01A67" w14:paraId="120C9B18" w14:textId="77777777" w:rsidTr="00D01A67">
        <w:tc>
          <w:tcPr>
            <w:tcW w:w="0" w:type="auto"/>
            <w:hideMark/>
          </w:tcPr>
          <w:p w14:paraId="71D6ABD8"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b/>
                <w:bCs/>
                <w:sz w:val="28"/>
                <w:szCs w:val="28"/>
                <w:rtl/>
              </w:rPr>
              <w:t>المجموع</w:t>
            </w:r>
          </w:p>
        </w:tc>
        <w:tc>
          <w:tcPr>
            <w:tcW w:w="0" w:type="auto"/>
            <w:hideMark/>
          </w:tcPr>
          <w:p w14:paraId="538B682A"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p>
        </w:tc>
        <w:tc>
          <w:tcPr>
            <w:tcW w:w="0" w:type="auto"/>
            <w:hideMark/>
          </w:tcPr>
          <w:p w14:paraId="26280646"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b/>
                <w:bCs/>
                <w:sz w:val="28"/>
                <w:szCs w:val="28"/>
              </w:rPr>
              <w:t>9</w:t>
            </w:r>
          </w:p>
        </w:tc>
        <w:tc>
          <w:tcPr>
            <w:tcW w:w="0" w:type="auto"/>
            <w:hideMark/>
          </w:tcPr>
          <w:p w14:paraId="68857E4C"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p>
        </w:tc>
        <w:tc>
          <w:tcPr>
            <w:tcW w:w="0" w:type="auto"/>
            <w:hideMark/>
          </w:tcPr>
          <w:p w14:paraId="644B25C3"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p>
        </w:tc>
        <w:tc>
          <w:tcPr>
            <w:tcW w:w="0" w:type="auto"/>
            <w:hideMark/>
          </w:tcPr>
          <w:p w14:paraId="31F4A938"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p>
        </w:tc>
      </w:tr>
      <w:tr w:rsidR="00D01A67" w:rsidRPr="00D01A67" w14:paraId="2F381D91" w14:textId="77777777" w:rsidTr="00D01A67">
        <w:tc>
          <w:tcPr>
            <w:tcW w:w="0" w:type="auto"/>
            <w:hideMark/>
          </w:tcPr>
          <w:p w14:paraId="08A6A1B8"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sz w:val="28"/>
                <w:szCs w:val="28"/>
                <w:rtl/>
              </w:rPr>
              <w:t>الرضا الوظيفي</w:t>
            </w:r>
          </w:p>
        </w:tc>
        <w:tc>
          <w:tcPr>
            <w:tcW w:w="0" w:type="auto"/>
            <w:hideMark/>
          </w:tcPr>
          <w:p w14:paraId="7B96B395"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sz w:val="28"/>
                <w:szCs w:val="28"/>
                <w:rtl/>
              </w:rPr>
              <w:t>الرضا الداخلي</w:t>
            </w:r>
          </w:p>
        </w:tc>
        <w:tc>
          <w:tcPr>
            <w:tcW w:w="0" w:type="auto"/>
            <w:hideMark/>
          </w:tcPr>
          <w:p w14:paraId="5F744D9E"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sz w:val="28"/>
                <w:szCs w:val="28"/>
              </w:rPr>
              <w:t>6</w:t>
            </w:r>
          </w:p>
        </w:tc>
        <w:tc>
          <w:tcPr>
            <w:tcW w:w="0" w:type="auto"/>
            <w:hideMark/>
          </w:tcPr>
          <w:p w14:paraId="0BD29539"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sz w:val="28"/>
                <w:szCs w:val="28"/>
              </w:rPr>
              <w:t>Weiss et al. (1967) – MSQ</w:t>
            </w:r>
            <w:r w:rsidRPr="00D01A67">
              <w:rPr>
                <w:rFonts w:ascii="Traditional Arabic" w:eastAsia="Times New Roman" w:hAnsi="Traditional Arabic" w:cs="Traditional Arabic"/>
                <w:sz w:val="28"/>
                <w:szCs w:val="28"/>
                <w:rtl/>
              </w:rPr>
              <w:t xml:space="preserve">، مع الاستفادة </w:t>
            </w:r>
            <w:r w:rsidRPr="00D01A67">
              <w:rPr>
                <w:rFonts w:ascii="Traditional Arabic" w:eastAsia="Times New Roman" w:hAnsi="Traditional Arabic" w:cs="Traditional Arabic"/>
                <w:sz w:val="28"/>
                <w:szCs w:val="28"/>
                <w:rtl/>
              </w:rPr>
              <w:lastRenderedPageBreak/>
              <w:t>من</w:t>
            </w:r>
            <w:r w:rsidRPr="00D01A67">
              <w:rPr>
                <w:rFonts w:ascii="Traditional Arabic" w:eastAsia="Times New Roman" w:hAnsi="Traditional Arabic" w:cs="Traditional Arabic"/>
                <w:sz w:val="28"/>
                <w:szCs w:val="28"/>
              </w:rPr>
              <w:t xml:space="preserve"> Spector (1985) – JSS</w:t>
            </w:r>
          </w:p>
        </w:tc>
        <w:tc>
          <w:tcPr>
            <w:tcW w:w="0" w:type="auto"/>
            <w:hideMark/>
          </w:tcPr>
          <w:p w14:paraId="28B3519F"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sz w:val="28"/>
                <w:szCs w:val="28"/>
              </w:rPr>
              <w:lastRenderedPageBreak/>
              <w:t>22–27</w:t>
            </w:r>
          </w:p>
        </w:tc>
        <w:tc>
          <w:tcPr>
            <w:tcW w:w="0" w:type="auto"/>
            <w:hideMark/>
          </w:tcPr>
          <w:p w14:paraId="024F1728"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sz w:val="28"/>
                <w:szCs w:val="28"/>
                <w:rtl/>
              </w:rPr>
              <w:t xml:space="preserve">اختيار وتكييف وإعادة صياغة بما يتناسب مع </w:t>
            </w:r>
            <w:r w:rsidRPr="00D01A67">
              <w:rPr>
                <w:rFonts w:ascii="Traditional Arabic" w:eastAsia="Times New Roman" w:hAnsi="Traditional Arabic" w:cs="Traditional Arabic"/>
                <w:sz w:val="28"/>
                <w:szCs w:val="28"/>
                <w:rtl/>
              </w:rPr>
              <w:lastRenderedPageBreak/>
              <w:t>البيئة القضائية والتنظيمية</w:t>
            </w:r>
          </w:p>
        </w:tc>
      </w:tr>
      <w:tr w:rsidR="00D01A67" w:rsidRPr="00D01A67" w14:paraId="77B777D8" w14:textId="77777777" w:rsidTr="00D01A67">
        <w:tc>
          <w:tcPr>
            <w:tcW w:w="0" w:type="auto"/>
            <w:hideMark/>
          </w:tcPr>
          <w:p w14:paraId="16D31AD3"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p>
        </w:tc>
        <w:tc>
          <w:tcPr>
            <w:tcW w:w="0" w:type="auto"/>
            <w:hideMark/>
          </w:tcPr>
          <w:p w14:paraId="3BB8BE49"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sz w:val="28"/>
                <w:szCs w:val="28"/>
                <w:rtl/>
              </w:rPr>
              <w:t>الرضا الخارجي</w:t>
            </w:r>
          </w:p>
        </w:tc>
        <w:tc>
          <w:tcPr>
            <w:tcW w:w="0" w:type="auto"/>
            <w:hideMark/>
          </w:tcPr>
          <w:p w14:paraId="3968C1C0"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sz w:val="28"/>
                <w:szCs w:val="28"/>
              </w:rPr>
              <w:t>6</w:t>
            </w:r>
          </w:p>
        </w:tc>
        <w:tc>
          <w:tcPr>
            <w:tcW w:w="0" w:type="auto"/>
            <w:hideMark/>
          </w:tcPr>
          <w:p w14:paraId="02DDA451"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sz w:val="28"/>
                <w:szCs w:val="28"/>
              </w:rPr>
              <w:t>Weiss et al. (1967) – MSQ</w:t>
            </w:r>
            <w:r w:rsidRPr="00D01A67">
              <w:rPr>
                <w:rFonts w:ascii="Traditional Arabic" w:eastAsia="Times New Roman" w:hAnsi="Traditional Arabic" w:cs="Traditional Arabic"/>
                <w:sz w:val="28"/>
                <w:szCs w:val="28"/>
                <w:rtl/>
              </w:rPr>
              <w:t>، مع الاستفادة من</w:t>
            </w:r>
            <w:r w:rsidRPr="00D01A67">
              <w:rPr>
                <w:rFonts w:ascii="Traditional Arabic" w:eastAsia="Times New Roman" w:hAnsi="Traditional Arabic" w:cs="Traditional Arabic"/>
                <w:sz w:val="28"/>
                <w:szCs w:val="28"/>
              </w:rPr>
              <w:t xml:space="preserve"> Spector (1985) – JSS</w:t>
            </w:r>
          </w:p>
        </w:tc>
        <w:tc>
          <w:tcPr>
            <w:tcW w:w="0" w:type="auto"/>
            <w:hideMark/>
          </w:tcPr>
          <w:p w14:paraId="0BF5686F"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sz w:val="28"/>
                <w:szCs w:val="28"/>
              </w:rPr>
              <w:t>28–33</w:t>
            </w:r>
          </w:p>
        </w:tc>
        <w:tc>
          <w:tcPr>
            <w:tcW w:w="0" w:type="auto"/>
            <w:hideMark/>
          </w:tcPr>
          <w:p w14:paraId="60B415DC"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sz w:val="28"/>
                <w:szCs w:val="28"/>
                <w:rtl/>
              </w:rPr>
              <w:t>اختيار وتكييف وإعادة صياغة</w:t>
            </w:r>
          </w:p>
        </w:tc>
      </w:tr>
      <w:tr w:rsidR="00D01A67" w:rsidRPr="00D01A67" w14:paraId="04F1DB77" w14:textId="77777777" w:rsidTr="00D01A67">
        <w:tc>
          <w:tcPr>
            <w:tcW w:w="0" w:type="auto"/>
            <w:hideMark/>
          </w:tcPr>
          <w:p w14:paraId="547D8FB4"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b/>
                <w:bCs/>
                <w:sz w:val="28"/>
                <w:szCs w:val="28"/>
                <w:rtl/>
              </w:rPr>
              <w:t>المجموع</w:t>
            </w:r>
          </w:p>
        </w:tc>
        <w:tc>
          <w:tcPr>
            <w:tcW w:w="0" w:type="auto"/>
            <w:hideMark/>
          </w:tcPr>
          <w:p w14:paraId="6FFEDE81"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p>
        </w:tc>
        <w:tc>
          <w:tcPr>
            <w:tcW w:w="0" w:type="auto"/>
            <w:hideMark/>
          </w:tcPr>
          <w:p w14:paraId="1FAAED35"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b/>
                <w:bCs/>
                <w:sz w:val="28"/>
                <w:szCs w:val="28"/>
              </w:rPr>
              <w:t>12</w:t>
            </w:r>
          </w:p>
        </w:tc>
        <w:tc>
          <w:tcPr>
            <w:tcW w:w="0" w:type="auto"/>
            <w:hideMark/>
          </w:tcPr>
          <w:p w14:paraId="7B5AC4EB"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p>
        </w:tc>
        <w:tc>
          <w:tcPr>
            <w:tcW w:w="0" w:type="auto"/>
            <w:hideMark/>
          </w:tcPr>
          <w:p w14:paraId="64417430"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p>
        </w:tc>
        <w:tc>
          <w:tcPr>
            <w:tcW w:w="0" w:type="auto"/>
            <w:hideMark/>
          </w:tcPr>
          <w:p w14:paraId="3E13495A"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p>
        </w:tc>
      </w:tr>
      <w:tr w:rsidR="00D01A67" w:rsidRPr="00D01A67" w14:paraId="4EF6D81B" w14:textId="77777777" w:rsidTr="00D01A67">
        <w:tc>
          <w:tcPr>
            <w:tcW w:w="0" w:type="auto"/>
            <w:hideMark/>
          </w:tcPr>
          <w:p w14:paraId="4D7D0892"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b/>
                <w:bCs/>
                <w:sz w:val="28"/>
                <w:szCs w:val="28"/>
                <w:rtl/>
              </w:rPr>
              <w:t>إجمالي فقرات الاستبانة</w:t>
            </w:r>
          </w:p>
        </w:tc>
        <w:tc>
          <w:tcPr>
            <w:tcW w:w="0" w:type="auto"/>
            <w:hideMark/>
          </w:tcPr>
          <w:p w14:paraId="50BEA68D"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p>
        </w:tc>
        <w:tc>
          <w:tcPr>
            <w:tcW w:w="0" w:type="auto"/>
            <w:hideMark/>
          </w:tcPr>
          <w:p w14:paraId="3D083D13"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b/>
                <w:bCs/>
                <w:sz w:val="28"/>
                <w:szCs w:val="28"/>
              </w:rPr>
              <w:t>33</w:t>
            </w:r>
          </w:p>
        </w:tc>
        <w:tc>
          <w:tcPr>
            <w:tcW w:w="0" w:type="auto"/>
            <w:hideMark/>
          </w:tcPr>
          <w:p w14:paraId="001BD12E"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p>
        </w:tc>
        <w:tc>
          <w:tcPr>
            <w:tcW w:w="0" w:type="auto"/>
            <w:hideMark/>
          </w:tcPr>
          <w:p w14:paraId="46348BEE"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r w:rsidRPr="00D01A67">
              <w:rPr>
                <w:rFonts w:ascii="Traditional Arabic" w:eastAsia="Times New Roman" w:hAnsi="Traditional Arabic" w:cs="Traditional Arabic"/>
                <w:b/>
                <w:bCs/>
                <w:sz w:val="28"/>
                <w:szCs w:val="28"/>
              </w:rPr>
              <w:t>1–33</w:t>
            </w:r>
          </w:p>
        </w:tc>
        <w:tc>
          <w:tcPr>
            <w:tcW w:w="0" w:type="auto"/>
            <w:hideMark/>
          </w:tcPr>
          <w:p w14:paraId="68E90878" w14:textId="77777777" w:rsidR="00D01A67" w:rsidRPr="00D01A67" w:rsidRDefault="00D01A67" w:rsidP="00D01A67">
            <w:pPr>
              <w:bidi/>
              <w:spacing w:after="200" w:line="240" w:lineRule="auto"/>
              <w:jc w:val="both"/>
              <w:rPr>
                <w:rFonts w:ascii="Traditional Arabic" w:eastAsia="Times New Roman" w:hAnsi="Traditional Arabic" w:cs="Traditional Arabic"/>
                <w:sz w:val="28"/>
                <w:szCs w:val="28"/>
              </w:rPr>
            </w:pPr>
          </w:p>
        </w:tc>
      </w:tr>
    </w:tbl>
    <w:p w14:paraId="0BD0999D" w14:textId="77777777" w:rsidR="00D01A67" w:rsidRPr="00D01A67" w:rsidRDefault="00D01A67" w:rsidP="00D01A67">
      <w:pPr>
        <w:bidi/>
        <w:spacing w:after="200" w:line="240" w:lineRule="auto"/>
        <w:jc w:val="both"/>
        <w:rPr>
          <w:rFonts w:ascii="Traditional Arabic" w:eastAsia="Times New Roman" w:hAnsi="Traditional Arabic" w:cs="Traditional Arabic"/>
          <w:b/>
          <w:bCs/>
          <w:sz w:val="28"/>
          <w:szCs w:val="28"/>
          <w:rtl/>
        </w:rPr>
      </w:pPr>
    </w:p>
    <w:p w14:paraId="72E684BD" w14:textId="77777777" w:rsidR="00121B06" w:rsidRDefault="00121B06" w:rsidP="00D01A67">
      <w:pPr>
        <w:bidi/>
        <w:spacing w:after="200" w:line="360" w:lineRule="auto"/>
        <w:jc w:val="both"/>
        <w:rPr>
          <w:rFonts w:ascii="Traditional Arabic" w:eastAsia="Times New Roman" w:hAnsi="Traditional Arabic" w:cs="Traditional Arabic"/>
          <w:b/>
          <w:bCs/>
          <w:sz w:val="32"/>
          <w:szCs w:val="32"/>
        </w:rPr>
      </w:pPr>
      <w:r w:rsidRPr="00121B06">
        <w:rPr>
          <w:rFonts w:ascii="Traditional Arabic" w:eastAsia="Times New Roman" w:hAnsi="Traditional Arabic" w:cs="Traditional Arabic"/>
          <w:b/>
          <w:bCs/>
          <w:sz w:val="32"/>
          <w:szCs w:val="32"/>
        </w:rPr>
        <w:t>3.6.1</w:t>
      </w:r>
      <w:r w:rsidRPr="00121B06">
        <w:rPr>
          <w:rFonts w:ascii="Traditional Arabic" w:eastAsia="Times New Roman" w:hAnsi="Traditional Arabic" w:cs="Traditional Arabic"/>
          <w:b/>
          <w:bCs/>
          <w:sz w:val="32"/>
          <w:szCs w:val="32"/>
          <w:rtl/>
        </w:rPr>
        <w:t xml:space="preserve"> ضوابط استخدام المقاييس وتكييفها</w:t>
      </w:r>
    </w:p>
    <w:p w14:paraId="5A267D1A" w14:textId="715C0987" w:rsidR="00D01A67" w:rsidRPr="00D01A67" w:rsidRDefault="00D01A67" w:rsidP="00121B06">
      <w:pPr>
        <w:bidi/>
        <w:spacing w:after="200" w:line="360" w:lineRule="auto"/>
        <w:jc w:val="both"/>
        <w:rPr>
          <w:rFonts w:ascii="Traditional Arabic" w:eastAsia="Times New Roman" w:hAnsi="Traditional Arabic" w:cs="Traditional Arabic"/>
          <w:sz w:val="32"/>
          <w:szCs w:val="32"/>
        </w:rPr>
      </w:pPr>
      <w:r w:rsidRPr="00D01A67">
        <w:rPr>
          <w:rFonts w:ascii="Traditional Arabic" w:eastAsia="Times New Roman" w:hAnsi="Traditional Arabic" w:cs="Traditional Arabic"/>
          <w:sz w:val="32"/>
          <w:szCs w:val="32"/>
          <w:rtl/>
        </w:rPr>
        <w:t>روعيت عند إعداد أداة الدراسة الجوانب العلمية والأخلاقية المتعلقة باستخدام المقاييس الأصلية وتكييفها للأغراض البحثية، من خلال توثيق المصادر الأصلية للمقاييس والإشارة بوضوح إلى طبيعة التعديل الذي أجري على الفقرات، سواء تمثل في الترجمة أو إعادة الصياغة أو التكييف مع البيئة التنظيمية والقضائية السعودية. كما لم يتم وصف الأداة المعدلة على أنها نسخة معيارية أو مختصرة من المقياس الأصلي في الحالات التي لم يتوافر فيها مصدر محدد يثبت وجود تلك النسخة</w:t>
      </w:r>
      <w:r w:rsidRPr="00D01A67">
        <w:rPr>
          <w:rFonts w:ascii="Traditional Arabic" w:eastAsia="Times New Roman" w:hAnsi="Traditional Arabic" w:cs="Traditional Arabic"/>
          <w:sz w:val="32"/>
          <w:szCs w:val="32"/>
        </w:rPr>
        <w:t>.</w:t>
      </w:r>
    </w:p>
    <w:p w14:paraId="5C0EA280" w14:textId="60D274DF" w:rsidR="00D01A67" w:rsidRDefault="00D01A67" w:rsidP="00D01A67">
      <w:pPr>
        <w:bidi/>
        <w:spacing w:after="200" w:line="360" w:lineRule="auto"/>
        <w:jc w:val="both"/>
        <w:rPr>
          <w:rFonts w:ascii="Traditional Arabic" w:eastAsia="Times New Roman" w:hAnsi="Traditional Arabic" w:cs="Traditional Arabic"/>
          <w:sz w:val="32"/>
          <w:szCs w:val="32"/>
          <w:rtl/>
        </w:rPr>
      </w:pPr>
      <w:r w:rsidRPr="00D01A67">
        <w:rPr>
          <w:rFonts w:ascii="Traditional Arabic" w:eastAsia="Times New Roman" w:hAnsi="Traditional Arabic" w:cs="Traditional Arabic"/>
          <w:sz w:val="32"/>
          <w:szCs w:val="32"/>
          <w:rtl/>
        </w:rPr>
        <w:t xml:space="preserve">وفيما يتعلق بالمقاييس التي تخضع لشروط استخدام أو حقوق ملكية، يتعين الالتزام بشروط الجهة المالكة للمقياس والحصول على الإذن اللازم عند اشتراط ذلك، مع الاحتفاظ بما يثبت الإذن ضمن وثائق الدراسة. ويُعد هذا الأمر مهمًا على وجه الخصوص عند استخدام أو تعديل فقرات </w:t>
      </w:r>
      <w:r w:rsidRPr="00D01A67">
        <w:rPr>
          <w:rFonts w:ascii="Traditional Arabic" w:eastAsia="Times New Roman" w:hAnsi="Traditional Arabic" w:cs="Traditional Arabic"/>
          <w:sz w:val="32"/>
          <w:szCs w:val="32"/>
        </w:rPr>
        <w:t>Maslach Burnout Inventory (MBI)</w:t>
      </w:r>
      <w:r w:rsidRPr="00D01A67">
        <w:rPr>
          <w:rFonts w:ascii="Traditional Arabic" w:eastAsia="Times New Roman" w:hAnsi="Traditional Arabic" w:cs="Traditional Arabic"/>
          <w:sz w:val="32"/>
          <w:szCs w:val="32"/>
          <w:rtl/>
        </w:rPr>
        <w:t>، الذي يخضع لشروط استخدام وترخيص من الجهة المالكة لحقوقه.</w:t>
      </w:r>
    </w:p>
    <w:p w14:paraId="4DA13A94" w14:textId="77777777" w:rsidR="00D01A67" w:rsidRPr="00D01A67" w:rsidRDefault="00D01A67" w:rsidP="00D01A67">
      <w:pPr>
        <w:bidi/>
        <w:spacing w:after="200" w:line="360" w:lineRule="auto"/>
        <w:jc w:val="both"/>
        <w:rPr>
          <w:rFonts w:ascii="Traditional Arabic" w:eastAsia="Times New Roman" w:hAnsi="Traditional Arabic" w:cs="Traditional Arabic"/>
          <w:sz w:val="32"/>
          <w:szCs w:val="32"/>
          <w:rtl/>
        </w:rPr>
      </w:pPr>
    </w:p>
    <w:p w14:paraId="630AFE8D" w14:textId="387CF4FF" w:rsidR="00D01A67" w:rsidRPr="00D01A67" w:rsidRDefault="00D01A67" w:rsidP="00D01A67">
      <w:pPr>
        <w:bidi/>
        <w:spacing w:after="200" w:line="360" w:lineRule="auto"/>
        <w:jc w:val="both"/>
        <w:rPr>
          <w:rFonts w:ascii="Traditional Arabic" w:eastAsia="Times New Roman" w:hAnsi="Traditional Arabic" w:cs="Traditional Arabic"/>
          <w:sz w:val="32"/>
          <w:szCs w:val="32"/>
        </w:rPr>
      </w:pPr>
      <w:r w:rsidRPr="00D01A67">
        <w:rPr>
          <w:rFonts w:ascii="Traditional Arabic" w:eastAsia="Times New Roman" w:hAnsi="Traditional Arabic" w:cs="Traditional Arabic"/>
          <w:sz w:val="32"/>
          <w:szCs w:val="32"/>
          <w:rtl/>
        </w:rPr>
        <w:t>واعتمدت الدراسة مقياس ليكرت الخماسي لقياس استجابات أفراد الدراسة على جميع فقرات الاستبانة، وفق التدرج الآتي:</w:t>
      </w:r>
    </w:p>
    <w:tbl>
      <w:tblPr>
        <w:tblStyle w:val="a7"/>
        <w:bidiVisual/>
        <w:tblW w:w="5000" w:type="pct"/>
        <w:tblLook w:val="04A0" w:firstRow="1" w:lastRow="0" w:firstColumn="1" w:lastColumn="0" w:noHBand="0" w:noVBand="1"/>
      </w:tblPr>
      <w:tblGrid>
        <w:gridCol w:w="1378"/>
        <w:gridCol w:w="1636"/>
        <w:gridCol w:w="927"/>
        <w:gridCol w:w="826"/>
        <w:gridCol w:w="1410"/>
        <w:gridCol w:w="2119"/>
      </w:tblGrid>
      <w:tr w:rsidR="00D01A67" w:rsidRPr="00D01A67" w14:paraId="7B057C23" w14:textId="77777777" w:rsidTr="00D01A67">
        <w:tc>
          <w:tcPr>
            <w:tcW w:w="830" w:type="pct"/>
            <w:hideMark/>
          </w:tcPr>
          <w:p w14:paraId="37D44D5A" w14:textId="77777777" w:rsidR="00D01A67" w:rsidRPr="00D01A67" w:rsidRDefault="00D01A67" w:rsidP="00D01A67">
            <w:pPr>
              <w:bidi/>
              <w:spacing w:after="200" w:line="360" w:lineRule="auto"/>
              <w:jc w:val="both"/>
              <w:rPr>
                <w:rFonts w:ascii="Traditional Arabic" w:eastAsia="Times New Roman" w:hAnsi="Traditional Arabic" w:cs="Traditional Arabic"/>
                <w:b/>
                <w:bCs/>
                <w:sz w:val="32"/>
                <w:szCs w:val="32"/>
              </w:rPr>
            </w:pPr>
            <w:r w:rsidRPr="00D01A67">
              <w:rPr>
                <w:rFonts w:ascii="Traditional Arabic" w:eastAsia="Times New Roman" w:hAnsi="Traditional Arabic" w:cs="Traditional Arabic"/>
                <w:b/>
                <w:bCs/>
                <w:sz w:val="32"/>
                <w:szCs w:val="32"/>
                <w:rtl/>
              </w:rPr>
              <w:t>الاستجابة</w:t>
            </w:r>
          </w:p>
        </w:tc>
        <w:tc>
          <w:tcPr>
            <w:tcW w:w="986" w:type="pct"/>
            <w:hideMark/>
          </w:tcPr>
          <w:p w14:paraId="66A83F46" w14:textId="77777777" w:rsidR="00D01A67" w:rsidRPr="00D01A67" w:rsidRDefault="00D01A67" w:rsidP="00D01A67">
            <w:pPr>
              <w:bidi/>
              <w:spacing w:after="200" w:line="360" w:lineRule="auto"/>
              <w:jc w:val="both"/>
              <w:rPr>
                <w:rFonts w:ascii="Traditional Arabic" w:eastAsia="Times New Roman" w:hAnsi="Traditional Arabic" w:cs="Traditional Arabic"/>
                <w:b/>
                <w:bCs/>
                <w:sz w:val="32"/>
                <w:szCs w:val="32"/>
              </w:rPr>
            </w:pPr>
            <w:r w:rsidRPr="00D01A67">
              <w:rPr>
                <w:rFonts w:ascii="Traditional Arabic" w:eastAsia="Times New Roman" w:hAnsi="Traditional Arabic" w:cs="Traditional Arabic"/>
                <w:b/>
                <w:bCs/>
                <w:sz w:val="32"/>
                <w:szCs w:val="32"/>
                <w:rtl/>
              </w:rPr>
              <w:t>موافق بشدة</w:t>
            </w:r>
          </w:p>
        </w:tc>
        <w:tc>
          <w:tcPr>
            <w:tcW w:w="559" w:type="pct"/>
            <w:hideMark/>
          </w:tcPr>
          <w:p w14:paraId="5F904881" w14:textId="77777777" w:rsidR="00D01A67" w:rsidRPr="00D01A67" w:rsidRDefault="00D01A67" w:rsidP="00D01A67">
            <w:pPr>
              <w:bidi/>
              <w:spacing w:after="200" w:line="360" w:lineRule="auto"/>
              <w:jc w:val="both"/>
              <w:rPr>
                <w:rFonts w:ascii="Traditional Arabic" w:eastAsia="Times New Roman" w:hAnsi="Traditional Arabic" w:cs="Traditional Arabic"/>
                <w:b/>
                <w:bCs/>
                <w:sz w:val="32"/>
                <w:szCs w:val="32"/>
              </w:rPr>
            </w:pPr>
            <w:r w:rsidRPr="00D01A67">
              <w:rPr>
                <w:rFonts w:ascii="Traditional Arabic" w:eastAsia="Times New Roman" w:hAnsi="Traditional Arabic" w:cs="Traditional Arabic"/>
                <w:b/>
                <w:bCs/>
                <w:sz w:val="32"/>
                <w:szCs w:val="32"/>
                <w:rtl/>
              </w:rPr>
              <w:t>موافق</w:t>
            </w:r>
          </w:p>
        </w:tc>
        <w:tc>
          <w:tcPr>
            <w:tcW w:w="498" w:type="pct"/>
            <w:hideMark/>
          </w:tcPr>
          <w:p w14:paraId="3D3A622B" w14:textId="77777777" w:rsidR="00D01A67" w:rsidRPr="00D01A67" w:rsidRDefault="00D01A67" w:rsidP="00D01A67">
            <w:pPr>
              <w:bidi/>
              <w:spacing w:after="200" w:line="360" w:lineRule="auto"/>
              <w:jc w:val="both"/>
              <w:rPr>
                <w:rFonts w:ascii="Traditional Arabic" w:eastAsia="Times New Roman" w:hAnsi="Traditional Arabic" w:cs="Traditional Arabic"/>
                <w:b/>
                <w:bCs/>
                <w:sz w:val="32"/>
                <w:szCs w:val="32"/>
              </w:rPr>
            </w:pPr>
            <w:r w:rsidRPr="00D01A67">
              <w:rPr>
                <w:rFonts w:ascii="Traditional Arabic" w:eastAsia="Times New Roman" w:hAnsi="Traditional Arabic" w:cs="Traditional Arabic"/>
                <w:b/>
                <w:bCs/>
                <w:sz w:val="32"/>
                <w:szCs w:val="32"/>
                <w:rtl/>
              </w:rPr>
              <w:t>محايد</w:t>
            </w:r>
          </w:p>
        </w:tc>
        <w:tc>
          <w:tcPr>
            <w:tcW w:w="850" w:type="pct"/>
            <w:hideMark/>
          </w:tcPr>
          <w:p w14:paraId="03D4D548" w14:textId="77777777" w:rsidR="00D01A67" w:rsidRPr="00D01A67" w:rsidRDefault="00D01A67" w:rsidP="00D01A67">
            <w:pPr>
              <w:bidi/>
              <w:spacing w:after="200" w:line="360" w:lineRule="auto"/>
              <w:jc w:val="both"/>
              <w:rPr>
                <w:rFonts w:ascii="Traditional Arabic" w:eastAsia="Times New Roman" w:hAnsi="Traditional Arabic" w:cs="Traditional Arabic"/>
                <w:b/>
                <w:bCs/>
                <w:sz w:val="32"/>
                <w:szCs w:val="32"/>
              </w:rPr>
            </w:pPr>
            <w:r w:rsidRPr="00D01A67">
              <w:rPr>
                <w:rFonts w:ascii="Traditional Arabic" w:eastAsia="Times New Roman" w:hAnsi="Traditional Arabic" w:cs="Traditional Arabic"/>
                <w:b/>
                <w:bCs/>
                <w:sz w:val="32"/>
                <w:szCs w:val="32"/>
                <w:rtl/>
              </w:rPr>
              <w:t>غير موافق</w:t>
            </w:r>
          </w:p>
        </w:tc>
        <w:tc>
          <w:tcPr>
            <w:tcW w:w="1277" w:type="pct"/>
            <w:hideMark/>
          </w:tcPr>
          <w:p w14:paraId="1706CD7A" w14:textId="77777777" w:rsidR="00D01A67" w:rsidRPr="00D01A67" w:rsidRDefault="00D01A67" w:rsidP="00D01A67">
            <w:pPr>
              <w:bidi/>
              <w:spacing w:after="200" w:line="360" w:lineRule="auto"/>
              <w:jc w:val="both"/>
              <w:rPr>
                <w:rFonts w:ascii="Traditional Arabic" w:eastAsia="Times New Roman" w:hAnsi="Traditional Arabic" w:cs="Traditional Arabic"/>
                <w:b/>
                <w:bCs/>
                <w:sz w:val="32"/>
                <w:szCs w:val="32"/>
              </w:rPr>
            </w:pPr>
            <w:r w:rsidRPr="00D01A67">
              <w:rPr>
                <w:rFonts w:ascii="Traditional Arabic" w:eastAsia="Times New Roman" w:hAnsi="Traditional Arabic" w:cs="Traditional Arabic"/>
                <w:b/>
                <w:bCs/>
                <w:sz w:val="32"/>
                <w:szCs w:val="32"/>
                <w:rtl/>
              </w:rPr>
              <w:t>غير موافق بشدة</w:t>
            </w:r>
          </w:p>
        </w:tc>
      </w:tr>
      <w:tr w:rsidR="00D01A67" w:rsidRPr="00D01A67" w14:paraId="6E6DE89A" w14:textId="77777777" w:rsidTr="00D01A67">
        <w:tc>
          <w:tcPr>
            <w:tcW w:w="830" w:type="pct"/>
            <w:hideMark/>
          </w:tcPr>
          <w:p w14:paraId="1C783B1C" w14:textId="77777777" w:rsidR="00D01A67" w:rsidRPr="00D01A67" w:rsidRDefault="00D01A67" w:rsidP="00D01A67">
            <w:pPr>
              <w:bidi/>
              <w:spacing w:after="200" w:line="360" w:lineRule="auto"/>
              <w:jc w:val="both"/>
              <w:rPr>
                <w:rFonts w:ascii="Traditional Arabic" w:eastAsia="Times New Roman" w:hAnsi="Traditional Arabic" w:cs="Traditional Arabic"/>
                <w:sz w:val="32"/>
                <w:szCs w:val="32"/>
              </w:rPr>
            </w:pPr>
            <w:r w:rsidRPr="00D01A67">
              <w:rPr>
                <w:rFonts w:ascii="Traditional Arabic" w:eastAsia="Times New Roman" w:hAnsi="Traditional Arabic" w:cs="Traditional Arabic"/>
                <w:sz w:val="32"/>
                <w:szCs w:val="32"/>
                <w:rtl/>
              </w:rPr>
              <w:t>الدرجة</w:t>
            </w:r>
          </w:p>
        </w:tc>
        <w:tc>
          <w:tcPr>
            <w:tcW w:w="986" w:type="pct"/>
            <w:hideMark/>
          </w:tcPr>
          <w:p w14:paraId="4B806655" w14:textId="77777777" w:rsidR="00D01A67" w:rsidRPr="00D01A67" w:rsidRDefault="00D01A67" w:rsidP="00D01A67">
            <w:pPr>
              <w:bidi/>
              <w:spacing w:after="200" w:line="360" w:lineRule="auto"/>
              <w:jc w:val="both"/>
              <w:rPr>
                <w:rFonts w:ascii="Traditional Arabic" w:eastAsia="Times New Roman" w:hAnsi="Traditional Arabic" w:cs="Traditional Arabic"/>
                <w:sz w:val="32"/>
                <w:szCs w:val="32"/>
              </w:rPr>
            </w:pPr>
            <w:r w:rsidRPr="00D01A67">
              <w:rPr>
                <w:rFonts w:ascii="Traditional Arabic" w:eastAsia="Times New Roman" w:hAnsi="Traditional Arabic" w:cs="Traditional Arabic"/>
                <w:sz w:val="32"/>
                <w:szCs w:val="32"/>
              </w:rPr>
              <w:t>5</w:t>
            </w:r>
          </w:p>
        </w:tc>
        <w:tc>
          <w:tcPr>
            <w:tcW w:w="559" w:type="pct"/>
            <w:hideMark/>
          </w:tcPr>
          <w:p w14:paraId="17E29775" w14:textId="77777777" w:rsidR="00D01A67" w:rsidRPr="00D01A67" w:rsidRDefault="00D01A67" w:rsidP="00D01A67">
            <w:pPr>
              <w:bidi/>
              <w:spacing w:after="200" w:line="360" w:lineRule="auto"/>
              <w:jc w:val="both"/>
              <w:rPr>
                <w:rFonts w:ascii="Traditional Arabic" w:eastAsia="Times New Roman" w:hAnsi="Traditional Arabic" w:cs="Traditional Arabic"/>
                <w:sz w:val="32"/>
                <w:szCs w:val="32"/>
              </w:rPr>
            </w:pPr>
            <w:r w:rsidRPr="00D01A67">
              <w:rPr>
                <w:rFonts w:ascii="Traditional Arabic" w:eastAsia="Times New Roman" w:hAnsi="Traditional Arabic" w:cs="Traditional Arabic"/>
                <w:sz w:val="32"/>
                <w:szCs w:val="32"/>
              </w:rPr>
              <w:t>4</w:t>
            </w:r>
          </w:p>
        </w:tc>
        <w:tc>
          <w:tcPr>
            <w:tcW w:w="498" w:type="pct"/>
            <w:hideMark/>
          </w:tcPr>
          <w:p w14:paraId="6AD92F67" w14:textId="77777777" w:rsidR="00D01A67" w:rsidRPr="00D01A67" w:rsidRDefault="00D01A67" w:rsidP="00D01A67">
            <w:pPr>
              <w:bidi/>
              <w:spacing w:after="200" w:line="360" w:lineRule="auto"/>
              <w:jc w:val="both"/>
              <w:rPr>
                <w:rFonts w:ascii="Traditional Arabic" w:eastAsia="Times New Roman" w:hAnsi="Traditional Arabic" w:cs="Traditional Arabic"/>
                <w:sz w:val="32"/>
                <w:szCs w:val="32"/>
              </w:rPr>
            </w:pPr>
            <w:r w:rsidRPr="00D01A67">
              <w:rPr>
                <w:rFonts w:ascii="Traditional Arabic" w:eastAsia="Times New Roman" w:hAnsi="Traditional Arabic" w:cs="Traditional Arabic"/>
                <w:sz w:val="32"/>
                <w:szCs w:val="32"/>
              </w:rPr>
              <w:t>3</w:t>
            </w:r>
          </w:p>
        </w:tc>
        <w:tc>
          <w:tcPr>
            <w:tcW w:w="850" w:type="pct"/>
            <w:hideMark/>
          </w:tcPr>
          <w:p w14:paraId="28FC82B2" w14:textId="77777777" w:rsidR="00D01A67" w:rsidRPr="00D01A67" w:rsidRDefault="00D01A67" w:rsidP="00D01A67">
            <w:pPr>
              <w:bidi/>
              <w:spacing w:after="200" w:line="360" w:lineRule="auto"/>
              <w:jc w:val="both"/>
              <w:rPr>
                <w:rFonts w:ascii="Traditional Arabic" w:eastAsia="Times New Roman" w:hAnsi="Traditional Arabic" w:cs="Traditional Arabic"/>
                <w:sz w:val="32"/>
                <w:szCs w:val="32"/>
              </w:rPr>
            </w:pPr>
            <w:r w:rsidRPr="00D01A67">
              <w:rPr>
                <w:rFonts w:ascii="Traditional Arabic" w:eastAsia="Times New Roman" w:hAnsi="Traditional Arabic" w:cs="Traditional Arabic"/>
                <w:sz w:val="32"/>
                <w:szCs w:val="32"/>
              </w:rPr>
              <w:t>2</w:t>
            </w:r>
          </w:p>
        </w:tc>
        <w:tc>
          <w:tcPr>
            <w:tcW w:w="1277" w:type="pct"/>
            <w:hideMark/>
          </w:tcPr>
          <w:p w14:paraId="7A2EBF4D" w14:textId="77777777" w:rsidR="00D01A67" w:rsidRPr="00D01A67" w:rsidRDefault="00D01A67" w:rsidP="00D01A67">
            <w:pPr>
              <w:bidi/>
              <w:spacing w:after="200" w:line="360" w:lineRule="auto"/>
              <w:jc w:val="both"/>
              <w:rPr>
                <w:rFonts w:ascii="Traditional Arabic" w:eastAsia="Times New Roman" w:hAnsi="Traditional Arabic" w:cs="Traditional Arabic"/>
                <w:sz w:val="32"/>
                <w:szCs w:val="32"/>
              </w:rPr>
            </w:pPr>
            <w:r w:rsidRPr="00D01A67">
              <w:rPr>
                <w:rFonts w:ascii="Traditional Arabic" w:eastAsia="Times New Roman" w:hAnsi="Traditional Arabic" w:cs="Traditional Arabic"/>
                <w:sz w:val="32"/>
                <w:szCs w:val="32"/>
              </w:rPr>
              <w:t>1</w:t>
            </w:r>
          </w:p>
        </w:tc>
      </w:tr>
    </w:tbl>
    <w:p w14:paraId="09815110" w14:textId="77777777" w:rsidR="00D01A67" w:rsidRPr="00D01A67" w:rsidRDefault="00D01A67" w:rsidP="00D01A67">
      <w:pPr>
        <w:bidi/>
        <w:spacing w:after="200" w:line="360" w:lineRule="auto"/>
        <w:jc w:val="both"/>
        <w:rPr>
          <w:rFonts w:ascii="Traditional Arabic" w:eastAsia="Times New Roman" w:hAnsi="Traditional Arabic" w:cs="Traditional Arabic"/>
          <w:sz w:val="32"/>
          <w:szCs w:val="32"/>
        </w:rPr>
      </w:pPr>
      <w:r w:rsidRPr="00D01A67">
        <w:rPr>
          <w:rFonts w:ascii="Traditional Arabic" w:eastAsia="Times New Roman" w:hAnsi="Traditional Arabic" w:cs="Traditional Arabic"/>
          <w:sz w:val="32"/>
          <w:szCs w:val="32"/>
          <w:rtl/>
        </w:rPr>
        <w:t>وقد اختير مقياس ليكرت الخماسي لملاءمته لطبيعة متغيرات الدراسة وسهولة استخدامه وفهمه من قبل أفراد العينة، إضافة إلى ملاءمته للتحليل الإحصائي للاستجابات والاتجاهات</w:t>
      </w:r>
      <w:r w:rsidRPr="00D01A67">
        <w:rPr>
          <w:rFonts w:ascii="Traditional Arabic" w:eastAsia="Times New Roman" w:hAnsi="Traditional Arabic" w:cs="Traditional Arabic"/>
          <w:sz w:val="32"/>
          <w:szCs w:val="32"/>
        </w:rPr>
        <w:t>.</w:t>
      </w:r>
    </w:p>
    <w:p w14:paraId="1DA0716D" w14:textId="77777777" w:rsidR="0025309F" w:rsidRPr="00D01A67" w:rsidRDefault="0025309F" w:rsidP="0025309F">
      <w:pPr>
        <w:bidi/>
        <w:spacing w:after="200" w:line="360" w:lineRule="auto"/>
        <w:jc w:val="both"/>
        <w:rPr>
          <w:rFonts w:ascii="Traditional Arabic" w:eastAsia="Times New Roman" w:hAnsi="Traditional Arabic" w:cs="Traditional Arabic"/>
          <w:b/>
          <w:bCs/>
          <w:sz w:val="32"/>
          <w:szCs w:val="32"/>
        </w:rPr>
      </w:pPr>
    </w:p>
    <w:p w14:paraId="52F066A5" w14:textId="77777777" w:rsidR="00121B06" w:rsidRDefault="00121B06" w:rsidP="0025309F">
      <w:pPr>
        <w:bidi/>
        <w:spacing w:after="200" w:line="360" w:lineRule="auto"/>
        <w:jc w:val="both"/>
        <w:rPr>
          <w:rFonts w:ascii="Traditional Arabic" w:eastAsia="Times New Roman" w:hAnsi="Traditional Arabic" w:cs="Traditional Arabic"/>
          <w:b/>
          <w:bCs/>
          <w:sz w:val="32"/>
          <w:szCs w:val="32"/>
        </w:rPr>
      </w:pPr>
      <w:r w:rsidRPr="00121B06">
        <w:rPr>
          <w:rFonts w:ascii="Traditional Arabic" w:eastAsia="Times New Roman" w:hAnsi="Traditional Arabic" w:cs="Traditional Arabic"/>
          <w:b/>
          <w:bCs/>
          <w:sz w:val="32"/>
          <w:szCs w:val="32"/>
        </w:rPr>
        <w:t>3.7</w:t>
      </w:r>
      <w:r w:rsidRPr="00121B06">
        <w:rPr>
          <w:rFonts w:ascii="Traditional Arabic" w:eastAsia="Times New Roman" w:hAnsi="Traditional Arabic" w:cs="Traditional Arabic"/>
          <w:b/>
          <w:bCs/>
          <w:sz w:val="32"/>
          <w:szCs w:val="32"/>
          <w:rtl/>
        </w:rPr>
        <w:t xml:space="preserve"> إجراءات الوصول إلى المشاركين وجمع البيانات</w:t>
      </w:r>
    </w:p>
    <w:p w14:paraId="4A6B9C29" w14:textId="6B5C6736" w:rsidR="0025309F" w:rsidRPr="0025309F" w:rsidRDefault="0025309F" w:rsidP="00121B06">
      <w:p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نظرًا لأن مجتمع الدراسة يتكون من العاملين بمحكمة الأحوال الشخصية بمدينة جدة، فقد تم اتباع خطوات رسمية ومنهجية للوصول إلى المشاركين وضمان الحصول على استجابات ذات موثوقية، وذلك على النحو الآتي</w:t>
      </w:r>
      <w:r w:rsidRPr="0025309F">
        <w:rPr>
          <w:rFonts w:ascii="Traditional Arabic" w:eastAsia="Times New Roman" w:hAnsi="Traditional Arabic" w:cs="Traditional Arabic"/>
          <w:sz w:val="32"/>
          <w:szCs w:val="32"/>
        </w:rPr>
        <w:t>:</w:t>
      </w:r>
    </w:p>
    <w:p w14:paraId="1D529E4C" w14:textId="77777777" w:rsidR="0025309F" w:rsidRPr="0025309F" w:rsidRDefault="0025309F" w:rsidP="0025309F">
      <w:pPr>
        <w:numPr>
          <w:ilvl w:val="0"/>
          <w:numId w:val="11"/>
        </w:num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التنسيق الرسمي مع إدارة محكمة الأحوال الشخصية بجدة للحصول على الموافقة المبدئية لإجراء الدراسة داخل المحكمة، وتحديد المسؤول الإداري المعني بالتواصل مع الموظفين</w:t>
      </w:r>
      <w:r w:rsidRPr="0025309F">
        <w:rPr>
          <w:rFonts w:ascii="Traditional Arabic" w:eastAsia="Times New Roman" w:hAnsi="Traditional Arabic" w:cs="Traditional Arabic"/>
          <w:sz w:val="32"/>
          <w:szCs w:val="32"/>
        </w:rPr>
        <w:t>.</w:t>
      </w:r>
    </w:p>
    <w:p w14:paraId="058F9571" w14:textId="3903C202" w:rsidR="0025309F" w:rsidRPr="0025309F" w:rsidRDefault="0025309F" w:rsidP="0025309F">
      <w:pPr>
        <w:numPr>
          <w:ilvl w:val="0"/>
          <w:numId w:val="11"/>
        </w:num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تحديد الفئات الوظيفية المستهدفة (</w:t>
      </w:r>
      <w:r w:rsidR="00D73409" w:rsidRPr="00D73409">
        <w:rPr>
          <w:rFonts w:ascii="Traditional Arabic" w:eastAsia="Times New Roman" w:hAnsi="Traditional Arabic" w:cs="Traditional Arabic"/>
          <w:sz w:val="32"/>
          <w:szCs w:val="32"/>
          <w:rtl/>
        </w:rPr>
        <w:t>القضاة، والباحثين الشرعيين، وكتّاب الضبط، والموظفين الإداريين، وموظفي الخدمات المساندة</w:t>
      </w:r>
      <w:r w:rsidRPr="0025309F">
        <w:rPr>
          <w:rFonts w:ascii="Traditional Arabic" w:eastAsia="Times New Roman" w:hAnsi="Traditional Arabic" w:cs="Traditional Arabic"/>
          <w:sz w:val="32"/>
          <w:szCs w:val="32"/>
          <w:rtl/>
        </w:rPr>
        <w:t>) بالتعاون مع إدارة الموارد البشرية في المحكمة لضمان دقة توزيع الاستبانات</w:t>
      </w:r>
      <w:r w:rsidRPr="0025309F">
        <w:rPr>
          <w:rFonts w:ascii="Traditional Arabic" w:eastAsia="Times New Roman" w:hAnsi="Traditional Arabic" w:cs="Traditional Arabic"/>
          <w:sz w:val="32"/>
          <w:szCs w:val="32"/>
        </w:rPr>
        <w:t>.</w:t>
      </w:r>
    </w:p>
    <w:p w14:paraId="7064BCA1" w14:textId="77777777" w:rsidR="0025309F" w:rsidRPr="0025309F" w:rsidRDefault="0025309F" w:rsidP="0025309F">
      <w:pPr>
        <w:numPr>
          <w:ilvl w:val="0"/>
          <w:numId w:val="11"/>
        </w:num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lastRenderedPageBreak/>
        <w:t>الاعتماد على العينة العشوائية الطبقية عبر قوائم الموظفين المتاحة داخل أقسام المحكمة، بحيث يتم اختيار المشاركين عشوائيًا ضمن كل طبقة وظيفية بحسب نسبتها من المجتمع الكلي</w:t>
      </w:r>
      <w:r w:rsidRPr="0025309F">
        <w:rPr>
          <w:rFonts w:ascii="Traditional Arabic" w:eastAsia="Times New Roman" w:hAnsi="Traditional Arabic" w:cs="Traditional Arabic"/>
          <w:sz w:val="32"/>
          <w:szCs w:val="32"/>
        </w:rPr>
        <w:t>.</w:t>
      </w:r>
    </w:p>
    <w:p w14:paraId="63A56F9C" w14:textId="77777777" w:rsidR="0025309F" w:rsidRPr="0025309F" w:rsidRDefault="0025309F" w:rsidP="0025309F">
      <w:pPr>
        <w:numPr>
          <w:ilvl w:val="0"/>
          <w:numId w:val="11"/>
        </w:num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تقديم رسالة تعريفية مرفقة مع الاستبانة توضّح هدف الدراسة، وطمأنة المشاركين بشأن سرية الإجابات واستخدامها لأغراض البحث العلمي فقط</w:t>
      </w:r>
      <w:r w:rsidRPr="0025309F">
        <w:rPr>
          <w:rFonts w:ascii="Traditional Arabic" w:eastAsia="Times New Roman" w:hAnsi="Traditional Arabic" w:cs="Traditional Arabic"/>
          <w:sz w:val="32"/>
          <w:szCs w:val="32"/>
        </w:rPr>
        <w:t>.</w:t>
      </w:r>
    </w:p>
    <w:p w14:paraId="5CB7AEED" w14:textId="77777777" w:rsidR="0025309F" w:rsidRPr="0025309F" w:rsidRDefault="0025309F" w:rsidP="0025309F">
      <w:pPr>
        <w:numPr>
          <w:ilvl w:val="0"/>
          <w:numId w:val="11"/>
        </w:num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تحديد نقاط تواصل مع رؤساء الأقسام لتسهيل توزيع الاستبانات واستعادتها خلال الفترة المحددة</w:t>
      </w:r>
      <w:r w:rsidRPr="0025309F">
        <w:rPr>
          <w:rFonts w:ascii="Traditional Arabic" w:eastAsia="Times New Roman" w:hAnsi="Traditional Arabic" w:cs="Traditional Arabic"/>
          <w:sz w:val="32"/>
          <w:szCs w:val="32"/>
        </w:rPr>
        <w:t>.</w:t>
      </w:r>
    </w:p>
    <w:p w14:paraId="0DBEB296" w14:textId="77777777" w:rsidR="0025309F" w:rsidRPr="0025309F" w:rsidRDefault="0025309F" w:rsidP="0025309F">
      <w:p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تم تنفيذ عملية جمع البيانات وفق مجموعة من الخطوات المنظمة لضمان جودة البيانات وصلاحيتها للتحليل الإحصائي، وذلك كما يلي</w:t>
      </w:r>
      <w:r w:rsidRPr="0025309F">
        <w:rPr>
          <w:rFonts w:ascii="Traditional Arabic" w:eastAsia="Times New Roman" w:hAnsi="Traditional Arabic" w:cs="Traditional Arabic"/>
          <w:sz w:val="32"/>
          <w:szCs w:val="32"/>
        </w:rPr>
        <w:t>:</w:t>
      </w:r>
    </w:p>
    <w:p w14:paraId="67D5DAF7" w14:textId="77777777" w:rsidR="0025309F" w:rsidRPr="0025309F" w:rsidRDefault="0025309F" w:rsidP="0025309F">
      <w:pPr>
        <w:numPr>
          <w:ilvl w:val="0"/>
          <w:numId w:val="12"/>
        </w:num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توزيع الاستبانات ورقيًا وإلكترونيًا</w:t>
      </w:r>
      <w:r w:rsidRPr="0025309F">
        <w:rPr>
          <w:rFonts w:ascii="Traditional Arabic" w:eastAsia="Times New Roman" w:hAnsi="Traditional Arabic" w:cs="Traditional Arabic"/>
          <w:sz w:val="32"/>
          <w:szCs w:val="32"/>
        </w:rPr>
        <w:t>:</w:t>
      </w:r>
    </w:p>
    <w:p w14:paraId="123E1198" w14:textId="77777777" w:rsidR="0025309F" w:rsidRPr="0025309F" w:rsidRDefault="0025309F" w:rsidP="0025309F">
      <w:pPr>
        <w:numPr>
          <w:ilvl w:val="0"/>
          <w:numId w:val="13"/>
        </w:numPr>
        <w:bidi/>
        <w:spacing w:after="200" w:line="360" w:lineRule="auto"/>
        <w:contextualSpacing/>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تم توزيع الاستبانة الورقية داخل مكاتب الأقسام المختلفة بالمحكمة</w:t>
      </w:r>
      <w:r w:rsidRPr="0025309F">
        <w:rPr>
          <w:rFonts w:ascii="Traditional Arabic" w:eastAsia="Times New Roman" w:hAnsi="Traditional Arabic" w:cs="Traditional Arabic"/>
          <w:sz w:val="32"/>
          <w:szCs w:val="32"/>
        </w:rPr>
        <w:t>.</w:t>
      </w:r>
    </w:p>
    <w:p w14:paraId="7235C237" w14:textId="77777777" w:rsidR="0025309F" w:rsidRPr="0025309F" w:rsidRDefault="0025309F" w:rsidP="0025309F">
      <w:pPr>
        <w:numPr>
          <w:ilvl w:val="0"/>
          <w:numId w:val="13"/>
        </w:numPr>
        <w:bidi/>
        <w:spacing w:after="200" w:line="360" w:lineRule="auto"/>
        <w:contextualSpacing/>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كما تم توفير نسخة إلكترونية عبر رابط آمن (</w:t>
      </w:r>
      <w:r w:rsidRPr="0025309F">
        <w:rPr>
          <w:rFonts w:ascii="Traditional Arabic" w:eastAsia="Times New Roman" w:hAnsi="Traditional Arabic" w:cs="Traditional Arabic"/>
          <w:sz w:val="32"/>
          <w:szCs w:val="32"/>
        </w:rPr>
        <w:t>Google Forms</w:t>
      </w:r>
      <w:r w:rsidRPr="0025309F">
        <w:rPr>
          <w:rFonts w:ascii="Traditional Arabic" w:eastAsia="Times New Roman" w:hAnsi="Traditional Arabic" w:cs="Traditional Arabic"/>
          <w:sz w:val="32"/>
          <w:szCs w:val="32"/>
          <w:rtl/>
        </w:rPr>
        <w:t xml:space="preserve"> أو </w:t>
      </w:r>
      <w:r w:rsidRPr="0025309F">
        <w:rPr>
          <w:rFonts w:ascii="Traditional Arabic" w:eastAsia="Times New Roman" w:hAnsi="Traditional Arabic" w:cs="Traditional Arabic"/>
          <w:sz w:val="32"/>
          <w:szCs w:val="32"/>
        </w:rPr>
        <w:t>Qualtrics</w:t>
      </w:r>
      <w:r w:rsidRPr="0025309F">
        <w:rPr>
          <w:rFonts w:ascii="Traditional Arabic" w:eastAsia="Times New Roman" w:hAnsi="Traditional Arabic" w:cs="Traditional Arabic"/>
          <w:sz w:val="32"/>
          <w:szCs w:val="32"/>
          <w:rtl/>
        </w:rPr>
        <w:t>) للموظفين الذين يفضلون الإجابة الرقمية.</w:t>
      </w:r>
    </w:p>
    <w:p w14:paraId="1368BB8F" w14:textId="77777777" w:rsidR="0025309F" w:rsidRPr="0025309F" w:rsidRDefault="0025309F" w:rsidP="0025309F">
      <w:pPr>
        <w:numPr>
          <w:ilvl w:val="0"/>
          <w:numId w:val="12"/>
        </w:num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تحديد مدة زمنية لجمع البيانات امتدت ما بين ٢–٣ أسابيع، مع إرسال تذكيرات أسبوعية للمشاركين لضمان رفع معدل الاستجابة</w:t>
      </w:r>
      <w:r w:rsidRPr="0025309F">
        <w:rPr>
          <w:rFonts w:ascii="Traditional Arabic" w:eastAsia="Times New Roman" w:hAnsi="Traditional Arabic" w:cs="Traditional Arabic"/>
          <w:sz w:val="32"/>
          <w:szCs w:val="32"/>
        </w:rPr>
        <w:t>.</w:t>
      </w:r>
    </w:p>
    <w:p w14:paraId="33F00EED" w14:textId="77777777" w:rsidR="0025309F" w:rsidRPr="0025309F" w:rsidRDefault="0025309F" w:rsidP="0025309F">
      <w:pPr>
        <w:numPr>
          <w:ilvl w:val="0"/>
          <w:numId w:val="12"/>
        </w:num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شرح طريقة الإجابة للمشاركين شفهيًا أو عبر رسالة مرفقة، والتأكيد على</w:t>
      </w:r>
      <w:r w:rsidRPr="0025309F">
        <w:rPr>
          <w:rFonts w:ascii="Traditional Arabic" w:eastAsia="Times New Roman" w:hAnsi="Traditional Arabic" w:cs="Traditional Arabic"/>
          <w:sz w:val="32"/>
          <w:szCs w:val="32"/>
        </w:rPr>
        <w:t>:</w:t>
      </w:r>
    </w:p>
    <w:p w14:paraId="1B7979DC" w14:textId="77777777" w:rsidR="0025309F" w:rsidRPr="0025309F" w:rsidRDefault="0025309F" w:rsidP="0025309F">
      <w:pPr>
        <w:numPr>
          <w:ilvl w:val="0"/>
          <w:numId w:val="14"/>
        </w:numPr>
        <w:bidi/>
        <w:spacing w:after="200" w:line="360" w:lineRule="auto"/>
        <w:contextualSpacing/>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أن الإجابات سرية بالكامل</w:t>
      </w:r>
      <w:r w:rsidRPr="0025309F">
        <w:rPr>
          <w:rFonts w:ascii="Traditional Arabic" w:eastAsia="Times New Roman" w:hAnsi="Traditional Arabic" w:cs="Traditional Arabic"/>
          <w:sz w:val="32"/>
          <w:szCs w:val="32"/>
        </w:rPr>
        <w:t>.</w:t>
      </w:r>
    </w:p>
    <w:p w14:paraId="1E44A5A5" w14:textId="77777777" w:rsidR="0025309F" w:rsidRPr="0025309F" w:rsidRDefault="0025309F" w:rsidP="0025309F">
      <w:pPr>
        <w:numPr>
          <w:ilvl w:val="0"/>
          <w:numId w:val="14"/>
        </w:numPr>
        <w:bidi/>
        <w:spacing w:after="200" w:line="360" w:lineRule="auto"/>
        <w:contextualSpacing/>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عدم وجود إجابات صحيحة أو خاطئة</w:t>
      </w:r>
      <w:r w:rsidRPr="0025309F">
        <w:rPr>
          <w:rFonts w:ascii="Traditional Arabic" w:eastAsia="Times New Roman" w:hAnsi="Traditional Arabic" w:cs="Traditional Arabic"/>
          <w:sz w:val="32"/>
          <w:szCs w:val="32"/>
        </w:rPr>
        <w:t>.</w:t>
      </w:r>
    </w:p>
    <w:p w14:paraId="4A9371AC" w14:textId="77777777" w:rsidR="0025309F" w:rsidRPr="0025309F" w:rsidRDefault="0025309F" w:rsidP="0025309F">
      <w:pPr>
        <w:numPr>
          <w:ilvl w:val="0"/>
          <w:numId w:val="14"/>
        </w:numPr>
        <w:bidi/>
        <w:spacing w:after="200" w:line="360" w:lineRule="auto"/>
        <w:contextualSpacing/>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lastRenderedPageBreak/>
        <w:t>أهمية الإجابة الصادقة لضمان جودة نتائج البحث</w:t>
      </w:r>
      <w:r w:rsidRPr="0025309F">
        <w:rPr>
          <w:rFonts w:ascii="Traditional Arabic" w:eastAsia="Times New Roman" w:hAnsi="Traditional Arabic" w:cs="Traditional Arabic"/>
          <w:sz w:val="32"/>
          <w:szCs w:val="32"/>
        </w:rPr>
        <w:t>.</w:t>
      </w:r>
    </w:p>
    <w:p w14:paraId="157CBF4F" w14:textId="77777777" w:rsidR="0025309F" w:rsidRPr="0025309F" w:rsidRDefault="0025309F" w:rsidP="0025309F">
      <w:pPr>
        <w:numPr>
          <w:ilvl w:val="0"/>
          <w:numId w:val="12"/>
        </w:num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استبعاد الاستبانات غير الصالحة</w:t>
      </w:r>
      <w:r w:rsidRPr="0025309F">
        <w:rPr>
          <w:rFonts w:ascii="Traditional Arabic" w:eastAsia="Times New Roman" w:hAnsi="Traditional Arabic" w:cs="Traditional Arabic"/>
          <w:sz w:val="32"/>
          <w:szCs w:val="32"/>
        </w:rPr>
        <w:t>:</w:t>
      </w:r>
    </w:p>
    <w:p w14:paraId="6DC3FBC9" w14:textId="77777777" w:rsidR="0025309F" w:rsidRPr="0025309F" w:rsidRDefault="0025309F" w:rsidP="0025309F">
      <w:pPr>
        <w:numPr>
          <w:ilvl w:val="0"/>
          <w:numId w:val="15"/>
        </w:numPr>
        <w:bidi/>
        <w:spacing w:after="200" w:line="360" w:lineRule="auto"/>
        <w:contextualSpacing/>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تم استبعاد الاستبانات التي تحتوي على إجابات ناقصة أو نمطية (مثل اختيار نفس الرقم في جميع البنود).</w:t>
      </w:r>
    </w:p>
    <w:p w14:paraId="129F2FCE" w14:textId="77777777" w:rsidR="0025309F" w:rsidRPr="0025309F" w:rsidRDefault="0025309F" w:rsidP="0025309F">
      <w:pPr>
        <w:numPr>
          <w:ilvl w:val="0"/>
          <w:numId w:val="15"/>
        </w:numPr>
        <w:bidi/>
        <w:spacing w:after="200" w:line="360" w:lineRule="auto"/>
        <w:contextualSpacing/>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وتم اعتماد فقط الاستبانات المكتملة والصالحة للتحليل الإحصائي</w:t>
      </w:r>
      <w:r w:rsidRPr="0025309F">
        <w:rPr>
          <w:rFonts w:ascii="Traditional Arabic" w:eastAsia="Times New Roman" w:hAnsi="Traditional Arabic" w:cs="Traditional Arabic"/>
          <w:sz w:val="32"/>
          <w:szCs w:val="32"/>
        </w:rPr>
        <w:t>.</w:t>
      </w:r>
    </w:p>
    <w:p w14:paraId="7FF9A6F5" w14:textId="77777777" w:rsidR="0025309F" w:rsidRPr="0025309F" w:rsidRDefault="0025309F" w:rsidP="0025309F">
      <w:pPr>
        <w:numPr>
          <w:ilvl w:val="0"/>
          <w:numId w:val="12"/>
        </w:numPr>
        <w:bidi/>
        <w:spacing w:after="200" w:line="360" w:lineRule="auto"/>
        <w:jc w:val="both"/>
        <w:rPr>
          <w:rFonts w:ascii="Traditional Arabic" w:eastAsia="Times New Roman" w:hAnsi="Traditional Arabic" w:cs="Traditional Arabic"/>
          <w:sz w:val="32"/>
          <w:szCs w:val="32"/>
          <w:rtl/>
        </w:rPr>
      </w:pPr>
      <w:r w:rsidRPr="0025309F">
        <w:rPr>
          <w:rFonts w:ascii="Traditional Arabic" w:eastAsia="Times New Roman" w:hAnsi="Traditional Arabic" w:cs="Traditional Arabic"/>
          <w:sz w:val="32"/>
          <w:szCs w:val="32"/>
          <w:rtl/>
        </w:rPr>
        <w:t>ترميز البيانات وإدخالها في برنامج</w:t>
      </w:r>
      <w:r w:rsidRPr="0025309F">
        <w:rPr>
          <w:rFonts w:ascii="Traditional Arabic" w:eastAsia="Times New Roman" w:hAnsi="Traditional Arabic" w:cs="Traditional Arabic"/>
          <w:sz w:val="32"/>
          <w:szCs w:val="32"/>
        </w:rPr>
        <w:t xml:space="preserve"> SPSS </w:t>
      </w:r>
      <w:r w:rsidRPr="0025309F">
        <w:rPr>
          <w:rFonts w:ascii="Traditional Arabic" w:eastAsia="Times New Roman" w:hAnsi="Traditional Arabic" w:cs="Traditional Arabic"/>
          <w:sz w:val="32"/>
          <w:szCs w:val="32"/>
          <w:rtl/>
        </w:rPr>
        <w:t>بعد مراجعتها والتأكد من دقتها</w:t>
      </w:r>
      <w:r w:rsidRPr="0025309F">
        <w:rPr>
          <w:rFonts w:ascii="Traditional Arabic" w:eastAsia="Times New Roman" w:hAnsi="Traditional Arabic" w:cs="Traditional Arabic"/>
          <w:sz w:val="32"/>
          <w:szCs w:val="32"/>
        </w:rPr>
        <w:t>.</w:t>
      </w:r>
    </w:p>
    <w:p w14:paraId="2B25A88D" w14:textId="77777777" w:rsidR="00121B06" w:rsidRPr="00121B06" w:rsidRDefault="00121B06" w:rsidP="00121B06">
      <w:pPr>
        <w:bidi/>
        <w:spacing w:after="200" w:line="360" w:lineRule="auto"/>
        <w:jc w:val="both"/>
        <w:rPr>
          <w:rFonts w:ascii="Traditional Arabic" w:eastAsia="Times New Roman" w:hAnsi="Traditional Arabic" w:cs="Traditional Arabic"/>
          <w:b/>
          <w:bCs/>
          <w:sz w:val="32"/>
          <w:szCs w:val="32"/>
          <w:rtl/>
        </w:rPr>
      </w:pPr>
    </w:p>
    <w:p w14:paraId="5EBFFDBD" w14:textId="0DB36FD1" w:rsidR="00121B06" w:rsidRDefault="00121B06" w:rsidP="00121B06">
      <w:pPr>
        <w:bidi/>
        <w:spacing w:after="200" w:line="360" w:lineRule="auto"/>
        <w:jc w:val="both"/>
        <w:rPr>
          <w:rFonts w:ascii="Traditional Arabic" w:eastAsia="Times New Roman" w:hAnsi="Traditional Arabic" w:cs="Traditional Arabic"/>
          <w:b/>
          <w:bCs/>
          <w:sz w:val="32"/>
          <w:szCs w:val="32"/>
        </w:rPr>
      </w:pPr>
      <w:r>
        <w:rPr>
          <w:rFonts w:ascii="Traditional Arabic" w:eastAsia="Times New Roman" w:hAnsi="Traditional Arabic" w:cs="Traditional Arabic" w:hint="cs"/>
          <w:b/>
          <w:bCs/>
          <w:sz w:val="32"/>
          <w:szCs w:val="32"/>
          <w:rtl/>
        </w:rPr>
        <w:t xml:space="preserve">3.8 </w:t>
      </w:r>
      <w:r w:rsidRPr="00121B06">
        <w:rPr>
          <w:rFonts w:ascii="Traditional Arabic" w:eastAsia="Times New Roman" w:hAnsi="Traditional Arabic" w:cs="Traditional Arabic"/>
          <w:b/>
          <w:bCs/>
          <w:sz w:val="32"/>
          <w:szCs w:val="32"/>
          <w:rtl/>
        </w:rPr>
        <w:t>الاعتبارات الأخلاقية</w:t>
      </w:r>
    </w:p>
    <w:p w14:paraId="067637AC" w14:textId="77777777" w:rsidR="00121B06" w:rsidRPr="00121B06" w:rsidRDefault="00121B06" w:rsidP="00121B06">
      <w:pPr>
        <w:bidi/>
        <w:spacing w:after="200" w:line="360" w:lineRule="auto"/>
        <w:jc w:val="both"/>
        <w:rPr>
          <w:rFonts w:ascii="Traditional Arabic" w:eastAsia="Times New Roman" w:hAnsi="Traditional Arabic" w:cs="Traditional Arabic"/>
          <w:sz w:val="32"/>
          <w:szCs w:val="32"/>
        </w:rPr>
      </w:pPr>
      <w:r w:rsidRPr="00121B06">
        <w:rPr>
          <w:rFonts w:ascii="Traditional Arabic" w:eastAsia="Times New Roman" w:hAnsi="Traditional Arabic" w:cs="Traditional Arabic"/>
          <w:sz w:val="32"/>
          <w:szCs w:val="32"/>
          <w:rtl/>
        </w:rPr>
        <w:t>التزمت الدراسة بالمبادئ الأخلاقية المنظمة للبحث العلمي عند جمع البيانات من العاملين في محكمة الأحوال الشخصية بمدينة جدة. وقد تم الحصول على الموافقة الرسمية اللازمة لإجراء الدراسة داخل المحكمة من إدارة محكمة الأحوال الشخصية بمدينة جدة قبل البدء في جمع البيانات، وذلك بعد التنسيق مع الجهة الإدارية المختصة وتحديد آلية الوصول إلى المشاركين وتوزيع أداة الدراسة. ويُثبت رقم الموافقة وتاريخها في النسخة النهائية وفق الكتاب الرسمي الصادر عن الجهة المختصة. وقد أشار الفصل بالفعل إلى التنسيق الرسمي مع إدارة المحكمة للحصول على الموافقة المبدئية لإجراء الدراسة داخلها</w:t>
      </w:r>
      <w:r w:rsidRPr="00121B06">
        <w:rPr>
          <w:rFonts w:ascii="Traditional Arabic" w:eastAsia="Times New Roman" w:hAnsi="Traditional Arabic" w:cs="Traditional Arabic"/>
          <w:sz w:val="32"/>
          <w:szCs w:val="32"/>
        </w:rPr>
        <w:t xml:space="preserve">. </w:t>
      </w:r>
    </w:p>
    <w:p w14:paraId="00426634" w14:textId="77777777" w:rsidR="00121B06" w:rsidRPr="00121B06" w:rsidRDefault="00121B06" w:rsidP="00121B06">
      <w:pPr>
        <w:bidi/>
        <w:spacing w:after="200" w:line="360" w:lineRule="auto"/>
        <w:jc w:val="both"/>
        <w:rPr>
          <w:rFonts w:ascii="Traditional Arabic" w:eastAsia="Times New Roman" w:hAnsi="Traditional Arabic" w:cs="Traditional Arabic"/>
          <w:sz w:val="32"/>
          <w:szCs w:val="32"/>
        </w:rPr>
      </w:pPr>
      <w:r w:rsidRPr="00121B06">
        <w:rPr>
          <w:rFonts w:ascii="Traditional Arabic" w:eastAsia="Times New Roman" w:hAnsi="Traditional Arabic" w:cs="Traditional Arabic"/>
          <w:sz w:val="32"/>
          <w:szCs w:val="32"/>
          <w:rtl/>
        </w:rPr>
        <w:t>وقبل مشاركة أفراد العينة في الدراسة، تم توضيح هدف الدراسة وطبيعة المشاركة والإجراءات المرتبطة بتعبئة الاستبانة، وتم الحصول على الموافقة المستنيرة من المشاركين قبل البدء بالإجابة. كما تم التأكيد لهم أن مشاركتهم طوعية بالكامل، وأن من حق أي مشارك رفض المشاركة أو الانسحاب منها في أي وقت دون أن يترتب على ذلك أي أثر وظيفي أو إداري أو شخصي</w:t>
      </w:r>
      <w:r w:rsidRPr="00121B06">
        <w:rPr>
          <w:rFonts w:ascii="Traditional Arabic" w:eastAsia="Times New Roman" w:hAnsi="Traditional Arabic" w:cs="Traditional Arabic"/>
          <w:sz w:val="32"/>
          <w:szCs w:val="32"/>
        </w:rPr>
        <w:t>.</w:t>
      </w:r>
    </w:p>
    <w:p w14:paraId="0E578C85" w14:textId="77777777" w:rsidR="00121B06" w:rsidRPr="00121B06" w:rsidRDefault="00121B06" w:rsidP="00121B06">
      <w:pPr>
        <w:bidi/>
        <w:spacing w:after="200" w:line="360" w:lineRule="auto"/>
        <w:jc w:val="both"/>
        <w:rPr>
          <w:rFonts w:ascii="Traditional Arabic" w:eastAsia="Times New Roman" w:hAnsi="Traditional Arabic" w:cs="Traditional Arabic"/>
          <w:sz w:val="32"/>
          <w:szCs w:val="32"/>
        </w:rPr>
      </w:pPr>
      <w:r w:rsidRPr="00121B06">
        <w:rPr>
          <w:rFonts w:ascii="Traditional Arabic" w:eastAsia="Times New Roman" w:hAnsi="Traditional Arabic" w:cs="Traditional Arabic"/>
          <w:sz w:val="32"/>
          <w:szCs w:val="32"/>
          <w:rtl/>
        </w:rPr>
        <w:lastRenderedPageBreak/>
        <w:t>وروعي في تصميم الاستبانة عدم جمع أي بيانات تعريفية مباشرة يمكن أن تكشف عن هوية المشاركين، فلم تُطلب أسماء المشاركين أو أرقامهم الوظيفية أو أرقام الهوية أو بيانات الاتصال الشخصية. واقتصرت البيانات الشخصية والوظيفية على المتغيرات اللازمة لأغراض الوصف والتحليل، مثل الجنس، والعمر، والمؤهل العلمي، وسنوات الخبرة، والمسمى الوظيفي، والمرتبة أو المستوى الوظيفي، ومدة العمل في المحكمة</w:t>
      </w:r>
      <w:r w:rsidRPr="00121B06">
        <w:rPr>
          <w:rFonts w:ascii="Traditional Arabic" w:eastAsia="Times New Roman" w:hAnsi="Traditional Arabic" w:cs="Traditional Arabic"/>
          <w:sz w:val="32"/>
          <w:szCs w:val="32"/>
        </w:rPr>
        <w:t xml:space="preserve">. </w:t>
      </w:r>
    </w:p>
    <w:p w14:paraId="4FB68390" w14:textId="77777777" w:rsidR="00121B06" w:rsidRPr="00121B06" w:rsidRDefault="00121B06" w:rsidP="00121B06">
      <w:pPr>
        <w:bidi/>
        <w:spacing w:after="200" w:line="360" w:lineRule="auto"/>
        <w:jc w:val="both"/>
        <w:rPr>
          <w:rFonts w:ascii="Traditional Arabic" w:eastAsia="Times New Roman" w:hAnsi="Traditional Arabic" w:cs="Traditional Arabic"/>
          <w:sz w:val="32"/>
          <w:szCs w:val="32"/>
        </w:rPr>
      </w:pPr>
      <w:r w:rsidRPr="00121B06">
        <w:rPr>
          <w:rFonts w:ascii="Traditional Arabic" w:eastAsia="Times New Roman" w:hAnsi="Traditional Arabic" w:cs="Traditional Arabic"/>
          <w:sz w:val="32"/>
          <w:szCs w:val="32"/>
          <w:rtl/>
        </w:rPr>
        <w:t>كما عوملت جميع الاستجابات بسرية تامة، ولم يُتح لرؤساء الأقسام أو المسؤولين الإداريين أو الرؤساء المباشرين الاطلاع على إجابات الموظفين الفردية، ولم تُقدم لإدارة المحكمة إلا النتائج المجمعة بعد الانتهاء من التحليل الإحصائي، دون إمكانية ربط أي استجابة بشخص معين. وتم استخدام البيانات حصريًا لأغراض البحث العلمي</w:t>
      </w:r>
      <w:r w:rsidRPr="00121B06">
        <w:rPr>
          <w:rFonts w:ascii="Traditional Arabic" w:eastAsia="Times New Roman" w:hAnsi="Traditional Arabic" w:cs="Traditional Arabic"/>
          <w:sz w:val="32"/>
          <w:szCs w:val="32"/>
        </w:rPr>
        <w:t>.</w:t>
      </w:r>
    </w:p>
    <w:p w14:paraId="27E20AD4" w14:textId="77777777" w:rsidR="00121B06" w:rsidRPr="00121B06" w:rsidRDefault="00121B06" w:rsidP="00121B06">
      <w:pPr>
        <w:bidi/>
        <w:spacing w:after="200" w:line="360" w:lineRule="auto"/>
        <w:jc w:val="both"/>
        <w:rPr>
          <w:rFonts w:ascii="Traditional Arabic" w:eastAsia="Times New Roman" w:hAnsi="Traditional Arabic" w:cs="Traditional Arabic"/>
          <w:sz w:val="32"/>
          <w:szCs w:val="32"/>
        </w:rPr>
      </w:pPr>
      <w:r w:rsidRPr="00121B06">
        <w:rPr>
          <w:rFonts w:ascii="Traditional Arabic" w:eastAsia="Times New Roman" w:hAnsi="Traditional Arabic" w:cs="Traditional Arabic"/>
          <w:sz w:val="32"/>
          <w:szCs w:val="32"/>
          <w:rtl/>
        </w:rPr>
        <w:t>ونظرًا إلى أن الباحث يعمل في محكمة الأحوال الشخصية بمدينة جدة، فقد روعي اتخاذ إجراءات تحد من احتمال تأثير العلاقة الوظيفية في حرية المشاركة أو في طبيعة الاستجابات. فالملف يذكر أن الباحث تمكن من الاطلاع على بعض البيانات الإدارية بحكم طبيعة عمله في المحكمة</w:t>
      </w:r>
      <w:r w:rsidRPr="00121B06">
        <w:rPr>
          <w:rFonts w:ascii="Traditional Arabic" w:eastAsia="Times New Roman" w:hAnsi="Traditional Arabic" w:cs="Traditional Arabic"/>
          <w:sz w:val="32"/>
          <w:szCs w:val="32"/>
        </w:rPr>
        <w:t xml:space="preserve">. </w:t>
      </w:r>
      <w:r w:rsidRPr="00121B06">
        <w:rPr>
          <w:rFonts w:ascii="Traditional Arabic" w:eastAsia="Times New Roman" w:hAnsi="Traditional Arabic" w:cs="Traditional Arabic"/>
          <w:sz w:val="32"/>
          <w:szCs w:val="32"/>
          <w:rtl/>
        </w:rPr>
        <w:t>ولذلك تم التأكيد للمشاركين أن قرار المشاركة لا يرتبط بأي شكل بعلاقتهم المهنية بالباحث أو بإدارة المحكمة، وأن المشاركة أو عدمها لن تؤثر في تقييمهم أو أوضاعهم الوظيفية. كما لم يُطلب من الرؤساء المباشرين متابعة من شارك أو لم يشارك، ولم تُستخدم العلاقات الوظيفية للضغط على الموظفين من أجل تعبئة الاستبانة</w:t>
      </w:r>
      <w:r w:rsidRPr="00121B06">
        <w:rPr>
          <w:rFonts w:ascii="Traditional Arabic" w:eastAsia="Times New Roman" w:hAnsi="Traditional Arabic" w:cs="Traditional Arabic"/>
          <w:sz w:val="32"/>
          <w:szCs w:val="32"/>
        </w:rPr>
        <w:t>.</w:t>
      </w:r>
    </w:p>
    <w:p w14:paraId="25C63910" w14:textId="77777777" w:rsidR="00121B06" w:rsidRPr="00121B06" w:rsidRDefault="00121B06" w:rsidP="00121B06">
      <w:pPr>
        <w:bidi/>
        <w:spacing w:after="200" w:line="360" w:lineRule="auto"/>
        <w:jc w:val="both"/>
        <w:rPr>
          <w:rFonts w:ascii="Traditional Arabic" w:eastAsia="Times New Roman" w:hAnsi="Traditional Arabic" w:cs="Traditional Arabic"/>
          <w:sz w:val="32"/>
          <w:szCs w:val="32"/>
        </w:rPr>
      </w:pPr>
      <w:r w:rsidRPr="00121B06">
        <w:rPr>
          <w:rFonts w:ascii="Traditional Arabic" w:eastAsia="Times New Roman" w:hAnsi="Traditional Arabic" w:cs="Traditional Arabic"/>
          <w:sz w:val="32"/>
          <w:szCs w:val="32"/>
          <w:rtl/>
        </w:rPr>
        <w:t xml:space="preserve">وتم حفظ البيانات الإلكترونية الناتجة عن الدراسة في ملفات محمية بكلمة مرور وعلى جهاز مخصص للباحث، مع تقييد الوصول إليها على الباحث فقط. أما النسخ الورقية، إن وُجدت، فتم الاحتفاظ بها </w:t>
      </w:r>
      <w:r w:rsidRPr="00121B06">
        <w:rPr>
          <w:rFonts w:ascii="Traditional Arabic" w:eastAsia="Times New Roman" w:hAnsi="Traditional Arabic" w:cs="Traditional Arabic"/>
          <w:sz w:val="32"/>
          <w:szCs w:val="32"/>
          <w:rtl/>
        </w:rPr>
        <w:lastRenderedPageBreak/>
        <w:t>في مكان آمن ومغلق. ولم تُشارك البيانات الخام مع أي جهة داخل المحكمة أو خارجها، واقتصر تداولها على ما يخدم أغراض التحليل العلمي للدراسة</w:t>
      </w:r>
      <w:r w:rsidRPr="00121B06">
        <w:rPr>
          <w:rFonts w:ascii="Traditional Arabic" w:eastAsia="Times New Roman" w:hAnsi="Traditional Arabic" w:cs="Traditional Arabic"/>
          <w:sz w:val="32"/>
          <w:szCs w:val="32"/>
        </w:rPr>
        <w:t>.</w:t>
      </w:r>
    </w:p>
    <w:p w14:paraId="4087F0AE" w14:textId="77777777" w:rsidR="00121B06" w:rsidRPr="00121B06" w:rsidRDefault="00121B06" w:rsidP="00121B06">
      <w:pPr>
        <w:bidi/>
        <w:spacing w:after="200" w:line="360" w:lineRule="auto"/>
        <w:jc w:val="both"/>
        <w:rPr>
          <w:rFonts w:ascii="Traditional Arabic" w:eastAsia="Times New Roman" w:hAnsi="Traditional Arabic" w:cs="Traditional Arabic"/>
          <w:sz w:val="32"/>
          <w:szCs w:val="32"/>
        </w:rPr>
      </w:pPr>
      <w:r w:rsidRPr="00121B06">
        <w:rPr>
          <w:rFonts w:ascii="Traditional Arabic" w:eastAsia="Times New Roman" w:hAnsi="Traditional Arabic" w:cs="Traditional Arabic"/>
          <w:sz w:val="32"/>
          <w:szCs w:val="32"/>
          <w:rtl/>
        </w:rPr>
        <w:t>كما تم الاحتفاظ بالبيانات طوال مدة إنجاز الدراسة ومراجعتها، على أن يتم إتلاف النسخ الورقية وحذف الملفات الإلكترونية بعد انتهاء المدة التي تحددها أنظمة الجامعة والجهة المشرفة على البحث، وبطريقة تضمن عدم إمكانية استرجاعها أو استخدامها لأغراض أخرى</w:t>
      </w:r>
      <w:r w:rsidRPr="00121B06">
        <w:rPr>
          <w:rFonts w:ascii="Traditional Arabic" w:eastAsia="Times New Roman" w:hAnsi="Traditional Arabic" w:cs="Traditional Arabic"/>
          <w:sz w:val="32"/>
          <w:szCs w:val="32"/>
        </w:rPr>
        <w:t>.</w:t>
      </w:r>
    </w:p>
    <w:p w14:paraId="3A292332" w14:textId="77777777" w:rsidR="00121B06" w:rsidRPr="00121B06" w:rsidRDefault="00121B06" w:rsidP="00121B06">
      <w:pPr>
        <w:bidi/>
        <w:spacing w:after="200" w:line="360" w:lineRule="auto"/>
        <w:jc w:val="both"/>
        <w:rPr>
          <w:rFonts w:ascii="Traditional Arabic" w:eastAsia="Times New Roman" w:hAnsi="Traditional Arabic" w:cs="Traditional Arabic"/>
          <w:sz w:val="32"/>
          <w:szCs w:val="32"/>
        </w:rPr>
      </w:pPr>
      <w:r w:rsidRPr="00121B06">
        <w:rPr>
          <w:rFonts w:ascii="Traditional Arabic" w:eastAsia="Times New Roman" w:hAnsi="Traditional Arabic" w:cs="Traditional Arabic"/>
          <w:sz w:val="32"/>
          <w:szCs w:val="32"/>
          <w:rtl/>
        </w:rPr>
        <w:t>وبذلك روعيت في جميع مراحل الدراسة مبادئ الموافقة المستنيرة، وطوعية المشاركة، وحق الانسحاب، والسرية، وعدم جمع البيانات التعريفية، وحماية البيانات، وعدم اطلاع الرؤساء المباشرين على الاستجابات الفردية، والحد من تأثير العلاقة الوظيفية بين الباحث والمشاركين</w:t>
      </w:r>
      <w:r w:rsidRPr="00121B06">
        <w:rPr>
          <w:rFonts w:ascii="Traditional Arabic" w:eastAsia="Times New Roman" w:hAnsi="Traditional Arabic" w:cs="Traditional Arabic"/>
          <w:sz w:val="32"/>
          <w:szCs w:val="32"/>
        </w:rPr>
        <w:t>.</w:t>
      </w:r>
    </w:p>
    <w:p w14:paraId="2786FCE4" w14:textId="77777777" w:rsidR="0025309F" w:rsidRPr="00121B06" w:rsidRDefault="0025309F" w:rsidP="0025309F">
      <w:pPr>
        <w:bidi/>
        <w:spacing w:after="200" w:line="360" w:lineRule="auto"/>
        <w:jc w:val="both"/>
        <w:rPr>
          <w:rFonts w:ascii="Traditional Arabic" w:eastAsia="Times New Roman" w:hAnsi="Traditional Arabic" w:cs="Traditional Arabic"/>
          <w:b/>
          <w:bCs/>
          <w:sz w:val="32"/>
          <w:szCs w:val="32"/>
        </w:rPr>
      </w:pPr>
    </w:p>
    <w:p w14:paraId="7763AA0F" w14:textId="613144AE" w:rsidR="00121B06" w:rsidRPr="00121B06" w:rsidRDefault="00121B06" w:rsidP="0025309F">
      <w:pPr>
        <w:bidi/>
        <w:spacing w:after="200" w:line="360" w:lineRule="auto"/>
        <w:jc w:val="both"/>
        <w:rPr>
          <w:rFonts w:ascii="Traditional Arabic" w:eastAsia="Times New Roman" w:hAnsi="Traditional Arabic" w:cs="Traditional Arabic"/>
          <w:b/>
          <w:bCs/>
          <w:sz w:val="32"/>
          <w:szCs w:val="32"/>
        </w:rPr>
      </w:pPr>
      <w:r>
        <w:rPr>
          <w:rFonts w:ascii="Traditional Arabic" w:eastAsia="Times New Roman" w:hAnsi="Traditional Arabic" w:cs="Traditional Arabic" w:hint="cs"/>
          <w:b/>
          <w:bCs/>
          <w:sz w:val="32"/>
          <w:szCs w:val="32"/>
          <w:rtl/>
        </w:rPr>
        <w:t xml:space="preserve">3.9 </w:t>
      </w:r>
      <w:r w:rsidRPr="00121B06">
        <w:rPr>
          <w:rFonts w:ascii="Traditional Arabic" w:eastAsia="Times New Roman" w:hAnsi="Traditional Arabic" w:cs="Traditional Arabic"/>
          <w:b/>
          <w:bCs/>
          <w:sz w:val="32"/>
          <w:szCs w:val="32"/>
          <w:rtl/>
        </w:rPr>
        <w:t>صدق أداة الدراسة</w:t>
      </w:r>
    </w:p>
    <w:p w14:paraId="28B2DAA0" w14:textId="70EAB661" w:rsidR="0025309F" w:rsidRPr="0025309F" w:rsidRDefault="0025309F" w:rsidP="00121B06">
      <w:p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يُعد الصدق</w:t>
      </w:r>
      <w:r w:rsidRPr="0025309F">
        <w:rPr>
          <w:rFonts w:ascii="Traditional Arabic" w:eastAsia="Times New Roman" w:hAnsi="Traditional Arabic" w:cs="Traditional Arabic"/>
          <w:sz w:val="32"/>
          <w:szCs w:val="32"/>
        </w:rPr>
        <w:t xml:space="preserve"> (Validity) </w:t>
      </w:r>
      <w:r w:rsidRPr="0025309F">
        <w:rPr>
          <w:rFonts w:ascii="Traditional Arabic" w:eastAsia="Times New Roman" w:hAnsi="Traditional Arabic" w:cs="Traditional Arabic"/>
          <w:sz w:val="32"/>
          <w:szCs w:val="32"/>
          <w:rtl/>
        </w:rPr>
        <w:t>من أهم الخصائص السيكومترية التي ينبغي توافرها في أدوات القياس، إذ يعكس مدى قدرة الأداة على قياس المتغيرات التي أُعدت لقياسها بدقة وموضوعية. ويؤكد كل من</w:t>
      </w:r>
      <w:r w:rsidRPr="0025309F">
        <w:rPr>
          <w:rFonts w:ascii="Traditional Arabic" w:eastAsia="Times New Roman" w:hAnsi="Traditional Arabic" w:cs="Traditional Arabic"/>
          <w:sz w:val="32"/>
          <w:szCs w:val="32"/>
        </w:rPr>
        <w:t xml:space="preserve"> Creswell and Creswell (2023) </w:t>
      </w:r>
      <w:r w:rsidRPr="0025309F">
        <w:rPr>
          <w:rFonts w:ascii="Traditional Arabic" w:eastAsia="Times New Roman" w:hAnsi="Traditional Arabic" w:cs="Traditional Arabic"/>
          <w:sz w:val="32"/>
          <w:szCs w:val="32"/>
          <w:rtl/>
        </w:rPr>
        <w:t>و</w:t>
      </w:r>
      <w:r w:rsidRPr="0025309F">
        <w:rPr>
          <w:rFonts w:ascii="Traditional Arabic" w:eastAsia="Times New Roman" w:hAnsi="Traditional Arabic" w:cs="Traditional Arabic"/>
          <w:sz w:val="32"/>
          <w:szCs w:val="32"/>
        </w:rPr>
        <w:t xml:space="preserve">Hair et al. (2022) </w:t>
      </w:r>
      <w:r w:rsidRPr="0025309F">
        <w:rPr>
          <w:rFonts w:ascii="Traditional Arabic" w:eastAsia="Times New Roman" w:hAnsi="Traditional Arabic" w:cs="Traditional Arabic"/>
          <w:sz w:val="32"/>
          <w:szCs w:val="32"/>
          <w:rtl/>
        </w:rPr>
        <w:t>أن التحقق من صدق أدوات القياس يعد خطوة أساسية لضمان جودة البيانات وإمكانية الاعتماد على النتائج التي يتم التوصل إليها</w:t>
      </w:r>
      <w:r w:rsidRPr="0025309F">
        <w:rPr>
          <w:rFonts w:ascii="Traditional Arabic" w:eastAsia="Times New Roman" w:hAnsi="Traditional Arabic" w:cs="Traditional Arabic"/>
          <w:sz w:val="32"/>
          <w:szCs w:val="32"/>
        </w:rPr>
        <w:t>.</w:t>
      </w:r>
    </w:p>
    <w:p w14:paraId="7079F720" w14:textId="77777777" w:rsidR="0025309F" w:rsidRPr="0025309F" w:rsidRDefault="0025309F" w:rsidP="0025309F">
      <w:p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 xml:space="preserve">ونظرًا لأن أداة الدراسة الحالية اعتمدت على مقاييس عالمية سبق استخدامها في العديد من الدراسات، فقد قام الباحث بتكييفها بما يتناسب مع البيئة السعودية وطبيعة العمل في محكمة الأحوال الشخصية </w:t>
      </w:r>
      <w:r w:rsidRPr="0025309F">
        <w:rPr>
          <w:rFonts w:ascii="Traditional Arabic" w:eastAsia="Times New Roman" w:hAnsi="Traditional Arabic" w:cs="Traditional Arabic"/>
          <w:sz w:val="32"/>
          <w:szCs w:val="32"/>
          <w:rtl/>
        </w:rPr>
        <w:lastRenderedPageBreak/>
        <w:t>بمدينة جدة، وذلك من خلال مجموعة من الإجراءات المنهجية التي تضمنت الترجمة، والتحكيم العلمي، والتطبيق الاستطلاعي، والتحقق من صدق البناء، وذلك على النحو الآتي</w:t>
      </w:r>
      <w:r w:rsidRPr="0025309F">
        <w:rPr>
          <w:rFonts w:ascii="Traditional Arabic" w:eastAsia="Times New Roman" w:hAnsi="Traditional Arabic" w:cs="Traditional Arabic"/>
          <w:sz w:val="32"/>
          <w:szCs w:val="32"/>
        </w:rPr>
        <w:t>:</w:t>
      </w:r>
    </w:p>
    <w:p w14:paraId="120A8B83" w14:textId="77777777" w:rsidR="0025309F" w:rsidRPr="0025309F" w:rsidRDefault="0025309F" w:rsidP="0025309F">
      <w:p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أولاً: تكييف أداة الدراسة</w:t>
      </w:r>
    </w:p>
    <w:p w14:paraId="3996ECA5" w14:textId="77777777" w:rsidR="0025309F" w:rsidRPr="0025309F" w:rsidRDefault="0025309F" w:rsidP="0025309F">
      <w:p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 xml:space="preserve">اعتمد الباحث في إعداد الاستبانة على مجموعة من المقاييس العالمية المعروفة في قياس متغيرات الدراسة، وهي مقياس </w:t>
      </w:r>
      <w:r w:rsidRPr="0025309F">
        <w:rPr>
          <w:rFonts w:ascii="Traditional Arabic" w:eastAsia="Times New Roman" w:hAnsi="Traditional Arabic" w:cs="Traditional Arabic"/>
          <w:sz w:val="32"/>
          <w:szCs w:val="32"/>
        </w:rPr>
        <w:t xml:space="preserve">Coping Strategies Inventory </w:t>
      </w:r>
      <w:r w:rsidRPr="0025309F">
        <w:rPr>
          <w:rFonts w:ascii="Traditional Arabic" w:eastAsia="Times New Roman" w:hAnsi="Traditional Arabic" w:cs="Traditional Arabic" w:hint="cs"/>
          <w:sz w:val="32"/>
          <w:szCs w:val="32"/>
          <w:rtl/>
        </w:rPr>
        <w:t xml:space="preserve"> </w:t>
      </w:r>
      <w:r w:rsidRPr="0025309F">
        <w:rPr>
          <w:rFonts w:ascii="Traditional Arabic" w:eastAsia="Times New Roman" w:hAnsi="Traditional Arabic" w:cs="Traditional Arabic"/>
          <w:sz w:val="32"/>
          <w:szCs w:val="32"/>
          <w:rtl/>
        </w:rPr>
        <w:t xml:space="preserve">لقياس استراتيجيات مواجهة ضغوط العمل، ومقياس </w:t>
      </w:r>
      <w:r w:rsidRPr="0025309F">
        <w:rPr>
          <w:rFonts w:ascii="Traditional Arabic" w:eastAsia="Times New Roman" w:hAnsi="Traditional Arabic" w:cs="Traditional Arabic"/>
          <w:sz w:val="32"/>
          <w:szCs w:val="32"/>
        </w:rPr>
        <w:t xml:space="preserve">Maslach Burnout Inventory (MBI) </w:t>
      </w:r>
      <w:r w:rsidRPr="0025309F">
        <w:rPr>
          <w:rFonts w:ascii="Traditional Arabic" w:eastAsia="Times New Roman" w:hAnsi="Traditional Arabic" w:cs="Traditional Arabic" w:hint="cs"/>
          <w:sz w:val="32"/>
          <w:szCs w:val="32"/>
          <w:rtl/>
        </w:rPr>
        <w:t xml:space="preserve"> </w:t>
      </w:r>
      <w:r w:rsidRPr="0025309F">
        <w:rPr>
          <w:rFonts w:ascii="Traditional Arabic" w:eastAsia="Times New Roman" w:hAnsi="Traditional Arabic" w:cs="Traditional Arabic"/>
          <w:sz w:val="32"/>
          <w:szCs w:val="32"/>
          <w:rtl/>
        </w:rPr>
        <w:t xml:space="preserve">لقياس الاحتراق الوظيفي، ومقياس </w:t>
      </w:r>
      <w:r w:rsidRPr="0025309F">
        <w:rPr>
          <w:rFonts w:ascii="Traditional Arabic" w:eastAsia="Times New Roman" w:hAnsi="Traditional Arabic" w:cs="Traditional Arabic"/>
          <w:sz w:val="32"/>
          <w:szCs w:val="32"/>
        </w:rPr>
        <w:t xml:space="preserve">Minnesota Satisfaction Questionnaire (MSQ) </w:t>
      </w:r>
      <w:r w:rsidRPr="0025309F">
        <w:rPr>
          <w:rFonts w:ascii="Traditional Arabic" w:eastAsia="Times New Roman" w:hAnsi="Traditional Arabic" w:cs="Traditional Arabic" w:hint="cs"/>
          <w:sz w:val="32"/>
          <w:szCs w:val="32"/>
          <w:rtl/>
        </w:rPr>
        <w:t xml:space="preserve"> </w:t>
      </w:r>
      <w:r w:rsidRPr="0025309F">
        <w:rPr>
          <w:rFonts w:ascii="Traditional Arabic" w:eastAsia="Times New Roman" w:hAnsi="Traditional Arabic" w:cs="Traditional Arabic"/>
          <w:sz w:val="32"/>
          <w:szCs w:val="32"/>
          <w:rtl/>
        </w:rPr>
        <w:t xml:space="preserve">لقياس الرضا الوظيفي، مع الاستفادة من بعض فقرات </w:t>
      </w:r>
      <w:r w:rsidRPr="0025309F">
        <w:rPr>
          <w:rFonts w:ascii="Traditional Arabic" w:eastAsia="Times New Roman" w:hAnsi="Traditional Arabic" w:cs="Traditional Arabic"/>
          <w:sz w:val="32"/>
          <w:szCs w:val="32"/>
        </w:rPr>
        <w:t>Job Satisfaction Survey</w:t>
      </w:r>
      <w:r w:rsidRPr="0025309F">
        <w:rPr>
          <w:rFonts w:ascii="Traditional Arabic" w:eastAsia="Times New Roman" w:hAnsi="Traditional Arabic" w:cs="Traditional Arabic"/>
          <w:sz w:val="32"/>
          <w:szCs w:val="32"/>
          <w:rtl/>
        </w:rPr>
        <w:t>. وقد جرى تكييف هذه المقاييس لتتلاءم مع البيئة التنظيمية والقضائية في المملكة العربية السعودية، مع المحافظة على المعاني والمفاهيم الأصلية التي تقيسها</w:t>
      </w:r>
      <w:r w:rsidRPr="0025309F">
        <w:rPr>
          <w:rFonts w:ascii="Traditional Arabic" w:eastAsia="Times New Roman" w:hAnsi="Traditional Arabic" w:cs="Traditional Arabic"/>
          <w:sz w:val="32"/>
          <w:szCs w:val="32"/>
        </w:rPr>
        <w:t>.</w:t>
      </w:r>
    </w:p>
    <w:p w14:paraId="6E01376D" w14:textId="77777777" w:rsidR="0025309F" w:rsidRDefault="0025309F" w:rsidP="0025309F">
      <w:pPr>
        <w:bidi/>
        <w:spacing w:after="200" w:line="360" w:lineRule="auto"/>
        <w:jc w:val="both"/>
        <w:rPr>
          <w:rFonts w:ascii="Traditional Arabic" w:eastAsia="Times New Roman" w:hAnsi="Traditional Arabic" w:cs="Traditional Arabic"/>
          <w:sz w:val="32"/>
          <w:szCs w:val="32"/>
          <w:rtl/>
        </w:rPr>
      </w:pPr>
      <w:r w:rsidRPr="0025309F">
        <w:rPr>
          <w:rFonts w:ascii="Traditional Arabic" w:eastAsia="Times New Roman" w:hAnsi="Traditional Arabic" w:cs="Traditional Arabic"/>
          <w:sz w:val="32"/>
          <w:szCs w:val="32"/>
          <w:rtl/>
        </w:rPr>
        <w:t>وشملت عملية التكييف ترجمة الفقرات إلى اللغة العربية، ومراجعة الصياغة اللغوية، وتعديل بعض العبارات بما يتناسب مع طبيعة العمل في محكمة الأحوال الشخصية، مع مراعاة الخصائص الثقافية والتنظيمية للمجتمع المستهدف، بما يضمن وضوح الفقرات وسهولة فهمها من قبل أفراد الدراسة</w:t>
      </w:r>
      <w:r w:rsidRPr="0025309F">
        <w:rPr>
          <w:rFonts w:ascii="Traditional Arabic" w:eastAsia="Times New Roman" w:hAnsi="Traditional Arabic" w:cs="Traditional Arabic"/>
          <w:sz w:val="32"/>
          <w:szCs w:val="32"/>
        </w:rPr>
        <w:t>.</w:t>
      </w:r>
    </w:p>
    <w:p w14:paraId="011E7DD5" w14:textId="3F42B05D" w:rsidR="003A4066" w:rsidRDefault="003A4066" w:rsidP="003A4066">
      <w:pPr>
        <w:bidi/>
        <w:spacing w:after="200" w:line="360" w:lineRule="auto"/>
        <w:jc w:val="both"/>
        <w:rPr>
          <w:rFonts w:ascii="Traditional Arabic" w:eastAsia="Times New Roman" w:hAnsi="Traditional Arabic" w:cs="Traditional Arabic"/>
          <w:sz w:val="32"/>
          <w:szCs w:val="32"/>
          <w:rtl/>
        </w:rPr>
      </w:pPr>
      <w:r w:rsidRPr="003A4066">
        <w:rPr>
          <w:rFonts w:ascii="Traditional Arabic" w:eastAsia="Times New Roman" w:hAnsi="Traditional Arabic" w:cs="Traditional Arabic"/>
          <w:sz w:val="32"/>
          <w:szCs w:val="32"/>
          <w:rtl/>
        </w:rPr>
        <w:t>ونظرًا لاعتماد الدراسة على عدد من المقاييس التي طُورت في الأصل باللغة الإنجليزية، فقد حرص الباحث على مراجعة الصياغة العربية للفقرات والتحقق من دقتها اللغوية ومطابقتها للمفاهيم الواردة في النسخ الأصلية، وذلك من خلال تطبيق أسلوب الترجمة العكسية (</w:t>
      </w:r>
      <w:r w:rsidRPr="003A4066">
        <w:rPr>
          <w:rFonts w:ascii="Traditional Arabic" w:eastAsia="Times New Roman" w:hAnsi="Traditional Arabic" w:cs="Traditional Arabic"/>
          <w:sz w:val="32"/>
          <w:szCs w:val="32"/>
        </w:rPr>
        <w:t>Back Translation</w:t>
      </w:r>
      <w:r w:rsidRPr="003A4066">
        <w:rPr>
          <w:rFonts w:ascii="Traditional Arabic" w:eastAsia="Times New Roman" w:hAnsi="Traditional Arabic" w:cs="Traditional Arabic"/>
          <w:sz w:val="32"/>
          <w:szCs w:val="32"/>
          <w:rtl/>
        </w:rPr>
        <w:t xml:space="preserve">)، حيث أُعيدت ترجمة الفقرات إلى اللغة الإنجليزية، ثم قورنت بالنصوص الأصلية للتأكد من تحقيق التكافؤ اللغوي والمفاهيمي. وفي ضوء ذلك، أُجريت التعديلات اللازمة على بعض الصياغات قبل عرض الأداة </w:t>
      </w:r>
      <w:r w:rsidRPr="003A4066">
        <w:rPr>
          <w:rFonts w:ascii="Traditional Arabic" w:eastAsia="Times New Roman" w:hAnsi="Traditional Arabic" w:cs="Traditional Arabic"/>
          <w:sz w:val="32"/>
          <w:szCs w:val="32"/>
          <w:rtl/>
        </w:rPr>
        <w:lastRenderedPageBreak/>
        <w:t>على المحكمين، بما يسهم في تعزيز وضوح الفقرات وملاءمتها للبيئة السعودية، مع المحافظة على المعنى العلمي للمقاييس الأصلية.</w:t>
      </w:r>
    </w:p>
    <w:p w14:paraId="10560147" w14:textId="5AF8A03D" w:rsidR="003D4D50" w:rsidRPr="0025309F" w:rsidRDefault="003D4D50" w:rsidP="003D4D50">
      <w:pPr>
        <w:bidi/>
        <w:spacing w:after="200" w:line="360" w:lineRule="auto"/>
        <w:jc w:val="both"/>
        <w:rPr>
          <w:rFonts w:ascii="Traditional Arabic" w:eastAsia="Times New Roman" w:hAnsi="Traditional Arabic" w:cs="Traditional Arabic"/>
          <w:sz w:val="32"/>
          <w:szCs w:val="32"/>
        </w:rPr>
      </w:pPr>
      <w:r w:rsidRPr="003D4D50">
        <w:rPr>
          <w:rFonts w:ascii="Traditional Arabic" w:eastAsia="Times New Roman" w:hAnsi="Traditional Arabic" w:cs="Traditional Arabic"/>
          <w:sz w:val="32"/>
          <w:szCs w:val="32"/>
          <w:rtl/>
        </w:rPr>
        <w:t>وقد روعي عند تكييف مقياس استراتيجيات مواجهة ضغوط العمل المحافظة على الاستقلال المفاهيمي لأبعاده الأربعة، وهي: حل المشكلات، وطلب الدعم الاجتماعي، والتجنب، والانسحاب، بحيث تمثل كل مجموعة من الفقرات مستوى استخدام الاستراتيجية التي تقيسها بصورة مستقلة، دون التعامل مع بُعدي التجنب والانسحاب بوصفهما فقرات عكسية للأبعاد الأخرى</w:t>
      </w:r>
      <w:r w:rsidRPr="003D4D50">
        <w:rPr>
          <w:rFonts w:ascii="Traditional Arabic" w:eastAsia="Times New Roman" w:hAnsi="Traditional Arabic" w:cs="Traditional Arabic"/>
          <w:sz w:val="32"/>
          <w:szCs w:val="32"/>
        </w:rPr>
        <w:t>.</w:t>
      </w:r>
    </w:p>
    <w:p w14:paraId="3FB8475C" w14:textId="77777777" w:rsidR="0025309F" w:rsidRPr="0025309F" w:rsidRDefault="0025309F" w:rsidP="0025309F">
      <w:p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ثانياً: الصدق الظاهري (</w:t>
      </w:r>
      <w:r w:rsidRPr="0025309F">
        <w:rPr>
          <w:rFonts w:ascii="Traditional Arabic" w:eastAsia="Times New Roman" w:hAnsi="Traditional Arabic" w:cs="Traditional Arabic"/>
          <w:sz w:val="32"/>
          <w:szCs w:val="32"/>
        </w:rPr>
        <w:t>Face Validity</w:t>
      </w:r>
      <w:r w:rsidRPr="0025309F">
        <w:rPr>
          <w:rFonts w:ascii="Traditional Arabic" w:eastAsia="Times New Roman" w:hAnsi="Traditional Arabic" w:cs="Traditional Arabic"/>
          <w:sz w:val="32"/>
          <w:szCs w:val="32"/>
          <w:rtl/>
        </w:rPr>
        <w:t>)</w:t>
      </w:r>
    </w:p>
    <w:p w14:paraId="77D87FD5" w14:textId="245AE665" w:rsidR="00B21BCF" w:rsidRDefault="00B21BCF" w:rsidP="00B21BCF">
      <w:pPr>
        <w:bidi/>
        <w:spacing w:after="200" w:line="360" w:lineRule="auto"/>
        <w:jc w:val="both"/>
        <w:rPr>
          <w:rFonts w:ascii="Traditional Arabic" w:eastAsia="Times New Roman" w:hAnsi="Traditional Arabic" w:cs="Traditional Arabic"/>
          <w:sz w:val="32"/>
          <w:szCs w:val="32"/>
          <w:rtl/>
        </w:rPr>
      </w:pPr>
      <w:r w:rsidRPr="00B21BCF">
        <w:rPr>
          <w:rFonts w:ascii="Traditional Arabic" w:eastAsia="Times New Roman" w:hAnsi="Traditional Arabic" w:cs="Traditional Arabic"/>
          <w:sz w:val="32"/>
          <w:szCs w:val="32"/>
          <w:rtl/>
        </w:rPr>
        <w:t>للتحقق من الصدق الظاهري، عُرضت الاستبانة في صورتها الأولية على أربعة محكمين من أعضاء هيئة التدريس والمتخصصين في مجالات إدارة الموارد البشرية، والسلوك التنظيمي، والإدارة العامة، والقياس والتقويم، بهدف إبداء آرائهم حول مدى ملاءمة الفقرات لأبعاد الدراسة، ووضوح الصياغة اللغوية، وسلامة البناء العلمي، ومدى مناسبة الأداة لطبيعة مجتمع الدراسة.</w:t>
      </w:r>
    </w:p>
    <w:p w14:paraId="7481187A" w14:textId="47AD01FE" w:rsidR="0025309F" w:rsidRDefault="0025309F" w:rsidP="00B21BCF">
      <w:pPr>
        <w:bidi/>
        <w:spacing w:after="200" w:line="360" w:lineRule="auto"/>
        <w:jc w:val="both"/>
        <w:rPr>
          <w:rFonts w:ascii="Traditional Arabic" w:eastAsia="Times New Roman" w:hAnsi="Traditional Arabic" w:cs="Traditional Arabic"/>
          <w:sz w:val="32"/>
          <w:szCs w:val="32"/>
          <w:rtl/>
        </w:rPr>
      </w:pPr>
      <w:r w:rsidRPr="0025309F">
        <w:rPr>
          <w:rFonts w:ascii="Traditional Arabic" w:eastAsia="Times New Roman" w:hAnsi="Traditional Arabic" w:cs="Traditional Arabic"/>
          <w:sz w:val="32"/>
          <w:szCs w:val="32"/>
          <w:rtl/>
        </w:rPr>
        <w:t>وفي ضوء ملاحظات المحكمين، أُجريت مجموعة من التعديلات، تمثلت في إعادة صياغة عدد من الفقرات، وتحسين بعض العبارات، وحذف أو دمج عدد محدود من الفقرات المتشابهة، حتى أصبحت الاستبانة في صورتها النهائية أكثر وضوحًا وملاءمة للتطبيق الميداني</w:t>
      </w:r>
      <w:r w:rsidRPr="0025309F">
        <w:rPr>
          <w:rFonts w:ascii="Traditional Arabic" w:eastAsia="Times New Roman" w:hAnsi="Traditional Arabic" w:cs="Traditional Arabic"/>
          <w:sz w:val="32"/>
          <w:szCs w:val="32"/>
        </w:rPr>
        <w:t>.</w:t>
      </w:r>
    </w:p>
    <w:p w14:paraId="374D3EE9" w14:textId="77777777" w:rsidR="00A55040" w:rsidRDefault="003D4D50" w:rsidP="003D4D50">
      <w:pPr>
        <w:bidi/>
        <w:spacing w:after="200" w:line="360" w:lineRule="auto"/>
        <w:jc w:val="both"/>
        <w:rPr>
          <w:rFonts w:ascii="Traditional Arabic" w:eastAsia="Times New Roman" w:hAnsi="Traditional Arabic" w:cs="Traditional Arabic"/>
          <w:sz w:val="32"/>
          <w:szCs w:val="32"/>
          <w:rtl/>
        </w:rPr>
      </w:pPr>
      <w:r w:rsidRPr="003D4D50">
        <w:rPr>
          <w:rFonts w:ascii="Traditional Arabic" w:eastAsia="Times New Roman" w:hAnsi="Traditional Arabic" w:cs="Traditional Arabic"/>
          <w:sz w:val="32"/>
          <w:szCs w:val="32"/>
          <w:rtl/>
        </w:rPr>
        <w:t>كما روعي عند التحكيم التأكد من وضوح التمييز بين الأبعاد الأربعة لاستراتيجيات مواجهة ضغوط العمل، وملاءمة فقرات كل بُعد للمفهوم الذي تقيسه، بما يحافظ على استقلالها المفاهيمي وعدم الخلط بينها عند القياس والتحليل</w:t>
      </w:r>
    </w:p>
    <w:p w14:paraId="1D066EDB" w14:textId="29734670" w:rsidR="003D4D50" w:rsidRPr="0025309F" w:rsidRDefault="003D4D50" w:rsidP="00A55040">
      <w:pPr>
        <w:bidi/>
        <w:spacing w:after="200" w:line="360" w:lineRule="auto"/>
        <w:jc w:val="both"/>
        <w:rPr>
          <w:rFonts w:ascii="Traditional Arabic" w:eastAsia="Times New Roman" w:hAnsi="Traditional Arabic" w:cs="Traditional Arabic"/>
          <w:sz w:val="32"/>
          <w:szCs w:val="32"/>
        </w:rPr>
      </w:pPr>
      <w:r w:rsidRPr="003D4D50">
        <w:rPr>
          <w:rFonts w:ascii="Traditional Arabic" w:eastAsia="Times New Roman" w:hAnsi="Traditional Arabic" w:cs="Traditional Arabic"/>
          <w:sz w:val="32"/>
          <w:szCs w:val="32"/>
        </w:rPr>
        <w:t>.</w:t>
      </w:r>
    </w:p>
    <w:p w14:paraId="1794E7F3" w14:textId="77777777" w:rsidR="0025309F" w:rsidRPr="0025309F" w:rsidRDefault="0025309F" w:rsidP="00121B06">
      <w:p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lastRenderedPageBreak/>
        <w:t>ثالثاً: الدراسة الاستطلاعية</w:t>
      </w:r>
    </w:p>
    <w:p w14:paraId="469310D8" w14:textId="77777777" w:rsidR="0025309F" w:rsidRPr="0025309F" w:rsidRDefault="0025309F" w:rsidP="00121B06">
      <w:pPr>
        <w:bidi/>
        <w:spacing w:after="200" w:line="360" w:lineRule="auto"/>
        <w:jc w:val="both"/>
        <w:rPr>
          <w:rFonts w:ascii="Traditional Arabic" w:eastAsia="Times New Roman" w:hAnsi="Traditional Arabic" w:cs="Traditional Arabic"/>
          <w:sz w:val="32"/>
          <w:szCs w:val="32"/>
          <w:rtl/>
        </w:rPr>
      </w:pPr>
      <w:r w:rsidRPr="0025309F">
        <w:rPr>
          <w:rFonts w:ascii="Traditional Arabic" w:eastAsia="Times New Roman" w:hAnsi="Traditional Arabic" w:cs="Traditional Arabic"/>
          <w:sz w:val="32"/>
          <w:szCs w:val="32"/>
          <w:rtl/>
        </w:rPr>
        <w:t>وللتحقق من وضوح أداة الدراسة قبل تطبيقها على العينة الأساسية، طبقت الاستبانة على عينة استطلاعية مكونة من (30) موظفًا من خارج عينة الدراسة الأساسية، وذلك بهدف التأكد من وضوح الفقرات، وسهولة فهمها، وملاءمتها لطبيعة العمل في المحكمة، إضافة إلى توفير البيانات اللازمة للتحقق من الخصائص السيكومترية للأداة</w:t>
      </w:r>
      <w:r w:rsidRPr="0025309F">
        <w:rPr>
          <w:rFonts w:ascii="Traditional Arabic" w:eastAsia="Times New Roman" w:hAnsi="Traditional Arabic" w:cs="Traditional Arabic"/>
          <w:sz w:val="32"/>
          <w:szCs w:val="32"/>
        </w:rPr>
        <w:t>.</w:t>
      </w:r>
    </w:p>
    <w:p w14:paraId="12FA17D2" w14:textId="77777777" w:rsidR="0025309F" w:rsidRPr="0025309F" w:rsidRDefault="0025309F" w:rsidP="00121B06">
      <w:pPr>
        <w:bidi/>
        <w:spacing w:after="200" w:line="360" w:lineRule="auto"/>
        <w:jc w:val="both"/>
        <w:rPr>
          <w:rFonts w:ascii="Traditional Arabic" w:eastAsia="Times New Roman" w:hAnsi="Traditional Arabic" w:cs="Traditional Arabic"/>
          <w:sz w:val="32"/>
          <w:szCs w:val="32"/>
          <w:rtl/>
        </w:rPr>
      </w:pPr>
      <w:r w:rsidRPr="0025309F">
        <w:rPr>
          <w:rFonts w:ascii="Traditional Arabic" w:eastAsia="Times New Roman" w:hAnsi="Traditional Arabic" w:cs="Traditional Arabic"/>
          <w:sz w:val="32"/>
          <w:szCs w:val="32"/>
          <w:rtl/>
        </w:rPr>
        <w:t>وقد أظهرت نتائج التطبيق الاستطلاعي أن فقرات الاستبانة كانت واضحة ومفهومة، ولم تسجل أي ملاحظات جوهرية تستدعي تعديل محتوى الأداة، الأمر الذي أكد جاهزيتها للتطبيق على عينة الدراسة الأساسية.</w:t>
      </w:r>
    </w:p>
    <w:p w14:paraId="1F70959A" w14:textId="095D41E8" w:rsidR="0025309F" w:rsidRPr="0025309F" w:rsidRDefault="0025309F" w:rsidP="00A55040">
      <w:pPr>
        <w:bidi/>
        <w:spacing w:after="200" w:line="360" w:lineRule="auto"/>
        <w:jc w:val="both"/>
        <w:rPr>
          <w:rFonts w:ascii="Traditional Arabic" w:eastAsia="Times New Roman" w:hAnsi="Traditional Arabic" w:cs="Traditional Arabic"/>
          <w:sz w:val="32"/>
          <w:szCs w:val="32"/>
        </w:rPr>
      </w:pPr>
      <w:r w:rsidRPr="0025309F">
        <w:rPr>
          <w:rFonts w:ascii="Traditional Arabic" w:eastAsia="Times New Roman" w:hAnsi="Traditional Arabic" w:cs="Traditional Arabic"/>
          <w:sz w:val="32"/>
          <w:szCs w:val="32"/>
          <w:rtl/>
        </w:rPr>
        <w:t xml:space="preserve">رابعاً: </w:t>
      </w:r>
      <w:r w:rsidR="00A55040" w:rsidRPr="00A55040">
        <w:rPr>
          <w:rFonts w:ascii="Traditional Arabic" w:eastAsia="Times New Roman" w:hAnsi="Traditional Arabic" w:cs="Traditional Arabic"/>
          <w:sz w:val="32"/>
          <w:szCs w:val="32"/>
          <w:rtl/>
        </w:rPr>
        <w:t>الاتساق الداخلي للأداة</w:t>
      </w:r>
    </w:p>
    <w:p w14:paraId="777B20EA" w14:textId="7D9A6113" w:rsidR="003D4D50" w:rsidRPr="003D4D50" w:rsidRDefault="003D4D50" w:rsidP="003D4D50">
      <w:pPr>
        <w:bidi/>
        <w:spacing w:after="200" w:line="360" w:lineRule="auto"/>
        <w:jc w:val="both"/>
        <w:rPr>
          <w:rFonts w:ascii="Traditional Arabic" w:eastAsia="Times New Roman" w:hAnsi="Traditional Arabic" w:cs="Traditional Arabic"/>
          <w:sz w:val="32"/>
          <w:szCs w:val="32"/>
        </w:rPr>
      </w:pPr>
      <w:r w:rsidRPr="003D4D50">
        <w:rPr>
          <w:rFonts w:ascii="Traditional Arabic" w:eastAsia="Times New Roman" w:hAnsi="Traditional Arabic" w:cs="Traditional Arabic"/>
          <w:sz w:val="32"/>
          <w:szCs w:val="32"/>
          <w:rtl/>
        </w:rPr>
        <w:t>للتحقق من صدق البناء، حُسبت معاملات ارتباط بيرسون بين درجة كل فقرة والدرجة الكلية للبُعد الذي تنتمي إليه، وذلك باستخدام بيانات العينة الاستطلاعية. وقد أظهرت النتائج أن جميع معاملات الارتباط جاءت موجبة ودالة إحصائيًا عند مستوى الدلالة (</w:t>
      </w:r>
      <w:r w:rsidRPr="003D4D50">
        <w:rPr>
          <w:rFonts w:ascii="Times New Roman" w:eastAsia="Times New Roman" w:hAnsi="Times New Roman" w:cs="Times New Roman"/>
          <w:sz w:val="32"/>
          <w:szCs w:val="32"/>
        </w:rPr>
        <w:t>α</w:t>
      </w:r>
      <w:r w:rsidRPr="003D4D50">
        <w:rPr>
          <w:rFonts w:ascii="Traditional Arabic" w:eastAsia="Times New Roman" w:hAnsi="Traditional Arabic" w:cs="Traditional Arabic"/>
          <w:sz w:val="32"/>
          <w:szCs w:val="32"/>
        </w:rPr>
        <w:t xml:space="preserve"> </w:t>
      </w:r>
      <w:r w:rsidRPr="003D4D50">
        <w:rPr>
          <w:rFonts w:ascii="Times New Roman" w:eastAsia="Times New Roman" w:hAnsi="Times New Roman" w:cs="Times New Roman"/>
          <w:sz w:val="32"/>
          <w:szCs w:val="32"/>
        </w:rPr>
        <w:t>≤</w:t>
      </w:r>
      <w:r w:rsidRPr="003D4D50">
        <w:rPr>
          <w:rFonts w:ascii="Traditional Arabic" w:eastAsia="Times New Roman" w:hAnsi="Traditional Arabic" w:cs="Traditional Arabic"/>
          <w:sz w:val="32"/>
          <w:szCs w:val="32"/>
        </w:rPr>
        <w:t xml:space="preserve"> 0.01</w:t>
      </w:r>
      <w:r w:rsidRPr="003D4D50">
        <w:rPr>
          <w:rFonts w:ascii="Traditional Arabic" w:eastAsia="Times New Roman" w:hAnsi="Traditional Arabic" w:cs="Traditional Arabic"/>
          <w:sz w:val="32"/>
          <w:szCs w:val="32"/>
          <w:rtl/>
        </w:rPr>
        <w:t>)، وتراوحت قيمها بين (0.71) و(0.90)، وهي قيم تشير إلى ارتفاع درجة الاتساق الداخلي بين الفقرات والأبعاد التي تنتمي إليها، مما يؤكد تمتع أداة الدراسة بدرجة مرتفعة من صدق البناء وصلاحيتها للتطبيق على عينة الدراسة</w:t>
      </w:r>
      <w:r w:rsidRPr="003D4D50">
        <w:rPr>
          <w:rFonts w:ascii="Traditional Arabic" w:eastAsia="Times New Roman" w:hAnsi="Traditional Arabic" w:cs="Traditional Arabic"/>
          <w:sz w:val="32"/>
          <w:szCs w:val="32"/>
        </w:rPr>
        <w:t>.</w:t>
      </w:r>
    </w:p>
    <w:p w14:paraId="49AAB5DB" w14:textId="77777777" w:rsidR="003D4D50" w:rsidRPr="003D4D50" w:rsidRDefault="003D4D50" w:rsidP="003D4D50">
      <w:pPr>
        <w:bidi/>
        <w:spacing w:after="200" w:line="360" w:lineRule="auto"/>
        <w:jc w:val="both"/>
        <w:rPr>
          <w:rFonts w:ascii="Traditional Arabic" w:eastAsia="Times New Roman" w:hAnsi="Traditional Arabic" w:cs="Traditional Arabic"/>
          <w:sz w:val="32"/>
          <w:szCs w:val="32"/>
        </w:rPr>
      </w:pPr>
      <w:r w:rsidRPr="003D4D50">
        <w:rPr>
          <w:rFonts w:ascii="Traditional Arabic" w:eastAsia="Times New Roman" w:hAnsi="Traditional Arabic" w:cs="Traditional Arabic"/>
          <w:sz w:val="32"/>
          <w:szCs w:val="32"/>
          <w:rtl/>
        </w:rPr>
        <w:t xml:space="preserve">كما تم التحقق من الاتساق الداخلي لأبعاد كل من الاحتراق الوظيفي والرضا الوظيفي من خلال حساب معاملات الارتباط بين الدرجة الكلية لكل بُعد والدرجة الكلية للمتغير الذي ينتمي إليه. أما أبعاد استراتيجيات مواجهة ضغوط العمل، فقد تم التعامل معها بوصفها أبعادًا مستقلة في القياس </w:t>
      </w:r>
      <w:r w:rsidRPr="003D4D50">
        <w:rPr>
          <w:rFonts w:ascii="Traditional Arabic" w:eastAsia="Times New Roman" w:hAnsi="Traditional Arabic" w:cs="Traditional Arabic"/>
          <w:sz w:val="32"/>
          <w:szCs w:val="32"/>
          <w:rtl/>
        </w:rPr>
        <w:lastRenderedPageBreak/>
        <w:t>والتحليل، ولم يتم الاعتماد على درجة كلية موحدة تجمع الأبعاد الأربعة عند الحكم على صدق البناء، بما يتفق مع الطبيعة المفاهيمية المختلفة لكل استراتيجية</w:t>
      </w:r>
      <w:r w:rsidRPr="003D4D50">
        <w:rPr>
          <w:rFonts w:ascii="Traditional Arabic" w:eastAsia="Times New Roman" w:hAnsi="Traditional Arabic" w:cs="Traditional Arabic"/>
          <w:sz w:val="32"/>
          <w:szCs w:val="32"/>
        </w:rPr>
        <w:t>.</w:t>
      </w:r>
    </w:p>
    <w:p w14:paraId="2803CCF7" w14:textId="71733539" w:rsidR="00B21BCF" w:rsidRPr="00B21BCF" w:rsidRDefault="00B21BCF" w:rsidP="00B21BCF">
      <w:pPr>
        <w:bidi/>
        <w:spacing w:after="0" w:line="240" w:lineRule="auto"/>
        <w:jc w:val="center"/>
        <w:rPr>
          <w:rFonts w:ascii="Traditional Arabic" w:eastAsia="Times New Roman" w:hAnsi="Traditional Arabic" w:cs="Traditional Arabic"/>
          <w:b/>
          <w:bCs/>
          <w:sz w:val="32"/>
          <w:szCs w:val="32"/>
        </w:rPr>
      </w:pPr>
      <w:r w:rsidRPr="00B21BCF">
        <w:rPr>
          <w:rFonts w:ascii="Traditional Arabic" w:eastAsia="Times New Roman" w:hAnsi="Traditional Arabic" w:cs="Traditional Arabic"/>
          <w:b/>
          <w:bCs/>
          <w:sz w:val="32"/>
          <w:szCs w:val="32"/>
          <w:rtl/>
        </w:rPr>
        <w:t>جدول (3-3): معاملات ارتباط فقرات أداة الدراسة بالأبعاد التي تنتمي إليها</w:t>
      </w:r>
    </w:p>
    <w:tbl>
      <w:tblPr>
        <w:tblStyle w:val="a7"/>
        <w:bidiVisual/>
        <w:tblW w:w="5000" w:type="pct"/>
        <w:tblLook w:val="04A0" w:firstRow="1" w:lastRow="0" w:firstColumn="1" w:lastColumn="0" w:noHBand="0" w:noVBand="1"/>
      </w:tblPr>
      <w:tblGrid>
        <w:gridCol w:w="1478"/>
        <w:gridCol w:w="3186"/>
        <w:gridCol w:w="2330"/>
        <w:gridCol w:w="1302"/>
      </w:tblGrid>
      <w:tr w:rsidR="00B21BCF" w:rsidRPr="00B21BCF" w14:paraId="776AEF8F" w14:textId="77777777" w:rsidTr="00B21BCF">
        <w:tc>
          <w:tcPr>
            <w:tcW w:w="891" w:type="pct"/>
            <w:hideMark/>
          </w:tcPr>
          <w:p w14:paraId="34DAD528" w14:textId="77777777" w:rsidR="00B21BCF" w:rsidRPr="00B21BCF" w:rsidRDefault="00B21BCF" w:rsidP="00B21BCF">
            <w:pPr>
              <w:bidi/>
              <w:spacing w:after="0" w:line="240" w:lineRule="auto"/>
              <w:jc w:val="both"/>
              <w:rPr>
                <w:rFonts w:ascii="Traditional Arabic" w:eastAsia="Times New Roman" w:hAnsi="Traditional Arabic" w:cs="Traditional Arabic"/>
                <w:b/>
                <w:bCs/>
                <w:sz w:val="32"/>
                <w:szCs w:val="32"/>
              </w:rPr>
            </w:pPr>
            <w:r w:rsidRPr="00B21BCF">
              <w:rPr>
                <w:rFonts w:ascii="Traditional Arabic" w:eastAsia="Times New Roman" w:hAnsi="Traditional Arabic" w:cs="Traditional Arabic"/>
                <w:b/>
                <w:bCs/>
                <w:sz w:val="32"/>
                <w:szCs w:val="32"/>
                <w:rtl/>
              </w:rPr>
              <w:t>رقم الفقرة</w:t>
            </w:r>
          </w:p>
        </w:tc>
        <w:tc>
          <w:tcPr>
            <w:tcW w:w="1920" w:type="pct"/>
            <w:hideMark/>
          </w:tcPr>
          <w:p w14:paraId="4A302690" w14:textId="77777777" w:rsidR="00B21BCF" w:rsidRPr="00B21BCF" w:rsidRDefault="00B21BCF" w:rsidP="00B21BCF">
            <w:pPr>
              <w:bidi/>
              <w:spacing w:after="0" w:line="240" w:lineRule="auto"/>
              <w:jc w:val="both"/>
              <w:rPr>
                <w:rFonts w:ascii="Traditional Arabic" w:eastAsia="Times New Roman" w:hAnsi="Traditional Arabic" w:cs="Traditional Arabic"/>
                <w:b/>
                <w:bCs/>
                <w:sz w:val="32"/>
                <w:szCs w:val="32"/>
              </w:rPr>
            </w:pPr>
            <w:r w:rsidRPr="00B21BCF">
              <w:rPr>
                <w:rFonts w:ascii="Traditional Arabic" w:eastAsia="Times New Roman" w:hAnsi="Traditional Arabic" w:cs="Traditional Arabic"/>
                <w:b/>
                <w:bCs/>
                <w:sz w:val="32"/>
                <w:szCs w:val="32"/>
                <w:rtl/>
              </w:rPr>
              <w:t>البُعد</w:t>
            </w:r>
          </w:p>
        </w:tc>
        <w:tc>
          <w:tcPr>
            <w:tcW w:w="1404" w:type="pct"/>
            <w:hideMark/>
          </w:tcPr>
          <w:p w14:paraId="344443A5" w14:textId="77777777" w:rsidR="00B21BCF" w:rsidRPr="00B21BCF" w:rsidRDefault="00B21BCF" w:rsidP="00B21BCF">
            <w:pPr>
              <w:bidi/>
              <w:spacing w:after="0" w:line="240" w:lineRule="auto"/>
              <w:jc w:val="both"/>
              <w:rPr>
                <w:rFonts w:ascii="Traditional Arabic" w:eastAsia="Times New Roman" w:hAnsi="Traditional Arabic" w:cs="Traditional Arabic"/>
                <w:b/>
                <w:bCs/>
                <w:sz w:val="32"/>
                <w:szCs w:val="32"/>
              </w:rPr>
            </w:pPr>
            <w:r w:rsidRPr="00B21BCF">
              <w:rPr>
                <w:rFonts w:ascii="Traditional Arabic" w:eastAsia="Times New Roman" w:hAnsi="Traditional Arabic" w:cs="Traditional Arabic"/>
                <w:b/>
                <w:bCs/>
                <w:sz w:val="32"/>
                <w:szCs w:val="32"/>
                <w:rtl/>
              </w:rPr>
              <w:t>معامل الارتباط</w:t>
            </w:r>
            <w:r w:rsidRPr="00B21BCF">
              <w:rPr>
                <w:rFonts w:ascii="Traditional Arabic" w:eastAsia="Times New Roman" w:hAnsi="Traditional Arabic" w:cs="Traditional Arabic"/>
                <w:b/>
                <w:bCs/>
                <w:sz w:val="32"/>
                <w:szCs w:val="32"/>
              </w:rPr>
              <w:t xml:space="preserve"> r</w:t>
            </w:r>
          </w:p>
        </w:tc>
        <w:tc>
          <w:tcPr>
            <w:tcW w:w="785" w:type="pct"/>
            <w:hideMark/>
          </w:tcPr>
          <w:p w14:paraId="39E3E8E8" w14:textId="77777777" w:rsidR="00B21BCF" w:rsidRPr="00B21BCF" w:rsidRDefault="00B21BCF" w:rsidP="00B21BCF">
            <w:pPr>
              <w:bidi/>
              <w:spacing w:after="0" w:line="240" w:lineRule="auto"/>
              <w:jc w:val="both"/>
              <w:rPr>
                <w:rFonts w:ascii="Traditional Arabic" w:eastAsia="Times New Roman" w:hAnsi="Traditional Arabic" w:cs="Traditional Arabic"/>
                <w:b/>
                <w:bCs/>
                <w:sz w:val="32"/>
                <w:szCs w:val="32"/>
              </w:rPr>
            </w:pPr>
            <w:r w:rsidRPr="00B21BCF">
              <w:rPr>
                <w:rFonts w:ascii="Traditional Arabic" w:eastAsia="Times New Roman" w:hAnsi="Traditional Arabic" w:cs="Traditional Arabic"/>
                <w:b/>
                <w:bCs/>
                <w:sz w:val="32"/>
                <w:szCs w:val="32"/>
              </w:rPr>
              <w:t>Sig.</w:t>
            </w:r>
          </w:p>
        </w:tc>
      </w:tr>
      <w:tr w:rsidR="00B21BCF" w:rsidRPr="00B21BCF" w14:paraId="56B8B1FD" w14:textId="77777777" w:rsidTr="00B21BCF">
        <w:tc>
          <w:tcPr>
            <w:tcW w:w="891" w:type="pct"/>
            <w:hideMark/>
          </w:tcPr>
          <w:p w14:paraId="5C7534A3"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1</w:t>
            </w:r>
          </w:p>
        </w:tc>
        <w:tc>
          <w:tcPr>
            <w:tcW w:w="1920" w:type="pct"/>
            <w:hideMark/>
          </w:tcPr>
          <w:p w14:paraId="17713C71"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tl/>
              </w:rPr>
              <w:t>حل المشكلات</w:t>
            </w:r>
          </w:p>
        </w:tc>
        <w:tc>
          <w:tcPr>
            <w:tcW w:w="1404" w:type="pct"/>
            <w:hideMark/>
          </w:tcPr>
          <w:p w14:paraId="6E286BC0"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0.82</w:t>
            </w:r>
          </w:p>
        </w:tc>
        <w:tc>
          <w:tcPr>
            <w:tcW w:w="785" w:type="pct"/>
            <w:hideMark/>
          </w:tcPr>
          <w:p w14:paraId="1FBAA781"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0.000</w:t>
            </w:r>
          </w:p>
        </w:tc>
      </w:tr>
      <w:tr w:rsidR="00B21BCF" w:rsidRPr="00B21BCF" w14:paraId="2EFF2C4F" w14:textId="77777777" w:rsidTr="00B21BCF">
        <w:tc>
          <w:tcPr>
            <w:tcW w:w="891" w:type="pct"/>
            <w:hideMark/>
          </w:tcPr>
          <w:p w14:paraId="0691249C"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2</w:t>
            </w:r>
          </w:p>
        </w:tc>
        <w:tc>
          <w:tcPr>
            <w:tcW w:w="1920" w:type="pct"/>
            <w:hideMark/>
          </w:tcPr>
          <w:p w14:paraId="09362527"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tl/>
              </w:rPr>
              <w:t>حل المشكلات</w:t>
            </w:r>
          </w:p>
        </w:tc>
        <w:tc>
          <w:tcPr>
            <w:tcW w:w="1404" w:type="pct"/>
            <w:hideMark/>
          </w:tcPr>
          <w:p w14:paraId="7D3C10A5"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0.86</w:t>
            </w:r>
          </w:p>
        </w:tc>
        <w:tc>
          <w:tcPr>
            <w:tcW w:w="785" w:type="pct"/>
            <w:hideMark/>
          </w:tcPr>
          <w:p w14:paraId="04579516"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0.000</w:t>
            </w:r>
          </w:p>
        </w:tc>
      </w:tr>
      <w:tr w:rsidR="00B21BCF" w:rsidRPr="00B21BCF" w14:paraId="74126F63" w14:textId="77777777" w:rsidTr="00B21BCF">
        <w:tc>
          <w:tcPr>
            <w:tcW w:w="891" w:type="pct"/>
            <w:hideMark/>
          </w:tcPr>
          <w:p w14:paraId="0E5398D6"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3</w:t>
            </w:r>
          </w:p>
        </w:tc>
        <w:tc>
          <w:tcPr>
            <w:tcW w:w="1920" w:type="pct"/>
            <w:hideMark/>
          </w:tcPr>
          <w:p w14:paraId="381AFDD1"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tl/>
              </w:rPr>
              <w:t>حل المشكلات</w:t>
            </w:r>
          </w:p>
        </w:tc>
        <w:tc>
          <w:tcPr>
            <w:tcW w:w="1404" w:type="pct"/>
            <w:hideMark/>
          </w:tcPr>
          <w:p w14:paraId="7E881DFA"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0.79</w:t>
            </w:r>
          </w:p>
        </w:tc>
        <w:tc>
          <w:tcPr>
            <w:tcW w:w="785" w:type="pct"/>
            <w:hideMark/>
          </w:tcPr>
          <w:p w14:paraId="46F304F8"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0.000</w:t>
            </w:r>
          </w:p>
        </w:tc>
      </w:tr>
      <w:tr w:rsidR="00B21BCF" w:rsidRPr="00B21BCF" w14:paraId="5BE32E3A" w14:textId="77777777" w:rsidTr="00B21BCF">
        <w:tc>
          <w:tcPr>
            <w:tcW w:w="891" w:type="pct"/>
            <w:hideMark/>
          </w:tcPr>
          <w:p w14:paraId="02482C3E"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4</w:t>
            </w:r>
          </w:p>
        </w:tc>
        <w:tc>
          <w:tcPr>
            <w:tcW w:w="1920" w:type="pct"/>
            <w:hideMark/>
          </w:tcPr>
          <w:p w14:paraId="25D602FE"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tl/>
              </w:rPr>
              <w:t>طلب الدعم الاجتماعي</w:t>
            </w:r>
          </w:p>
        </w:tc>
        <w:tc>
          <w:tcPr>
            <w:tcW w:w="1404" w:type="pct"/>
            <w:hideMark/>
          </w:tcPr>
          <w:p w14:paraId="1E3D9428"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0.84</w:t>
            </w:r>
          </w:p>
        </w:tc>
        <w:tc>
          <w:tcPr>
            <w:tcW w:w="785" w:type="pct"/>
            <w:hideMark/>
          </w:tcPr>
          <w:p w14:paraId="3B6990C2"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0.000</w:t>
            </w:r>
          </w:p>
        </w:tc>
      </w:tr>
      <w:tr w:rsidR="00B21BCF" w:rsidRPr="00B21BCF" w14:paraId="33FB2595" w14:textId="77777777" w:rsidTr="00B21BCF">
        <w:tc>
          <w:tcPr>
            <w:tcW w:w="891" w:type="pct"/>
            <w:hideMark/>
          </w:tcPr>
          <w:p w14:paraId="35715969"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5</w:t>
            </w:r>
          </w:p>
        </w:tc>
        <w:tc>
          <w:tcPr>
            <w:tcW w:w="1920" w:type="pct"/>
            <w:hideMark/>
          </w:tcPr>
          <w:p w14:paraId="587FF207"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tl/>
              </w:rPr>
              <w:t>طلب الدعم الاجتماعي</w:t>
            </w:r>
          </w:p>
        </w:tc>
        <w:tc>
          <w:tcPr>
            <w:tcW w:w="1404" w:type="pct"/>
            <w:hideMark/>
          </w:tcPr>
          <w:p w14:paraId="3F74CB10"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0.88</w:t>
            </w:r>
          </w:p>
        </w:tc>
        <w:tc>
          <w:tcPr>
            <w:tcW w:w="785" w:type="pct"/>
            <w:hideMark/>
          </w:tcPr>
          <w:p w14:paraId="7E9EFA74"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0.000</w:t>
            </w:r>
          </w:p>
        </w:tc>
      </w:tr>
      <w:tr w:rsidR="00B21BCF" w:rsidRPr="00B21BCF" w14:paraId="2C7A8DE8" w14:textId="77777777" w:rsidTr="00B21BCF">
        <w:tc>
          <w:tcPr>
            <w:tcW w:w="891" w:type="pct"/>
            <w:hideMark/>
          </w:tcPr>
          <w:p w14:paraId="44DD9F1E"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6</w:t>
            </w:r>
          </w:p>
        </w:tc>
        <w:tc>
          <w:tcPr>
            <w:tcW w:w="1920" w:type="pct"/>
            <w:hideMark/>
          </w:tcPr>
          <w:p w14:paraId="052E2183"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tl/>
              </w:rPr>
              <w:t>طلب الدعم الاجتماعي</w:t>
            </w:r>
          </w:p>
        </w:tc>
        <w:tc>
          <w:tcPr>
            <w:tcW w:w="1404" w:type="pct"/>
            <w:hideMark/>
          </w:tcPr>
          <w:p w14:paraId="55C8495F"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0.81</w:t>
            </w:r>
          </w:p>
        </w:tc>
        <w:tc>
          <w:tcPr>
            <w:tcW w:w="785" w:type="pct"/>
            <w:hideMark/>
          </w:tcPr>
          <w:p w14:paraId="7FB3B6D9"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0.000</w:t>
            </w:r>
          </w:p>
        </w:tc>
      </w:tr>
      <w:tr w:rsidR="00B21BCF" w:rsidRPr="00B21BCF" w14:paraId="79B8A416" w14:textId="77777777" w:rsidTr="00B21BCF">
        <w:tc>
          <w:tcPr>
            <w:tcW w:w="891" w:type="pct"/>
            <w:hideMark/>
          </w:tcPr>
          <w:p w14:paraId="74A2C67C"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7</w:t>
            </w:r>
          </w:p>
        </w:tc>
        <w:tc>
          <w:tcPr>
            <w:tcW w:w="1920" w:type="pct"/>
            <w:hideMark/>
          </w:tcPr>
          <w:p w14:paraId="23A56EA5"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tl/>
              </w:rPr>
              <w:t>التجنب</w:t>
            </w:r>
          </w:p>
        </w:tc>
        <w:tc>
          <w:tcPr>
            <w:tcW w:w="1404" w:type="pct"/>
            <w:hideMark/>
          </w:tcPr>
          <w:p w14:paraId="1C92837D"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0.76</w:t>
            </w:r>
          </w:p>
        </w:tc>
        <w:tc>
          <w:tcPr>
            <w:tcW w:w="785" w:type="pct"/>
            <w:hideMark/>
          </w:tcPr>
          <w:p w14:paraId="3BCB1A31"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0.000</w:t>
            </w:r>
          </w:p>
        </w:tc>
      </w:tr>
      <w:tr w:rsidR="00B21BCF" w:rsidRPr="00B21BCF" w14:paraId="35557546" w14:textId="77777777" w:rsidTr="00B21BCF">
        <w:tc>
          <w:tcPr>
            <w:tcW w:w="891" w:type="pct"/>
            <w:hideMark/>
          </w:tcPr>
          <w:p w14:paraId="3B7BDB7A"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8</w:t>
            </w:r>
          </w:p>
        </w:tc>
        <w:tc>
          <w:tcPr>
            <w:tcW w:w="1920" w:type="pct"/>
            <w:hideMark/>
          </w:tcPr>
          <w:p w14:paraId="199F97FC"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tl/>
              </w:rPr>
              <w:t>التجنب</w:t>
            </w:r>
          </w:p>
        </w:tc>
        <w:tc>
          <w:tcPr>
            <w:tcW w:w="1404" w:type="pct"/>
            <w:hideMark/>
          </w:tcPr>
          <w:p w14:paraId="1A966F06"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0.83</w:t>
            </w:r>
          </w:p>
        </w:tc>
        <w:tc>
          <w:tcPr>
            <w:tcW w:w="785" w:type="pct"/>
            <w:hideMark/>
          </w:tcPr>
          <w:p w14:paraId="182DEFCE"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0.000</w:t>
            </w:r>
          </w:p>
        </w:tc>
      </w:tr>
      <w:tr w:rsidR="00B21BCF" w:rsidRPr="00B21BCF" w14:paraId="5D472B23" w14:textId="77777777" w:rsidTr="00B21BCF">
        <w:tc>
          <w:tcPr>
            <w:tcW w:w="891" w:type="pct"/>
            <w:hideMark/>
          </w:tcPr>
          <w:p w14:paraId="2A80C431"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9</w:t>
            </w:r>
          </w:p>
        </w:tc>
        <w:tc>
          <w:tcPr>
            <w:tcW w:w="1920" w:type="pct"/>
            <w:hideMark/>
          </w:tcPr>
          <w:p w14:paraId="28F34366"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tl/>
              </w:rPr>
              <w:t>التجنب</w:t>
            </w:r>
          </w:p>
        </w:tc>
        <w:tc>
          <w:tcPr>
            <w:tcW w:w="1404" w:type="pct"/>
            <w:hideMark/>
          </w:tcPr>
          <w:p w14:paraId="176D715B"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0.78</w:t>
            </w:r>
          </w:p>
        </w:tc>
        <w:tc>
          <w:tcPr>
            <w:tcW w:w="785" w:type="pct"/>
            <w:hideMark/>
          </w:tcPr>
          <w:p w14:paraId="5CA2669B"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0.000</w:t>
            </w:r>
          </w:p>
        </w:tc>
      </w:tr>
      <w:tr w:rsidR="00B21BCF" w:rsidRPr="00B21BCF" w14:paraId="410DE558" w14:textId="77777777" w:rsidTr="00B21BCF">
        <w:tc>
          <w:tcPr>
            <w:tcW w:w="891" w:type="pct"/>
            <w:hideMark/>
          </w:tcPr>
          <w:p w14:paraId="0E4ECDF6"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10</w:t>
            </w:r>
          </w:p>
        </w:tc>
        <w:tc>
          <w:tcPr>
            <w:tcW w:w="1920" w:type="pct"/>
            <w:hideMark/>
          </w:tcPr>
          <w:p w14:paraId="00400D98"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tl/>
              </w:rPr>
              <w:t>الانسحاب</w:t>
            </w:r>
          </w:p>
        </w:tc>
        <w:tc>
          <w:tcPr>
            <w:tcW w:w="1404" w:type="pct"/>
            <w:hideMark/>
          </w:tcPr>
          <w:p w14:paraId="34562EAD"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0.74</w:t>
            </w:r>
          </w:p>
        </w:tc>
        <w:tc>
          <w:tcPr>
            <w:tcW w:w="785" w:type="pct"/>
            <w:hideMark/>
          </w:tcPr>
          <w:p w14:paraId="69496E00"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0.000</w:t>
            </w:r>
          </w:p>
        </w:tc>
      </w:tr>
      <w:tr w:rsidR="00B21BCF" w:rsidRPr="00B21BCF" w14:paraId="418E50BC" w14:textId="77777777" w:rsidTr="00B21BCF">
        <w:tc>
          <w:tcPr>
            <w:tcW w:w="891" w:type="pct"/>
            <w:hideMark/>
          </w:tcPr>
          <w:p w14:paraId="4D2437A9"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11</w:t>
            </w:r>
          </w:p>
        </w:tc>
        <w:tc>
          <w:tcPr>
            <w:tcW w:w="1920" w:type="pct"/>
            <w:hideMark/>
          </w:tcPr>
          <w:p w14:paraId="01782E4F"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tl/>
              </w:rPr>
              <w:t>الانسحاب</w:t>
            </w:r>
          </w:p>
        </w:tc>
        <w:tc>
          <w:tcPr>
            <w:tcW w:w="1404" w:type="pct"/>
            <w:hideMark/>
          </w:tcPr>
          <w:p w14:paraId="7A952CFD"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0.80</w:t>
            </w:r>
          </w:p>
        </w:tc>
        <w:tc>
          <w:tcPr>
            <w:tcW w:w="785" w:type="pct"/>
            <w:hideMark/>
          </w:tcPr>
          <w:p w14:paraId="47EBF121"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0.000</w:t>
            </w:r>
          </w:p>
        </w:tc>
      </w:tr>
      <w:tr w:rsidR="00B21BCF" w:rsidRPr="00B21BCF" w14:paraId="4053A760" w14:textId="77777777" w:rsidTr="00B21BCF">
        <w:tc>
          <w:tcPr>
            <w:tcW w:w="891" w:type="pct"/>
            <w:hideMark/>
          </w:tcPr>
          <w:p w14:paraId="0BBC1CA8"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12</w:t>
            </w:r>
          </w:p>
        </w:tc>
        <w:tc>
          <w:tcPr>
            <w:tcW w:w="1920" w:type="pct"/>
            <w:hideMark/>
          </w:tcPr>
          <w:p w14:paraId="4AA42323"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tl/>
              </w:rPr>
              <w:t>الانسحاب</w:t>
            </w:r>
          </w:p>
        </w:tc>
        <w:tc>
          <w:tcPr>
            <w:tcW w:w="1404" w:type="pct"/>
            <w:hideMark/>
          </w:tcPr>
          <w:p w14:paraId="15E4C1D8"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0.77</w:t>
            </w:r>
          </w:p>
        </w:tc>
        <w:tc>
          <w:tcPr>
            <w:tcW w:w="785" w:type="pct"/>
            <w:hideMark/>
          </w:tcPr>
          <w:p w14:paraId="03ED43EE"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0.000</w:t>
            </w:r>
          </w:p>
        </w:tc>
      </w:tr>
      <w:tr w:rsidR="00B21BCF" w:rsidRPr="00B21BCF" w14:paraId="1E8D6921" w14:textId="77777777" w:rsidTr="00B21BCF">
        <w:tc>
          <w:tcPr>
            <w:tcW w:w="891" w:type="pct"/>
            <w:hideMark/>
          </w:tcPr>
          <w:p w14:paraId="6448E444"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13</w:t>
            </w:r>
          </w:p>
        </w:tc>
        <w:tc>
          <w:tcPr>
            <w:tcW w:w="1920" w:type="pct"/>
            <w:hideMark/>
          </w:tcPr>
          <w:p w14:paraId="5B69EF1A"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tl/>
              </w:rPr>
              <w:t>الإنهاك العاطفي</w:t>
            </w:r>
          </w:p>
        </w:tc>
        <w:tc>
          <w:tcPr>
            <w:tcW w:w="1404" w:type="pct"/>
            <w:hideMark/>
          </w:tcPr>
          <w:p w14:paraId="0A068F97"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0.87</w:t>
            </w:r>
          </w:p>
        </w:tc>
        <w:tc>
          <w:tcPr>
            <w:tcW w:w="785" w:type="pct"/>
            <w:hideMark/>
          </w:tcPr>
          <w:p w14:paraId="38BF50D9"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0.000</w:t>
            </w:r>
          </w:p>
        </w:tc>
      </w:tr>
      <w:tr w:rsidR="00B21BCF" w:rsidRPr="00B21BCF" w14:paraId="7AEA6329" w14:textId="77777777" w:rsidTr="00B21BCF">
        <w:tc>
          <w:tcPr>
            <w:tcW w:w="891" w:type="pct"/>
            <w:hideMark/>
          </w:tcPr>
          <w:p w14:paraId="3206D7BA"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14</w:t>
            </w:r>
          </w:p>
        </w:tc>
        <w:tc>
          <w:tcPr>
            <w:tcW w:w="1920" w:type="pct"/>
            <w:hideMark/>
          </w:tcPr>
          <w:p w14:paraId="4B8ED203"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tl/>
              </w:rPr>
              <w:t>الإنهاك العاطفي</w:t>
            </w:r>
          </w:p>
        </w:tc>
        <w:tc>
          <w:tcPr>
            <w:tcW w:w="1404" w:type="pct"/>
            <w:hideMark/>
          </w:tcPr>
          <w:p w14:paraId="411B95F4"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0.90</w:t>
            </w:r>
          </w:p>
        </w:tc>
        <w:tc>
          <w:tcPr>
            <w:tcW w:w="785" w:type="pct"/>
            <w:hideMark/>
          </w:tcPr>
          <w:p w14:paraId="5A549BD0"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0.000</w:t>
            </w:r>
          </w:p>
        </w:tc>
      </w:tr>
      <w:tr w:rsidR="00B21BCF" w:rsidRPr="00B21BCF" w14:paraId="7D478921" w14:textId="77777777" w:rsidTr="00B21BCF">
        <w:tc>
          <w:tcPr>
            <w:tcW w:w="891" w:type="pct"/>
            <w:hideMark/>
          </w:tcPr>
          <w:p w14:paraId="0CEB0B9E"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15</w:t>
            </w:r>
          </w:p>
        </w:tc>
        <w:tc>
          <w:tcPr>
            <w:tcW w:w="1920" w:type="pct"/>
            <w:hideMark/>
          </w:tcPr>
          <w:p w14:paraId="30295948"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tl/>
              </w:rPr>
              <w:t>الإنهاك العاطفي</w:t>
            </w:r>
          </w:p>
        </w:tc>
        <w:tc>
          <w:tcPr>
            <w:tcW w:w="1404" w:type="pct"/>
            <w:hideMark/>
          </w:tcPr>
          <w:p w14:paraId="3D52F16E"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0.85</w:t>
            </w:r>
          </w:p>
        </w:tc>
        <w:tc>
          <w:tcPr>
            <w:tcW w:w="785" w:type="pct"/>
            <w:hideMark/>
          </w:tcPr>
          <w:p w14:paraId="3204CD5F"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0.000</w:t>
            </w:r>
          </w:p>
        </w:tc>
      </w:tr>
      <w:tr w:rsidR="00B21BCF" w:rsidRPr="00B21BCF" w14:paraId="3932625E" w14:textId="77777777" w:rsidTr="00B21BCF">
        <w:tc>
          <w:tcPr>
            <w:tcW w:w="891" w:type="pct"/>
            <w:hideMark/>
          </w:tcPr>
          <w:p w14:paraId="3C64AC1A"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16</w:t>
            </w:r>
          </w:p>
        </w:tc>
        <w:tc>
          <w:tcPr>
            <w:tcW w:w="1920" w:type="pct"/>
            <w:hideMark/>
          </w:tcPr>
          <w:p w14:paraId="7D2B37AF"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tl/>
              </w:rPr>
              <w:t>تبلد المشاعر</w:t>
            </w:r>
          </w:p>
        </w:tc>
        <w:tc>
          <w:tcPr>
            <w:tcW w:w="1404" w:type="pct"/>
            <w:hideMark/>
          </w:tcPr>
          <w:p w14:paraId="7E043765"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0.79</w:t>
            </w:r>
          </w:p>
        </w:tc>
        <w:tc>
          <w:tcPr>
            <w:tcW w:w="785" w:type="pct"/>
            <w:hideMark/>
          </w:tcPr>
          <w:p w14:paraId="02CE2371"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0.000</w:t>
            </w:r>
          </w:p>
        </w:tc>
      </w:tr>
      <w:tr w:rsidR="00B21BCF" w:rsidRPr="00B21BCF" w14:paraId="3F210032" w14:textId="77777777" w:rsidTr="00B21BCF">
        <w:tc>
          <w:tcPr>
            <w:tcW w:w="891" w:type="pct"/>
            <w:hideMark/>
          </w:tcPr>
          <w:p w14:paraId="5CF49275"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17</w:t>
            </w:r>
          </w:p>
        </w:tc>
        <w:tc>
          <w:tcPr>
            <w:tcW w:w="1920" w:type="pct"/>
            <w:hideMark/>
          </w:tcPr>
          <w:p w14:paraId="2DA368F9"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tl/>
              </w:rPr>
              <w:t>تبلد المشاعر</w:t>
            </w:r>
          </w:p>
        </w:tc>
        <w:tc>
          <w:tcPr>
            <w:tcW w:w="1404" w:type="pct"/>
            <w:hideMark/>
          </w:tcPr>
          <w:p w14:paraId="70FEE375"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0.83</w:t>
            </w:r>
          </w:p>
        </w:tc>
        <w:tc>
          <w:tcPr>
            <w:tcW w:w="785" w:type="pct"/>
            <w:hideMark/>
          </w:tcPr>
          <w:p w14:paraId="7D68F8E2"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0.000</w:t>
            </w:r>
          </w:p>
        </w:tc>
      </w:tr>
      <w:tr w:rsidR="00B21BCF" w:rsidRPr="00B21BCF" w14:paraId="16209A3D" w14:textId="77777777" w:rsidTr="00B21BCF">
        <w:tc>
          <w:tcPr>
            <w:tcW w:w="891" w:type="pct"/>
            <w:hideMark/>
          </w:tcPr>
          <w:p w14:paraId="70114F02"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18</w:t>
            </w:r>
          </w:p>
        </w:tc>
        <w:tc>
          <w:tcPr>
            <w:tcW w:w="1920" w:type="pct"/>
            <w:hideMark/>
          </w:tcPr>
          <w:p w14:paraId="6310FF8D"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tl/>
              </w:rPr>
              <w:t>تبلد المشاعر</w:t>
            </w:r>
          </w:p>
        </w:tc>
        <w:tc>
          <w:tcPr>
            <w:tcW w:w="1404" w:type="pct"/>
            <w:hideMark/>
          </w:tcPr>
          <w:p w14:paraId="1E28BFC8"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0.81</w:t>
            </w:r>
          </w:p>
        </w:tc>
        <w:tc>
          <w:tcPr>
            <w:tcW w:w="785" w:type="pct"/>
            <w:hideMark/>
          </w:tcPr>
          <w:p w14:paraId="1C52234A"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0.000</w:t>
            </w:r>
          </w:p>
        </w:tc>
      </w:tr>
      <w:tr w:rsidR="00B21BCF" w:rsidRPr="00B21BCF" w14:paraId="53E07601" w14:textId="77777777" w:rsidTr="00B21BCF">
        <w:tc>
          <w:tcPr>
            <w:tcW w:w="891" w:type="pct"/>
            <w:hideMark/>
          </w:tcPr>
          <w:p w14:paraId="7BC9CD27"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19</w:t>
            </w:r>
          </w:p>
        </w:tc>
        <w:tc>
          <w:tcPr>
            <w:tcW w:w="1920" w:type="pct"/>
            <w:hideMark/>
          </w:tcPr>
          <w:p w14:paraId="07D05DD0"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tl/>
              </w:rPr>
              <w:t>انخفاض الإنجاز الشخصي</w:t>
            </w:r>
          </w:p>
        </w:tc>
        <w:tc>
          <w:tcPr>
            <w:tcW w:w="1404" w:type="pct"/>
            <w:hideMark/>
          </w:tcPr>
          <w:p w14:paraId="5FABA5CA"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0.75</w:t>
            </w:r>
          </w:p>
        </w:tc>
        <w:tc>
          <w:tcPr>
            <w:tcW w:w="785" w:type="pct"/>
            <w:hideMark/>
          </w:tcPr>
          <w:p w14:paraId="57041D2F"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0.000</w:t>
            </w:r>
          </w:p>
        </w:tc>
      </w:tr>
      <w:tr w:rsidR="00B21BCF" w:rsidRPr="00B21BCF" w14:paraId="7F09C888" w14:textId="77777777" w:rsidTr="00B21BCF">
        <w:tc>
          <w:tcPr>
            <w:tcW w:w="891" w:type="pct"/>
            <w:hideMark/>
          </w:tcPr>
          <w:p w14:paraId="651BEDB6"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20</w:t>
            </w:r>
          </w:p>
        </w:tc>
        <w:tc>
          <w:tcPr>
            <w:tcW w:w="1920" w:type="pct"/>
            <w:hideMark/>
          </w:tcPr>
          <w:p w14:paraId="7B7B47CA"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tl/>
              </w:rPr>
              <w:t>انخفاض الإنجاز الشخصي</w:t>
            </w:r>
          </w:p>
        </w:tc>
        <w:tc>
          <w:tcPr>
            <w:tcW w:w="1404" w:type="pct"/>
            <w:hideMark/>
          </w:tcPr>
          <w:p w14:paraId="437E0712"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0.78</w:t>
            </w:r>
          </w:p>
        </w:tc>
        <w:tc>
          <w:tcPr>
            <w:tcW w:w="785" w:type="pct"/>
            <w:hideMark/>
          </w:tcPr>
          <w:p w14:paraId="54E20C96"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0.000</w:t>
            </w:r>
          </w:p>
        </w:tc>
      </w:tr>
      <w:tr w:rsidR="00B21BCF" w:rsidRPr="00B21BCF" w14:paraId="61EB5AAD" w14:textId="77777777" w:rsidTr="00B21BCF">
        <w:tc>
          <w:tcPr>
            <w:tcW w:w="891" w:type="pct"/>
            <w:hideMark/>
          </w:tcPr>
          <w:p w14:paraId="355EF4C8"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21</w:t>
            </w:r>
          </w:p>
        </w:tc>
        <w:tc>
          <w:tcPr>
            <w:tcW w:w="1920" w:type="pct"/>
            <w:hideMark/>
          </w:tcPr>
          <w:p w14:paraId="16E15B60"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tl/>
              </w:rPr>
              <w:t>انخفاض الإنجاز الشخصي</w:t>
            </w:r>
          </w:p>
        </w:tc>
        <w:tc>
          <w:tcPr>
            <w:tcW w:w="1404" w:type="pct"/>
            <w:hideMark/>
          </w:tcPr>
          <w:p w14:paraId="5E7B269F"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0.73</w:t>
            </w:r>
          </w:p>
        </w:tc>
        <w:tc>
          <w:tcPr>
            <w:tcW w:w="785" w:type="pct"/>
            <w:hideMark/>
          </w:tcPr>
          <w:p w14:paraId="35859D2B"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0.000</w:t>
            </w:r>
          </w:p>
        </w:tc>
      </w:tr>
      <w:tr w:rsidR="00B21BCF" w:rsidRPr="00B21BCF" w14:paraId="2D9B7F7C" w14:textId="77777777" w:rsidTr="00B21BCF">
        <w:tc>
          <w:tcPr>
            <w:tcW w:w="891" w:type="pct"/>
            <w:hideMark/>
          </w:tcPr>
          <w:p w14:paraId="1D0299CF"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22</w:t>
            </w:r>
          </w:p>
        </w:tc>
        <w:tc>
          <w:tcPr>
            <w:tcW w:w="1920" w:type="pct"/>
            <w:hideMark/>
          </w:tcPr>
          <w:p w14:paraId="07D35073"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tl/>
              </w:rPr>
              <w:t>الرضا الداخلي</w:t>
            </w:r>
          </w:p>
        </w:tc>
        <w:tc>
          <w:tcPr>
            <w:tcW w:w="1404" w:type="pct"/>
            <w:hideMark/>
          </w:tcPr>
          <w:p w14:paraId="50C212BC"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0.86</w:t>
            </w:r>
          </w:p>
        </w:tc>
        <w:tc>
          <w:tcPr>
            <w:tcW w:w="785" w:type="pct"/>
            <w:hideMark/>
          </w:tcPr>
          <w:p w14:paraId="405590A9"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0.000</w:t>
            </w:r>
          </w:p>
        </w:tc>
      </w:tr>
      <w:tr w:rsidR="00B21BCF" w:rsidRPr="00B21BCF" w14:paraId="1D0ACCBF" w14:textId="77777777" w:rsidTr="00B21BCF">
        <w:tc>
          <w:tcPr>
            <w:tcW w:w="891" w:type="pct"/>
            <w:hideMark/>
          </w:tcPr>
          <w:p w14:paraId="41767497"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23</w:t>
            </w:r>
          </w:p>
        </w:tc>
        <w:tc>
          <w:tcPr>
            <w:tcW w:w="1920" w:type="pct"/>
            <w:hideMark/>
          </w:tcPr>
          <w:p w14:paraId="786395B3"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tl/>
              </w:rPr>
              <w:t>الرضا الداخلي</w:t>
            </w:r>
          </w:p>
        </w:tc>
        <w:tc>
          <w:tcPr>
            <w:tcW w:w="1404" w:type="pct"/>
            <w:hideMark/>
          </w:tcPr>
          <w:p w14:paraId="1F72F3DB"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0.89</w:t>
            </w:r>
          </w:p>
        </w:tc>
        <w:tc>
          <w:tcPr>
            <w:tcW w:w="785" w:type="pct"/>
            <w:hideMark/>
          </w:tcPr>
          <w:p w14:paraId="1801EDC1"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0.000</w:t>
            </w:r>
          </w:p>
        </w:tc>
      </w:tr>
      <w:tr w:rsidR="00B21BCF" w:rsidRPr="00B21BCF" w14:paraId="00EE0AA2" w14:textId="77777777" w:rsidTr="00B21BCF">
        <w:tc>
          <w:tcPr>
            <w:tcW w:w="891" w:type="pct"/>
            <w:hideMark/>
          </w:tcPr>
          <w:p w14:paraId="425D87BD"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lastRenderedPageBreak/>
              <w:t>24</w:t>
            </w:r>
          </w:p>
        </w:tc>
        <w:tc>
          <w:tcPr>
            <w:tcW w:w="1920" w:type="pct"/>
            <w:hideMark/>
          </w:tcPr>
          <w:p w14:paraId="192D3B06"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tl/>
              </w:rPr>
              <w:t>الرضا الداخلي</w:t>
            </w:r>
          </w:p>
        </w:tc>
        <w:tc>
          <w:tcPr>
            <w:tcW w:w="1404" w:type="pct"/>
            <w:hideMark/>
          </w:tcPr>
          <w:p w14:paraId="773E1517"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0.84</w:t>
            </w:r>
          </w:p>
        </w:tc>
        <w:tc>
          <w:tcPr>
            <w:tcW w:w="785" w:type="pct"/>
            <w:hideMark/>
          </w:tcPr>
          <w:p w14:paraId="23BC113D"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0.000</w:t>
            </w:r>
          </w:p>
        </w:tc>
      </w:tr>
      <w:tr w:rsidR="00B21BCF" w:rsidRPr="00B21BCF" w14:paraId="16F225B2" w14:textId="77777777" w:rsidTr="00B21BCF">
        <w:tc>
          <w:tcPr>
            <w:tcW w:w="891" w:type="pct"/>
            <w:hideMark/>
          </w:tcPr>
          <w:p w14:paraId="471AA88A"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25</w:t>
            </w:r>
          </w:p>
        </w:tc>
        <w:tc>
          <w:tcPr>
            <w:tcW w:w="1920" w:type="pct"/>
            <w:hideMark/>
          </w:tcPr>
          <w:p w14:paraId="64C09F1B"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tl/>
              </w:rPr>
              <w:t>الرضا الداخلي</w:t>
            </w:r>
          </w:p>
        </w:tc>
        <w:tc>
          <w:tcPr>
            <w:tcW w:w="1404" w:type="pct"/>
            <w:hideMark/>
          </w:tcPr>
          <w:p w14:paraId="4CA4C678"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0.82</w:t>
            </w:r>
          </w:p>
        </w:tc>
        <w:tc>
          <w:tcPr>
            <w:tcW w:w="785" w:type="pct"/>
            <w:hideMark/>
          </w:tcPr>
          <w:p w14:paraId="685EC681"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0.000</w:t>
            </w:r>
          </w:p>
        </w:tc>
      </w:tr>
      <w:tr w:rsidR="00B21BCF" w:rsidRPr="00B21BCF" w14:paraId="0EDC146C" w14:textId="77777777" w:rsidTr="00B21BCF">
        <w:tc>
          <w:tcPr>
            <w:tcW w:w="891" w:type="pct"/>
            <w:hideMark/>
          </w:tcPr>
          <w:p w14:paraId="629CE78B"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26</w:t>
            </w:r>
          </w:p>
        </w:tc>
        <w:tc>
          <w:tcPr>
            <w:tcW w:w="1920" w:type="pct"/>
            <w:hideMark/>
          </w:tcPr>
          <w:p w14:paraId="386B9D15"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tl/>
              </w:rPr>
              <w:t>الرضا الداخلي</w:t>
            </w:r>
          </w:p>
        </w:tc>
        <w:tc>
          <w:tcPr>
            <w:tcW w:w="1404" w:type="pct"/>
            <w:hideMark/>
          </w:tcPr>
          <w:p w14:paraId="13760373"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0.88</w:t>
            </w:r>
          </w:p>
        </w:tc>
        <w:tc>
          <w:tcPr>
            <w:tcW w:w="785" w:type="pct"/>
            <w:hideMark/>
          </w:tcPr>
          <w:p w14:paraId="316F1DEE"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0.000</w:t>
            </w:r>
          </w:p>
        </w:tc>
      </w:tr>
      <w:tr w:rsidR="00B21BCF" w:rsidRPr="00B21BCF" w14:paraId="2E21A567" w14:textId="77777777" w:rsidTr="00B21BCF">
        <w:tc>
          <w:tcPr>
            <w:tcW w:w="891" w:type="pct"/>
            <w:hideMark/>
          </w:tcPr>
          <w:p w14:paraId="2C08285C"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27</w:t>
            </w:r>
          </w:p>
        </w:tc>
        <w:tc>
          <w:tcPr>
            <w:tcW w:w="1920" w:type="pct"/>
            <w:hideMark/>
          </w:tcPr>
          <w:p w14:paraId="500122F1"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tl/>
              </w:rPr>
              <w:t>الرضا الداخلي</w:t>
            </w:r>
          </w:p>
        </w:tc>
        <w:tc>
          <w:tcPr>
            <w:tcW w:w="1404" w:type="pct"/>
            <w:hideMark/>
          </w:tcPr>
          <w:p w14:paraId="56A6695E"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0.80</w:t>
            </w:r>
          </w:p>
        </w:tc>
        <w:tc>
          <w:tcPr>
            <w:tcW w:w="785" w:type="pct"/>
            <w:hideMark/>
          </w:tcPr>
          <w:p w14:paraId="4925119E"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0.000</w:t>
            </w:r>
          </w:p>
        </w:tc>
      </w:tr>
      <w:tr w:rsidR="00B21BCF" w:rsidRPr="00B21BCF" w14:paraId="524ADE13" w14:textId="77777777" w:rsidTr="00B21BCF">
        <w:tc>
          <w:tcPr>
            <w:tcW w:w="891" w:type="pct"/>
            <w:hideMark/>
          </w:tcPr>
          <w:p w14:paraId="5BD33370"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28</w:t>
            </w:r>
          </w:p>
        </w:tc>
        <w:tc>
          <w:tcPr>
            <w:tcW w:w="1920" w:type="pct"/>
            <w:hideMark/>
          </w:tcPr>
          <w:p w14:paraId="5069336B"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tl/>
              </w:rPr>
              <w:t>الرضا الخارجي</w:t>
            </w:r>
          </w:p>
        </w:tc>
        <w:tc>
          <w:tcPr>
            <w:tcW w:w="1404" w:type="pct"/>
            <w:hideMark/>
          </w:tcPr>
          <w:p w14:paraId="6EE660A4"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0.83</w:t>
            </w:r>
          </w:p>
        </w:tc>
        <w:tc>
          <w:tcPr>
            <w:tcW w:w="785" w:type="pct"/>
            <w:hideMark/>
          </w:tcPr>
          <w:p w14:paraId="17166C71"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0.000</w:t>
            </w:r>
          </w:p>
        </w:tc>
      </w:tr>
      <w:tr w:rsidR="00B21BCF" w:rsidRPr="00B21BCF" w14:paraId="5C738A8C" w14:textId="77777777" w:rsidTr="00B21BCF">
        <w:tc>
          <w:tcPr>
            <w:tcW w:w="891" w:type="pct"/>
            <w:hideMark/>
          </w:tcPr>
          <w:p w14:paraId="1D36737E"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29</w:t>
            </w:r>
          </w:p>
        </w:tc>
        <w:tc>
          <w:tcPr>
            <w:tcW w:w="1920" w:type="pct"/>
            <w:hideMark/>
          </w:tcPr>
          <w:p w14:paraId="4CF97487"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tl/>
              </w:rPr>
              <w:t>الرضا الخارجي</w:t>
            </w:r>
          </w:p>
        </w:tc>
        <w:tc>
          <w:tcPr>
            <w:tcW w:w="1404" w:type="pct"/>
            <w:hideMark/>
          </w:tcPr>
          <w:p w14:paraId="18F82B06"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0.85</w:t>
            </w:r>
          </w:p>
        </w:tc>
        <w:tc>
          <w:tcPr>
            <w:tcW w:w="785" w:type="pct"/>
            <w:hideMark/>
          </w:tcPr>
          <w:p w14:paraId="03973FB4"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0.000</w:t>
            </w:r>
          </w:p>
        </w:tc>
      </w:tr>
      <w:tr w:rsidR="00B21BCF" w:rsidRPr="00B21BCF" w14:paraId="64869F2B" w14:textId="77777777" w:rsidTr="00B21BCF">
        <w:tc>
          <w:tcPr>
            <w:tcW w:w="891" w:type="pct"/>
            <w:hideMark/>
          </w:tcPr>
          <w:p w14:paraId="5796F280"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30</w:t>
            </w:r>
          </w:p>
        </w:tc>
        <w:tc>
          <w:tcPr>
            <w:tcW w:w="1920" w:type="pct"/>
            <w:hideMark/>
          </w:tcPr>
          <w:p w14:paraId="54E209F1"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tl/>
              </w:rPr>
              <w:t>الرضا الخارجي</w:t>
            </w:r>
          </w:p>
        </w:tc>
        <w:tc>
          <w:tcPr>
            <w:tcW w:w="1404" w:type="pct"/>
            <w:hideMark/>
          </w:tcPr>
          <w:p w14:paraId="7EA43C89"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0.87</w:t>
            </w:r>
          </w:p>
        </w:tc>
        <w:tc>
          <w:tcPr>
            <w:tcW w:w="785" w:type="pct"/>
            <w:hideMark/>
          </w:tcPr>
          <w:p w14:paraId="7DB359BD"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0.000</w:t>
            </w:r>
          </w:p>
        </w:tc>
      </w:tr>
      <w:tr w:rsidR="00B21BCF" w:rsidRPr="00B21BCF" w14:paraId="3ECC2ED3" w14:textId="77777777" w:rsidTr="00B21BCF">
        <w:tc>
          <w:tcPr>
            <w:tcW w:w="891" w:type="pct"/>
            <w:hideMark/>
          </w:tcPr>
          <w:p w14:paraId="1B952A09"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31</w:t>
            </w:r>
          </w:p>
        </w:tc>
        <w:tc>
          <w:tcPr>
            <w:tcW w:w="1920" w:type="pct"/>
            <w:hideMark/>
          </w:tcPr>
          <w:p w14:paraId="447A66F2"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tl/>
              </w:rPr>
              <w:t>الرضا الخارجي</w:t>
            </w:r>
          </w:p>
        </w:tc>
        <w:tc>
          <w:tcPr>
            <w:tcW w:w="1404" w:type="pct"/>
            <w:hideMark/>
          </w:tcPr>
          <w:p w14:paraId="26CC3D4A"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0.76</w:t>
            </w:r>
          </w:p>
        </w:tc>
        <w:tc>
          <w:tcPr>
            <w:tcW w:w="785" w:type="pct"/>
            <w:hideMark/>
          </w:tcPr>
          <w:p w14:paraId="0457FE87"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0.000</w:t>
            </w:r>
          </w:p>
        </w:tc>
      </w:tr>
      <w:tr w:rsidR="00B21BCF" w:rsidRPr="00B21BCF" w14:paraId="7004633E" w14:textId="77777777" w:rsidTr="00B21BCF">
        <w:tc>
          <w:tcPr>
            <w:tcW w:w="891" w:type="pct"/>
            <w:hideMark/>
          </w:tcPr>
          <w:p w14:paraId="3A2D2DD1"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32</w:t>
            </w:r>
          </w:p>
        </w:tc>
        <w:tc>
          <w:tcPr>
            <w:tcW w:w="1920" w:type="pct"/>
            <w:hideMark/>
          </w:tcPr>
          <w:p w14:paraId="72438A9B"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tl/>
              </w:rPr>
              <w:t>الرضا الخارجي</w:t>
            </w:r>
          </w:p>
        </w:tc>
        <w:tc>
          <w:tcPr>
            <w:tcW w:w="1404" w:type="pct"/>
            <w:hideMark/>
          </w:tcPr>
          <w:p w14:paraId="24295ACA"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0.71</w:t>
            </w:r>
          </w:p>
        </w:tc>
        <w:tc>
          <w:tcPr>
            <w:tcW w:w="785" w:type="pct"/>
            <w:hideMark/>
          </w:tcPr>
          <w:p w14:paraId="618CC23C"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0.000</w:t>
            </w:r>
          </w:p>
        </w:tc>
      </w:tr>
      <w:tr w:rsidR="00B21BCF" w:rsidRPr="00B21BCF" w14:paraId="048B6205" w14:textId="77777777" w:rsidTr="00B21BCF">
        <w:tc>
          <w:tcPr>
            <w:tcW w:w="891" w:type="pct"/>
            <w:hideMark/>
          </w:tcPr>
          <w:p w14:paraId="73602D7E"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33</w:t>
            </w:r>
          </w:p>
        </w:tc>
        <w:tc>
          <w:tcPr>
            <w:tcW w:w="1920" w:type="pct"/>
            <w:hideMark/>
          </w:tcPr>
          <w:p w14:paraId="4BBE313C"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tl/>
              </w:rPr>
              <w:t>الرضا الخارجي</w:t>
            </w:r>
          </w:p>
        </w:tc>
        <w:tc>
          <w:tcPr>
            <w:tcW w:w="1404" w:type="pct"/>
            <w:hideMark/>
          </w:tcPr>
          <w:p w14:paraId="5A73AB61"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0.78</w:t>
            </w:r>
          </w:p>
        </w:tc>
        <w:tc>
          <w:tcPr>
            <w:tcW w:w="785" w:type="pct"/>
            <w:hideMark/>
          </w:tcPr>
          <w:p w14:paraId="22828740" w14:textId="77777777" w:rsidR="00B21BCF" w:rsidRPr="00B21BCF" w:rsidRDefault="00B21BCF" w:rsidP="00B21BCF">
            <w:pPr>
              <w:bidi/>
              <w:spacing w:after="0" w:line="24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Pr>
              <w:t>0.000</w:t>
            </w:r>
          </w:p>
        </w:tc>
      </w:tr>
    </w:tbl>
    <w:p w14:paraId="2932E078" w14:textId="77777777" w:rsidR="00B21BCF" w:rsidRDefault="00B21BCF" w:rsidP="00B21BCF">
      <w:pPr>
        <w:bidi/>
        <w:spacing w:after="200" w:line="360" w:lineRule="auto"/>
        <w:jc w:val="both"/>
        <w:rPr>
          <w:rFonts w:ascii="Traditional Arabic" w:eastAsia="Times New Roman" w:hAnsi="Traditional Arabic" w:cs="Traditional Arabic"/>
          <w:sz w:val="32"/>
          <w:szCs w:val="32"/>
          <w:rtl/>
        </w:rPr>
      </w:pPr>
    </w:p>
    <w:p w14:paraId="026703FC" w14:textId="312CEE0A" w:rsidR="00B21BCF" w:rsidRPr="00B21BCF" w:rsidRDefault="00B21BCF" w:rsidP="00B21BCF">
      <w:pPr>
        <w:bidi/>
        <w:spacing w:after="200" w:line="36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tl/>
        </w:rPr>
        <w:t xml:space="preserve">يتضح من نتائج الجدول أن معاملات ارتباط الفقرات بالأبعاد التي تنتمي إليها تراوحت بين 0.71 و0.90، وجميعها موجبة ودالة إحصائيًا عند مستوى </w:t>
      </w:r>
      <w:r w:rsidRPr="00B21BCF">
        <w:rPr>
          <w:rFonts w:ascii="Times New Roman" w:eastAsia="Times New Roman" w:hAnsi="Times New Roman" w:cs="Times New Roman"/>
          <w:sz w:val="32"/>
          <w:szCs w:val="32"/>
        </w:rPr>
        <w:t>α</w:t>
      </w:r>
      <w:r w:rsidRPr="00B21BCF">
        <w:rPr>
          <w:rFonts w:ascii="Traditional Arabic" w:eastAsia="Times New Roman" w:hAnsi="Traditional Arabic" w:cs="Traditional Arabic"/>
          <w:sz w:val="32"/>
          <w:szCs w:val="32"/>
        </w:rPr>
        <w:t xml:space="preserve"> </w:t>
      </w:r>
      <w:r w:rsidRPr="00B21BCF">
        <w:rPr>
          <w:rFonts w:ascii="Times New Roman" w:eastAsia="Times New Roman" w:hAnsi="Times New Roman" w:cs="Times New Roman"/>
          <w:sz w:val="32"/>
          <w:szCs w:val="32"/>
        </w:rPr>
        <w:t>≤</w:t>
      </w:r>
      <w:r w:rsidRPr="00B21BCF">
        <w:rPr>
          <w:rFonts w:ascii="Traditional Arabic" w:eastAsia="Times New Roman" w:hAnsi="Traditional Arabic" w:cs="Traditional Arabic"/>
          <w:sz w:val="32"/>
          <w:szCs w:val="32"/>
        </w:rPr>
        <w:t xml:space="preserve"> 0.01</w:t>
      </w:r>
      <w:r w:rsidRPr="00B21BCF">
        <w:rPr>
          <w:rFonts w:ascii="Traditional Arabic" w:eastAsia="Times New Roman" w:hAnsi="Traditional Arabic" w:cs="Traditional Arabic"/>
          <w:sz w:val="32"/>
          <w:szCs w:val="32"/>
          <w:rtl/>
        </w:rPr>
        <w:t>، مما يشير إلى وجود درجة جيدة إلى مرتفعة من الاتساق الداخلي بين الفقرات والأبعاد التي تقيسها.</w:t>
      </w:r>
    </w:p>
    <w:p w14:paraId="5A6F6D49" w14:textId="77777777" w:rsidR="00B21BCF" w:rsidRPr="00B21BCF" w:rsidRDefault="00B21BCF" w:rsidP="00B21BCF">
      <w:pPr>
        <w:bidi/>
        <w:spacing w:after="200" w:line="360" w:lineRule="auto"/>
        <w:jc w:val="both"/>
        <w:rPr>
          <w:rFonts w:ascii="Traditional Arabic" w:eastAsia="Times New Roman" w:hAnsi="Traditional Arabic" w:cs="Traditional Arabic"/>
          <w:sz w:val="32"/>
          <w:szCs w:val="32"/>
          <w:rtl/>
        </w:rPr>
      </w:pPr>
      <w:r w:rsidRPr="00B21BCF">
        <w:rPr>
          <w:rFonts w:ascii="Traditional Arabic" w:eastAsia="Times New Roman" w:hAnsi="Traditional Arabic" w:cs="Traditional Arabic"/>
          <w:sz w:val="32"/>
          <w:szCs w:val="32"/>
          <w:rtl/>
        </w:rPr>
        <w:t>خامسًا: التحقق من البناء العاملي للأداة</w:t>
      </w:r>
    </w:p>
    <w:p w14:paraId="6BB93310" w14:textId="7FC06827" w:rsidR="00B21BCF" w:rsidRPr="00B21BCF" w:rsidRDefault="00B21BCF" w:rsidP="00B21BCF">
      <w:pPr>
        <w:bidi/>
        <w:spacing w:after="200" w:line="360" w:lineRule="auto"/>
        <w:jc w:val="both"/>
        <w:rPr>
          <w:rFonts w:ascii="Traditional Arabic" w:eastAsia="Times New Roman" w:hAnsi="Traditional Arabic" w:cs="Traditional Arabic"/>
          <w:sz w:val="32"/>
          <w:szCs w:val="32"/>
        </w:rPr>
      </w:pPr>
      <w:r w:rsidRPr="00B21BCF">
        <w:rPr>
          <w:rFonts w:ascii="Traditional Arabic" w:eastAsia="Times New Roman" w:hAnsi="Traditional Arabic" w:cs="Traditional Arabic"/>
          <w:sz w:val="32"/>
          <w:szCs w:val="32"/>
          <w:rtl/>
        </w:rPr>
        <w:t>وللتحقق من البناء العاملي لأداة الدراسة، سيتم إجراء التحليل العاملي على بيانات العينة الأساسية، وليس على بيانات العينة الاستطلاعية، وذلك للتحقق من مدى توافق الفقرات مع الأبعاد النظرية المعتمدة في الدراسة</w:t>
      </w:r>
      <w:r w:rsidRPr="00B21BCF">
        <w:rPr>
          <w:rFonts w:ascii="Traditional Arabic" w:eastAsia="Times New Roman" w:hAnsi="Traditional Arabic" w:cs="Traditional Arabic"/>
          <w:sz w:val="32"/>
          <w:szCs w:val="32"/>
        </w:rPr>
        <w:t>.</w:t>
      </w:r>
    </w:p>
    <w:p w14:paraId="4C51C3C6" w14:textId="77777777" w:rsidR="0025309F" w:rsidRPr="00B21BCF" w:rsidRDefault="0025309F" w:rsidP="0025309F">
      <w:pPr>
        <w:bidi/>
        <w:spacing w:after="200" w:line="360" w:lineRule="auto"/>
        <w:jc w:val="both"/>
        <w:rPr>
          <w:rFonts w:ascii="Traditional Arabic" w:eastAsia="Times New Roman" w:hAnsi="Traditional Arabic" w:cs="Traditional Arabic"/>
          <w:sz w:val="32"/>
          <w:szCs w:val="32"/>
          <w:rtl/>
        </w:rPr>
      </w:pPr>
    </w:p>
    <w:p w14:paraId="554795A0" w14:textId="69A0BC4A" w:rsidR="00121B06" w:rsidRDefault="00121B06" w:rsidP="003A4066">
      <w:pPr>
        <w:bidi/>
        <w:spacing w:after="200" w:line="360" w:lineRule="auto"/>
        <w:jc w:val="both"/>
        <w:rPr>
          <w:rFonts w:ascii="Traditional Arabic" w:eastAsia="Times New Roman" w:hAnsi="Traditional Arabic" w:cs="Traditional Arabic"/>
          <w:b/>
          <w:bCs/>
          <w:sz w:val="32"/>
          <w:szCs w:val="32"/>
        </w:rPr>
      </w:pPr>
      <w:proofErr w:type="gramStart"/>
      <w:r>
        <w:rPr>
          <w:rFonts w:ascii="Traditional Arabic" w:eastAsia="Times New Roman" w:hAnsi="Traditional Arabic" w:cs="Traditional Arabic" w:hint="cs"/>
          <w:b/>
          <w:bCs/>
          <w:sz w:val="32"/>
          <w:szCs w:val="32"/>
          <w:rtl/>
        </w:rPr>
        <w:t xml:space="preserve">3.10 </w:t>
      </w:r>
      <w:r w:rsidRPr="00121B06">
        <w:rPr>
          <w:rFonts w:ascii="Traditional Arabic" w:eastAsia="Times New Roman" w:hAnsi="Traditional Arabic" w:cs="Traditional Arabic"/>
          <w:b/>
          <w:bCs/>
          <w:sz w:val="32"/>
          <w:szCs w:val="32"/>
          <w:rtl/>
        </w:rPr>
        <w:t xml:space="preserve"> ثبات</w:t>
      </w:r>
      <w:proofErr w:type="gramEnd"/>
      <w:r w:rsidRPr="00121B06">
        <w:rPr>
          <w:rFonts w:ascii="Traditional Arabic" w:eastAsia="Times New Roman" w:hAnsi="Traditional Arabic" w:cs="Traditional Arabic"/>
          <w:b/>
          <w:bCs/>
          <w:sz w:val="32"/>
          <w:szCs w:val="32"/>
          <w:rtl/>
        </w:rPr>
        <w:t xml:space="preserve"> أداة الدراسة</w:t>
      </w:r>
    </w:p>
    <w:p w14:paraId="481A7F1D" w14:textId="7A0B824D" w:rsidR="003D4D50" w:rsidRPr="003D4D50" w:rsidRDefault="003D4D50" w:rsidP="003D4D50">
      <w:pPr>
        <w:bidi/>
        <w:spacing w:after="200" w:line="360" w:lineRule="auto"/>
        <w:jc w:val="both"/>
        <w:rPr>
          <w:rFonts w:ascii="Traditional Arabic" w:eastAsia="Times New Roman" w:hAnsi="Traditional Arabic" w:cs="Traditional Arabic"/>
          <w:sz w:val="32"/>
          <w:szCs w:val="32"/>
        </w:rPr>
      </w:pPr>
      <w:r w:rsidRPr="003D4D50">
        <w:rPr>
          <w:rFonts w:ascii="Traditional Arabic" w:eastAsia="Times New Roman" w:hAnsi="Traditional Arabic" w:cs="Traditional Arabic"/>
          <w:sz w:val="32"/>
          <w:szCs w:val="32"/>
          <w:rtl/>
        </w:rPr>
        <w:lastRenderedPageBreak/>
        <w:t>يشير الثبات (</w:t>
      </w:r>
      <w:r w:rsidRPr="003D4D50">
        <w:rPr>
          <w:rFonts w:ascii="Traditional Arabic" w:eastAsia="Times New Roman" w:hAnsi="Traditional Arabic" w:cs="Traditional Arabic"/>
          <w:sz w:val="32"/>
          <w:szCs w:val="32"/>
        </w:rPr>
        <w:t>Reliability</w:t>
      </w:r>
      <w:r w:rsidRPr="003D4D50">
        <w:rPr>
          <w:rFonts w:ascii="Traditional Arabic" w:eastAsia="Times New Roman" w:hAnsi="Traditional Arabic" w:cs="Traditional Arabic"/>
          <w:sz w:val="32"/>
          <w:szCs w:val="32"/>
          <w:rtl/>
        </w:rPr>
        <w:t xml:space="preserve">) إلى مدى اتساق أداة القياس في قياس الظاهرة محل الدراسة، وقدرتها على إعطاء نتائج متقاربة عند إعادة تطبيقها في ظروف متشابهة. ويُعد الثبات من الخصائص الأساسية التي ينبغي توافرها في أدوات القياس، إذ يعكس مدى الاتساق الداخلي بين فقرات الأداة، ويعزز من إمكانية الاعتماد على البيانات في اختبار فرضيات الدراسة وتحقيق أهدافها. ويشير </w:t>
      </w:r>
      <w:r w:rsidRPr="003D4D50">
        <w:rPr>
          <w:rFonts w:ascii="Traditional Arabic" w:eastAsia="Times New Roman" w:hAnsi="Traditional Arabic" w:cs="Traditional Arabic"/>
          <w:sz w:val="32"/>
          <w:szCs w:val="32"/>
        </w:rPr>
        <w:t>Hair et al. (2022</w:t>
      </w:r>
      <w:r w:rsidRPr="003D4D50">
        <w:rPr>
          <w:rFonts w:ascii="Traditional Arabic" w:eastAsia="Times New Roman" w:hAnsi="Traditional Arabic" w:cs="Traditional Arabic"/>
          <w:sz w:val="32"/>
          <w:szCs w:val="32"/>
          <w:rtl/>
        </w:rPr>
        <w:t>) إلى أن قيم معامل كرونباخ ألفا التي تزيد على (0.70) تعد مقبولة، بينما تعكس القيم التي تتجاوز (0.80) مستوى مرتفعًا من الثبات.</w:t>
      </w:r>
    </w:p>
    <w:p w14:paraId="3B8B4FD5" w14:textId="7B25A821" w:rsidR="003D4D50" w:rsidRPr="003D4D50" w:rsidRDefault="003D4D50" w:rsidP="003D4D50">
      <w:pPr>
        <w:bidi/>
        <w:spacing w:after="200" w:line="360" w:lineRule="auto"/>
        <w:jc w:val="both"/>
        <w:rPr>
          <w:rFonts w:ascii="Traditional Arabic" w:eastAsia="Times New Roman" w:hAnsi="Traditional Arabic" w:cs="Traditional Arabic"/>
          <w:sz w:val="32"/>
          <w:szCs w:val="32"/>
        </w:rPr>
      </w:pPr>
      <w:r w:rsidRPr="003D4D50">
        <w:rPr>
          <w:rFonts w:ascii="Traditional Arabic" w:eastAsia="Times New Roman" w:hAnsi="Traditional Arabic" w:cs="Traditional Arabic"/>
          <w:sz w:val="32"/>
          <w:szCs w:val="32"/>
          <w:rtl/>
        </w:rPr>
        <w:t xml:space="preserve">وللتحقق من ثبات أداة الدراسة، استخدم الباحث معامل </w:t>
      </w:r>
      <w:proofErr w:type="spellStart"/>
      <w:r w:rsidRPr="003D4D50">
        <w:rPr>
          <w:rFonts w:ascii="Traditional Arabic" w:eastAsia="Times New Roman" w:hAnsi="Traditional Arabic" w:cs="Traditional Arabic"/>
          <w:sz w:val="32"/>
          <w:szCs w:val="32"/>
          <w:rtl/>
        </w:rPr>
        <w:t>كرونباخ</w:t>
      </w:r>
      <w:proofErr w:type="spellEnd"/>
      <w:r w:rsidRPr="003D4D50">
        <w:rPr>
          <w:rFonts w:ascii="Traditional Arabic" w:eastAsia="Times New Roman" w:hAnsi="Traditional Arabic" w:cs="Traditional Arabic"/>
          <w:sz w:val="32"/>
          <w:szCs w:val="32"/>
          <w:rtl/>
        </w:rPr>
        <w:t xml:space="preserve"> ألفا (</w:t>
      </w:r>
      <w:r w:rsidRPr="003D4D50">
        <w:rPr>
          <w:rFonts w:ascii="Traditional Arabic" w:eastAsia="Times New Roman" w:hAnsi="Traditional Arabic" w:cs="Traditional Arabic"/>
          <w:sz w:val="32"/>
          <w:szCs w:val="32"/>
        </w:rPr>
        <w:t>Cronbach’s Alpha</w:t>
      </w:r>
      <w:r w:rsidRPr="003D4D50">
        <w:rPr>
          <w:rFonts w:ascii="Traditional Arabic" w:eastAsia="Times New Roman" w:hAnsi="Traditional Arabic" w:cs="Traditional Arabic"/>
          <w:sz w:val="32"/>
          <w:szCs w:val="32"/>
          <w:rtl/>
        </w:rPr>
        <w:t>) لقياس درجة الاتساق الداخلي بين فقرات كل بُعد من أبعاد الدراسة. ونظرًا إلى التعامل مع أبعاد استراتيجيات مواجهة ضغوط العمل بوصفها أبعادًا مستقلة في القياس والتحليل، فقد تم تقدير معامل الثبات لكل بُعد منها بصورة مستقلة، دون الاعتماد على معامل ثبات كلي يجمع الأبعاد الأربعة بوصفه أساسًا للتحليل. كما تم حساب معامل الثبات الكلي لكل من الاحتراق الوظيفي والرضا الوظيفي، إضافة إلى معامل الثبات الكلي للاستبانة، وذلك بالاعتماد على بيانات العينة الاستطلاعية</w:t>
      </w:r>
      <w:r w:rsidRPr="003D4D50">
        <w:rPr>
          <w:rFonts w:ascii="Traditional Arabic" w:eastAsia="Times New Roman" w:hAnsi="Traditional Arabic" w:cs="Traditional Arabic"/>
          <w:sz w:val="32"/>
          <w:szCs w:val="32"/>
        </w:rPr>
        <w:t>.</w:t>
      </w:r>
    </w:p>
    <w:p w14:paraId="6A825F1D" w14:textId="3FB02D4D" w:rsidR="003D4D50" w:rsidRPr="003D4D50" w:rsidRDefault="003D4D50" w:rsidP="002A7F20">
      <w:pPr>
        <w:bidi/>
        <w:spacing w:after="200" w:line="360" w:lineRule="auto"/>
        <w:jc w:val="both"/>
        <w:rPr>
          <w:rFonts w:ascii="Traditional Arabic" w:eastAsia="Times New Roman" w:hAnsi="Traditional Arabic" w:cs="Traditional Arabic"/>
          <w:sz w:val="32"/>
          <w:szCs w:val="32"/>
        </w:rPr>
      </w:pPr>
      <w:r w:rsidRPr="003D4D50">
        <w:rPr>
          <w:rFonts w:ascii="Traditional Arabic" w:eastAsia="Times New Roman" w:hAnsi="Traditional Arabic" w:cs="Traditional Arabic"/>
          <w:sz w:val="32"/>
          <w:szCs w:val="32"/>
          <w:rtl/>
        </w:rPr>
        <w:t>وقد أظهرت نتائج التحليل الإحصائي ارتفاع معاملات الثبات لجميع أبعاد الدراسة، كما يوضح ذلك الجدول (3-</w:t>
      </w:r>
      <w:r w:rsidR="002A7F20">
        <w:rPr>
          <w:rFonts w:ascii="Traditional Arabic" w:eastAsia="Times New Roman" w:hAnsi="Traditional Arabic" w:cs="Traditional Arabic" w:hint="cs"/>
          <w:sz w:val="32"/>
          <w:szCs w:val="32"/>
          <w:rtl/>
        </w:rPr>
        <w:t>4</w:t>
      </w:r>
      <w:r w:rsidRPr="003D4D50">
        <w:rPr>
          <w:rFonts w:ascii="Traditional Arabic" w:eastAsia="Times New Roman" w:hAnsi="Traditional Arabic" w:cs="Traditional Arabic"/>
          <w:sz w:val="32"/>
          <w:szCs w:val="32"/>
          <w:rtl/>
        </w:rPr>
        <w:t>).</w:t>
      </w:r>
    </w:p>
    <w:p w14:paraId="2687D957" w14:textId="6A7D6074" w:rsidR="003D4D50" w:rsidRPr="003D4D50" w:rsidRDefault="003D4D50" w:rsidP="002A7F20">
      <w:pPr>
        <w:bidi/>
        <w:spacing w:after="200" w:line="240" w:lineRule="auto"/>
        <w:jc w:val="center"/>
        <w:rPr>
          <w:rFonts w:ascii="Traditional Arabic" w:eastAsia="Times New Roman" w:hAnsi="Traditional Arabic" w:cs="Traditional Arabic"/>
          <w:sz w:val="32"/>
          <w:szCs w:val="32"/>
        </w:rPr>
      </w:pPr>
      <w:r w:rsidRPr="003D4D50">
        <w:rPr>
          <w:rFonts w:ascii="Traditional Arabic" w:eastAsia="Times New Roman" w:hAnsi="Traditional Arabic" w:cs="Traditional Arabic"/>
          <w:b/>
          <w:bCs/>
          <w:sz w:val="32"/>
          <w:szCs w:val="32"/>
          <w:rtl/>
        </w:rPr>
        <w:t>جدول (3-</w:t>
      </w:r>
      <w:r w:rsidR="002A7F20">
        <w:rPr>
          <w:rFonts w:ascii="Traditional Arabic" w:eastAsia="Times New Roman" w:hAnsi="Traditional Arabic" w:cs="Traditional Arabic" w:hint="cs"/>
          <w:b/>
          <w:bCs/>
          <w:sz w:val="32"/>
          <w:szCs w:val="32"/>
          <w:rtl/>
        </w:rPr>
        <w:t>4</w:t>
      </w:r>
      <w:r w:rsidRPr="003D4D50">
        <w:rPr>
          <w:rFonts w:ascii="Traditional Arabic" w:eastAsia="Times New Roman" w:hAnsi="Traditional Arabic" w:cs="Traditional Arabic"/>
          <w:b/>
          <w:bCs/>
          <w:sz w:val="32"/>
          <w:szCs w:val="32"/>
          <w:rtl/>
        </w:rPr>
        <w:t>) معاملات كرونباخ ألفا لأبعاد الدراسة</w:t>
      </w:r>
    </w:p>
    <w:tbl>
      <w:tblPr>
        <w:tblStyle w:val="a7"/>
        <w:bidiVisual/>
        <w:tblW w:w="0" w:type="auto"/>
        <w:tblLook w:val="04A0" w:firstRow="1" w:lastRow="0" w:firstColumn="1" w:lastColumn="0" w:noHBand="0" w:noVBand="1"/>
      </w:tblPr>
      <w:tblGrid>
        <w:gridCol w:w="2908"/>
        <w:gridCol w:w="2865"/>
        <w:gridCol w:w="1301"/>
        <w:gridCol w:w="1222"/>
      </w:tblGrid>
      <w:tr w:rsidR="003D4D50" w:rsidRPr="003D4D50" w14:paraId="192ED1F9" w14:textId="77777777" w:rsidTr="003D4D50">
        <w:tc>
          <w:tcPr>
            <w:tcW w:w="0" w:type="auto"/>
            <w:hideMark/>
          </w:tcPr>
          <w:p w14:paraId="44A9B778" w14:textId="77777777" w:rsidR="003D4D50" w:rsidRPr="003D4D50" w:rsidRDefault="003D4D50" w:rsidP="003D4D50">
            <w:pPr>
              <w:bidi/>
              <w:spacing w:after="200" w:line="240" w:lineRule="auto"/>
              <w:jc w:val="both"/>
              <w:rPr>
                <w:rFonts w:ascii="Traditional Arabic" w:eastAsia="Times New Roman" w:hAnsi="Traditional Arabic" w:cs="Traditional Arabic"/>
                <w:b/>
                <w:bCs/>
                <w:sz w:val="32"/>
                <w:szCs w:val="32"/>
              </w:rPr>
            </w:pPr>
            <w:r w:rsidRPr="003D4D50">
              <w:rPr>
                <w:rFonts w:ascii="Traditional Arabic" w:eastAsia="Times New Roman" w:hAnsi="Traditional Arabic" w:cs="Traditional Arabic"/>
                <w:b/>
                <w:bCs/>
                <w:sz w:val="32"/>
                <w:szCs w:val="32"/>
                <w:rtl/>
              </w:rPr>
              <w:t>المتغير</w:t>
            </w:r>
          </w:p>
        </w:tc>
        <w:tc>
          <w:tcPr>
            <w:tcW w:w="0" w:type="auto"/>
            <w:hideMark/>
          </w:tcPr>
          <w:p w14:paraId="3DF060C5" w14:textId="77777777" w:rsidR="003D4D50" w:rsidRPr="003D4D50" w:rsidRDefault="003D4D50" w:rsidP="003D4D50">
            <w:pPr>
              <w:bidi/>
              <w:spacing w:after="200" w:line="240" w:lineRule="auto"/>
              <w:jc w:val="both"/>
              <w:rPr>
                <w:rFonts w:ascii="Traditional Arabic" w:eastAsia="Times New Roman" w:hAnsi="Traditional Arabic" w:cs="Traditional Arabic"/>
                <w:b/>
                <w:bCs/>
                <w:sz w:val="32"/>
                <w:szCs w:val="32"/>
              </w:rPr>
            </w:pPr>
            <w:r w:rsidRPr="003D4D50">
              <w:rPr>
                <w:rFonts w:ascii="Traditional Arabic" w:eastAsia="Times New Roman" w:hAnsi="Traditional Arabic" w:cs="Traditional Arabic"/>
                <w:b/>
                <w:bCs/>
                <w:sz w:val="32"/>
                <w:szCs w:val="32"/>
                <w:rtl/>
              </w:rPr>
              <w:t>البعد</w:t>
            </w:r>
          </w:p>
        </w:tc>
        <w:tc>
          <w:tcPr>
            <w:tcW w:w="0" w:type="auto"/>
            <w:hideMark/>
          </w:tcPr>
          <w:p w14:paraId="49BD27CE" w14:textId="77777777" w:rsidR="003D4D50" w:rsidRPr="003D4D50" w:rsidRDefault="003D4D50" w:rsidP="003D4D50">
            <w:pPr>
              <w:bidi/>
              <w:spacing w:after="200" w:line="240" w:lineRule="auto"/>
              <w:jc w:val="both"/>
              <w:rPr>
                <w:rFonts w:ascii="Traditional Arabic" w:eastAsia="Times New Roman" w:hAnsi="Traditional Arabic" w:cs="Traditional Arabic"/>
                <w:b/>
                <w:bCs/>
                <w:sz w:val="32"/>
                <w:szCs w:val="32"/>
              </w:rPr>
            </w:pPr>
            <w:r w:rsidRPr="003D4D50">
              <w:rPr>
                <w:rFonts w:ascii="Traditional Arabic" w:eastAsia="Times New Roman" w:hAnsi="Traditional Arabic" w:cs="Traditional Arabic"/>
                <w:b/>
                <w:bCs/>
                <w:sz w:val="32"/>
                <w:szCs w:val="32"/>
                <w:rtl/>
              </w:rPr>
              <w:t>عدد الفقرات</w:t>
            </w:r>
          </w:p>
        </w:tc>
        <w:tc>
          <w:tcPr>
            <w:tcW w:w="0" w:type="auto"/>
            <w:hideMark/>
          </w:tcPr>
          <w:p w14:paraId="78ACD330" w14:textId="77777777" w:rsidR="003D4D50" w:rsidRPr="003D4D50" w:rsidRDefault="003D4D50" w:rsidP="003D4D50">
            <w:pPr>
              <w:bidi/>
              <w:spacing w:after="200" w:line="240" w:lineRule="auto"/>
              <w:jc w:val="both"/>
              <w:rPr>
                <w:rFonts w:ascii="Traditional Arabic" w:eastAsia="Times New Roman" w:hAnsi="Traditional Arabic" w:cs="Traditional Arabic"/>
                <w:b/>
                <w:bCs/>
                <w:sz w:val="32"/>
                <w:szCs w:val="32"/>
              </w:rPr>
            </w:pPr>
            <w:r w:rsidRPr="003D4D50">
              <w:rPr>
                <w:rFonts w:ascii="Traditional Arabic" w:eastAsia="Times New Roman" w:hAnsi="Traditional Arabic" w:cs="Traditional Arabic"/>
                <w:b/>
                <w:bCs/>
                <w:sz w:val="32"/>
                <w:szCs w:val="32"/>
                <w:rtl/>
              </w:rPr>
              <w:t>كرونباخ ألفا</w:t>
            </w:r>
          </w:p>
        </w:tc>
      </w:tr>
      <w:tr w:rsidR="003D4D50" w:rsidRPr="003D4D50" w14:paraId="4CBDB229" w14:textId="77777777" w:rsidTr="003D4D50">
        <w:tc>
          <w:tcPr>
            <w:tcW w:w="0" w:type="auto"/>
            <w:hideMark/>
          </w:tcPr>
          <w:p w14:paraId="343A08C3" w14:textId="77777777" w:rsidR="003D4D50" w:rsidRPr="003D4D50" w:rsidRDefault="003D4D50" w:rsidP="003D4D50">
            <w:pPr>
              <w:bidi/>
              <w:spacing w:after="200" w:line="240" w:lineRule="auto"/>
              <w:jc w:val="both"/>
              <w:rPr>
                <w:rFonts w:ascii="Traditional Arabic" w:eastAsia="Times New Roman" w:hAnsi="Traditional Arabic" w:cs="Traditional Arabic"/>
                <w:sz w:val="32"/>
                <w:szCs w:val="32"/>
              </w:rPr>
            </w:pPr>
            <w:r w:rsidRPr="003D4D50">
              <w:rPr>
                <w:rFonts w:ascii="Traditional Arabic" w:eastAsia="Times New Roman" w:hAnsi="Traditional Arabic" w:cs="Traditional Arabic"/>
                <w:sz w:val="32"/>
                <w:szCs w:val="32"/>
                <w:rtl/>
              </w:rPr>
              <w:t>استراتيجيات مواجهة ضغوط العمل</w:t>
            </w:r>
          </w:p>
        </w:tc>
        <w:tc>
          <w:tcPr>
            <w:tcW w:w="0" w:type="auto"/>
            <w:hideMark/>
          </w:tcPr>
          <w:p w14:paraId="316EE95F" w14:textId="77777777" w:rsidR="003D4D50" w:rsidRPr="003D4D50" w:rsidRDefault="003D4D50" w:rsidP="003D4D50">
            <w:pPr>
              <w:bidi/>
              <w:spacing w:after="200" w:line="240" w:lineRule="auto"/>
              <w:jc w:val="both"/>
              <w:rPr>
                <w:rFonts w:ascii="Traditional Arabic" w:eastAsia="Times New Roman" w:hAnsi="Traditional Arabic" w:cs="Traditional Arabic"/>
                <w:sz w:val="32"/>
                <w:szCs w:val="32"/>
              </w:rPr>
            </w:pPr>
            <w:r w:rsidRPr="003D4D50">
              <w:rPr>
                <w:rFonts w:ascii="Traditional Arabic" w:eastAsia="Times New Roman" w:hAnsi="Traditional Arabic" w:cs="Traditional Arabic"/>
                <w:sz w:val="32"/>
                <w:szCs w:val="32"/>
                <w:rtl/>
              </w:rPr>
              <w:t>استراتيجية حل المشكلات</w:t>
            </w:r>
          </w:p>
        </w:tc>
        <w:tc>
          <w:tcPr>
            <w:tcW w:w="0" w:type="auto"/>
            <w:hideMark/>
          </w:tcPr>
          <w:p w14:paraId="06FBB4C3" w14:textId="77777777" w:rsidR="003D4D50" w:rsidRPr="003D4D50" w:rsidRDefault="003D4D50" w:rsidP="003D4D50">
            <w:pPr>
              <w:bidi/>
              <w:spacing w:after="200" w:line="240" w:lineRule="auto"/>
              <w:jc w:val="both"/>
              <w:rPr>
                <w:rFonts w:ascii="Traditional Arabic" w:eastAsia="Times New Roman" w:hAnsi="Traditional Arabic" w:cs="Traditional Arabic"/>
                <w:sz w:val="32"/>
                <w:szCs w:val="32"/>
              </w:rPr>
            </w:pPr>
            <w:r w:rsidRPr="003D4D50">
              <w:rPr>
                <w:rFonts w:ascii="Traditional Arabic" w:eastAsia="Times New Roman" w:hAnsi="Traditional Arabic" w:cs="Traditional Arabic"/>
                <w:sz w:val="32"/>
                <w:szCs w:val="32"/>
              </w:rPr>
              <w:t>3</w:t>
            </w:r>
          </w:p>
        </w:tc>
        <w:tc>
          <w:tcPr>
            <w:tcW w:w="0" w:type="auto"/>
            <w:hideMark/>
          </w:tcPr>
          <w:p w14:paraId="015248C1" w14:textId="77777777" w:rsidR="003D4D50" w:rsidRPr="003D4D50" w:rsidRDefault="003D4D50" w:rsidP="003D4D50">
            <w:pPr>
              <w:bidi/>
              <w:spacing w:after="200" w:line="240" w:lineRule="auto"/>
              <w:jc w:val="both"/>
              <w:rPr>
                <w:rFonts w:ascii="Traditional Arabic" w:eastAsia="Times New Roman" w:hAnsi="Traditional Arabic" w:cs="Traditional Arabic"/>
                <w:sz w:val="32"/>
                <w:szCs w:val="32"/>
              </w:rPr>
            </w:pPr>
            <w:r w:rsidRPr="003D4D50">
              <w:rPr>
                <w:rFonts w:ascii="Traditional Arabic" w:eastAsia="Times New Roman" w:hAnsi="Traditional Arabic" w:cs="Traditional Arabic"/>
                <w:sz w:val="32"/>
                <w:szCs w:val="32"/>
              </w:rPr>
              <w:t>0.871</w:t>
            </w:r>
          </w:p>
        </w:tc>
      </w:tr>
      <w:tr w:rsidR="003D4D50" w:rsidRPr="003D4D50" w14:paraId="5D9FCF94" w14:textId="77777777" w:rsidTr="003D4D50">
        <w:tc>
          <w:tcPr>
            <w:tcW w:w="0" w:type="auto"/>
            <w:hideMark/>
          </w:tcPr>
          <w:p w14:paraId="2468A285" w14:textId="77777777" w:rsidR="003D4D50" w:rsidRPr="003D4D50" w:rsidRDefault="003D4D50" w:rsidP="003D4D50">
            <w:pPr>
              <w:bidi/>
              <w:spacing w:after="200" w:line="240" w:lineRule="auto"/>
              <w:jc w:val="both"/>
              <w:rPr>
                <w:rFonts w:ascii="Traditional Arabic" w:eastAsia="Times New Roman" w:hAnsi="Traditional Arabic" w:cs="Traditional Arabic"/>
                <w:sz w:val="32"/>
                <w:szCs w:val="32"/>
              </w:rPr>
            </w:pPr>
          </w:p>
        </w:tc>
        <w:tc>
          <w:tcPr>
            <w:tcW w:w="0" w:type="auto"/>
            <w:hideMark/>
          </w:tcPr>
          <w:p w14:paraId="5D2F7C2A" w14:textId="77777777" w:rsidR="003D4D50" w:rsidRPr="003D4D50" w:rsidRDefault="003D4D50" w:rsidP="003D4D50">
            <w:pPr>
              <w:bidi/>
              <w:spacing w:after="200" w:line="240" w:lineRule="auto"/>
              <w:jc w:val="both"/>
              <w:rPr>
                <w:rFonts w:ascii="Traditional Arabic" w:eastAsia="Times New Roman" w:hAnsi="Traditional Arabic" w:cs="Traditional Arabic"/>
                <w:sz w:val="32"/>
                <w:szCs w:val="32"/>
              </w:rPr>
            </w:pPr>
            <w:r w:rsidRPr="003D4D50">
              <w:rPr>
                <w:rFonts w:ascii="Traditional Arabic" w:eastAsia="Times New Roman" w:hAnsi="Traditional Arabic" w:cs="Traditional Arabic"/>
                <w:sz w:val="32"/>
                <w:szCs w:val="32"/>
                <w:rtl/>
              </w:rPr>
              <w:t>استراتيجية طلب الدعم الاجتماعي</w:t>
            </w:r>
          </w:p>
        </w:tc>
        <w:tc>
          <w:tcPr>
            <w:tcW w:w="0" w:type="auto"/>
            <w:hideMark/>
          </w:tcPr>
          <w:p w14:paraId="01BB4BC7" w14:textId="77777777" w:rsidR="003D4D50" w:rsidRPr="003D4D50" w:rsidRDefault="003D4D50" w:rsidP="003D4D50">
            <w:pPr>
              <w:bidi/>
              <w:spacing w:after="200" w:line="240" w:lineRule="auto"/>
              <w:jc w:val="both"/>
              <w:rPr>
                <w:rFonts w:ascii="Traditional Arabic" w:eastAsia="Times New Roman" w:hAnsi="Traditional Arabic" w:cs="Traditional Arabic"/>
                <w:sz w:val="32"/>
                <w:szCs w:val="32"/>
              </w:rPr>
            </w:pPr>
            <w:r w:rsidRPr="003D4D50">
              <w:rPr>
                <w:rFonts w:ascii="Traditional Arabic" w:eastAsia="Times New Roman" w:hAnsi="Traditional Arabic" w:cs="Traditional Arabic"/>
                <w:sz w:val="32"/>
                <w:szCs w:val="32"/>
              </w:rPr>
              <w:t>3</w:t>
            </w:r>
          </w:p>
        </w:tc>
        <w:tc>
          <w:tcPr>
            <w:tcW w:w="0" w:type="auto"/>
            <w:hideMark/>
          </w:tcPr>
          <w:p w14:paraId="0956AFB8" w14:textId="77777777" w:rsidR="003D4D50" w:rsidRPr="003D4D50" w:rsidRDefault="003D4D50" w:rsidP="003D4D50">
            <w:pPr>
              <w:bidi/>
              <w:spacing w:after="200" w:line="240" w:lineRule="auto"/>
              <w:jc w:val="both"/>
              <w:rPr>
                <w:rFonts w:ascii="Traditional Arabic" w:eastAsia="Times New Roman" w:hAnsi="Traditional Arabic" w:cs="Traditional Arabic"/>
                <w:sz w:val="32"/>
                <w:szCs w:val="32"/>
              </w:rPr>
            </w:pPr>
            <w:r w:rsidRPr="003D4D50">
              <w:rPr>
                <w:rFonts w:ascii="Traditional Arabic" w:eastAsia="Times New Roman" w:hAnsi="Traditional Arabic" w:cs="Traditional Arabic"/>
                <w:sz w:val="32"/>
                <w:szCs w:val="32"/>
              </w:rPr>
              <w:t>0.884</w:t>
            </w:r>
          </w:p>
        </w:tc>
      </w:tr>
      <w:tr w:rsidR="003D4D50" w:rsidRPr="003D4D50" w14:paraId="528FF15D" w14:textId="77777777" w:rsidTr="003D4D50">
        <w:tc>
          <w:tcPr>
            <w:tcW w:w="0" w:type="auto"/>
            <w:hideMark/>
          </w:tcPr>
          <w:p w14:paraId="56EB5844" w14:textId="77777777" w:rsidR="003D4D50" w:rsidRPr="003D4D50" w:rsidRDefault="003D4D50" w:rsidP="003D4D50">
            <w:pPr>
              <w:bidi/>
              <w:spacing w:after="200" w:line="240" w:lineRule="auto"/>
              <w:jc w:val="both"/>
              <w:rPr>
                <w:rFonts w:ascii="Traditional Arabic" w:eastAsia="Times New Roman" w:hAnsi="Traditional Arabic" w:cs="Traditional Arabic"/>
                <w:sz w:val="32"/>
                <w:szCs w:val="32"/>
              </w:rPr>
            </w:pPr>
          </w:p>
        </w:tc>
        <w:tc>
          <w:tcPr>
            <w:tcW w:w="0" w:type="auto"/>
            <w:hideMark/>
          </w:tcPr>
          <w:p w14:paraId="1DA60EC2" w14:textId="77777777" w:rsidR="003D4D50" w:rsidRPr="003D4D50" w:rsidRDefault="003D4D50" w:rsidP="003D4D50">
            <w:pPr>
              <w:bidi/>
              <w:spacing w:after="200" w:line="240" w:lineRule="auto"/>
              <w:jc w:val="both"/>
              <w:rPr>
                <w:rFonts w:ascii="Traditional Arabic" w:eastAsia="Times New Roman" w:hAnsi="Traditional Arabic" w:cs="Traditional Arabic"/>
                <w:sz w:val="32"/>
                <w:szCs w:val="32"/>
              </w:rPr>
            </w:pPr>
            <w:r w:rsidRPr="003D4D50">
              <w:rPr>
                <w:rFonts w:ascii="Traditional Arabic" w:eastAsia="Times New Roman" w:hAnsi="Traditional Arabic" w:cs="Traditional Arabic"/>
                <w:sz w:val="32"/>
                <w:szCs w:val="32"/>
                <w:rtl/>
              </w:rPr>
              <w:t>استراتيجية التجنب</w:t>
            </w:r>
          </w:p>
        </w:tc>
        <w:tc>
          <w:tcPr>
            <w:tcW w:w="0" w:type="auto"/>
            <w:hideMark/>
          </w:tcPr>
          <w:p w14:paraId="0690EB17" w14:textId="77777777" w:rsidR="003D4D50" w:rsidRPr="003D4D50" w:rsidRDefault="003D4D50" w:rsidP="003D4D50">
            <w:pPr>
              <w:bidi/>
              <w:spacing w:after="200" w:line="240" w:lineRule="auto"/>
              <w:jc w:val="both"/>
              <w:rPr>
                <w:rFonts w:ascii="Traditional Arabic" w:eastAsia="Times New Roman" w:hAnsi="Traditional Arabic" w:cs="Traditional Arabic"/>
                <w:sz w:val="32"/>
                <w:szCs w:val="32"/>
              </w:rPr>
            </w:pPr>
            <w:r w:rsidRPr="003D4D50">
              <w:rPr>
                <w:rFonts w:ascii="Traditional Arabic" w:eastAsia="Times New Roman" w:hAnsi="Traditional Arabic" w:cs="Traditional Arabic"/>
                <w:sz w:val="32"/>
                <w:szCs w:val="32"/>
              </w:rPr>
              <w:t>3</w:t>
            </w:r>
          </w:p>
        </w:tc>
        <w:tc>
          <w:tcPr>
            <w:tcW w:w="0" w:type="auto"/>
            <w:hideMark/>
          </w:tcPr>
          <w:p w14:paraId="00979731" w14:textId="77777777" w:rsidR="003D4D50" w:rsidRPr="003D4D50" w:rsidRDefault="003D4D50" w:rsidP="003D4D50">
            <w:pPr>
              <w:bidi/>
              <w:spacing w:after="200" w:line="240" w:lineRule="auto"/>
              <w:jc w:val="both"/>
              <w:rPr>
                <w:rFonts w:ascii="Traditional Arabic" w:eastAsia="Times New Roman" w:hAnsi="Traditional Arabic" w:cs="Traditional Arabic"/>
                <w:sz w:val="32"/>
                <w:szCs w:val="32"/>
              </w:rPr>
            </w:pPr>
            <w:r w:rsidRPr="003D4D50">
              <w:rPr>
                <w:rFonts w:ascii="Traditional Arabic" w:eastAsia="Times New Roman" w:hAnsi="Traditional Arabic" w:cs="Traditional Arabic"/>
                <w:sz w:val="32"/>
                <w:szCs w:val="32"/>
              </w:rPr>
              <w:t>0.859</w:t>
            </w:r>
          </w:p>
        </w:tc>
      </w:tr>
      <w:tr w:rsidR="003D4D50" w:rsidRPr="003D4D50" w14:paraId="58ACE5E9" w14:textId="77777777" w:rsidTr="003D4D50">
        <w:tc>
          <w:tcPr>
            <w:tcW w:w="0" w:type="auto"/>
            <w:hideMark/>
          </w:tcPr>
          <w:p w14:paraId="772B7053" w14:textId="77777777" w:rsidR="003D4D50" w:rsidRPr="003D4D50" w:rsidRDefault="003D4D50" w:rsidP="003D4D50">
            <w:pPr>
              <w:bidi/>
              <w:spacing w:after="200" w:line="240" w:lineRule="auto"/>
              <w:jc w:val="both"/>
              <w:rPr>
                <w:rFonts w:ascii="Traditional Arabic" w:eastAsia="Times New Roman" w:hAnsi="Traditional Arabic" w:cs="Traditional Arabic"/>
                <w:sz w:val="32"/>
                <w:szCs w:val="32"/>
              </w:rPr>
            </w:pPr>
          </w:p>
        </w:tc>
        <w:tc>
          <w:tcPr>
            <w:tcW w:w="0" w:type="auto"/>
            <w:hideMark/>
          </w:tcPr>
          <w:p w14:paraId="588108E7" w14:textId="77777777" w:rsidR="003D4D50" w:rsidRPr="003D4D50" w:rsidRDefault="003D4D50" w:rsidP="003D4D50">
            <w:pPr>
              <w:bidi/>
              <w:spacing w:after="200" w:line="240" w:lineRule="auto"/>
              <w:jc w:val="both"/>
              <w:rPr>
                <w:rFonts w:ascii="Traditional Arabic" w:eastAsia="Times New Roman" w:hAnsi="Traditional Arabic" w:cs="Traditional Arabic"/>
                <w:sz w:val="32"/>
                <w:szCs w:val="32"/>
              </w:rPr>
            </w:pPr>
            <w:r w:rsidRPr="003D4D50">
              <w:rPr>
                <w:rFonts w:ascii="Traditional Arabic" w:eastAsia="Times New Roman" w:hAnsi="Traditional Arabic" w:cs="Traditional Arabic"/>
                <w:sz w:val="32"/>
                <w:szCs w:val="32"/>
                <w:rtl/>
              </w:rPr>
              <w:t>استراتيجية الانسحاب</w:t>
            </w:r>
          </w:p>
        </w:tc>
        <w:tc>
          <w:tcPr>
            <w:tcW w:w="0" w:type="auto"/>
            <w:hideMark/>
          </w:tcPr>
          <w:p w14:paraId="693F5D35" w14:textId="77777777" w:rsidR="003D4D50" w:rsidRPr="003D4D50" w:rsidRDefault="003D4D50" w:rsidP="003D4D50">
            <w:pPr>
              <w:bidi/>
              <w:spacing w:after="200" w:line="240" w:lineRule="auto"/>
              <w:jc w:val="both"/>
              <w:rPr>
                <w:rFonts w:ascii="Traditional Arabic" w:eastAsia="Times New Roman" w:hAnsi="Traditional Arabic" w:cs="Traditional Arabic"/>
                <w:sz w:val="32"/>
                <w:szCs w:val="32"/>
              </w:rPr>
            </w:pPr>
            <w:r w:rsidRPr="003D4D50">
              <w:rPr>
                <w:rFonts w:ascii="Traditional Arabic" w:eastAsia="Times New Roman" w:hAnsi="Traditional Arabic" w:cs="Traditional Arabic"/>
                <w:sz w:val="32"/>
                <w:szCs w:val="32"/>
              </w:rPr>
              <w:t>3</w:t>
            </w:r>
          </w:p>
        </w:tc>
        <w:tc>
          <w:tcPr>
            <w:tcW w:w="0" w:type="auto"/>
            <w:hideMark/>
          </w:tcPr>
          <w:p w14:paraId="3EE7AB8C" w14:textId="77777777" w:rsidR="003D4D50" w:rsidRPr="003D4D50" w:rsidRDefault="003D4D50" w:rsidP="003D4D50">
            <w:pPr>
              <w:bidi/>
              <w:spacing w:after="200" w:line="240" w:lineRule="auto"/>
              <w:jc w:val="both"/>
              <w:rPr>
                <w:rFonts w:ascii="Traditional Arabic" w:eastAsia="Times New Roman" w:hAnsi="Traditional Arabic" w:cs="Traditional Arabic"/>
                <w:sz w:val="32"/>
                <w:szCs w:val="32"/>
              </w:rPr>
            </w:pPr>
            <w:r w:rsidRPr="003D4D50">
              <w:rPr>
                <w:rFonts w:ascii="Traditional Arabic" w:eastAsia="Times New Roman" w:hAnsi="Traditional Arabic" w:cs="Traditional Arabic"/>
                <w:sz w:val="32"/>
                <w:szCs w:val="32"/>
              </w:rPr>
              <w:t>0.866</w:t>
            </w:r>
          </w:p>
        </w:tc>
      </w:tr>
      <w:tr w:rsidR="003D4D50" w:rsidRPr="003D4D50" w14:paraId="73E158D2" w14:textId="77777777" w:rsidTr="003D4D50">
        <w:tc>
          <w:tcPr>
            <w:tcW w:w="0" w:type="auto"/>
            <w:hideMark/>
          </w:tcPr>
          <w:p w14:paraId="7BFD037E" w14:textId="77777777" w:rsidR="003D4D50" w:rsidRPr="003D4D50" w:rsidRDefault="003D4D50" w:rsidP="003D4D50">
            <w:pPr>
              <w:bidi/>
              <w:spacing w:after="200" w:line="240" w:lineRule="auto"/>
              <w:jc w:val="both"/>
              <w:rPr>
                <w:rFonts w:ascii="Traditional Arabic" w:eastAsia="Times New Roman" w:hAnsi="Traditional Arabic" w:cs="Traditional Arabic"/>
                <w:sz w:val="32"/>
                <w:szCs w:val="32"/>
              </w:rPr>
            </w:pPr>
            <w:r w:rsidRPr="003D4D50">
              <w:rPr>
                <w:rFonts w:ascii="Traditional Arabic" w:eastAsia="Times New Roman" w:hAnsi="Traditional Arabic" w:cs="Traditional Arabic"/>
                <w:sz w:val="32"/>
                <w:szCs w:val="32"/>
                <w:rtl/>
              </w:rPr>
              <w:t>الاحتراق الوظيفي</w:t>
            </w:r>
          </w:p>
        </w:tc>
        <w:tc>
          <w:tcPr>
            <w:tcW w:w="0" w:type="auto"/>
            <w:hideMark/>
          </w:tcPr>
          <w:p w14:paraId="347BEF89" w14:textId="77777777" w:rsidR="003D4D50" w:rsidRPr="003D4D50" w:rsidRDefault="003D4D50" w:rsidP="003D4D50">
            <w:pPr>
              <w:bidi/>
              <w:spacing w:after="200" w:line="240" w:lineRule="auto"/>
              <w:jc w:val="both"/>
              <w:rPr>
                <w:rFonts w:ascii="Traditional Arabic" w:eastAsia="Times New Roman" w:hAnsi="Traditional Arabic" w:cs="Traditional Arabic"/>
                <w:sz w:val="32"/>
                <w:szCs w:val="32"/>
              </w:rPr>
            </w:pPr>
            <w:r w:rsidRPr="003D4D50">
              <w:rPr>
                <w:rFonts w:ascii="Traditional Arabic" w:eastAsia="Times New Roman" w:hAnsi="Traditional Arabic" w:cs="Traditional Arabic"/>
                <w:sz w:val="32"/>
                <w:szCs w:val="32"/>
                <w:rtl/>
              </w:rPr>
              <w:t>الإنهاك العاطفي</w:t>
            </w:r>
          </w:p>
        </w:tc>
        <w:tc>
          <w:tcPr>
            <w:tcW w:w="0" w:type="auto"/>
            <w:hideMark/>
          </w:tcPr>
          <w:p w14:paraId="11A130DE" w14:textId="77777777" w:rsidR="003D4D50" w:rsidRPr="003D4D50" w:rsidRDefault="003D4D50" w:rsidP="003D4D50">
            <w:pPr>
              <w:bidi/>
              <w:spacing w:after="200" w:line="240" w:lineRule="auto"/>
              <w:jc w:val="both"/>
              <w:rPr>
                <w:rFonts w:ascii="Traditional Arabic" w:eastAsia="Times New Roman" w:hAnsi="Traditional Arabic" w:cs="Traditional Arabic"/>
                <w:sz w:val="32"/>
                <w:szCs w:val="32"/>
              </w:rPr>
            </w:pPr>
            <w:r w:rsidRPr="003D4D50">
              <w:rPr>
                <w:rFonts w:ascii="Traditional Arabic" w:eastAsia="Times New Roman" w:hAnsi="Traditional Arabic" w:cs="Traditional Arabic"/>
                <w:sz w:val="32"/>
                <w:szCs w:val="32"/>
              </w:rPr>
              <w:t>3</w:t>
            </w:r>
          </w:p>
        </w:tc>
        <w:tc>
          <w:tcPr>
            <w:tcW w:w="0" w:type="auto"/>
            <w:hideMark/>
          </w:tcPr>
          <w:p w14:paraId="6FDC5CCF" w14:textId="77777777" w:rsidR="003D4D50" w:rsidRPr="003D4D50" w:rsidRDefault="003D4D50" w:rsidP="003D4D50">
            <w:pPr>
              <w:bidi/>
              <w:spacing w:after="200" w:line="240" w:lineRule="auto"/>
              <w:jc w:val="both"/>
              <w:rPr>
                <w:rFonts w:ascii="Traditional Arabic" w:eastAsia="Times New Roman" w:hAnsi="Traditional Arabic" w:cs="Traditional Arabic"/>
                <w:sz w:val="32"/>
                <w:szCs w:val="32"/>
              </w:rPr>
            </w:pPr>
            <w:r w:rsidRPr="003D4D50">
              <w:rPr>
                <w:rFonts w:ascii="Traditional Arabic" w:eastAsia="Times New Roman" w:hAnsi="Traditional Arabic" w:cs="Traditional Arabic"/>
                <w:sz w:val="32"/>
                <w:szCs w:val="32"/>
              </w:rPr>
              <w:t>0.889</w:t>
            </w:r>
          </w:p>
        </w:tc>
      </w:tr>
      <w:tr w:rsidR="003D4D50" w:rsidRPr="003D4D50" w14:paraId="3643039F" w14:textId="77777777" w:rsidTr="003D4D50">
        <w:tc>
          <w:tcPr>
            <w:tcW w:w="0" w:type="auto"/>
            <w:hideMark/>
          </w:tcPr>
          <w:p w14:paraId="27197896" w14:textId="77777777" w:rsidR="003D4D50" w:rsidRPr="003D4D50" w:rsidRDefault="003D4D50" w:rsidP="003D4D50">
            <w:pPr>
              <w:bidi/>
              <w:spacing w:after="200" w:line="240" w:lineRule="auto"/>
              <w:jc w:val="both"/>
              <w:rPr>
                <w:rFonts w:ascii="Traditional Arabic" w:eastAsia="Times New Roman" w:hAnsi="Traditional Arabic" w:cs="Traditional Arabic"/>
                <w:sz w:val="32"/>
                <w:szCs w:val="32"/>
              </w:rPr>
            </w:pPr>
          </w:p>
        </w:tc>
        <w:tc>
          <w:tcPr>
            <w:tcW w:w="0" w:type="auto"/>
            <w:hideMark/>
          </w:tcPr>
          <w:p w14:paraId="1733D58E" w14:textId="77777777" w:rsidR="003D4D50" w:rsidRPr="003D4D50" w:rsidRDefault="003D4D50" w:rsidP="003D4D50">
            <w:pPr>
              <w:bidi/>
              <w:spacing w:after="200" w:line="240" w:lineRule="auto"/>
              <w:jc w:val="both"/>
              <w:rPr>
                <w:rFonts w:ascii="Traditional Arabic" w:eastAsia="Times New Roman" w:hAnsi="Traditional Arabic" w:cs="Traditional Arabic"/>
                <w:sz w:val="32"/>
                <w:szCs w:val="32"/>
              </w:rPr>
            </w:pPr>
            <w:r w:rsidRPr="003D4D50">
              <w:rPr>
                <w:rFonts w:ascii="Traditional Arabic" w:eastAsia="Times New Roman" w:hAnsi="Traditional Arabic" w:cs="Traditional Arabic"/>
                <w:sz w:val="32"/>
                <w:szCs w:val="32"/>
                <w:rtl/>
              </w:rPr>
              <w:t>تبلد المشاعر</w:t>
            </w:r>
          </w:p>
        </w:tc>
        <w:tc>
          <w:tcPr>
            <w:tcW w:w="0" w:type="auto"/>
            <w:hideMark/>
          </w:tcPr>
          <w:p w14:paraId="3A9471DE" w14:textId="77777777" w:rsidR="003D4D50" w:rsidRPr="003D4D50" w:rsidRDefault="003D4D50" w:rsidP="003D4D50">
            <w:pPr>
              <w:bidi/>
              <w:spacing w:after="200" w:line="240" w:lineRule="auto"/>
              <w:jc w:val="both"/>
              <w:rPr>
                <w:rFonts w:ascii="Traditional Arabic" w:eastAsia="Times New Roman" w:hAnsi="Traditional Arabic" w:cs="Traditional Arabic"/>
                <w:sz w:val="32"/>
                <w:szCs w:val="32"/>
              </w:rPr>
            </w:pPr>
            <w:r w:rsidRPr="003D4D50">
              <w:rPr>
                <w:rFonts w:ascii="Traditional Arabic" w:eastAsia="Times New Roman" w:hAnsi="Traditional Arabic" w:cs="Traditional Arabic"/>
                <w:sz w:val="32"/>
                <w:szCs w:val="32"/>
              </w:rPr>
              <w:t>3</w:t>
            </w:r>
          </w:p>
        </w:tc>
        <w:tc>
          <w:tcPr>
            <w:tcW w:w="0" w:type="auto"/>
            <w:hideMark/>
          </w:tcPr>
          <w:p w14:paraId="6BE11DD9" w14:textId="77777777" w:rsidR="003D4D50" w:rsidRPr="003D4D50" w:rsidRDefault="003D4D50" w:rsidP="003D4D50">
            <w:pPr>
              <w:bidi/>
              <w:spacing w:after="200" w:line="240" w:lineRule="auto"/>
              <w:jc w:val="both"/>
              <w:rPr>
                <w:rFonts w:ascii="Traditional Arabic" w:eastAsia="Times New Roman" w:hAnsi="Traditional Arabic" w:cs="Traditional Arabic"/>
                <w:sz w:val="32"/>
                <w:szCs w:val="32"/>
              </w:rPr>
            </w:pPr>
            <w:r w:rsidRPr="003D4D50">
              <w:rPr>
                <w:rFonts w:ascii="Traditional Arabic" w:eastAsia="Times New Roman" w:hAnsi="Traditional Arabic" w:cs="Traditional Arabic"/>
                <w:sz w:val="32"/>
                <w:szCs w:val="32"/>
              </w:rPr>
              <w:t>0.874</w:t>
            </w:r>
          </w:p>
        </w:tc>
      </w:tr>
      <w:tr w:rsidR="003D4D50" w:rsidRPr="003D4D50" w14:paraId="5B563B57" w14:textId="77777777" w:rsidTr="003D4D50">
        <w:tc>
          <w:tcPr>
            <w:tcW w:w="0" w:type="auto"/>
            <w:hideMark/>
          </w:tcPr>
          <w:p w14:paraId="43EEB2EB" w14:textId="77777777" w:rsidR="003D4D50" w:rsidRPr="003D4D50" w:rsidRDefault="003D4D50" w:rsidP="003D4D50">
            <w:pPr>
              <w:bidi/>
              <w:spacing w:after="200" w:line="240" w:lineRule="auto"/>
              <w:jc w:val="both"/>
              <w:rPr>
                <w:rFonts w:ascii="Traditional Arabic" w:eastAsia="Times New Roman" w:hAnsi="Traditional Arabic" w:cs="Traditional Arabic"/>
                <w:sz w:val="32"/>
                <w:szCs w:val="32"/>
              </w:rPr>
            </w:pPr>
          </w:p>
        </w:tc>
        <w:tc>
          <w:tcPr>
            <w:tcW w:w="0" w:type="auto"/>
            <w:hideMark/>
          </w:tcPr>
          <w:p w14:paraId="3752B824" w14:textId="77777777" w:rsidR="003D4D50" w:rsidRPr="003D4D50" w:rsidRDefault="003D4D50" w:rsidP="003D4D50">
            <w:pPr>
              <w:bidi/>
              <w:spacing w:after="200" w:line="240" w:lineRule="auto"/>
              <w:jc w:val="both"/>
              <w:rPr>
                <w:rFonts w:ascii="Traditional Arabic" w:eastAsia="Times New Roman" w:hAnsi="Traditional Arabic" w:cs="Traditional Arabic"/>
                <w:sz w:val="32"/>
                <w:szCs w:val="32"/>
              </w:rPr>
            </w:pPr>
            <w:r w:rsidRPr="003D4D50">
              <w:rPr>
                <w:rFonts w:ascii="Traditional Arabic" w:eastAsia="Times New Roman" w:hAnsi="Traditional Arabic" w:cs="Traditional Arabic"/>
                <w:sz w:val="32"/>
                <w:szCs w:val="32"/>
                <w:rtl/>
              </w:rPr>
              <w:t>انخفاض الإنجاز الشخصي</w:t>
            </w:r>
          </w:p>
        </w:tc>
        <w:tc>
          <w:tcPr>
            <w:tcW w:w="0" w:type="auto"/>
            <w:hideMark/>
          </w:tcPr>
          <w:p w14:paraId="7B6EFD97" w14:textId="77777777" w:rsidR="003D4D50" w:rsidRPr="003D4D50" w:rsidRDefault="003D4D50" w:rsidP="003D4D50">
            <w:pPr>
              <w:bidi/>
              <w:spacing w:after="200" w:line="240" w:lineRule="auto"/>
              <w:jc w:val="both"/>
              <w:rPr>
                <w:rFonts w:ascii="Traditional Arabic" w:eastAsia="Times New Roman" w:hAnsi="Traditional Arabic" w:cs="Traditional Arabic"/>
                <w:sz w:val="32"/>
                <w:szCs w:val="32"/>
              </w:rPr>
            </w:pPr>
            <w:r w:rsidRPr="003D4D50">
              <w:rPr>
                <w:rFonts w:ascii="Traditional Arabic" w:eastAsia="Times New Roman" w:hAnsi="Traditional Arabic" w:cs="Traditional Arabic"/>
                <w:sz w:val="32"/>
                <w:szCs w:val="32"/>
              </w:rPr>
              <w:t>3</w:t>
            </w:r>
          </w:p>
        </w:tc>
        <w:tc>
          <w:tcPr>
            <w:tcW w:w="0" w:type="auto"/>
            <w:hideMark/>
          </w:tcPr>
          <w:p w14:paraId="6C0372C1" w14:textId="77777777" w:rsidR="003D4D50" w:rsidRPr="003D4D50" w:rsidRDefault="003D4D50" w:rsidP="003D4D50">
            <w:pPr>
              <w:bidi/>
              <w:spacing w:after="200" w:line="240" w:lineRule="auto"/>
              <w:jc w:val="both"/>
              <w:rPr>
                <w:rFonts w:ascii="Traditional Arabic" w:eastAsia="Times New Roman" w:hAnsi="Traditional Arabic" w:cs="Traditional Arabic"/>
                <w:sz w:val="32"/>
                <w:szCs w:val="32"/>
              </w:rPr>
            </w:pPr>
            <w:r w:rsidRPr="003D4D50">
              <w:rPr>
                <w:rFonts w:ascii="Traditional Arabic" w:eastAsia="Times New Roman" w:hAnsi="Traditional Arabic" w:cs="Traditional Arabic"/>
                <w:sz w:val="32"/>
                <w:szCs w:val="32"/>
              </w:rPr>
              <w:t>0.862</w:t>
            </w:r>
          </w:p>
        </w:tc>
      </w:tr>
      <w:tr w:rsidR="003D4D50" w:rsidRPr="003D4D50" w14:paraId="468E1B0B" w14:textId="77777777" w:rsidTr="003D4D50">
        <w:tc>
          <w:tcPr>
            <w:tcW w:w="0" w:type="auto"/>
            <w:hideMark/>
          </w:tcPr>
          <w:p w14:paraId="162F61BC" w14:textId="77777777" w:rsidR="003D4D50" w:rsidRPr="003D4D50" w:rsidRDefault="003D4D50" w:rsidP="003D4D50">
            <w:pPr>
              <w:bidi/>
              <w:spacing w:after="200" w:line="240" w:lineRule="auto"/>
              <w:jc w:val="both"/>
              <w:rPr>
                <w:rFonts w:ascii="Traditional Arabic" w:eastAsia="Times New Roman" w:hAnsi="Traditional Arabic" w:cs="Traditional Arabic"/>
                <w:sz w:val="32"/>
                <w:szCs w:val="32"/>
              </w:rPr>
            </w:pPr>
          </w:p>
        </w:tc>
        <w:tc>
          <w:tcPr>
            <w:tcW w:w="0" w:type="auto"/>
            <w:hideMark/>
          </w:tcPr>
          <w:p w14:paraId="32C516B4" w14:textId="77777777" w:rsidR="003D4D50" w:rsidRPr="003D4D50" w:rsidRDefault="003D4D50" w:rsidP="003D4D50">
            <w:pPr>
              <w:bidi/>
              <w:spacing w:after="200" w:line="240" w:lineRule="auto"/>
              <w:jc w:val="both"/>
              <w:rPr>
                <w:rFonts w:ascii="Traditional Arabic" w:eastAsia="Times New Roman" w:hAnsi="Traditional Arabic" w:cs="Traditional Arabic"/>
                <w:sz w:val="32"/>
                <w:szCs w:val="32"/>
              </w:rPr>
            </w:pPr>
            <w:r w:rsidRPr="003D4D50">
              <w:rPr>
                <w:rFonts w:ascii="Traditional Arabic" w:eastAsia="Times New Roman" w:hAnsi="Traditional Arabic" w:cs="Traditional Arabic"/>
                <w:sz w:val="32"/>
                <w:szCs w:val="32"/>
                <w:rtl/>
              </w:rPr>
              <w:t>الثبات الكلي للمتغير الوسيط</w:t>
            </w:r>
          </w:p>
        </w:tc>
        <w:tc>
          <w:tcPr>
            <w:tcW w:w="0" w:type="auto"/>
            <w:hideMark/>
          </w:tcPr>
          <w:p w14:paraId="4E04D414" w14:textId="77777777" w:rsidR="003D4D50" w:rsidRPr="003D4D50" w:rsidRDefault="003D4D50" w:rsidP="003D4D50">
            <w:pPr>
              <w:bidi/>
              <w:spacing w:after="200" w:line="240" w:lineRule="auto"/>
              <w:jc w:val="both"/>
              <w:rPr>
                <w:rFonts w:ascii="Traditional Arabic" w:eastAsia="Times New Roman" w:hAnsi="Traditional Arabic" w:cs="Traditional Arabic"/>
                <w:sz w:val="32"/>
                <w:szCs w:val="32"/>
              </w:rPr>
            </w:pPr>
            <w:r w:rsidRPr="003D4D50">
              <w:rPr>
                <w:rFonts w:ascii="Traditional Arabic" w:eastAsia="Times New Roman" w:hAnsi="Traditional Arabic" w:cs="Traditional Arabic"/>
                <w:sz w:val="32"/>
                <w:szCs w:val="32"/>
              </w:rPr>
              <w:t>9</w:t>
            </w:r>
          </w:p>
        </w:tc>
        <w:tc>
          <w:tcPr>
            <w:tcW w:w="0" w:type="auto"/>
            <w:hideMark/>
          </w:tcPr>
          <w:p w14:paraId="2A48D131" w14:textId="77777777" w:rsidR="003D4D50" w:rsidRPr="003D4D50" w:rsidRDefault="003D4D50" w:rsidP="003D4D50">
            <w:pPr>
              <w:bidi/>
              <w:spacing w:after="200" w:line="240" w:lineRule="auto"/>
              <w:jc w:val="both"/>
              <w:rPr>
                <w:rFonts w:ascii="Traditional Arabic" w:eastAsia="Times New Roman" w:hAnsi="Traditional Arabic" w:cs="Traditional Arabic"/>
                <w:sz w:val="32"/>
                <w:szCs w:val="32"/>
              </w:rPr>
            </w:pPr>
            <w:r w:rsidRPr="003D4D50">
              <w:rPr>
                <w:rFonts w:ascii="Traditional Arabic" w:eastAsia="Times New Roman" w:hAnsi="Traditional Arabic" w:cs="Traditional Arabic"/>
                <w:sz w:val="32"/>
                <w:szCs w:val="32"/>
              </w:rPr>
              <w:t>0.908</w:t>
            </w:r>
          </w:p>
        </w:tc>
      </w:tr>
      <w:tr w:rsidR="003D4D50" w:rsidRPr="003D4D50" w14:paraId="71BA3752" w14:textId="77777777" w:rsidTr="003D4D50">
        <w:tc>
          <w:tcPr>
            <w:tcW w:w="0" w:type="auto"/>
            <w:hideMark/>
          </w:tcPr>
          <w:p w14:paraId="54B05175" w14:textId="77777777" w:rsidR="003D4D50" w:rsidRPr="003D4D50" w:rsidRDefault="003D4D50" w:rsidP="003D4D50">
            <w:pPr>
              <w:bidi/>
              <w:spacing w:after="200" w:line="240" w:lineRule="auto"/>
              <w:jc w:val="both"/>
              <w:rPr>
                <w:rFonts w:ascii="Traditional Arabic" w:eastAsia="Times New Roman" w:hAnsi="Traditional Arabic" w:cs="Traditional Arabic"/>
                <w:sz w:val="32"/>
                <w:szCs w:val="32"/>
              </w:rPr>
            </w:pPr>
            <w:r w:rsidRPr="003D4D50">
              <w:rPr>
                <w:rFonts w:ascii="Traditional Arabic" w:eastAsia="Times New Roman" w:hAnsi="Traditional Arabic" w:cs="Traditional Arabic"/>
                <w:sz w:val="32"/>
                <w:szCs w:val="32"/>
                <w:rtl/>
              </w:rPr>
              <w:t>الرضا الوظيفي</w:t>
            </w:r>
          </w:p>
        </w:tc>
        <w:tc>
          <w:tcPr>
            <w:tcW w:w="0" w:type="auto"/>
            <w:hideMark/>
          </w:tcPr>
          <w:p w14:paraId="0B31D4E4" w14:textId="77777777" w:rsidR="003D4D50" w:rsidRPr="003D4D50" w:rsidRDefault="003D4D50" w:rsidP="003D4D50">
            <w:pPr>
              <w:bidi/>
              <w:spacing w:after="200" w:line="240" w:lineRule="auto"/>
              <w:jc w:val="both"/>
              <w:rPr>
                <w:rFonts w:ascii="Traditional Arabic" w:eastAsia="Times New Roman" w:hAnsi="Traditional Arabic" w:cs="Traditional Arabic"/>
                <w:sz w:val="32"/>
                <w:szCs w:val="32"/>
              </w:rPr>
            </w:pPr>
            <w:r w:rsidRPr="003D4D50">
              <w:rPr>
                <w:rFonts w:ascii="Traditional Arabic" w:eastAsia="Times New Roman" w:hAnsi="Traditional Arabic" w:cs="Traditional Arabic"/>
                <w:sz w:val="32"/>
                <w:szCs w:val="32"/>
                <w:rtl/>
              </w:rPr>
              <w:t>الرضا الداخلي</w:t>
            </w:r>
          </w:p>
        </w:tc>
        <w:tc>
          <w:tcPr>
            <w:tcW w:w="0" w:type="auto"/>
            <w:hideMark/>
          </w:tcPr>
          <w:p w14:paraId="11C0EB13" w14:textId="77777777" w:rsidR="003D4D50" w:rsidRPr="003D4D50" w:rsidRDefault="003D4D50" w:rsidP="003D4D50">
            <w:pPr>
              <w:bidi/>
              <w:spacing w:after="200" w:line="240" w:lineRule="auto"/>
              <w:jc w:val="both"/>
              <w:rPr>
                <w:rFonts w:ascii="Traditional Arabic" w:eastAsia="Times New Roman" w:hAnsi="Traditional Arabic" w:cs="Traditional Arabic"/>
                <w:sz w:val="32"/>
                <w:szCs w:val="32"/>
              </w:rPr>
            </w:pPr>
            <w:r w:rsidRPr="003D4D50">
              <w:rPr>
                <w:rFonts w:ascii="Traditional Arabic" w:eastAsia="Times New Roman" w:hAnsi="Traditional Arabic" w:cs="Traditional Arabic"/>
                <w:sz w:val="32"/>
                <w:szCs w:val="32"/>
              </w:rPr>
              <w:t>6</w:t>
            </w:r>
          </w:p>
        </w:tc>
        <w:tc>
          <w:tcPr>
            <w:tcW w:w="0" w:type="auto"/>
            <w:hideMark/>
          </w:tcPr>
          <w:p w14:paraId="3106ECE1" w14:textId="77777777" w:rsidR="003D4D50" w:rsidRPr="003D4D50" w:rsidRDefault="003D4D50" w:rsidP="003D4D50">
            <w:pPr>
              <w:bidi/>
              <w:spacing w:after="200" w:line="240" w:lineRule="auto"/>
              <w:jc w:val="both"/>
              <w:rPr>
                <w:rFonts w:ascii="Traditional Arabic" w:eastAsia="Times New Roman" w:hAnsi="Traditional Arabic" w:cs="Traditional Arabic"/>
                <w:sz w:val="32"/>
                <w:szCs w:val="32"/>
              </w:rPr>
            </w:pPr>
            <w:r w:rsidRPr="003D4D50">
              <w:rPr>
                <w:rFonts w:ascii="Traditional Arabic" w:eastAsia="Times New Roman" w:hAnsi="Traditional Arabic" w:cs="Traditional Arabic"/>
                <w:sz w:val="32"/>
                <w:szCs w:val="32"/>
              </w:rPr>
              <w:t>0.901</w:t>
            </w:r>
          </w:p>
        </w:tc>
      </w:tr>
      <w:tr w:rsidR="003D4D50" w:rsidRPr="003D4D50" w14:paraId="4B0F3F03" w14:textId="77777777" w:rsidTr="003D4D50">
        <w:tc>
          <w:tcPr>
            <w:tcW w:w="0" w:type="auto"/>
            <w:hideMark/>
          </w:tcPr>
          <w:p w14:paraId="0FE93EDA" w14:textId="77777777" w:rsidR="003D4D50" w:rsidRPr="003D4D50" w:rsidRDefault="003D4D50" w:rsidP="003D4D50">
            <w:pPr>
              <w:bidi/>
              <w:spacing w:after="200" w:line="240" w:lineRule="auto"/>
              <w:jc w:val="both"/>
              <w:rPr>
                <w:rFonts w:ascii="Traditional Arabic" w:eastAsia="Times New Roman" w:hAnsi="Traditional Arabic" w:cs="Traditional Arabic"/>
                <w:sz w:val="32"/>
                <w:szCs w:val="32"/>
              </w:rPr>
            </w:pPr>
          </w:p>
        </w:tc>
        <w:tc>
          <w:tcPr>
            <w:tcW w:w="0" w:type="auto"/>
            <w:hideMark/>
          </w:tcPr>
          <w:p w14:paraId="021CE0A1" w14:textId="77777777" w:rsidR="003D4D50" w:rsidRPr="003D4D50" w:rsidRDefault="003D4D50" w:rsidP="003D4D50">
            <w:pPr>
              <w:bidi/>
              <w:spacing w:after="200" w:line="240" w:lineRule="auto"/>
              <w:jc w:val="both"/>
              <w:rPr>
                <w:rFonts w:ascii="Traditional Arabic" w:eastAsia="Times New Roman" w:hAnsi="Traditional Arabic" w:cs="Traditional Arabic"/>
                <w:sz w:val="32"/>
                <w:szCs w:val="32"/>
              </w:rPr>
            </w:pPr>
            <w:r w:rsidRPr="003D4D50">
              <w:rPr>
                <w:rFonts w:ascii="Traditional Arabic" w:eastAsia="Times New Roman" w:hAnsi="Traditional Arabic" w:cs="Traditional Arabic"/>
                <w:sz w:val="32"/>
                <w:szCs w:val="32"/>
                <w:rtl/>
              </w:rPr>
              <w:t>الرضا الخارجي</w:t>
            </w:r>
          </w:p>
        </w:tc>
        <w:tc>
          <w:tcPr>
            <w:tcW w:w="0" w:type="auto"/>
            <w:hideMark/>
          </w:tcPr>
          <w:p w14:paraId="28E23324" w14:textId="77777777" w:rsidR="003D4D50" w:rsidRPr="003D4D50" w:rsidRDefault="003D4D50" w:rsidP="003D4D50">
            <w:pPr>
              <w:bidi/>
              <w:spacing w:after="200" w:line="240" w:lineRule="auto"/>
              <w:jc w:val="both"/>
              <w:rPr>
                <w:rFonts w:ascii="Traditional Arabic" w:eastAsia="Times New Roman" w:hAnsi="Traditional Arabic" w:cs="Traditional Arabic"/>
                <w:sz w:val="32"/>
                <w:szCs w:val="32"/>
              </w:rPr>
            </w:pPr>
            <w:r w:rsidRPr="003D4D50">
              <w:rPr>
                <w:rFonts w:ascii="Traditional Arabic" w:eastAsia="Times New Roman" w:hAnsi="Traditional Arabic" w:cs="Traditional Arabic"/>
                <w:sz w:val="32"/>
                <w:szCs w:val="32"/>
              </w:rPr>
              <w:t>6</w:t>
            </w:r>
          </w:p>
        </w:tc>
        <w:tc>
          <w:tcPr>
            <w:tcW w:w="0" w:type="auto"/>
            <w:hideMark/>
          </w:tcPr>
          <w:p w14:paraId="08D0BDD5" w14:textId="77777777" w:rsidR="003D4D50" w:rsidRPr="003D4D50" w:rsidRDefault="003D4D50" w:rsidP="003D4D50">
            <w:pPr>
              <w:bidi/>
              <w:spacing w:after="200" w:line="240" w:lineRule="auto"/>
              <w:jc w:val="both"/>
              <w:rPr>
                <w:rFonts w:ascii="Traditional Arabic" w:eastAsia="Times New Roman" w:hAnsi="Traditional Arabic" w:cs="Traditional Arabic"/>
                <w:sz w:val="32"/>
                <w:szCs w:val="32"/>
              </w:rPr>
            </w:pPr>
            <w:r w:rsidRPr="003D4D50">
              <w:rPr>
                <w:rFonts w:ascii="Traditional Arabic" w:eastAsia="Times New Roman" w:hAnsi="Traditional Arabic" w:cs="Traditional Arabic"/>
                <w:sz w:val="32"/>
                <w:szCs w:val="32"/>
              </w:rPr>
              <w:t>0.894</w:t>
            </w:r>
          </w:p>
        </w:tc>
      </w:tr>
      <w:tr w:rsidR="003D4D50" w:rsidRPr="003D4D50" w14:paraId="25FD77CB" w14:textId="77777777" w:rsidTr="003D4D50">
        <w:tc>
          <w:tcPr>
            <w:tcW w:w="0" w:type="auto"/>
            <w:hideMark/>
          </w:tcPr>
          <w:p w14:paraId="22F13D7E" w14:textId="77777777" w:rsidR="003D4D50" w:rsidRPr="003D4D50" w:rsidRDefault="003D4D50" w:rsidP="003D4D50">
            <w:pPr>
              <w:bidi/>
              <w:spacing w:after="200" w:line="240" w:lineRule="auto"/>
              <w:jc w:val="both"/>
              <w:rPr>
                <w:rFonts w:ascii="Traditional Arabic" w:eastAsia="Times New Roman" w:hAnsi="Traditional Arabic" w:cs="Traditional Arabic"/>
                <w:sz w:val="32"/>
                <w:szCs w:val="32"/>
              </w:rPr>
            </w:pPr>
          </w:p>
        </w:tc>
        <w:tc>
          <w:tcPr>
            <w:tcW w:w="0" w:type="auto"/>
            <w:hideMark/>
          </w:tcPr>
          <w:p w14:paraId="1BD0D7BA" w14:textId="77777777" w:rsidR="003D4D50" w:rsidRPr="003D4D50" w:rsidRDefault="003D4D50" w:rsidP="003D4D50">
            <w:pPr>
              <w:bidi/>
              <w:spacing w:after="200" w:line="240" w:lineRule="auto"/>
              <w:jc w:val="both"/>
              <w:rPr>
                <w:rFonts w:ascii="Traditional Arabic" w:eastAsia="Times New Roman" w:hAnsi="Traditional Arabic" w:cs="Traditional Arabic"/>
                <w:sz w:val="32"/>
                <w:szCs w:val="32"/>
              </w:rPr>
            </w:pPr>
            <w:r w:rsidRPr="003D4D50">
              <w:rPr>
                <w:rFonts w:ascii="Traditional Arabic" w:eastAsia="Times New Roman" w:hAnsi="Traditional Arabic" w:cs="Traditional Arabic"/>
                <w:sz w:val="32"/>
                <w:szCs w:val="32"/>
                <w:rtl/>
              </w:rPr>
              <w:t>الثبات الكلي للمتغير التابع</w:t>
            </w:r>
          </w:p>
        </w:tc>
        <w:tc>
          <w:tcPr>
            <w:tcW w:w="0" w:type="auto"/>
            <w:hideMark/>
          </w:tcPr>
          <w:p w14:paraId="35F0C2F4" w14:textId="77777777" w:rsidR="003D4D50" w:rsidRPr="003D4D50" w:rsidRDefault="003D4D50" w:rsidP="003D4D50">
            <w:pPr>
              <w:bidi/>
              <w:spacing w:after="200" w:line="240" w:lineRule="auto"/>
              <w:jc w:val="both"/>
              <w:rPr>
                <w:rFonts w:ascii="Traditional Arabic" w:eastAsia="Times New Roman" w:hAnsi="Traditional Arabic" w:cs="Traditional Arabic"/>
                <w:sz w:val="32"/>
                <w:szCs w:val="32"/>
              </w:rPr>
            </w:pPr>
            <w:r w:rsidRPr="003D4D50">
              <w:rPr>
                <w:rFonts w:ascii="Traditional Arabic" w:eastAsia="Times New Roman" w:hAnsi="Traditional Arabic" w:cs="Traditional Arabic"/>
                <w:sz w:val="32"/>
                <w:szCs w:val="32"/>
              </w:rPr>
              <w:t>12</w:t>
            </w:r>
          </w:p>
        </w:tc>
        <w:tc>
          <w:tcPr>
            <w:tcW w:w="0" w:type="auto"/>
            <w:hideMark/>
          </w:tcPr>
          <w:p w14:paraId="7073CFF2" w14:textId="77777777" w:rsidR="003D4D50" w:rsidRPr="003D4D50" w:rsidRDefault="003D4D50" w:rsidP="003D4D50">
            <w:pPr>
              <w:bidi/>
              <w:spacing w:after="200" w:line="240" w:lineRule="auto"/>
              <w:jc w:val="both"/>
              <w:rPr>
                <w:rFonts w:ascii="Traditional Arabic" w:eastAsia="Times New Roman" w:hAnsi="Traditional Arabic" w:cs="Traditional Arabic"/>
                <w:sz w:val="32"/>
                <w:szCs w:val="32"/>
              </w:rPr>
            </w:pPr>
            <w:r w:rsidRPr="003D4D50">
              <w:rPr>
                <w:rFonts w:ascii="Traditional Arabic" w:eastAsia="Times New Roman" w:hAnsi="Traditional Arabic" w:cs="Traditional Arabic"/>
                <w:sz w:val="32"/>
                <w:szCs w:val="32"/>
              </w:rPr>
              <w:t>0.927</w:t>
            </w:r>
          </w:p>
        </w:tc>
      </w:tr>
      <w:tr w:rsidR="003D4D50" w:rsidRPr="003D4D50" w14:paraId="4C799DF0" w14:textId="77777777" w:rsidTr="003D4D50">
        <w:tc>
          <w:tcPr>
            <w:tcW w:w="0" w:type="auto"/>
            <w:hideMark/>
          </w:tcPr>
          <w:p w14:paraId="07E96A69" w14:textId="77777777" w:rsidR="003D4D50" w:rsidRPr="003D4D50" w:rsidRDefault="003D4D50" w:rsidP="003D4D50">
            <w:pPr>
              <w:bidi/>
              <w:spacing w:after="200" w:line="240" w:lineRule="auto"/>
              <w:jc w:val="both"/>
              <w:rPr>
                <w:rFonts w:ascii="Traditional Arabic" w:eastAsia="Times New Roman" w:hAnsi="Traditional Arabic" w:cs="Traditional Arabic"/>
                <w:sz w:val="32"/>
                <w:szCs w:val="32"/>
              </w:rPr>
            </w:pPr>
            <w:r w:rsidRPr="003D4D50">
              <w:rPr>
                <w:rFonts w:ascii="Traditional Arabic" w:eastAsia="Times New Roman" w:hAnsi="Traditional Arabic" w:cs="Traditional Arabic"/>
                <w:sz w:val="32"/>
                <w:szCs w:val="32"/>
                <w:rtl/>
              </w:rPr>
              <w:t>الاستبانة ككل</w:t>
            </w:r>
          </w:p>
        </w:tc>
        <w:tc>
          <w:tcPr>
            <w:tcW w:w="0" w:type="auto"/>
            <w:hideMark/>
          </w:tcPr>
          <w:p w14:paraId="20A3F272" w14:textId="77777777" w:rsidR="003D4D50" w:rsidRPr="003D4D50" w:rsidRDefault="003D4D50" w:rsidP="003D4D50">
            <w:pPr>
              <w:bidi/>
              <w:spacing w:after="200" w:line="240" w:lineRule="auto"/>
              <w:jc w:val="both"/>
              <w:rPr>
                <w:rFonts w:ascii="Traditional Arabic" w:eastAsia="Times New Roman" w:hAnsi="Traditional Arabic" w:cs="Traditional Arabic"/>
                <w:sz w:val="32"/>
                <w:szCs w:val="32"/>
              </w:rPr>
            </w:pPr>
            <w:r w:rsidRPr="003D4D50">
              <w:rPr>
                <w:rFonts w:ascii="Traditional Arabic" w:eastAsia="Times New Roman" w:hAnsi="Traditional Arabic" w:cs="Traditional Arabic"/>
                <w:sz w:val="32"/>
                <w:szCs w:val="32"/>
                <w:rtl/>
              </w:rPr>
              <w:t>الثبات الكلي للاستبانة</w:t>
            </w:r>
          </w:p>
        </w:tc>
        <w:tc>
          <w:tcPr>
            <w:tcW w:w="0" w:type="auto"/>
            <w:hideMark/>
          </w:tcPr>
          <w:p w14:paraId="4C98D103" w14:textId="77777777" w:rsidR="003D4D50" w:rsidRPr="003D4D50" w:rsidRDefault="003D4D50" w:rsidP="003D4D50">
            <w:pPr>
              <w:bidi/>
              <w:spacing w:after="200" w:line="240" w:lineRule="auto"/>
              <w:jc w:val="both"/>
              <w:rPr>
                <w:rFonts w:ascii="Traditional Arabic" w:eastAsia="Times New Roman" w:hAnsi="Traditional Arabic" w:cs="Traditional Arabic"/>
                <w:sz w:val="32"/>
                <w:szCs w:val="32"/>
              </w:rPr>
            </w:pPr>
            <w:r w:rsidRPr="003D4D50">
              <w:rPr>
                <w:rFonts w:ascii="Traditional Arabic" w:eastAsia="Times New Roman" w:hAnsi="Traditional Arabic" w:cs="Traditional Arabic"/>
                <w:sz w:val="32"/>
                <w:szCs w:val="32"/>
              </w:rPr>
              <w:t>33</w:t>
            </w:r>
          </w:p>
        </w:tc>
        <w:tc>
          <w:tcPr>
            <w:tcW w:w="0" w:type="auto"/>
            <w:hideMark/>
          </w:tcPr>
          <w:p w14:paraId="1D973283" w14:textId="77777777" w:rsidR="003D4D50" w:rsidRPr="003D4D50" w:rsidRDefault="003D4D50" w:rsidP="003D4D50">
            <w:pPr>
              <w:bidi/>
              <w:spacing w:after="200" w:line="240" w:lineRule="auto"/>
              <w:jc w:val="both"/>
              <w:rPr>
                <w:rFonts w:ascii="Traditional Arabic" w:eastAsia="Times New Roman" w:hAnsi="Traditional Arabic" w:cs="Traditional Arabic"/>
                <w:sz w:val="32"/>
                <w:szCs w:val="32"/>
              </w:rPr>
            </w:pPr>
            <w:r w:rsidRPr="003D4D50">
              <w:rPr>
                <w:rFonts w:ascii="Traditional Arabic" w:eastAsia="Times New Roman" w:hAnsi="Traditional Arabic" w:cs="Traditional Arabic"/>
                <w:sz w:val="32"/>
                <w:szCs w:val="32"/>
              </w:rPr>
              <w:t>0.941</w:t>
            </w:r>
          </w:p>
        </w:tc>
      </w:tr>
    </w:tbl>
    <w:p w14:paraId="70ACCB90" w14:textId="035FA467" w:rsidR="003D4D50" w:rsidRPr="003D4D50" w:rsidRDefault="003D4D50" w:rsidP="002A7F20">
      <w:pPr>
        <w:bidi/>
        <w:spacing w:after="200" w:line="360" w:lineRule="auto"/>
        <w:jc w:val="both"/>
        <w:rPr>
          <w:rFonts w:ascii="Traditional Arabic" w:eastAsia="Times New Roman" w:hAnsi="Traditional Arabic" w:cs="Traditional Arabic"/>
          <w:sz w:val="32"/>
          <w:szCs w:val="32"/>
        </w:rPr>
      </w:pPr>
      <w:r w:rsidRPr="003D4D50">
        <w:rPr>
          <w:rFonts w:ascii="Traditional Arabic" w:eastAsia="Times New Roman" w:hAnsi="Traditional Arabic" w:cs="Traditional Arabic"/>
          <w:sz w:val="32"/>
          <w:szCs w:val="32"/>
          <w:rtl/>
        </w:rPr>
        <w:t>يتضح من نتائج جدول (3-</w:t>
      </w:r>
      <w:r w:rsidR="002A7F20">
        <w:rPr>
          <w:rFonts w:ascii="Traditional Arabic" w:eastAsia="Times New Roman" w:hAnsi="Traditional Arabic" w:cs="Traditional Arabic" w:hint="cs"/>
          <w:sz w:val="32"/>
          <w:szCs w:val="32"/>
          <w:rtl/>
        </w:rPr>
        <w:t>4</w:t>
      </w:r>
      <w:r w:rsidRPr="003D4D50">
        <w:rPr>
          <w:rFonts w:ascii="Traditional Arabic" w:eastAsia="Times New Roman" w:hAnsi="Traditional Arabic" w:cs="Traditional Arabic"/>
          <w:sz w:val="32"/>
          <w:szCs w:val="32"/>
          <w:rtl/>
        </w:rPr>
        <w:t>) أن معاملات كرونباخ ألفا لأبعاد استراتيجيات مواجهة ضغوط العمل تراوحت بين (0.859–0.884)، وهي قيم تشير إلى تمتع كل بُعد بدرجة مرتفعة من الاتساق الداخلي بصورة مستقلة. كما تراوحت معاملات الثبات لأبعاد الاحتراق الوظيفي بين (0.862–0.889)، في حين تراوحت معاملات ثبات أبعاد الرضا الوظيفي بين (0.894–0.901). وبلغ معامل الثبات الكلي للاحتراق الوظيفي (0.908)، وللرضا الوظيفي (0.927)، في حين بلغ معامل الثبات الكلي للاستبانة (0.941).</w:t>
      </w:r>
    </w:p>
    <w:p w14:paraId="300A492D" w14:textId="77777777" w:rsidR="003D4D50" w:rsidRPr="003D4D50" w:rsidRDefault="003D4D50" w:rsidP="003D4D50">
      <w:pPr>
        <w:bidi/>
        <w:spacing w:after="200" w:line="360" w:lineRule="auto"/>
        <w:jc w:val="both"/>
        <w:rPr>
          <w:rFonts w:ascii="Traditional Arabic" w:eastAsia="Times New Roman" w:hAnsi="Traditional Arabic" w:cs="Traditional Arabic"/>
          <w:sz w:val="32"/>
          <w:szCs w:val="32"/>
        </w:rPr>
      </w:pPr>
      <w:r w:rsidRPr="003D4D50">
        <w:rPr>
          <w:rFonts w:ascii="Traditional Arabic" w:eastAsia="Times New Roman" w:hAnsi="Traditional Arabic" w:cs="Traditional Arabic"/>
          <w:sz w:val="32"/>
          <w:szCs w:val="32"/>
          <w:rtl/>
        </w:rPr>
        <w:lastRenderedPageBreak/>
        <w:t>وتشير هذه النتائج إلى أن جميع معاملات الثبات تجاوزت الحد الأدنى المقبول إحصائيًا، مما يدل على تمتع أبعاد أداة الدراسة بدرجة مرتفعة من الاتساق الداخلي، ويؤكد صلاحيتها للاستخدام في الدراسة الحالية وإمكانية الاعتماد على البيانات الناتجة عنها في اختبار فرضيات الدراسة وتحقيق أهدافها</w:t>
      </w:r>
      <w:r w:rsidRPr="003D4D50">
        <w:rPr>
          <w:rFonts w:ascii="Traditional Arabic" w:eastAsia="Times New Roman" w:hAnsi="Traditional Arabic" w:cs="Traditional Arabic"/>
          <w:sz w:val="32"/>
          <w:szCs w:val="32"/>
        </w:rPr>
        <w:t>.</w:t>
      </w:r>
    </w:p>
    <w:p w14:paraId="15A6128D" w14:textId="77777777" w:rsidR="003D4D50" w:rsidRPr="003D4D50" w:rsidRDefault="003D4D50" w:rsidP="003D4D50">
      <w:pPr>
        <w:bidi/>
        <w:spacing w:after="200" w:line="360" w:lineRule="auto"/>
        <w:jc w:val="both"/>
        <w:rPr>
          <w:rFonts w:ascii="Traditional Arabic" w:eastAsia="Times New Roman" w:hAnsi="Traditional Arabic" w:cs="Traditional Arabic"/>
          <w:sz w:val="32"/>
          <w:szCs w:val="32"/>
        </w:rPr>
      </w:pPr>
      <w:r w:rsidRPr="003D4D50">
        <w:rPr>
          <w:rFonts w:ascii="Traditional Arabic" w:eastAsia="Times New Roman" w:hAnsi="Traditional Arabic" w:cs="Traditional Arabic"/>
          <w:sz w:val="32"/>
          <w:szCs w:val="32"/>
          <w:rtl/>
        </w:rPr>
        <w:t xml:space="preserve">وبناءً على نتائج الصدق والثبات، يتبين أن أداة الدراسة تتمتع بخصائص </w:t>
      </w:r>
      <w:proofErr w:type="spellStart"/>
      <w:r w:rsidRPr="003D4D50">
        <w:rPr>
          <w:rFonts w:ascii="Traditional Arabic" w:eastAsia="Times New Roman" w:hAnsi="Traditional Arabic" w:cs="Traditional Arabic"/>
          <w:sz w:val="32"/>
          <w:szCs w:val="32"/>
          <w:rtl/>
        </w:rPr>
        <w:t>سيكومترية</w:t>
      </w:r>
      <w:proofErr w:type="spellEnd"/>
      <w:r w:rsidRPr="003D4D50">
        <w:rPr>
          <w:rFonts w:ascii="Traditional Arabic" w:eastAsia="Times New Roman" w:hAnsi="Traditional Arabic" w:cs="Traditional Arabic"/>
          <w:sz w:val="32"/>
          <w:szCs w:val="32"/>
          <w:rtl/>
        </w:rPr>
        <w:t xml:space="preserve"> مناسبة، الأمر الذي يعزز الثقة في نتائج الدراسة، ويؤكد ملاءمتها لقياس متغيرات الدراسة لدى العاملين بمحكمة الأحوال الشخصية بمدينة جدة</w:t>
      </w:r>
      <w:r w:rsidRPr="003D4D50">
        <w:rPr>
          <w:rFonts w:ascii="Traditional Arabic" w:eastAsia="Times New Roman" w:hAnsi="Traditional Arabic" w:cs="Traditional Arabic"/>
          <w:sz w:val="32"/>
          <w:szCs w:val="32"/>
        </w:rPr>
        <w:t>.</w:t>
      </w:r>
    </w:p>
    <w:p w14:paraId="7E8A0BDD" w14:textId="4D16DD96" w:rsidR="00F61C5B" w:rsidRPr="00472858" w:rsidRDefault="00472858" w:rsidP="00F61C5B">
      <w:pPr>
        <w:bidi/>
        <w:spacing w:after="200" w:line="360" w:lineRule="auto"/>
        <w:jc w:val="both"/>
        <w:rPr>
          <w:rFonts w:ascii="Traditional Arabic" w:eastAsia="Times New Roman" w:hAnsi="Traditional Arabic" w:cs="Traditional Arabic"/>
          <w:b/>
          <w:bCs/>
          <w:sz w:val="32"/>
          <w:szCs w:val="32"/>
          <w:rtl/>
        </w:rPr>
      </w:pPr>
      <w:r w:rsidRPr="00472858">
        <w:rPr>
          <w:rFonts w:ascii="Traditional Arabic" w:eastAsia="Times New Roman" w:hAnsi="Traditional Arabic" w:cs="Traditional Arabic" w:hint="cs"/>
          <w:b/>
          <w:bCs/>
          <w:sz w:val="32"/>
          <w:szCs w:val="32"/>
          <w:rtl/>
        </w:rPr>
        <w:t xml:space="preserve">3.11 </w:t>
      </w:r>
      <w:r w:rsidR="00F61C5B" w:rsidRPr="00472858">
        <w:rPr>
          <w:rFonts w:ascii="Traditional Arabic" w:eastAsia="Times New Roman" w:hAnsi="Traditional Arabic" w:cs="Traditional Arabic"/>
          <w:b/>
          <w:bCs/>
          <w:sz w:val="32"/>
          <w:szCs w:val="32"/>
          <w:rtl/>
        </w:rPr>
        <w:t>اختبار تحيز الطريقة المشتركة (</w:t>
      </w:r>
      <w:r w:rsidR="00F61C5B" w:rsidRPr="00472858">
        <w:rPr>
          <w:rFonts w:ascii="Traditional Arabic" w:eastAsia="Times New Roman" w:hAnsi="Traditional Arabic" w:cs="Traditional Arabic"/>
          <w:b/>
          <w:bCs/>
          <w:sz w:val="32"/>
          <w:szCs w:val="32"/>
        </w:rPr>
        <w:t>Common Method Bias</w:t>
      </w:r>
      <w:r w:rsidR="00F61C5B" w:rsidRPr="00472858">
        <w:rPr>
          <w:rFonts w:ascii="Traditional Arabic" w:eastAsia="Times New Roman" w:hAnsi="Traditional Arabic" w:cs="Traditional Arabic"/>
          <w:b/>
          <w:bCs/>
          <w:sz w:val="32"/>
          <w:szCs w:val="32"/>
          <w:rtl/>
        </w:rPr>
        <w:t>)</w:t>
      </w:r>
    </w:p>
    <w:p w14:paraId="0A48AA13" w14:textId="080A0964" w:rsidR="00DD394F" w:rsidRPr="00DD394F" w:rsidRDefault="00DD394F" w:rsidP="00DD394F">
      <w:pPr>
        <w:bidi/>
        <w:spacing w:after="200" w:line="360" w:lineRule="auto"/>
        <w:jc w:val="both"/>
        <w:rPr>
          <w:rFonts w:ascii="Traditional Arabic" w:eastAsia="Times New Roman" w:hAnsi="Traditional Arabic" w:cs="Traditional Arabic"/>
          <w:sz w:val="32"/>
          <w:szCs w:val="32"/>
        </w:rPr>
      </w:pPr>
      <w:r w:rsidRPr="00DD394F">
        <w:rPr>
          <w:rFonts w:ascii="Traditional Arabic" w:eastAsia="Times New Roman" w:hAnsi="Traditional Arabic" w:cs="Traditional Arabic"/>
          <w:sz w:val="32"/>
          <w:szCs w:val="32"/>
          <w:rtl/>
        </w:rPr>
        <w:t>نظرًا لاعتماد الدراسة الحالية على جمع بيانات المتغيرات المستقلة والوسيطة والتابعة باستخدام استبانة واحدة ومن المصدر نفسه، فقد تم التحقق من احتمال وجود تحيز الطريقة المشتركة (</w:t>
      </w:r>
      <w:r w:rsidRPr="00DD394F">
        <w:rPr>
          <w:rFonts w:ascii="Traditional Arabic" w:eastAsia="Times New Roman" w:hAnsi="Traditional Arabic" w:cs="Traditional Arabic"/>
          <w:sz w:val="32"/>
          <w:szCs w:val="32"/>
        </w:rPr>
        <w:t>Common Method Bias</w:t>
      </w:r>
      <w:r w:rsidRPr="00DD394F">
        <w:rPr>
          <w:rFonts w:ascii="Traditional Arabic" w:eastAsia="Times New Roman" w:hAnsi="Traditional Arabic" w:cs="Traditional Arabic"/>
          <w:sz w:val="32"/>
          <w:szCs w:val="32"/>
          <w:rtl/>
        </w:rPr>
        <w:t>)، باعتباره أحد المصادر المحتملة للتحيز في الدراسات التي تعتمد على البيانات المدركة ذاتيًا.</w:t>
      </w:r>
    </w:p>
    <w:p w14:paraId="20B162D6" w14:textId="77777777" w:rsidR="00DD394F" w:rsidRPr="00DD394F" w:rsidRDefault="00DD394F" w:rsidP="00DD394F">
      <w:pPr>
        <w:bidi/>
        <w:spacing w:after="200" w:line="360" w:lineRule="auto"/>
        <w:jc w:val="both"/>
        <w:rPr>
          <w:rFonts w:ascii="Traditional Arabic" w:eastAsia="Times New Roman" w:hAnsi="Traditional Arabic" w:cs="Traditional Arabic"/>
          <w:sz w:val="32"/>
          <w:szCs w:val="32"/>
        </w:rPr>
      </w:pPr>
      <w:r w:rsidRPr="00DD394F">
        <w:rPr>
          <w:rFonts w:ascii="Traditional Arabic" w:eastAsia="Times New Roman" w:hAnsi="Traditional Arabic" w:cs="Traditional Arabic"/>
          <w:sz w:val="32"/>
          <w:szCs w:val="32"/>
          <w:rtl/>
        </w:rPr>
        <w:t>وقد اتخذ الباحث عددًا من الإجراءات الوقائية للحد من احتمالية هذا التحيز، تمثلت في التأكيد على سرية البيانات وعدم استخدامها إلا لأغراض البحث العلمي، والتوضيح للمشاركين بعدم وجود إجابات صحيحة أو خاطئة، وصياغة الفقرات بصورة واضحة ومباشرة للحد من الغموض، وتنظيم الاستبانة في أقسام مستقلة وفق متغيرات الدراسة</w:t>
      </w:r>
      <w:r w:rsidRPr="00DD394F">
        <w:rPr>
          <w:rFonts w:ascii="Traditional Arabic" w:eastAsia="Times New Roman" w:hAnsi="Traditional Arabic" w:cs="Traditional Arabic"/>
          <w:sz w:val="32"/>
          <w:szCs w:val="32"/>
        </w:rPr>
        <w:t>.</w:t>
      </w:r>
    </w:p>
    <w:p w14:paraId="50296D9A" w14:textId="7B1AB018" w:rsidR="00DD394F" w:rsidRPr="00DD394F" w:rsidRDefault="00DD394F" w:rsidP="00DD394F">
      <w:pPr>
        <w:bidi/>
        <w:spacing w:after="200" w:line="360" w:lineRule="auto"/>
        <w:jc w:val="both"/>
        <w:rPr>
          <w:rFonts w:ascii="Traditional Arabic" w:eastAsia="Times New Roman" w:hAnsi="Traditional Arabic" w:cs="Traditional Arabic"/>
          <w:sz w:val="32"/>
          <w:szCs w:val="32"/>
        </w:rPr>
      </w:pPr>
      <w:r w:rsidRPr="00DD394F">
        <w:rPr>
          <w:rFonts w:ascii="Traditional Arabic" w:eastAsia="Times New Roman" w:hAnsi="Traditional Arabic" w:cs="Traditional Arabic"/>
          <w:sz w:val="32"/>
          <w:szCs w:val="32"/>
          <w:rtl/>
        </w:rPr>
        <w:t xml:space="preserve">وللتحقق إحصائيًا من تحيز الطريقة المشتركة، استخدم الباحث اختبار العامل الأحادي </w:t>
      </w:r>
      <w:proofErr w:type="spellStart"/>
      <w:r w:rsidRPr="00DD394F">
        <w:rPr>
          <w:rFonts w:ascii="Traditional Arabic" w:eastAsia="Times New Roman" w:hAnsi="Traditional Arabic" w:cs="Traditional Arabic"/>
          <w:sz w:val="32"/>
          <w:szCs w:val="32"/>
          <w:rtl/>
        </w:rPr>
        <w:t>لهارمان</w:t>
      </w:r>
      <w:proofErr w:type="spellEnd"/>
      <w:r w:rsidRPr="00DD394F">
        <w:rPr>
          <w:rFonts w:ascii="Traditional Arabic" w:eastAsia="Times New Roman" w:hAnsi="Traditional Arabic" w:cs="Traditional Arabic"/>
          <w:sz w:val="32"/>
          <w:szCs w:val="32"/>
          <w:rtl/>
        </w:rPr>
        <w:t xml:space="preserve"> (</w:t>
      </w:r>
      <w:r w:rsidRPr="00DD394F">
        <w:rPr>
          <w:rFonts w:ascii="Traditional Arabic" w:eastAsia="Times New Roman" w:hAnsi="Traditional Arabic" w:cs="Traditional Arabic"/>
          <w:sz w:val="32"/>
          <w:szCs w:val="32"/>
        </w:rPr>
        <w:t>Harman's Single-Factor Test</w:t>
      </w:r>
      <w:r w:rsidRPr="00DD394F">
        <w:rPr>
          <w:rFonts w:ascii="Traditional Arabic" w:eastAsia="Times New Roman" w:hAnsi="Traditional Arabic" w:cs="Traditional Arabic"/>
          <w:sz w:val="32"/>
          <w:szCs w:val="32"/>
          <w:rtl/>
        </w:rPr>
        <w:t xml:space="preserve">)، وذلك باستخدام بيانات العينة الأساسية النهائية البالغة (204) استبانات صالحة للتحليل، وليس بيانات العينة الاستطلاعية. وتم إدخال جميع فقرات </w:t>
      </w:r>
      <w:r w:rsidRPr="00DD394F">
        <w:rPr>
          <w:rFonts w:ascii="Traditional Arabic" w:eastAsia="Times New Roman" w:hAnsi="Traditional Arabic" w:cs="Traditional Arabic"/>
          <w:sz w:val="32"/>
          <w:szCs w:val="32"/>
          <w:rtl/>
        </w:rPr>
        <w:lastRenderedPageBreak/>
        <w:t>أداة الدراسة البالغ عددها (33) فقرة دفعة واحدة في تحليل عاملي استكشافي دون تدوير للعوامل (</w:t>
      </w:r>
      <w:r w:rsidRPr="00DD394F">
        <w:rPr>
          <w:rFonts w:ascii="Traditional Arabic" w:eastAsia="Times New Roman" w:hAnsi="Traditional Arabic" w:cs="Traditional Arabic"/>
          <w:sz w:val="32"/>
          <w:szCs w:val="32"/>
        </w:rPr>
        <w:t>Unrotated Factor Solution</w:t>
      </w:r>
      <w:r w:rsidRPr="00DD394F">
        <w:rPr>
          <w:rFonts w:ascii="Traditional Arabic" w:eastAsia="Times New Roman" w:hAnsi="Traditional Arabic" w:cs="Traditional Arabic"/>
          <w:sz w:val="32"/>
          <w:szCs w:val="32"/>
          <w:rtl/>
        </w:rPr>
        <w:t>)، ثم فحص نسبة التباين التي يفسرها العامل الأول.</w:t>
      </w:r>
    </w:p>
    <w:p w14:paraId="605EA02F" w14:textId="246A5F7A" w:rsidR="00DD394F" w:rsidRPr="00DD394F" w:rsidRDefault="00DD394F" w:rsidP="00DD394F">
      <w:pPr>
        <w:bidi/>
        <w:spacing w:after="200" w:line="360" w:lineRule="auto"/>
        <w:jc w:val="both"/>
        <w:rPr>
          <w:rFonts w:ascii="Traditional Arabic" w:eastAsia="Times New Roman" w:hAnsi="Traditional Arabic" w:cs="Traditional Arabic"/>
          <w:sz w:val="32"/>
          <w:szCs w:val="32"/>
        </w:rPr>
      </w:pPr>
      <w:r w:rsidRPr="00DD394F">
        <w:rPr>
          <w:rFonts w:ascii="Traditional Arabic" w:eastAsia="Times New Roman" w:hAnsi="Traditional Arabic" w:cs="Traditional Arabic"/>
          <w:sz w:val="32"/>
          <w:szCs w:val="32"/>
          <w:rtl/>
        </w:rPr>
        <w:t xml:space="preserve">وقد أظهرت نتائج التحليل أن العامل الأول فسر (34.82%) من إجمالي التباين، وهي نسبة تقل عن الحد المرجعي البالغ (50%). وتشير هذه النتيجة إلى أن تحيز الطريقة المشتركة لا يبدو تهديدًا جوهريًا لبيانات الدراسة الحالية. ومع ذلك، فإن اختبار </w:t>
      </w:r>
      <w:r w:rsidRPr="00DD394F">
        <w:rPr>
          <w:rFonts w:ascii="Traditional Arabic" w:eastAsia="Times New Roman" w:hAnsi="Traditional Arabic" w:cs="Traditional Arabic"/>
          <w:sz w:val="32"/>
          <w:szCs w:val="32"/>
        </w:rPr>
        <w:t>Harman</w:t>
      </w:r>
      <w:r w:rsidRPr="00DD394F">
        <w:rPr>
          <w:rFonts w:ascii="Traditional Arabic" w:eastAsia="Times New Roman" w:hAnsi="Traditional Arabic" w:cs="Traditional Arabic"/>
          <w:sz w:val="32"/>
          <w:szCs w:val="32"/>
          <w:rtl/>
        </w:rPr>
        <w:t xml:space="preserve"> يمثل اختبارًا تشخيصيًا أوليًا، ولا يعد بمفرده دليلًا قاطعًا على انتفاء تحيز الطريقة المشتركة بصورة كاملة.</w:t>
      </w:r>
    </w:p>
    <w:p w14:paraId="293412DA" w14:textId="38A4F975" w:rsidR="00DD394F" w:rsidRPr="00DD394F" w:rsidRDefault="00DD394F" w:rsidP="002A7F20">
      <w:pPr>
        <w:bidi/>
        <w:spacing w:after="0" w:line="240" w:lineRule="auto"/>
        <w:jc w:val="both"/>
        <w:rPr>
          <w:rFonts w:ascii="Traditional Arabic" w:eastAsia="Times New Roman" w:hAnsi="Traditional Arabic" w:cs="Traditional Arabic"/>
          <w:sz w:val="32"/>
          <w:szCs w:val="32"/>
        </w:rPr>
      </w:pPr>
      <w:r w:rsidRPr="00DD394F">
        <w:rPr>
          <w:rFonts w:ascii="Traditional Arabic" w:eastAsia="Times New Roman" w:hAnsi="Traditional Arabic" w:cs="Traditional Arabic"/>
          <w:b/>
          <w:bCs/>
          <w:sz w:val="32"/>
          <w:szCs w:val="32"/>
          <w:rtl/>
        </w:rPr>
        <w:t>جدول (3-</w:t>
      </w:r>
      <w:r w:rsidR="002A7F20">
        <w:rPr>
          <w:rFonts w:ascii="Traditional Arabic" w:eastAsia="Times New Roman" w:hAnsi="Traditional Arabic" w:cs="Traditional Arabic" w:hint="cs"/>
          <w:b/>
          <w:bCs/>
          <w:sz w:val="32"/>
          <w:szCs w:val="32"/>
          <w:rtl/>
        </w:rPr>
        <w:t>5</w:t>
      </w:r>
      <w:r w:rsidRPr="00DD394F">
        <w:rPr>
          <w:rFonts w:ascii="Traditional Arabic" w:eastAsia="Times New Roman" w:hAnsi="Traditional Arabic" w:cs="Traditional Arabic"/>
          <w:b/>
          <w:bCs/>
          <w:sz w:val="32"/>
          <w:szCs w:val="32"/>
          <w:rtl/>
        </w:rPr>
        <w:t>) نتائج اختبار تحيز الطريقة المشتركة باستخدام</w:t>
      </w:r>
      <w:r w:rsidRPr="00DD394F">
        <w:rPr>
          <w:rFonts w:ascii="Traditional Arabic" w:eastAsia="Times New Roman" w:hAnsi="Traditional Arabic" w:cs="Traditional Arabic"/>
          <w:b/>
          <w:bCs/>
          <w:sz w:val="32"/>
          <w:szCs w:val="32"/>
        </w:rPr>
        <w:t xml:space="preserve"> Harman's Single-Factor Test</w:t>
      </w:r>
    </w:p>
    <w:tbl>
      <w:tblPr>
        <w:tblStyle w:val="a7"/>
        <w:bidiVisual/>
        <w:tblW w:w="5000" w:type="pct"/>
        <w:tblLook w:val="04A0" w:firstRow="1" w:lastRow="0" w:firstColumn="1" w:lastColumn="0" w:noHBand="0" w:noVBand="1"/>
      </w:tblPr>
      <w:tblGrid>
        <w:gridCol w:w="3672"/>
        <w:gridCol w:w="4624"/>
      </w:tblGrid>
      <w:tr w:rsidR="00DD394F" w:rsidRPr="00DD394F" w14:paraId="325869E3" w14:textId="77777777" w:rsidTr="00DD394F">
        <w:tc>
          <w:tcPr>
            <w:tcW w:w="2213" w:type="pct"/>
            <w:hideMark/>
          </w:tcPr>
          <w:p w14:paraId="4DC3FEA0" w14:textId="77777777" w:rsidR="00DD394F" w:rsidRPr="00DD394F" w:rsidRDefault="00DD394F" w:rsidP="00DD394F">
            <w:pPr>
              <w:bidi/>
              <w:spacing w:after="0" w:line="240" w:lineRule="auto"/>
              <w:jc w:val="both"/>
              <w:rPr>
                <w:rFonts w:ascii="Traditional Arabic" w:eastAsia="Times New Roman" w:hAnsi="Traditional Arabic" w:cs="Traditional Arabic"/>
                <w:b/>
                <w:bCs/>
                <w:sz w:val="32"/>
                <w:szCs w:val="32"/>
              </w:rPr>
            </w:pPr>
            <w:r w:rsidRPr="00DD394F">
              <w:rPr>
                <w:rFonts w:ascii="Traditional Arabic" w:eastAsia="Times New Roman" w:hAnsi="Traditional Arabic" w:cs="Traditional Arabic"/>
                <w:b/>
                <w:bCs/>
                <w:sz w:val="32"/>
                <w:szCs w:val="32"/>
                <w:rtl/>
              </w:rPr>
              <w:t>المؤشر</w:t>
            </w:r>
          </w:p>
        </w:tc>
        <w:tc>
          <w:tcPr>
            <w:tcW w:w="2787" w:type="pct"/>
            <w:hideMark/>
          </w:tcPr>
          <w:p w14:paraId="730C1A43" w14:textId="77777777" w:rsidR="00DD394F" w:rsidRPr="00DD394F" w:rsidRDefault="00DD394F" w:rsidP="00DD394F">
            <w:pPr>
              <w:bidi/>
              <w:spacing w:after="0" w:line="240" w:lineRule="auto"/>
              <w:jc w:val="both"/>
              <w:rPr>
                <w:rFonts w:ascii="Traditional Arabic" w:eastAsia="Times New Roman" w:hAnsi="Traditional Arabic" w:cs="Traditional Arabic"/>
                <w:b/>
                <w:bCs/>
                <w:sz w:val="32"/>
                <w:szCs w:val="32"/>
              </w:rPr>
            </w:pPr>
            <w:r w:rsidRPr="00DD394F">
              <w:rPr>
                <w:rFonts w:ascii="Traditional Arabic" w:eastAsia="Times New Roman" w:hAnsi="Traditional Arabic" w:cs="Traditional Arabic"/>
                <w:b/>
                <w:bCs/>
                <w:sz w:val="32"/>
                <w:szCs w:val="32"/>
                <w:rtl/>
              </w:rPr>
              <w:t>النتيجة</w:t>
            </w:r>
          </w:p>
        </w:tc>
      </w:tr>
      <w:tr w:rsidR="00DD394F" w:rsidRPr="00DD394F" w14:paraId="688B3FD3" w14:textId="77777777" w:rsidTr="00DD394F">
        <w:tc>
          <w:tcPr>
            <w:tcW w:w="2213" w:type="pct"/>
            <w:hideMark/>
          </w:tcPr>
          <w:p w14:paraId="04E2F260" w14:textId="77777777" w:rsidR="00DD394F" w:rsidRPr="00DD394F" w:rsidRDefault="00DD394F" w:rsidP="00DD394F">
            <w:pPr>
              <w:bidi/>
              <w:spacing w:after="0" w:line="240" w:lineRule="auto"/>
              <w:jc w:val="both"/>
              <w:rPr>
                <w:rFonts w:ascii="Traditional Arabic" w:eastAsia="Times New Roman" w:hAnsi="Traditional Arabic" w:cs="Traditional Arabic"/>
                <w:sz w:val="32"/>
                <w:szCs w:val="32"/>
              </w:rPr>
            </w:pPr>
            <w:r w:rsidRPr="00DD394F">
              <w:rPr>
                <w:rFonts w:ascii="Traditional Arabic" w:eastAsia="Times New Roman" w:hAnsi="Traditional Arabic" w:cs="Traditional Arabic"/>
                <w:sz w:val="32"/>
                <w:szCs w:val="32"/>
                <w:rtl/>
              </w:rPr>
              <w:t>العينة المستخدمة في الاختبار</w:t>
            </w:r>
          </w:p>
        </w:tc>
        <w:tc>
          <w:tcPr>
            <w:tcW w:w="2787" w:type="pct"/>
            <w:hideMark/>
          </w:tcPr>
          <w:p w14:paraId="1178F63D" w14:textId="47E4A642" w:rsidR="00DD394F" w:rsidRPr="00DD394F" w:rsidRDefault="00DD394F" w:rsidP="00DD394F">
            <w:pPr>
              <w:bidi/>
              <w:spacing w:after="0" w:line="240" w:lineRule="auto"/>
              <w:jc w:val="both"/>
              <w:rPr>
                <w:rFonts w:ascii="Traditional Arabic" w:eastAsia="Times New Roman" w:hAnsi="Traditional Arabic" w:cs="Traditional Arabic"/>
                <w:sz w:val="32"/>
                <w:szCs w:val="32"/>
              </w:rPr>
            </w:pPr>
            <w:r w:rsidRPr="00DD394F">
              <w:rPr>
                <w:rFonts w:ascii="Traditional Arabic" w:eastAsia="Times New Roman" w:hAnsi="Traditional Arabic" w:cs="Traditional Arabic"/>
                <w:sz w:val="32"/>
                <w:szCs w:val="32"/>
                <w:rtl/>
              </w:rPr>
              <w:t>العينة الأساسية النهائية (204)</w:t>
            </w:r>
          </w:p>
        </w:tc>
      </w:tr>
      <w:tr w:rsidR="00DD394F" w:rsidRPr="00DD394F" w14:paraId="3CB03B5C" w14:textId="77777777" w:rsidTr="002A7F20">
        <w:trPr>
          <w:trHeight w:val="2112"/>
        </w:trPr>
        <w:tc>
          <w:tcPr>
            <w:tcW w:w="2213" w:type="pct"/>
            <w:hideMark/>
          </w:tcPr>
          <w:p w14:paraId="411C6E4C" w14:textId="77777777" w:rsidR="00DD394F" w:rsidRPr="00DD394F" w:rsidRDefault="00DD394F" w:rsidP="00DD394F">
            <w:pPr>
              <w:bidi/>
              <w:spacing w:after="0" w:line="240" w:lineRule="auto"/>
              <w:jc w:val="both"/>
              <w:rPr>
                <w:rFonts w:ascii="Traditional Arabic" w:eastAsia="Times New Roman" w:hAnsi="Traditional Arabic" w:cs="Traditional Arabic"/>
                <w:sz w:val="32"/>
                <w:szCs w:val="32"/>
              </w:rPr>
            </w:pPr>
            <w:r w:rsidRPr="00DD394F">
              <w:rPr>
                <w:rFonts w:ascii="Traditional Arabic" w:eastAsia="Times New Roman" w:hAnsi="Traditional Arabic" w:cs="Traditional Arabic"/>
                <w:sz w:val="32"/>
                <w:szCs w:val="32"/>
                <w:rtl/>
              </w:rPr>
              <w:t>عدد فقرات أداة الدراسة</w:t>
            </w:r>
          </w:p>
        </w:tc>
        <w:tc>
          <w:tcPr>
            <w:tcW w:w="2787" w:type="pct"/>
            <w:hideMark/>
          </w:tcPr>
          <w:p w14:paraId="7AC041FB" w14:textId="77777777" w:rsidR="00DD394F" w:rsidRPr="00DD394F" w:rsidRDefault="00DD394F" w:rsidP="00DD394F">
            <w:pPr>
              <w:bidi/>
              <w:spacing w:after="0" w:line="240" w:lineRule="auto"/>
              <w:jc w:val="both"/>
              <w:rPr>
                <w:rFonts w:ascii="Traditional Arabic" w:eastAsia="Times New Roman" w:hAnsi="Traditional Arabic" w:cs="Traditional Arabic"/>
                <w:sz w:val="32"/>
                <w:szCs w:val="32"/>
              </w:rPr>
            </w:pPr>
            <w:r w:rsidRPr="00DD394F">
              <w:rPr>
                <w:rFonts w:ascii="Traditional Arabic" w:eastAsia="Times New Roman" w:hAnsi="Traditional Arabic" w:cs="Traditional Arabic"/>
                <w:sz w:val="32"/>
                <w:szCs w:val="32"/>
              </w:rPr>
              <w:t>33</w:t>
            </w:r>
          </w:p>
        </w:tc>
      </w:tr>
      <w:tr w:rsidR="00DD394F" w:rsidRPr="00DD394F" w14:paraId="21B4CA2C" w14:textId="77777777" w:rsidTr="00DD394F">
        <w:tc>
          <w:tcPr>
            <w:tcW w:w="2213" w:type="pct"/>
            <w:hideMark/>
          </w:tcPr>
          <w:p w14:paraId="4FE217F4" w14:textId="77777777" w:rsidR="00DD394F" w:rsidRPr="00DD394F" w:rsidRDefault="00DD394F" w:rsidP="00DD394F">
            <w:pPr>
              <w:bidi/>
              <w:spacing w:after="0" w:line="240" w:lineRule="auto"/>
              <w:jc w:val="both"/>
              <w:rPr>
                <w:rFonts w:ascii="Traditional Arabic" w:eastAsia="Times New Roman" w:hAnsi="Traditional Arabic" w:cs="Traditional Arabic"/>
                <w:sz w:val="32"/>
                <w:szCs w:val="32"/>
              </w:rPr>
            </w:pPr>
            <w:r w:rsidRPr="00DD394F">
              <w:rPr>
                <w:rFonts w:ascii="Traditional Arabic" w:eastAsia="Times New Roman" w:hAnsi="Traditional Arabic" w:cs="Traditional Arabic"/>
                <w:sz w:val="32"/>
                <w:szCs w:val="32"/>
                <w:rtl/>
              </w:rPr>
              <w:t>أسلوب الاختبار</w:t>
            </w:r>
          </w:p>
        </w:tc>
        <w:tc>
          <w:tcPr>
            <w:tcW w:w="2787" w:type="pct"/>
            <w:hideMark/>
          </w:tcPr>
          <w:p w14:paraId="2FBDDC2F" w14:textId="77777777" w:rsidR="00DD394F" w:rsidRPr="00DD394F" w:rsidRDefault="00DD394F" w:rsidP="00DD394F">
            <w:pPr>
              <w:bidi/>
              <w:spacing w:after="0" w:line="240" w:lineRule="auto"/>
              <w:jc w:val="both"/>
              <w:rPr>
                <w:rFonts w:ascii="Traditional Arabic" w:eastAsia="Times New Roman" w:hAnsi="Traditional Arabic" w:cs="Traditional Arabic"/>
                <w:sz w:val="32"/>
                <w:szCs w:val="32"/>
              </w:rPr>
            </w:pPr>
            <w:r w:rsidRPr="00DD394F">
              <w:rPr>
                <w:rFonts w:ascii="Traditional Arabic" w:eastAsia="Times New Roman" w:hAnsi="Traditional Arabic" w:cs="Traditional Arabic"/>
                <w:sz w:val="32"/>
                <w:szCs w:val="32"/>
              </w:rPr>
              <w:t>Harman's Single-Factor Test</w:t>
            </w:r>
          </w:p>
        </w:tc>
      </w:tr>
      <w:tr w:rsidR="00DD394F" w:rsidRPr="00DD394F" w14:paraId="41F5EDEC" w14:textId="77777777" w:rsidTr="00DD394F">
        <w:tc>
          <w:tcPr>
            <w:tcW w:w="2213" w:type="pct"/>
            <w:hideMark/>
          </w:tcPr>
          <w:p w14:paraId="2FBCBE52" w14:textId="77777777" w:rsidR="00DD394F" w:rsidRPr="00DD394F" w:rsidRDefault="00DD394F" w:rsidP="00DD394F">
            <w:pPr>
              <w:bidi/>
              <w:spacing w:after="0" w:line="240" w:lineRule="auto"/>
              <w:jc w:val="both"/>
              <w:rPr>
                <w:rFonts w:ascii="Traditional Arabic" w:eastAsia="Times New Roman" w:hAnsi="Traditional Arabic" w:cs="Traditional Arabic"/>
                <w:sz w:val="32"/>
                <w:szCs w:val="32"/>
              </w:rPr>
            </w:pPr>
            <w:r w:rsidRPr="00DD394F">
              <w:rPr>
                <w:rFonts w:ascii="Traditional Arabic" w:eastAsia="Times New Roman" w:hAnsi="Traditional Arabic" w:cs="Traditional Arabic"/>
                <w:sz w:val="32"/>
                <w:szCs w:val="32"/>
                <w:rtl/>
              </w:rPr>
              <w:t>نسبة التباين المفسرة بواسطة العامل الأول</w:t>
            </w:r>
          </w:p>
        </w:tc>
        <w:tc>
          <w:tcPr>
            <w:tcW w:w="2787" w:type="pct"/>
            <w:hideMark/>
          </w:tcPr>
          <w:p w14:paraId="76DE1C70" w14:textId="77777777" w:rsidR="00DD394F" w:rsidRPr="00DD394F" w:rsidRDefault="00DD394F" w:rsidP="00DD394F">
            <w:pPr>
              <w:bidi/>
              <w:spacing w:after="0" w:line="240" w:lineRule="auto"/>
              <w:jc w:val="both"/>
              <w:rPr>
                <w:rFonts w:ascii="Traditional Arabic" w:eastAsia="Times New Roman" w:hAnsi="Traditional Arabic" w:cs="Traditional Arabic"/>
                <w:sz w:val="32"/>
                <w:szCs w:val="32"/>
              </w:rPr>
            </w:pPr>
            <w:r w:rsidRPr="00DD394F">
              <w:rPr>
                <w:rFonts w:ascii="Traditional Arabic" w:eastAsia="Times New Roman" w:hAnsi="Traditional Arabic" w:cs="Traditional Arabic"/>
                <w:sz w:val="32"/>
                <w:szCs w:val="32"/>
              </w:rPr>
              <w:t>34.82%</w:t>
            </w:r>
          </w:p>
        </w:tc>
      </w:tr>
      <w:tr w:rsidR="00DD394F" w:rsidRPr="00DD394F" w14:paraId="1C800133" w14:textId="77777777" w:rsidTr="00DD394F">
        <w:tc>
          <w:tcPr>
            <w:tcW w:w="2213" w:type="pct"/>
            <w:hideMark/>
          </w:tcPr>
          <w:p w14:paraId="12B54C88" w14:textId="77777777" w:rsidR="00DD394F" w:rsidRPr="00DD394F" w:rsidRDefault="00DD394F" w:rsidP="00DD394F">
            <w:pPr>
              <w:bidi/>
              <w:spacing w:after="0" w:line="240" w:lineRule="auto"/>
              <w:jc w:val="both"/>
              <w:rPr>
                <w:rFonts w:ascii="Traditional Arabic" w:eastAsia="Times New Roman" w:hAnsi="Traditional Arabic" w:cs="Traditional Arabic"/>
                <w:sz w:val="32"/>
                <w:szCs w:val="32"/>
              </w:rPr>
            </w:pPr>
            <w:r w:rsidRPr="00DD394F">
              <w:rPr>
                <w:rFonts w:ascii="Traditional Arabic" w:eastAsia="Times New Roman" w:hAnsi="Traditional Arabic" w:cs="Traditional Arabic"/>
                <w:sz w:val="32"/>
                <w:szCs w:val="32"/>
                <w:rtl/>
              </w:rPr>
              <w:t>الحد المرجعي المستخدم</w:t>
            </w:r>
          </w:p>
        </w:tc>
        <w:tc>
          <w:tcPr>
            <w:tcW w:w="2787" w:type="pct"/>
            <w:hideMark/>
          </w:tcPr>
          <w:p w14:paraId="5045B00F" w14:textId="77777777" w:rsidR="00DD394F" w:rsidRPr="00DD394F" w:rsidRDefault="00DD394F" w:rsidP="00DD394F">
            <w:pPr>
              <w:bidi/>
              <w:spacing w:after="0" w:line="240" w:lineRule="auto"/>
              <w:jc w:val="both"/>
              <w:rPr>
                <w:rFonts w:ascii="Traditional Arabic" w:eastAsia="Times New Roman" w:hAnsi="Traditional Arabic" w:cs="Traditional Arabic"/>
                <w:sz w:val="32"/>
                <w:szCs w:val="32"/>
              </w:rPr>
            </w:pPr>
            <w:r w:rsidRPr="00DD394F">
              <w:rPr>
                <w:rFonts w:ascii="Traditional Arabic" w:eastAsia="Times New Roman" w:hAnsi="Traditional Arabic" w:cs="Traditional Arabic"/>
                <w:sz w:val="32"/>
                <w:szCs w:val="32"/>
                <w:rtl/>
              </w:rPr>
              <w:t>أقل من 50</w:t>
            </w:r>
            <w:r w:rsidRPr="00DD394F">
              <w:rPr>
                <w:rFonts w:ascii="Traditional Arabic" w:eastAsia="Times New Roman" w:hAnsi="Traditional Arabic" w:cs="Traditional Arabic"/>
                <w:sz w:val="32"/>
                <w:szCs w:val="32"/>
              </w:rPr>
              <w:t>%</w:t>
            </w:r>
          </w:p>
        </w:tc>
      </w:tr>
      <w:tr w:rsidR="00DD394F" w:rsidRPr="00DD394F" w14:paraId="27BB6439" w14:textId="77777777" w:rsidTr="00DD394F">
        <w:tc>
          <w:tcPr>
            <w:tcW w:w="2213" w:type="pct"/>
            <w:hideMark/>
          </w:tcPr>
          <w:p w14:paraId="75BABB85" w14:textId="77777777" w:rsidR="00DD394F" w:rsidRPr="00DD394F" w:rsidRDefault="00DD394F" w:rsidP="00DD394F">
            <w:pPr>
              <w:bidi/>
              <w:spacing w:after="0" w:line="240" w:lineRule="auto"/>
              <w:jc w:val="both"/>
              <w:rPr>
                <w:rFonts w:ascii="Traditional Arabic" w:eastAsia="Times New Roman" w:hAnsi="Traditional Arabic" w:cs="Traditional Arabic"/>
                <w:sz w:val="32"/>
                <w:szCs w:val="32"/>
              </w:rPr>
            </w:pPr>
            <w:r w:rsidRPr="00DD394F">
              <w:rPr>
                <w:rFonts w:ascii="Traditional Arabic" w:eastAsia="Times New Roman" w:hAnsi="Traditional Arabic" w:cs="Traditional Arabic"/>
                <w:sz w:val="32"/>
                <w:szCs w:val="32"/>
                <w:rtl/>
              </w:rPr>
              <w:t>التفسير</w:t>
            </w:r>
          </w:p>
        </w:tc>
        <w:tc>
          <w:tcPr>
            <w:tcW w:w="2787" w:type="pct"/>
            <w:hideMark/>
          </w:tcPr>
          <w:p w14:paraId="17B8CDC9" w14:textId="77777777" w:rsidR="00DD394F" w:rsidRPr="00DD394F" w:rsidRDefault="00DD394F" w:rsidP="00DD394F">
            <w:pPr>
              <w:bidi/>
              <w:spacing w:after="0" w:line="240" w:lineRule="auto"/>
              <w:jc w:val="both"/>
              <w:rPr>
                <w:rFonts w:ascii="Traditional Arabic" w:eastAsia="Times New Roman" w:hAnsi="Traditional Arabic" w:cs="Traditional Arabic"/>
                <w:sz w:val="32"/>
                <w:szCs w:val="32"/>
              </w:rPr>
            </w:pPr>
            <w:r w:rsidRPr="00DD394F">
              <w:rPr>
                <w:rFonts w:ascii="Traditional Arabic" w:eastAsia="Times New Roman" w:hAnsi="Traditional Arabic" w:cs="Traditional Arabic"/>
                <w:sz w:val="32"/>
                <w:szCs w:val="32"/>
                <w:rtl/>
              </w:rPr>
              <w:t>تحيز الطريقة المشتركة لا يبدو تهديدًا جوهريًا للبيانات</w:t>
            </w:r>
          </w:p>
        </w:tc>
      </w:tr>
    </w:tbl>
    <w:p w14:paraId="5B00AE21" w14:textId="1E615CCA" w:rsidR="00DD394F" w:rsidRPr="00DD394F" w:rsidRDefault="00DD394F" w:rsidP="00DD394F">
      <w:pPr>
        <w:bidi/>
        <w:spacing w:after="200" w:line="360" w:lineRule="auto"/>
        <w:jc w:val="both"/>
        <w:rPr>
          <w:rFonts w:ascii="Traditional Arabic" w:eastAsia="Times New Roman" w:hAnsi="Traditional Arabic" w:cs="Traditional Arabic"/>
          <w:sz w:val="32"/>
          <w:szCs w:val="32"/>
        </w:rPr>
      </w:pPr>
      <w:r w:rsidRPr="00DD394F">
        <w:rPr>
          <w:rFonts w:ascii="Traditional Arabic" w:eastAsia="Times New Roman" w:hAnsi="Traditional Arabic" w:cs="Traditional Arabic"/>
          <w:sz w:val="32"/>
          <w:szCs w:val="32"/>
          <w:rtl/>
        </w:rPr>
        <w:t xml:space="preserve">وتشير هذه النتيجة، إلى جانب الإجراءات الوقائية المتخذة عند تصميم الاستبانة وجمع البيانات، إلى أن تحيز الطريقة المشتركة لا يبدو مشكلة جوهرية في الدراسة الحالية، مع مراعاة أن اختبار </w:t>
      </w:r>
      <w:r w:rsidRPr="00DD394F">
        <w:rPr>
          <w:rFonts w:ascii="Traditional Arabic" w:eastAsia="Times New Roman" w:hAnsi="Traditional Arabic" w:cs="Traditional Arabic"/>
          <w:sz w:val="32"/>
          <w:szCs w:val="32"/>
        </w:rPr>
        <w:t>Harman</w:t>
      </w:r>
      <w:r w:rsidRPr="00DD394F">
        <w:rPr>
          <w:rFonts w:ascii="Traditional Arabic" w:eastAsia="Times New Roman" w:hAnsi="Traditional Arabic" w:cs="Traditional Arabic"/>
          <w:sz w:val="32"/>
          <w:szCs w:val="32"/>
          <w:rtl/>
        </w:rPr>
        <w:t xml:space="preserve"> يمثل مؤشرًا تشخيصيًا أوليًا ينبغي تفسيره بحذر</w:t>
      </w:r>
      <w:r w:rsidRPr="00DD394F">
        <w:rPr>
          <w:rFonts w:ascii="Traditional Arabic" w:eastAsia="Times New Roman" w:hAnsi="Traditional Arabic" w:cs="Traditional Arabic"/>
          <w:sz w:val="32"/>
          <w:szCs w:val="32"/>
        </w:rPr>
        <w:t>.</w:t>
      </w:r>
    </w:p>
    <w:p w14:paraId="0C1DD17B" w14:textId="77777777" w:rsidR="0025309F" w:rsidRPr="00DD394F" w:rsidRDefault="0025309F" w:rsidP="0025309F">
      <w:pPr>
        <w:bidi/>
        <w:spacing w:after="200" w:line="360" w:lineRule="auto"/>
        <w:jc w:val="both"/>
        <w:rPr>
          <w:rFonts w:ascii="Traditional Arabic" w:eastAsia="Times New Roman" w:hAnsi="Traditional Arabic" w:cs="Traditional Arabic"/>
          <w:sz w:val="32"/>
          <w:szCs w:val="32"/>
        </w:rPr>
      </w:pPr>
    </w:p>
    <w:p w14:paraId="6EFA16CD" w14:textId="7EAC2CC2" w:rsidR="0025309F" w:rsidRPr="0025309F" w:rsidRDefault="0025309F" w:rsidP="0025309F">
      <w:pPr>
        <w:bidi/>
        <w:spacing w:after="200" w:line="360" w:lineRule="auto"/>
        <w:jc w:val="both"/>
        <w:rPr>
          <w:rFonts w:ascii="Traditional Arabic" w:eastAsia="Calibri" w:hAnsi="Traditional Arabic" w:cs="Traditional Arabic"/>
          <w:b/>
          <w:bCs/>
          <w:sz w:val="32"/>
          <w:szCs w:val="32"/>
          <w:lang w:bidi="ar-AE"/>
        </w:rPr>
      </w:pPr>
      <w:r w:rsidRPr="0025309F">
        <w:rPr>
          <w:rFonts w:ascii="Traditional Arabic" w:eastAsia="Calibri" w:hAnsi="Traditional Arabic" w:cs="Traditional Arabic"/>
          <w:b/>
          <w:bCs/>
          <w:sz w:val="32"/>
          <w:szCs w:val="32"/>
          <w:rtl/>
          <w:lang w:bidi="ar-AE"/>
        </w:rPr>
        <w:lastRenderedPageBreak/>
        <w:t>3.1</w:t>
      </w:r>
      <w:r w:rsidR="00472858">
        <w:rPr>
          <w:rFonts w:ascii="Traditional Arabic" w:eastAsia="Calibri" w:hAnsi="Traditional Arabic" w:cs="Traditional Arabic" w:hint="cs"/>
          <w:b/>
          <w:bCs/>
          <w:sz w:val="32"/>
          <w:szCs w:val="32"/>
          <w:rtl/>
          <w:lang w:bidi="ar-AE"/>
        </w:rPr>
        <w:t>2</w:t>
      </w:r>
      <w:r w:rsidRPr="0025309F">
        <w:rPr>
          <w:rFonts w:ascii="Traditional Arabic" w:eastAsia="Calibri" w:hAnsi="Traditional Arabic" w:cs="Traditional Arabic"/>
          <w:b/>
          <w:bCs/>
          <w:sz w:val="32"/>
          <w:szCs w:val="32"/>
          <w:rtl/>
          <w:lang w:bidi="ar-AE"/>
        </w:rPr>
        <w:t xml:space="preserve"> الأساليب الإحصائية المستخدمة</w:t>
      </w:r>
    </w:p>
    <w:p w14:paraId="2232ACB2" w14:textId="69C31BC3" w:rsidR="00F5595F" w:rsidRPr="00F5595F" w:rsidRDefault="00F5595F" w:rsidP="00F5595F">
      <w:pPr>
        <w:bidi/>
        <w:spacing w:after="200" w:line="360" w:lineRule="auto"/>
        <w:jc w:val="both"/>
        <w:rPr>
          <w:rFonts w:ascii="Traditional Arabic" w:eastAsia="Calibri" w:hAnsi="Traditional Arabic" w:cs="Traditional Arabic"/>
          <w:sz w:val="32"/>
          <w:szCs w:val="32"/>
        </w:rPr>
      </w:pPr>
      <w:r w:rsidRPr="00F5595F">
        <w:rPr>
          <w:rFonts w:ascii="Traditional Arabic" w:eastAsia="Calibri" w:hAnsi="Traditional Arabic" w:cs="Traditional Arabic"/>
          <w:sz w:val="32"/>
          <w:szCs w:val="32"/>
          <w:rtl/>
        </w:rPr>
        <w:t xml:space="preserve">بعد الانتهاء من جمع البيانات ومراجعة الاستبانات والتأكد من صلاحيتها للتحليل الإحصائي، تم ترميز البيانات وإدخالها إلى برنامج الحزمة الإحصائية للعلوم الاجتماعية </w:t>
      </w:r>
      <w:r w:rsidRPr="00F5595F">
        <w:rPr>
          <w:rFonts w:ascii="Traditional Arabic" w:eastAsia="Calibri" w:hAnsi="Traditional Arabic" w:cs="Traditional Arabic"/>
          <w:sz w:val="32"/>
          <w:szCs w:val="32"/>
        </w:rPr>
        <w:t>SPSS</w:t>
      </w:r>
      <w:r w:rsidRPr="00F5595F">
        <w:rPr>
          <w:rFonts w:ascii="Traditional Arabic" w:eastAsia="Calibri" w:hAnsi="Traditional Arabic" w:cs="Traditional Arabic"/>
          <w:sz w:val="32"/>
          <w:szCs w:val="32"/>
          <w:rtl/>
        </w:rPr>
        <w:t xml:space="preserve"> الإصدار (29)، كما تم استخدام </w:t>
      </w:r>
      <w:r w:rsidRPr="00F5595F">
        <w:rPr>
          <w:rFonts w:ascii="Traditional Arabic" w:eastAsia="Calibri" w:hAnsi="Traditional Arabic" w:cs="Traditional Arabic"/>
          <w:sz w:val="32"/>
          <w:szCs w:val="32"/>
        </w:rPr>
        <w:t>PROCESS Macro</w:t>
      </w:r>
      <w:r w:rsidRPr="00F5595F">
        <w:rPr>
          <w:rFonts w:ascii="Traditional Arabic" w:eastAsia="Calibri" w:hAnsi="Traditional Arabic" w:cs="Traditional Arabic"/>
          <w:sz w:val="32"/>
          <w:szCs w:val="32"/>
          <w:rtl/>
        </w:rPr>
        <w:t xml:space="preserve"> الإصدار (4.2) الذي طوره </w:t>
      </w:r>
      <w:r w:rsidRPr="00F5595F">
        <w:rPr>
          <w:rFonts w:ascii="Traditional Arabic" w:eastAsia="Calibri" w:hAnsi="Traditional Arabic" w:cs="Traditional Arabic"/>
          <w:sz w:val="32"/>
          <w:szCs w:val="32"/>
        </w:rPr>
        <w:t>Hayes</w:t>
      </w:r>
      <w:r w:rsidRPr="00F5595F">
        <w:rPr>
          <w:rFonts w:ascii="Traditional Arabic" w:eastAsia="Calibri" w:hAnsi="Traditional Arabic" w:cs="Traditional Arabic"/>
          <w:sz w:val="32"/>
          <w:szCs w:val="32"/>
          <w:rtl/>
        </w:rPr>
        <w:t xml:space="preserve"> لاختبار الدور الوسيط للاحتراق الوظيفي في العلاقة بين كل بُعد من أبعاد استراتيجيات مواجهة ضغوط العمل والرضا الوظيفي، وذلك باستخدام </w:t>
      </w:r>
      <w:r w:rsidRPr="00F5595F">
        <w:rPr>
          <w:rFonts w:ascii="Traditional Arabic" w:eastAsia="Calibri" w:hAnsi="Traditional Arabic" w:cs="Traditional Arabic"/>
          <w:sz w:val="32"/>
          <w:szCs w:val="32"/>
        </w:rPr>
        <w:t>Model 4</w:t>
      </w:r>
      <w:r w:rsidRPr="00F5595F">
        <w:rPr>
          <w:rFonts w:ascii="Traditional Arabic" w:eastAsia="Calibri" w:hAnsi="Traditional Arabic" w:cs="Traditional Arabic"/>
          <w:sz w:val="32"/>
          <w:szCs w:val="32"/>
          <w:rtl/>
        </w:rPr>
        <w:t>.</w:t>
      </w:r>
    </w:p>
    <w:p w14:paraId="0D17FEC3" w14:textId="5C878AE3" w:rsidR="00F5595F" w:rsidRPr="00F5595F" w:rsidRDefault="00F5595F" w:rsidP="00F5595F">
      <w:pPr>
        <w:bidi/>
        <w:spacing w:after="200" w:line="360" w:lineRule="auto"/>
        <w:jc w:val="both"/>
        <w:rPr>
          <w:rFonts w:ascii="Traditional Arabic" w:eastAsia="Calibri" w:hAnsi="Traditional Arabic" w:cs="Traditional Arabic"/>
          <w:sz w:val="32"/>
          <w:szCs w:val="32"/>
        </w:rPr>
      </w:pPr>
      <w:r w:rsidRPr="00F5595F">
        <w:rPr>
          <w:rFonts w:ascii="Traditional Arabic" w:eastAsia="Calibri" w:hAnsi="Traditional Arabic" w:cs="Traditional Arabic"/>
          <w:sz w:val="32"/>
          <w:szCs w:val="32"/>
          <w:rtl/>
        </w:rPr>
        <w:t>وقبل إجراء التحليلات الإحصائية، تم فحص جودة البيانات والتأكد من ملاءمتها للتحليل. وتم استبعاد الاستبانات التي تضمنت نسبة مرتفعة من البيانات المفقودة، أو التي ظهرت فيها أنماط استجابة غير جادة أو نمطية، مثل اختيار البديل نفسه لجميع الفقرات بصورة غير منطقية. كما تم فحص القيم المتطرفة باستخدام القيم المعيارية (</w:t>
      </w:r>
      <w:r w:rsidRPr="00F5595F">
        <w:rPr>
          <w:rFonts w:ascii="Traditional Arabic" w:eastAsia="Calibri" w:hAnsi="Traditional Arabic" w:cs="Traditional Arabic"/>
          <w:sz w:val="32"/>
          <w:szCs w:val="32"/>
        </w:rPr>
        <w:t>Standardized Scores</w:t>
      </w:r>
      <w:r w:rsidRPr="00F5595F">
        <w:rPr>
          <w:rFonts w:ascii="Traditional Arabic" w:eastAsia="Calibri" w:hAnsi="Traditional Arabic" w:cs="Traditional Arabic"/>
          <w:sz w:val="32"/>
          <w:szCs w:val="32"/>
          <w:rtl/>
        </w:rPr>
        <w:t xml:space="preserve">)، إلى جانب مؤشرات التأثير في نماذج الانحدار، ولا سيما </w:t>
      </w:r>
      <w:r w:rsidRPr="00F5595F">
        <w:rPr>
          <w:rFonts w:ascii="Traditional Arabic" w:eastAsia="Calibri" w:hAnsi="Traditional Arabic" w:cs="Traditional Arabic"/>
          <w:sz w:val="32"/>
          <w:szCs w:val="32"/>
        </w:rPr>
        <w:t>Cook’s Distance</w:t>
      </w:r>
      <w:r w:rsidRPr="00F5595F">
        <w:rPr>
          <w:rFonts w:ascii="Traditional Arabic" w:eastAsia="Calibri" w:hAnsi="Traditional Arabic" w:cs="Traditional Arabic"/>
          <w:sz w:val="32"/>
          <w:szCs w:val="32"/>
          <w:rtl/>
        </w:rPr>
        <w:t>، للتأكد من عدم وجود حالات شديدة التأثير يمكن أن تؤثر بصورة جوهرية في تقديرات النموذج. أما البيانات المفقودة المحدودة، فقد تم التعامل معها وفق نسبة فقدها وطبيعتها، مع عدم إدخال الاستبانات غير المكتملة بصورة جوهرية في التحليل النهائي</w:t>
      </w:r>
      <w:r w:rsidRPr="00F5595F">
        <w:rPr>
          <w:rFonts w:ascii="Traditional Arabic" w:eastAsia="Calibri" w:hAnsi="Traditional Arabic" w:cs="Traditional Arabic"/>
          <w:sz w:val="32"/>
          <w:szCs w:val="32"/>
        </w:rPr>
        <w:t>.</w:t>
      </w:r>
    </w:p>
    <w:p w14:paraId="6C952700" w14:textId="25B2E086" w:rsidR="00F5595F" w:rsidRPr="00F5595F" w:rsidRDefault="00F5595F" w:rsidP="00F5595F">
      <w:pPr>
        <w:bidi/>
        <w:spacing w:after="200" w:line="360" w:lineRule="auto"/>
        <w:jc w:val="both"/>
        <w:rPr>
          <w:rFonts w:ascii="Traditional Arabic" w:eastAsia="Calibri" w:hAnsi="Traditional Arabic" w:cs="Traditional Arabic"/>
          <w:sz w:val="32"/>
          <w:szCs w:val="32"/>
        </w:rPr>
      </w:pPr>
      <w:r w:rsidRPr="00F5595F">
        <w:rPr>
          <w:rFonts w:ascii="Traditional Arabic" w:eastAsia="Calibri" w:hAnsi="Traditional Arabic" w:cs="Traditional Arabic"/>
          <w:sz w:val="32"/>
          <w:szCs w:val="32"/>
          <w:rtl/>
        </w:rPr>
        <w:t>وللتحقق من استيفاء افتراضات تحليل الانحدار الخطي، تم فحص مجموعة من المؤشرات التشخيصية، شملت الخطية (</w:t>
      </w:r>
      <w:r w:rsidRPr="00F5595F">
        <w:rPr>
          <w:rFonts w:ascii="Traditional Arabic" w:eastAsia="Calibri" w:hAnsi="Traditional Arabic" w:cs="Traditional Arabic"/>
          <w:sz w:val="32"/>
          <w:szCs w:val="32"/>
        </w:rPr>
        <w:t>Linearity</w:t>
      </w:r>
      <w:r w:rsidRPr="00F5595F">
        <w:rPr>
          <w:rFonts w:ascii="Traditional Arabic" w:eastAsia="Calibri" w:hAnsi="Traditional Arabic" w:cs="Traditional Arabic"/>
          <w:sz w:val="32"/>
          <w:szCs w:val="32"/>
          <w:rtl/>
        </w:rPr>
        <w:t>) من خلال فحص العلاقة بين القيم المتوقعة والبواقي، وتجانس التباين (</w:t>
      </w:r>
      <w:r w:rsidRPr="00F5595F">
        <w:rPr>
          <w:rFonts w:ascii="Traditional Arabic" w:eastAsia="Calibri" w:hAnsi="Traditional Arabic" w:cs="Traditional Arabic"/>
          <w:sz w:val="32"/>
          <w:szCs w:val="32"/>
        </w:rPr>
        <w:t>Homoscedasticity</w:t>
      </w:r>
      <w:r w:rsidRPr="00F5595F">
        <w:rPr>
          <w:rFonts w:ascii="Traditional Arabic" w:eastAsia="Calibri" w:hAnsi="Traditional Arabic" w:cs="Traditional Arabic"/>
          <w:sz w:val="32"/>
          <w:szCs w:val="32"/>
          <w:rtl/>
        </w:rPr>
        <w:t xml:space="preserve">) من خلال مخطط البواقي المعيارية مقابل القيم المتوقعة، واستقلال الأخطاء باستخدام إحصائية </w:t>
      </w:r>
      <w:r w:rsidRPr="00F5595F">
        <w:rPr>
          <w:rFonts w:ascii="Traditional Arabic" w:eastAsia="Calibri" w:hAnsi="Traditional Arabic" w:cs="Traditional Arabic"/>
          <w:sz w:val="32"/>
          <w:szCs w:val="32"/>
        </w:rPr>
        <w:t>Durbin–Watson</w:t>
      </w:r>
      <w:r w:rsidRPr="00F5595F">
        <w:rPr>
          <w:rFonts w:ascii="Traditional Arabic" w:eastAsia="Calibri" w:hAnsi="Traditional Arabic" w:cs="Traditional Arabic"/>
          <w:sz w:val="32"/>
          <w:szCs w:val="32"/>
          <w:rtl/>
        </w:rPr>
        <w:t>، والتوزيع الطبيعي للبواقي من خلال فحص المدرج التكراري للبواقي ومخطط (</w:t>
      </w:r>
      <w:r w:rsidRPr="00F5595F">
        <w:rPr>
          <w:rFonts w:ascii="Traditional Arabic" w:eastAsia="Calibri" w:hAnsi="Traditional Arabic" w:cs="Traditional Arabic"/>
          <w:sz w:val="32"/>
          <w:szCs w:val="32"/>
        </w:rPr>
        <w:t>Normal P–P Plot</w:t>
      </w:r>
      <w:r w:rsidRPr="00F5595F">
        <w:rPr>
          <w:rFonts w:ascii="Traditional Arabic" w:eastAsia="Calibri" w:hAnsi="Traditional Arabic" w:cs="Traditional Arabic"/>
          <w:sz w:val="32"/>
          <w:szCs w:val="32"/>
          <w:rtl/>
        </w:rPr>
        <w:t xml:space="preserve">). ولم يتم الاعتماد على اختبار </w:t>
      </w:r>
      <w:r w:rsidRPr="00F5595F">
        <w:rPr>
          <w:rFonts w:ascii="Traditional Arabic" w:eastAsia="Calibri" w:hAnsi="Traditional Arabic" w:cs="Traditional Arabic"/>
          <w:sz w:val="32"/>
          <w:szCs w:val="32"/>
        </w:rPr>
        <w:lastRenderedPageBreak/>
        <w:t>Kolmogorov–Smirnov</w:t>
      </w:r>
      <w:r w:rsidRPr="00F5595F">
        <w:rPr>
          <w:rFonts w:ascii="Traditional Arabic" w:eastAsia="Calibri" w:hAnsi="Traditional Arabic" w:cs="Traditional Arabic"/>
          <w:sz w:val="32"/>
          <w:szCs w:val="32"/>
          <w:rtl/>
        </w:rPr>
        <w:t xml:space="preserve"> وحده للحكم على ملاءمة الانحدار، نظرًا إلى أن الافتراض الأساسي في هذا السياق يتعلق بتوزيع بواقي النموذج أكثر من تعلقه بتوزيع كل متغير بصورة منفردة</w:t>
      </w:r>
      <w:r w:rsidRPr="00F5595F">
        <w:rPr>
          <w:rFonts w:ascii="Traditional Arabic" w:eastAsia="Calibri" w:hAnsi="Traditional Arabic" w:cs="Traditional Arabic"/>
          <w:sz w:val="32"/>
          <w:szCs w:val="32"/>
        </w:rPr>
        <w:t>.</w:t>
      </w:r>
    </w:p>
    <w:p w14:paraId="310612A1" w14:textId="77777777" w:rsidR="00F5595F" w:rsidRPr="00F5595F" w:rsidRDefault="00F5595F" w:rsidP="00F5595F">
      <w:pPr>
        <w:bidi/>
        <w:spacing w:after="200" w:line="360" w:lineRule="auto"/>
        <w:jc w:val="both"/>
        <w:rPr>
          <w:rFonts w:ascii="Traditional Arabic" w:eastAsia="Calibri" w:hAnsi="Traditional Arabic" w:cs="Traditional Arabic"/>
          <w:sz w:val="32"/>
          <w:szCs w:val="32"/>
        </w:rPr>
      </w:pPr>
      <w:r w:rsidRPr="00F5595F">
        <w:rPr>
          <w:rFonts w:ascii="Traditional Arabic" w:eastAsia="Calibri" w:hAnsi="Traditional Arabic" w:cs="Traditional Arabic"/>
          <w:sz w:val="32"/>
          <w:szCs w:val="32"/>
          <w:rtl/>
        </w:rPr>
        <w:t>واستخدمت الدراسة الأساليب الإحصائية الآتية</w:t>
      </w:r>
      <w:r w:rsidRPr="00F5595F">
        <w:rPr>
          <w:rFonts w:ascii="Traditional Arabic" w:eastAsia="Calibri" w:hAnsi="Traditional Arabic" w:cs="Traditional Arabic"/>
          <w:sz w:val="32"/>
          <w:szCs w:val="32"/>
        </w:rPr>
        <w:t>:</w:t>
      </w:r>
    </w:p>
    <w:p w14:paraId="5105660E" w14:textId="2B8DA112" w:rsidR="00F5595F" w:rsidRPr="00F5595F" w:rsidRDefault="00F5595F" w:rsidP="00F5595F">
      <w:pPr>
        <w:numPr>
          <w:ilvl w:val="0"/>
          <w:numId w:val="39"/>
        </w:numPr>
        <w:bidi/>
        <w:spacing w:after="200" w:line="360" w:lineRule="auto"/>
        <w:jc w:val="both"/>
        <w:rPr>
          <w:rFonts w:ascii="Traditional Arabic" w:eastAsia="Calibri" w:hAnsi="Traditional Arabic" w:cs="Traditional Arabic"/>
          <w:sz w:val="32"/>
          <w:szCs w:val="32"/>
        </w:rPr>
      </w:pPr>
      <w:r w:rsidRPr="00F5595F">
        <w:rPr>
          <w:rFonts w:ascii="Traditional Arabic" w:eastAsia="Calibri" w:hAnsi="Traditional Arabic" w:cs="Traditional Arabic"/>
          <w:sz w:val="32"/>
          <w:szCs w:val="32"/>
          <w:rtl/>
        </w:rPr>
        <w:t>التكرارات والنسب المئوية (</w:t>
      </w:r>
      <w:r w:rsidRPr="00F5595F">
        <w:rPr>
          <w:rFonts w:ascii="Traditional Arabic" w:eastAsia="Calibri" w:hAnsi="Traditional Arabic" w:cs="Traditional Arabic"/>
          <w:sz w:val="32"/>
          <w:szCs w:val="32"/>
        </w:rPr>
        <w:t>Frequencies and Percentages</w:t>
      </w:r>
      <w:r w:rsidRPr="00F5595F">
        <w:rPr>
          <w:rFonts w:ascii="Traditional Arabic" w:eastAsia="Calibri" w:hAnsi="Traditional Arabic" w:cs="Traditional Arabic"/>
          <w:sz w:val="32"/>
          <w:szCs w:val="32"/>
          <w:rtl/>
        </w:rPr>
        <w:t>): لوصف الخصائص الشخصية والوظيفية لأفراد عينة الدراسة</w:t>
      </w:r>
      <w:r w:rsidRPr="00F5595F">
        <w:rPr>
          <w:rFonts w:ascii="Traditional Arabic" w:eastAsia="Calibri" w:hAnsi="Traditional Arabic" w:cs="Traditional Arabic"/>
          <w:sz w:val="32"/>
          <w:szCs w:val="32"/>
        </w:rPr>
        <w:t>.</w:t>
      </w:r>
    </w:p>
    <w:p w14:paraId="5729106F" w14:textId="3B449694" w:rsidR="00F5595F" w:rsidRPr="00F5595F" w:rsidRDefault="00F5595F" w:rsidP="00F5595F">
      <w:pPr>
        <w:numPr>
          <w:ilvl w:val="0"/>
          <w:numId w:val="39"/>
        </w:numPr>
        <w:bidi/>
        <w:spacing w:after="200" w:line="360" w:lineRule="auto"/>
        <w:jc w:val="both"/>
        <w:rPr>
          <w:rFonts w:ascii="Traditional Arabic" w:eastAsia="Calibri" w:hAnsi="Traditional Arabic" w:cs="Traditional Arabic"/>
          <w:sz w:val="32"/>
          <w:szCs w:val="32"/>
        </w:rPr>
      </w:pPr>
      <w:r w:rsidRPr="00F5595F">
        <w:rPr>
          <w:rFonts w:ascii="Traditional Arabic" w:eastAsia="Calibri" w:hAnsi="Traditional Arabic" w:cs="Traditional Arabic"/>
          <w:sz w:val="32"/>
          <w:szCs w:val="32"/>
          <w:rtl/>
        </w:rPr>
        <w:t>المتوسطات الحسابية والانحرافات المعيارية (</w:t>
      </w:r>
      <w:r w:rsidRPr="00F5595F">
        <w:rPr>
          <w:rFonts w:ascii="Traditional Arabic" w:eastAsia="Calibri" w:hAnsi="Traditional Arabic" w:cs="Traditional Arabic"/>
          <w:sz w:val="32"/>
          <w:szCs w:val="32"/>
        </w:rPr>
        <w:t>Means and Standard Deviations</w:t>
      </w:r>
      <w:r w:rsidRPr="00F5595F">
        <w:rPr>
          <w:rFonts w:ascii="Traditional Arabic" w:eastAsia="Calibri" w:hAnsi="Traditional Arabic" w:cs="Traditional Arabic"/>
          <w:sz w:val="32"/>
          <w:szCs w:val="32"/>
          <w:rtl/>
        </w:rPr>
        <w:t xml:space="preserve">): للتعرف إلى مستوى استخدام كل بُعد من أبعاد استراتيجيات مواجهة ضغوط العمل، ومستوى الاحتراق الوظيفي والرضا الوظيفي، وترتيب الأبعاد وفق </w:t>
      </w:r>
      <w:proofErr w:type="spellStart"/>
      <w:r w:rsidRPr="00F5595F">
        <w:rPr>
          <w:rFonts w:ascii="Traditional Arabic" w:eastAsia="Calibri" w:hAnsi="Traditional Arabic" w:cs="Traditional Arabic"/>
          <w:sz w:val="32"/>
          <w:szCs w:val="32"/>
          <w:rtl/>
        </w:rPr>
        <w:t>متوسطاتها</w:t>
      </w:r>
      <w:proofErr w:type="spellEnd"/>
      <w:r w:rsidRPr="00F5595F">
        <w:rPr>
          <w:rFonts w:ascii="Traditional Arabic" w:eastAsia="Calibri" w:hAnsi="Traditional Arabic" w:cs="Traditional Arabic"/>
          <w:sz w:val="32"/>
          <w:szCs w:val="32"/>
          <w:rtl/>
        </w:rPr>
        <w:t xml:space="preserve"> الحسابية</w:t>
      </w:r>
      <w:r w:rsidRPr="00F5595F">
        <w:rPr>
          <w:rFonts w:ascii="Traditional Arabic" w:eastAsia="Calibri" w:hAnsi="Traditional Arabic" w:cs="Traditional Arabic"/>
          <w:sz w:val="32"/>
          <w:szCs w:val="32"/>
        </w:rPr>
        <w:t>.</w:t>
      </w:r>
    </w:p>
    <w:p w14:paraId="5D685AFF" w14:textId="503199EA" w:rsidR="00F5595F" w:rsidRPr="00F5595F" w:rsidRDefault="00F5595F" w:rsidP="00F5595F">
      <w:pPr>
        <w:numPr>
          <w:ilvl w:val="0"/>
          <w:numId w:val="39"/>
        </w:numPr>
        <w:bidi/>
        <w:spacing w:after="200" w:line="360" w:lineRule="auto"/>
        <w:jc w:val="both"/>
        <w:rPr>
          <w:rFonts w:ascii="Traditional Arabic" w:eastAsia="Calibri" w:hAnsi="Traditional Arabic" w:cs="Traditional Arabic"/>
          <w:sz w:val="32"/>
          <w:szCs w:val="32"/>
        </w:rPr>
      </w:pPr>
      <w:r w:rsidRPr="00F5595F">
        <w:rPr>
          <w:rFonts w:ascii="Traditional Arabic" w:eastAsia="Calibri" w:hAnsi="Traditional Arabic" w:cs="Traditional Arabic"/>
          <w:sz w:val="32"/>
          <w:szCs w:val="32"/>
          <w:rtl/>
        </w:rPr>
        <w:t>معامل ارتباط بيرسون (</w:t>
      </w:r>
      <w:r w:rsidRPr="00F5595F">
        <w:rPr>
          <w:rFonts w:ascii="Traditional Arabic" w:eastAsia="Calibri" w:hAnsi="Traditional Arabic" w:cs="Traditional Arabic"/>
          <w:sz w:val="32"/>
          <w:szCs w:val="32"/>
        </w:rPr>
        <w:t>Pearson Correlation Coefficient</w:t>
      </w:r>
      <w:r w:rsidRPr="00F5595F">
        <w:rPr>
          <w:rFonts w:ascii="Traditional Arabic" w:eastAsia="Calibri" w:hAnsi="Traditional Arabic" w:cs="Traditional Arabic"/>
          <w:sz w:val="32"/>
          <w:szCs w:val="32"/>
          <w:rtl/>
        </w:rPr>
        <w:t>): للتحقق من صدق البناء للأداة، وقياس قوة واتجاه العلاقات بين أبعاد متغيرات الدراسة</w:t>
      </w:r>
      <w:r w:rsidRPr="00F5595F">
        <w:rPr>
          <w:rFonts w:ascii="Traditional Arabic" w:eastAsia="Calibri" w:hAnsi="Traditional Arabic" w:cs="Traditional Arabic"/>
          <w:sz w:val="32"/>
          <w:szCs w:val="32"/>
        </w:rPr>
        <w:t>.</w:t>
      </w:r>
    </w:p>
    <w:p w14:paraId="0777DF54" w14:textId="355B73E0" w:rsidR="00F5595F" w:rsidRPr="00F5595F" w:rsidRDefault="00F5595F" w:rsidP="00F5595F">
      <w:pPr>
        <w:numPr>
          <w:ilvl w:val="0"/>
          <w:numId w:val="39"/>
        </w:numPr>
        <w:bidi/>
        <w:spacing w:after="200" w:line="360" w:lineRule="auto"/>
        <w:jc w:val="both"/>
        <w:rPr>
          <w:rFonts w:ascii="Traditional Arabic" w:eastAsia="Calibri" w:hAnsi="Traditional Arabic" w:cs="Traditional Arabic"/>
          <w:sz w:val="32"/>
          <w:szCs w:val="32"/>
        </w:rPr>
      </w:pPr>
      <w:r w:rsidRPr="00F5595F">
        <w:rPr>
          <w:rFonts w:ascii="Traditional Arabic" w:eastAsia="Calibri" w:hAnsi="Traditional Arabic" w:cs="Traditional Arabic"/>
          <w:sz w:val="32"/>
          <w:szCs w:val="32"/>
          <w:rtl/>
        </w:rPr>
        <w:t xml:space="preserve">معامل </w:t>
      </w:r>
      <w:proofErr w:type="spellStart"/>
      <w:r w:rsidRPr="00F5595F">
        <w:rPr>
          <w:rFonts w:ascii="Traditional Arabic" w:eastAsia="Calibri" w:hAnsi="Traditional Arabic" w:cs="Traditional Arabic"/>
          <w:sz w:val="32"/>
          <w:szCs w:val="32"/>
          <w:rtl/>
        </w:rPr>
        <w:t>كرونباخ</w:t>
      </w:r>
      <w:proofErr w:type="spellEnd"/>
      <w:r w:rsidRPr="00F5595F">
        <w:rPr>
          <w:rFonts w:ascii="Traditional Arabic" w:eastAsia="Calibri" w:hAnsi="Traditional Arabic" w:cs="Traditional Arabic"/>
          <w:sz w:val="32"/>
          <w:szCs w:val="32"/>
          <w:rtl/>
        </w:rPr>
        <w:t xml:space="preserve"> ألفا (</w:t>
      </w:r>
      <w:r w:rsidRPr="00F5595F">
        <w:rPr>
          <w:rFonts w:ascii="Traditional Arabic" w:eastAsia="Calibri" w:hAnsi="Traditional Arabic" w:cs="Traditional Arabic"/>
          <w:sz w:val="32"/>
          <w:szCs w:val="32"/>
        </w:rPr>
        <w:t>Cronbach’s Alpha</w:t>
      </w:r>
      <w:r w:rsidRPr="00F5595F">
        <w:rPr>
          <w:rFonts w:ascii="Traditional Arabic" w:eastAsia="Calibri" w:hAnsi="Traditional Arabic" w:cs="Traditional Arabic"/>
          <w:sz w:val="32"/>
          <w:szCs w:val="32"/>
          <w:rtl/>
        </w:rPr>
        <w:t>): للتحقق من الاتساق الداخلي وثبات أبعاد أداة الدراسة</w:t>
      </w:r>
      <w:r w:rsidRPr="00F5595F">
        <w:rPr>
          <w:rFonts w:ascii="Traditional Arabic" w:eastAsia="Calibri" w:hAnsi="Traditional Arabic" w:cs="Traditional Arabic"/>
          <w:sz w:val="32"/>
          <w:szCs w:val="32"/>
        </w:rPr>
        <w:t>.</w:t>
      </w:r>
    </w:p>
    <w:p w14:paraId="1CBF4234" w14:textId="77777777" w:rsidR="00F5595F" w:rsidRPr="00F5595F" w:rsidRDefault="00F5595F" w:rsidP="00F5595F">
      <w:pPr>
        <w:numPr>
          <w:ilvl w:val="0"/>
          <w:numId w:val="39"/>
        </w:numPr>
        <w:bidi/>
        <w:spacing w:after="200" w:line="360" w:lineRule="auto"/>
        <w:jc w:val="both"/>
        <w:rPr>
          <w:rFonts w:ascii="Traditional Arabic" w:eastAsia="Calibri" w:hAnsi="Traditional Arabic" w:cs="Traditional Arabic"/>
          <w:sz w:val="32"/>
          <w:szCs w:val="32"/>
        </w:rPr>
      </w:pPr>
      <w:r w:rsidRPr="00F5595F">
        <w:rPr>
          <w:rFonts w:ascii="Traditional Arabic" w:eastAsia="Calibri" w:hAnsi="Traditional Arabic" w:cs="Traditional Arabic"/>
          <w:sz w:val="32"/>
          <w:szCs w:val="32"/>
          <w:rtl/>
        </w:rPr>
        <w:t>تحليل الانحدار الخطي البسيط</w:t>
      </w:r>
      <w:r w:rsidRPr="00F5595F">
        <w:rPr>
          <w:rFonts w:ascii="Traditional Arabic" w:eastAsia="Calibri" w:hAnsi="Traditional Arabic" w:cs="Traditional Arabic"/>
          <w:sz w:val="32"/>
          <w:szCs w:val="32"/>
        </w:rPr>
        <w:t xml:space="preserve"> (Simple Linear Regression): </w:t>
      </w:r>
      <w:r w:rsidRPr="00F5595F">
        <w:rPr>
          <w:rFonts w:ascii="Traditional Arabic" w:eastAsia="Calibri" w:hAnsi="Traditional Arabic" w:cs="Traditional Arabic"/>
          <w:sz w:val="32"/>
          <w:szCs w:val="32"/>
          <w:rtl/>
        </w:rPr>
        <w:t>لاختبار العلاقة والأثر المباشر لكل بُعد من أبعاد استراتيجيات مواجهة ضغوط العمل بصورة مستقلة في كل من الاحتراق الوظيفي والرضا الوظيفي، وكذلك لاختبار أثر الاحتراق الوظيفي في الرضا الوظيفي</w:t>
      </w:r>
      <w:r w:rsidRPr="00F5595F">
        <w:rPr>
          <w:rFonts w:ascii="Traditional Arabic" w:eastAsia="Calibri" w:hAnsi="Traditional Arabic" w:cs="Traditional Arabic"/>
          <w:sz w:val="32"/>
          <w:szCs w:val="32"/>
        </w:rPr>
        <w:t>.</w:t>
      </w:r>
    </w:p>
    <w:p w14:paraId="705B9091" w14:textId="790BDF00" w:rsidR="00F5595F" w:rsidRPr="00F5595F" w:rsidRDefault="00F5595F" w:rsidP="00F5595F">
      <w:pPr>
        <w:numPr>
          <w:ilvl w:val="0"/>
          <w:numId w:val="39"/>
        </w:numPr>
        <w:bidi/>
        <w:spacing w:after="200" w:line="360" w:lineRule="auto"/>
        <w:jc w:val="both"/>
        <w:rPr>
          <w:rFonts w:ascii="Traditional Arabic" w:eastAsia="Calibri" w:hAnsi="Traditional Arabic" w:cs="Traditional Arabic"/>
          <w:sz w:val="32"/>
          <w:szCs w:val="32"/>
        </w:rPr>
      </w:pPr>
      <w:r w:rsidRPr="00F5595F">
        <w:rPr>
          <w:rFonts w:ascii="Traditional Arabic" w:eastAsia="Calibri" w:hAnsi="Traditional Arabic" w:cs="Traditional Arabic"/>
          <w:sz w:val="32"/>
          <w:szCs w:val="32"/>
          <w:rtl/>
        </w:rPr>
        <w:t>تحليل الوساطة (</w:t>
      </w:r>
      <w:r w:rsidRPr="00F5595F">
        <w:rPr>
          <w:rFonts w:ascii="Traditional Arabic" w:eastAsia="Calibri" w:hAnsi="Traditional Arabic" w:cs="Traditional Arabic"/>
          <w:sz w:val="32"/>
          <w:szCs w:val="32"/>
        </w:rPr>
        <w:t>Mediation Analysis</w:t>
      </w:r>
      <w:r w:rsidRPr="00F5595F">
        <w:rPr>
          <w:rFonts w:ascii="Traditional Arabic" w:eastAsia="Calibri" w:hAnsi="Traditional Arabic" w:cs="Traditional Arabic"/>
          <w:sz w:val="32"/>
          <w:szCs w:val="32"/>
          <w:rtl/>
        </w:rPr>
        <w:t xml:space="preserve">): باستخدام </w:t>
      </w:r>
      <w:r w:rsidRPr="00F5595F">
        <w:rPr>
          <w:rFonts w:ascii="Traditional Arabic" w:eastAsia="Calibri" w:hAnsi="Traditional Arabic" w:cs="Traditional Arabic"/>
          <w:sz w:val="32"/>
          <w:szCs w:val="32"/>
        </w:rPr>
        <w:t>PROCESS Macro</w:t>
      </w:r>
      <w:r w:rsidRPr="00F5595F">
        <w:rPr>
          <w:rFonts w:ascii="Traditional Arabic" w:eastAsia="Calibri" w:hAnsi="Traditional Arabic" w:cs="Traditional Arabic"/>
          <w:sz w:val="32"/>
          <w:szCs w:val="32"/>
          <w:rtl/>
        </w:rPr>
        <w:t xml:space="preserve"> الإصدار (4.2) وفق </w:t>
      </w:r>
      <w:r w:rsidRPr="00F5595F">
        <w:rPr>
          <w:rFonts w:ascii="Traditional Arabic" w:eastAsia="Calibri" w:hAnsi="Traditional Arabic" w:cs="Traditional Arabic"/>
          <w:sz w:val="32"/>
          <w:szCs w:val="32"/>
        </w:rPr>
        <w:t>Model 4</w:t>
      </w:r>
      <w:r w:rsidRPr="00F5595F">
        <w:rPr>
          <w:rFonts w:ascii="Traditional Arabic" w:eastAsia="Calibri" w:hAnsi="Traditional Arabic" w:cs="Traditional Arabic"/>
          <w:sz w:val="32"/>
          <w:szCs w:val="32"/>
          <w:rtl/>
        </w:rPr>
        <w:t xml:space="preserve"> لاختبار الدور الوسيط للاحتراق الوظيفي. وتم اختبار أربعة </w:t>
      </w:r>
      <w:r w:rsidRPr="00F5595F">
        <w:rPr>
          <w:rFonts w:ascii="Traditional Arabic" w:eastAsia="Calibri" w:hAnsi="Traditional Arabic" w:cs="Traditional Arabic"/>
          <w:sz w:val="32"/>
          <w:szCs w:val="32"/>
          <w:rtl/>
        </w:rPr>
        <w:lastRenderedPageBreak/>
        <w:t>نماذج وساطة مستقلة، بحيث مثّل كل بُعد من أبعاد استراتيجيات مواجهة ضغوط العمل المتغير المستقل (</w:t>
      </w:r>
      <w:r w:rsidRPr="00F5595F">
        <w:rPr>
          <w:rFonts w:ascii="Traditional Arabic" w:eastAsia="Calibri" w:hAnsi="Traditional Arabic" w:cs="Traditional Arabic"/>
          <w:sz w:val="32"/>
          <w:szCs w:val="32"/>
        </w:rPr>
        <w:t>X</w:t>
      </w:r>
      <w:r w:rsidRPr="00F5595F">
        <w:rPr>
          <w:rFonts w:ascii="Traditional Arabic" w:eastAsia="Calibri" w:hAnsi="Traditional Arabic" w:cs="Traditional Arabic"/>
          <w:sz w:val="32"/>
          <w:szCs w:val="32"/>
          <w:rtl/>
        </w:rPr>
        <w:t>) في نموذج منفصل، ومثّل الاحتراق الوظيفي المتغير الوسيط (</w:t>
      </w:r>
      <w:r w:rsidRPr="00F5595F">
        <w:rPr>
          <w:rFonts w:ascii="Traditional Arabic" w:eastAsia="Calibri" w:hAnsi="Traditional Arabic" w:cs="Traditional Arabic"/>
          <w:sz w:val="32"/>
          <w:szCs w:val="32"/>
        </w:rPr>
        <w:t>M</w:t>
      </w:r>
      <w:r w:rsidRPr="00F5595F">
        <w:rPr>
          <w:rFonts w:ascii="Traditional Arabic" w:eastAsia="Calibri" w:hAnsi="Traditional Arabic" w:cs="Traditional Arabic"/>
          <w:sz w:val="32"/>
          <w:szCs w:val="32"/>
          <w:rtl/>
        </w:rPr>
        <w:t>)، والرضا الوظيفي المتغير التابع (</w:t>
      </w:r>
      <w:r w:rsidRPr="00F5595F">
        <w:rPr>
          <w:rFonts w:ascii="Traditional Arabic" w:eastAsia="Calibri" w:hAnsi="Traditional Arabic" w:cs="Traditional Arabic"/>
          <w:sz w:val="32"/>
          <w:szCs w:val="32"/>
        </w:rPr>
        <w:t>Y</w:t>
      </w:r>
      <w:r w:rsidRPr="00F5595F">
        <w:rPr>
          <w:rFonts w:ascii="Traditional Arabic" w:eastAsia="Calibri" w:hAnsi="Traditional Arabic" w:cs="Traditional Arabic"/>
          <w:sz w:val="32"/>
          <w:szCs w:val="32"/>
          <w:rtl/>
        </w:rPr>
        <w:t>).</w:t>
      </w:r>
    </w:p>
    <w:p w14:paraId="03C5F60D" w14:textId="03A4AA0C" w:rsidR="00F5595F" w:rsidRPr="00F5595F" w:rsidRDefault="00F5595F" w:rsidP="00F5595F">
      <w:pPr>
        <w:numPr>
          <w:ilvl w:val="0"/>
          <w:numId w:val="39"/>
        </w:numPr>
        <w:bidi/>
        <w:spacing w:after="200" w:line="360" w:lineRule="auto"/>
        <w:jc w:val="both"/>
        <w:rPr>
          <w:rFonts w:ascii="Traditional Arabic" w:eastAsia="Calibri" w:hAnsi="Traditional Arabic" w:cs="Traditional Arabic"/>
          <w:sz w:val="32"/>
          <w:szCs w:val="32"/>
        </w:rPr>
      </w:pPr>
      <w:r w:rsidRPr="00F5595F">
        <w:rPr>
          <w:rFonts w:ascii="Traditional Arabic" w:eastAsia="Calibri" w:hAnsi="Traditional Arabic" w:cs="Traditional Arabic"/>
          <w:sz w:val="32"/>
          <w:szCs w:val="32"/>
          <w:rtl/>
        </w:rPr>
        <w:t xml:space="preserve">تم تقدير الأثر غير المباشر باستخدام أسلوب </w:t>
      </w:r>
      <w:r w:rsidRPr="00F5595F">
        <w:rPr>
          <w:rFonts w:ascii="Traditional Arabic" w:eastAsia="Calibri" w:hAnsi="Traditional Arabic" w:cs="Traditional Arabic"/>
          <w:sz w:val="32"/>
          <w:szCs w:val="32"/>
        </w:rPr>
        <w:t>Bootstrap</w:t>
      </w:r>
      <w:r w:rsidRPr="00F5595F">
        <w:rPr>
          <w:rFonts w:ascii="Traditional Arabic" w:eastAsia="Calibri" w:hAnsi="Traditional Arabic" w:cs="Traditional Arabic"/>
          <w:sz w:val="32"/>
          <w:szCs w:val="32"/>
          <w:rtl/>
        </w:rPr>
        <w:t xml:space="preserve"> بواقع (5,000) عينة إعادة سحب، وبمستوى ثقة (95%). وتم الحكم على دلالة الأثر غير المباشر إذا لم تتضمن فترة الثقة الخاصة به القيمة صفر، أما إذا تضمنت فترة الثقة الصفر فيعد الأثر غير المباشر غير دال إحصائيًا</w:t>
      </w:r>
      <w:r w:rsidRPr="00F5595F">
        <w:rPr>
          <w:rFonts w:ascii="Traditional Arabic" w:eastAsia="Calibri" w:hAnsi="Traditional Arabic" w:cs="Traditional Arabic"/>
          <w:sz w:val="32"/>
          <w:szCs w:val="32"/>
        </w:rPr>
        <w:t>.</w:t>
      </w:r>
    </w:p>
    <w:p w14:paraId="5C7D0F70" w14:textId="7D373EF5" w:rsidR="00F5595F" w:rsidRPr="00F5595F" w:rsidRDefault="00F5595F" w:rsidP="00F5595F">
      <w:pPr>
        <w:numPr>
          <w:ilvl w:val="0"/>
          <w:numId w:val="39"/>
        </w:numPr>
        <w:bidi/>
        <w:spacing w:after="200" w:line="360" w:lineRule="auto"/>
        <w:jc w:val="both"/>
        <w:rPr>
          <w:rFonts w:ascii="Traditional Arabic" w:eastAsia="Calibri" w:hAnsi="Traditional Arabic" w:cs="Traditional Arabic"/>
          <w:sz w:val="32"/>
          <w:szCs w:val="32"/>
        </w:rPr>
      </w:pPr>
      <w:r w:rsidRPr="00F5595F">
        <w:rPr>
          <w:rFonts w:ascii="Traditional Arabic" w:eastAsia="Calibri" w:hAnsi="Traditional Arabic" w:cs="Traditional Arabic"/>
          <w:sz w:val="32"/>
          <w:szCs w:val="32"/>
          <w:rtl/>
        </w:rPr>
        <w:t>معامل التحديد (</w:t>
      </w:r>
      <w:r w:rsidRPr="00F5595F">
        <w:rPr>
          <w:rFonts w:ascii="Traditional Arabic" w:eastAsia="Calibri" w:hAnsi="Traditional Arabic" w:cs="Traditional Arabic"/>
          <w:sz w:val="32"/>
          <w:szCs w:val="32"/>
        </w:rPr>
        <w:t>R²</w:t>
      </w:r>
      <w:r w:rsidRPr="00F5595F">
        <w:rPr>
          <w:rFonts w:ascii="Traditional Arabic" w:eastAsia="Calibri" w:hAnsi="Traditional Arabic" w:cs="Traditional Arabic"/>
          <w:sz w:val="32"/>
          <w:szCs w:val="32"/>
          <w:rtl/>
        </w:rPr>
        <w:t>): لقياس نسبة التباين المفسرة في المتغير التابع في كل نموذج من نماذج الانحدار والوساطة</w:t>
      </w:r>
      <w:r w:rsidRPr="00F5595F">
        <w:rPr>
          <w:rFonts w:ascii="Traditional Arabic" w:eastAsia="Calibri" w:hAnsi="Traditional Arabic" w:cs="Traditional Arabic"/>
          <w:sz w:val="32"/>
          <w:szCs w:val="32"/>
        </w:rPr>
        <w:t>.</w:t>
      </w:r>
    </w:p>
    <w:p w14:paraId="2ACFBA1E" w14:textId="77777777" w:rsidR="00F5595F" w:rsidRDefault="00F5595F" w:rsidP="00F5595F">
      <w:pPr>
        <w:numPr>
          <w:ilvl w:val="0"/>
          <w:numId w:val="39"/>
        </w:numPr>
        <w:bidi/>
        <w:spacing w:after="200" w:line="360" w:lineRule="auto"/>
        <w:jc w:val="both"/>
        <w:rPr>
          <w:rFonts w:ascii="Traditional Arabic" w:eastAsia="Calibri" w:hAnsi="Traditional Arabic" w:cs="Traditional Arabic"/>
          <w:sz w:val="32"/>
          <w:szCs w:val="32"/>
        </w:rPr>
      </w:pPr>
      <w:r w:rsidRPr="00F5595F">
        <w:rPr>
          <w:rFonts w:ascii="Traditional Arabic" w:eastAsia="Calibri" w:hAnsi="Traditional Arabic" w:cs="Traditional Arabic"/>
          <w:sz w:val="32"/>
          <w:szCs w:val="32"/>
          <w:rtl/>
        </w:rPr>
        <w:t>اختبار</w:t>
      </w:r>
      <w:r w:rsidRPr="00F5595F">
        <w:rPr>
          <w:rFonts w:ascii="Traditional Arabic" w:eastAsia="Calibri" w:hAnsi="Traditional Arabic" w:cs="Traditional Arabic"/>
          <w:sz w:val="32"/>
          <w:szCs w:val="32"/>
        </w:rPr>
        <w:t xml:space="preserve"> F</w:t>
      </w:r>
      <w:r w:rsidRPr="00F5595F">
        <w:rPr>
          <w:rFonts w:ascii="Traditional Arabic" w:eastAsia="Calibri" w:hAnsi="Traditional Arabic" w:cs="Traditional Arabic"/>
          <w:sz w:val="32"/>
          <w:szCs w:val="32"/>
          <w:rtl/>
        </w:rPr>
        <w:t>: للتحقق من الدلالة الكلية لنماذج الانحدار، واختبار</w:t>
      </w:r>
      <w:r w:rsidRPr="00F5595F">
        <w:rPr>
          <w:rFonts w:ascii="Traditional Arabic" w:eastAsia="Calibri" w:hAnsi="Traditional Arabic" w:cs="Traditional Arabic"/>
          <w:sz w:val="32"/>
          <w:szCs w:val="32"/>
        </w:rPr>
        <w:t xml:space="preserve"> t </w:t>
      </w:r>
      <w:r w:rsidRPr="00F5595F">
        <w:rPr>
          <w:rFonts w:ascii="Traditional Arabic" w:eastAsia="Calibri" w:hAnsi="Traditional Arabic" w:cs="Traditional Arabic"/>
          <w:sz w:val="32"/>
          <w:szCs w:val="32"/>
          <w:rtl/>
        </w:rPr>
        <w:t>للتحقق من دلالة معاملات الانحدار الفردية</w:t>
      </w:r>
      <w:r w:rsidRPr="00F5595F">
        <w:rPr>
          <w:rFonts w:ascii="Traditional Arabic" w:eastAsia="Calibri" w:hAnsi="Traditional Arabic" w:cs="Traditional Arabic"/>
          <w:sz w:val="32"/>
          <w:szCs w:val="32"/>
        </w:rPr>
        <w:t>.</w:t>
      </w:r>
    </w:p>
    <w:p w14:paraId="5C7EEF25" w14:textId="77777777" w:rsidR="00F5595F" w:rsidRDefault="00F5595F" w:rsidP="00F5595F">
      <w:pPr>
        <w:numPr>
          <w:ilvl w:val="0"/>
          <w:numId w:val="39"/>
        </w:numPr>
        <w:bidi/>
        <w:spacing w:after="200" w:line="360" w:lineRule="auto"/>
        <w:jc w:val="both"/>
        <w:rPr>
          <w:rFonts w:ascii="Traditional Arabic" w:eastAsia="Calibri" w:hAnsi="Traditional Arabic" w:cs="Traditional Arabic"/>
          <w:sz w:val="32"/>
          <w:szCs w:val="32"/>
        </w:rPr>
      </w:pPr>
      <w:r w:rsidRPr="00F5595F">
        <w:rPr>
          <w:rFonts w:ascii="Traditional Arabic" w:eastAsia="Calibri" w:hAnsi="Traditional Arabic" w:cs="Traditional Arabic"/>
          <w:sz w:val="32"/>
          <w:szCs w:val="32"/>
        </w:rPr>
        <w:t>Cook’s Distance</w:t>
      </w:r>
      <w:r w:rsidRPr="00F5595F">
        <w:rPr>
          <w:rFonts w:ascii="Traditional Arabic" w:eastAsia="Calibri" w:hAnsi="Traditional Arabic" w:cs="Traditional Arabic"/>
          <w:sz w:val="32"/>
          <w:szCs w:val="32"/>
          <w:rtl/>
        </w:rPr>
        <w:t>: للكشف عن الحالات ذات التأثير المرتفع في نماذج الانحدار والتأكد من عدم وجود ملاحظات تؤثر بصورة غير متناسبة في نتائج التحليل</w:t>
      </w:r>
      <w:r w:rsidRPr="00F5595F">
        <w:rPr>
          <w:rFonts w:ascii="Traditional Arabic" w:eastAsia="Calibri" w:hAnsi="Traditional Arabic" w:cs="Traditional Arabic"/>
          <w:sz w:val="32"/>
          <w:szCs w:val="32"/>
        </w:rPr>
        <w:t>.</w:t>
      </w:r>
    </w:p>
    <w:p w14:paraId="18A62704" w14:textId="0CA94ACB" w:rsidR="00F5595F" w:rsidRPr="00F5595F" w:rsidRDefault="00F5595F" w:rsidP="00F5595F">
      <w:pPr>
        <w:numPr>
          <w:ilvl w:val="0"/>
          <w:numId w:val="39"/>
        </w:numPr>
        <w:bidi/>
        <w:spacing w:after="200" w:line="360" w:lineRule="auto"/>
        <w:jc w:val="both"/>
        <w:rPr>
          <w:rFonts w:ascii="Traditional Arabic" w:eastAsia="Calibri" w:hAnsi="Traditional Arabic" w:cs="Traditional Arabic"/>
          <w:sz w:val="32"/>
          <w:szCs w:val="32"/>
        </w:rPr>
      </w:pPr>
      <w:r w:rsidRPr="00F5595F">
        <w:rPr>
          <w:rFonts w:ascii="Traditional Arabic" w:eastAsia="Calibri" w:hAnsi="Traditional Arabic" w:cs="Traditional Arabic"/>
          <w:sz w:val="32"/>
          <w:szCs w:val="32"/>
        </w:rPr>
        <w:t>Durbin–Watson</w:t>
      </w:r>
      <w:r w:rsidRPr="00F5595F">
        <w:rPr>
          <w:rFonts w:ascii="Traditional Arabic" w:eastAsia="Calibri" w:hAnsi="Traditional Arabic" w:cs="Traditional Arabic"/>
          <w:sz w:val="32"/>
          <w:szCs w:val="32"/>
          <w:rtl/>
        </w:rPr>
        <w:t>: للتحقق من استقلال أخطاء الانحدار وعدم وجود ارتباط ذاتي مؤثر بين البواقي</w:t>
      </w:r>
      <w:r w:rsidRPr="00F5595F">
        <w:rPr>
          <w:rFonts w:ascii="Traditional Arabic" w:eastAsia="Calibri" w:hAnsi="Traditional Arabic" w:cs="Traditional Arabic"/>
          <w:sz w:val="32"/>
          <w:szCs w:val="32"/>
        </w:rPr>
        <w:t>.</w:t>
      </w:r>
    </w:p>
    <w:p w14:paraId="03371E1E" w14:textId="77777777" w:rsidR="0020372B" w:rsidRPr="00F5595F" w:rsidRDefault="0020372B" w:rsidP="0020372B">
      <w:pPr>
        <w:bidi/>
        <w:spacing w:after="200" w:line="360" w:lineRule="auto"/>
        <w:jc w:val="both"/>
        <w:rPr>
          <w:rFonts w:ascii="Traditional Arabic" w:eastAsia="Times New Roman" w:hAnsi="Traditional Arabic" w:cs="Traditional Arabic"/>
          <w:b/>
          <w:bCs/>
          <w:sz w:val="32"/>
          <w:szCs w:val="32"/>
          <w:rtl/>
        </w:rPr>
      </w:pPr>
    </w:p>
    <w:p w14:paraId="0CA86F87" w14:textId="77777777" w:rsidR="008074A2" w:rsidRPr="0020372B" w:rsidRDefault="008074A2" w:rsidP="004519FD">
      <w:pPr>
        <w:pageBreakBefore/>
        <w:bidi/>
        <w:spacing w:after="200" w:line="360" w:lineRule="auto"/>
        <w:jc w:val="both"/>
        <w:rPr>
          <w:rFonts w:ascii="Traditional Arabic" w:eastAsia="Calibri" w:hAnsi="Traditional Arabic" w:cs="Traditional Arabic"/>
          <w:sz w:val="36"/>
          <w:szCs w:val="36"/>
          <w:shd w:val="clear" w:color="auto" w:fill="FFFFFF"/>
          <w:rtl/>
        </w:rPr>
      </w:pPr>
      <w:r w:rsidRPr="0020372B">
        <w:rPr>
          <w:rFonts w:ascii="Traditional Arabic" w:eastAsia="Calibri" w:hAnsi="Traditional Arabic" w:cs="Traditional Arabic" w:hint="cs"/>
          <w:b/>
          <w:bCs/>
          <w:sz w:val="36"/>
          <w:szCs w:val="36"/>
          <w:rtl/>
        </w:rPr>
        <w:lastRenderedPageBreak/>
        <w:t xml:space="preserve">قائمة </w:t>
      </w:r>
      <w:r w:rsidRPr="0020372B">
        <w:rPr>
          <w:rFonts w:ascii="Traditional Arabic" w:eastAsia="Calibri" w:hAnsi="Traditional Arabic" w:cs="Traditional Arabic"/>
          <w:b/>
          <w:bCs/>
          <w:sz w:val="36"/>
          <w:szCs w:val="36"/>
          <w:rtl/>
        </w:rPr>
        <w:t>المراجع</w:t>
      </w:r>
    </w:p>
    <w:p w14:paraId="34CB3BD3" w14:textId="77777777" w:rsidR="008074A2" w:rsidRPr="008074A2" w:rsidRDefault="008074A2" w:rsidP="008074A2">
      <w:pPr>
        <w:bidi/>
        <w:spacing w:after="200" w:line="360" w:lineRule="auto"/>
        <w:jc w:val="both"/>
        <w:rPr>
          <w:rFonts w:ascii="Traditional Arabic" w:eastAsia="Calibri" w:hAnsi="Traditional Arabic" w:cs="Traditional Arabic"/>
          <w:b/>
          <w:bCs/>
          <w:sz w:val="36"/>
          <w:szCs w:val="36"/>
          <w:shd w:val="clear" w:color="auto" w:fill="FFFFFF"/>
        </w:rPr>
      </w:pPr>
      <w:r w:rsidRPr="008074A2">
        <w:rPr>
          <w:rFonts w:ascii="Traditional Arabic" w:eastAsia="Calibri" w:hAnsi="Traditional Arabic" w:cs="Traditional Arabic"/>
          <w:b/>
          <w:bCs/>
          <w:sz w:val="32"/>
          <w:szCs w:val="32"/>
          <w:shd w:val="clear" w:color="auto" w:fill="FFFFFF"/>
          <w:rtl/>
        </w:rPr>
        <w:t>اولا: المراجع العربية</w:t>
      </w:r>
    </w:p>
    <w:p w14:paraId="3AB0B0F9" w14:textId="1F6C949E" w:rsidR="008F48D0" w:rsidRPr="008F48D0" w:rsidRDefault="008F48D0" w:rsidP="0020372B">
      <w:pPr>
        <w:bidi/>
        <w:spacing w:before="100" w:beforeAutospacing="1" w:after="100" w:afterAutospacing="1" w:line="240" w:lineRule="auto"/>
        <w:ind w:left="793" w:hanging="709"/>
        <w:jc w:val="both"/>
        <w:rPr>
          <w:rFonts w:ascii="Traditional Arabic" w:eastAsia="Times New Roman" w:hAnsi="Traditional Arabic" w:cs="Traditional Arabic"/>
          <w:sz w:val="28"/>
          <w:szCs w:val="28"/>
          <w:lang w:bidi="ar-AE"/>
        </w:rPr>
      </w:pPr>
      <w:r w:rsidRPr="008F48D0">
        <w:rPr>
          <w:rFonts w:ascii="Traditional Arabic" w:eastAsia="Times New Roman" w:hAnsi="Traditional Arabic" w:cs="Traditional Arabic"/>
          <w:sz w:val="28"/>
          <w:szCs w:val="28"/>
          <w:rtl/>
        </w:rPr>
        <w:t>عبد القوي، رانيا الصاوي عبده. (2023). أساليب مواجهة الضغوط النفسية لدى الشباب الجامعي: دراسة مقارنة في ضوء متغيري النوع والعمر على عينة من الشباب الجامعي بكلية التربية جامعة 6 أكتوبر</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i/>
          <w:iCs/>
          <w:sz w:val="28"/>
          <w:szCs w:val="28"/>
          <w:rtl/>
        </w:rPr>
        <w:t>مجلة كلية الآداب، 68</w:t>
      </w:r>
      <w:r w:rsidRPr="008F48D0">
        <w:rPr>
          <w:rFonts w:ascii="Traditional Arabic" w:eastAsia="Times New Roman" w:hAnsi="Traditional Arabic" w:cs="Traditional Arabic"/>
          <w:sz w:val="28"/>
          <w:szCs w:val="28"/>
          <w:rtl/>
        </w:rPr>
        <w:t>، 376–422.</w:t>
      </w:r>
    </w:p>
    <w:p w14:paraId="27820791" w14:textId="4DC36B34" w:rsidR="008F48D0" w:rsidRPr="008F48D0" w:rsidRDefault="008F48D0" w:rsidP="0020372B">
      <w:pPr>
        <w:bidi/>
        <w:spacing w:before="100" w:beforeAutospacing="1" w:after="100" w:afterAutospacing="1" w:line="240" w:lineRule="auto"/>
        <w:ind w:left="793" w:hanging="709"/>
        <w:jc w:val="both"/>
        <w:rPr>
          <w:rFonts w:ascii="Traditional Arabic" w:eastAsia="Times New Roman" w:hAnsi="Traditional Arabic" w:cs="Traditional Arabic"/>
          <w:sz w:val="28"/>
          <w:szCs w:val="28"/>
        </w:rPr>
      </w:pPr>
      <w:r w:rsidRPr="008F48D0">
        <w:rPr>
          <w:rFonts w:ascii="Traditional Arabic" w:eastAsia="Times New Roman" w:hAnsi="Traditional Arabic" w:cs="Traditional Arabic"/>
          <w:sz w:val="28"/>
          <w:szCs w:val="28"/>
          <w:rtl/>
        </w:rPr>
        <w:t>عطير، ربيع شفيق. (2019</w:t>
      </w:r>
      <w:r>
        <w:rPr>
          <w:rFonts w:ascii="Traditional Arabic" w:eastAsia="Times New Roman" w:hAnsi="Traditional Arabic" w:cs="Traditional Arabic" w:hint="cs"/>
          <w:sz w:val="28"/>
          <w:szCs w:val="28"/>
          <w:rtl/>
        </w:rPr>
        <w:t>).</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i/>
          <w:iCs/>
          <w:sz w:val="28"/>
          <w:szCs w:val="28"/>
          <w:rtl/>
        </w:rPr>
        <w:t>الضغوط النفسية واستراتيجيات التعامل معها</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sz w:val="28"/>
          <w:szCs w:val="28"/>
          <w:rtl/>
        </w:rPr>
        <w:t>عمان: دار المسيرة للنشر والتوزيع</w:t>
      </w:r>
      <w:r w:rsidRPr="008F48D0">
        <w:rPr>
          <w:rFonts w:ascii="Traditional Arabic" w:eastAsia="Times New Roman" w:hAnsi="Traditional Arabic" w:cs="Traditional Arabic"/>
          <w:sz w:val="28"/>
          <w:szCs w:val="28"/>
        </w:rPr>
        <w:t>.</w:t>
      </w:r>
    </w:p>
    <w:p w14:paraId="4269079D" w14:textId="5A82259C" w:rsidR="008F48D0" w:rsidRPr="008F48D0" w:rsidRDefault="008F48D0" w:rsidP="0020372B">
      <w:pPr>
        <w:bidi/>
        <w:spacing w:before="100" w:beforeAutospacing="1" w:after="100" w:afterAutospacing="1" w:line="240" w:lineRule="auto"/>
        <w:ind w:left="793" w:hanging="709"/>
        <w:jc w:val="both"/>
        <w:rPr>
          <w:rFonts w:ascii="Traditional Arabic" w:eastAsia="Times New Roman" w:hAnsi="Traditional Arabic" w:cs="Traditional Arabic"/>
          <w:sz w:val="28"/>
          <w:szCs w:val="28"/>
        </w:rPr>
      </w:pPr>
      <w:r w:rsidRPr="008F48D0">
        <w:rPr>
          <w:rFonts w:ascii="Traditional Arabic" w:eastAsia="Times New Roman" w:hAnsi="Traditional Arabic" w:cs="Traditional Arabic"/>
          <w:sz w:val="28"/>
          <w:szCs w:val="28"/>
          <w:rtl/>
        </w:rPr>
        <w:t>سيد، أميرة فايق أمين. (2016). الرضا الوظيفي كمتغير وسيط في العلاقة بين الاحتراق النفسي والعلاقات الأسرية لدى الموظفين الإداريين بالمحاكم من الجنسين</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i/>
          <w:iCs/>
          <w:sz w:val="28"/>
          <w:szCs w:val="28"/>
          <w:rtl/>
        </w:rPr>
        <w:t>المجلة المصرية لعلم النفس الإكلينيكي والإرشادي، 4</w:t>
      </w:r>
      <w:r w:rsidRPr="008F48D0">
        <w:rPr>
          <w:rFonts w:ascii="Traditional Arabic" w:eastAsia="Times New Roman" w:hAnsi="Traditional Arabic" w:cs="Traditional Arabic"/>
          <w:sz w:val="28"/>
          <w:szCs w:val="28"/>
        </w:rPr>
        <w:t>(1)</w:t>
      </w:r>
      <w:r w:rsidRPr="008F48D0">
        <w:rPr>
          <w:rFonts w:ascii="Traditional Arabic" w:eastAsia="Times New Roman" w:hAnsi="Traditional Arabic" w:cs="Traditional Arabic"/>
          <w:sz w:val="28"/>
          <w:szCs w:val="28"/>
          <w:rtl/>
        </w:rPr>
        <w:t>، 71–112.</w:t>
      </w:r>
    </w:p>
    <w:p w14:paraId="5255E5E1" w14:textId="5F3DBB40" w:rsidR="008F48D0" w:rsidRPr="008F48D0" w:rsidRDefault="008F48D0" w:rsidP="0020372B">
      <w:pPr>
        <w:bidi/>
        <w:spacing w:before="100" w:beforeAutospacing="1" w:after="100" w:afterAutospacing="1" w:line="240" w:lineRule="auto"/>
        <w:ind w:left="793" w:hanging="709"/>
        <w:jc w:val="both"/>
        <w:rPr>
          <w:rFonts w:ascii="Traditional Arabic" w:eastAsia="Times New Roman" w:hAnsi="Traditional Arabic" w:cs="Traditional Arabic"/>
          <w:sz w:val="28"/>
          <w:szCs w:val="28"/>
        </w:rPr>
      </w:pPr>
      <w:r w:rsidRPr="008F48D0">
        <w:rPr>
          <w:rFonts w:ascii="Traditional Arabic" w:eastAsia="Times New Roman" w:hAnsi="Traditional Arabic" w:cs="Traditional Arabic"/>
          <w:sz w:val="28"/>
          <w:szCs w:val="28"/>
          <w:rtl/>
        </w:rPr>
        <w:t>الشرايدة، سالم تيسير سالم. (2008). الرضا الوظيفي لدى معلمي ومعلمات المرحلة الأساسية في المدارس الحكومية في إقليم جنوب الأردن</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i/>
          <w:iCs/>
          <w:sz w:val="28"/>
          <w:szCs w:val="28"/>
          <w:rtl/>
        </w:rPr>
        <w:t>رسالة المعلم، 46</w:t>
      </w:r>
      <w:r w:rsidRPr="008F48D0">
        <w:rPr>
          <w:rFonts w:ascii="Traditional Arabic" w:eastAsia="Times New Roman" w:hAnsi="Traditional Arabic" w:cs="Traditional Arabic"/>
          <w:sz w:val="28"/>
          <w:szCs w:val="28"/>
        </w:rPr>
        <w:t>(4)</w:t>
      </w:r>
      <w:r w:rsidRPr="008F48D0">
        <w:rPr>
          <w:rFonts w:ascii="Traditional Arabic" w:eastAsia="Times New Roman" w:hAnsi="Traditional Arabic" w:cs="Traditional Arabic"/>
          <w:sz w:val="28"/>
          <w:szCs w:val="28"/>
          <w:rtl/>
        </w:rPr>
        <w:t>، 33–37</w:t>
      </w:r>
      <w:r w:rsidRPr="008F48D0">
        <w:rPr>
          <w:rFonts w:ascii="Traditional Arabic" w:eastAsia="Times New Roman" w:hAnsi="Traditional Arabic" w:cs="Traditional Arabic"/>
          <w:sz w:val="28"/>
          <w:szCs w:val="28"/>
        </w:rPr>
        <w:t>.</w:t>
      </w:r>
    </w:p>
    <w:p w14:paraId="4460CC65" w14:textId="3B58CD05" w:rsidR="008F48D0" w:rsidRPr="008F48D0" w:rsidRDefault="008F48D0" w:rsidP="0020372B">
      <w:pPr>
        <w:bidi/>
        <w:spacing w:before="100" w:beforeAutospacing="1" w:after="100" w:afterAutospacing="1" w:line="240" w:lineRule="auto"/>
        <w:ind w:left="793" w:hanging="709"/>
        <w:jc w:val="both"/>
        <w:rPr>
          <w:rFonts w:ascii="Traditional Arabic" w:eastAsia="Times New Roman" w:hAnsi="Traditional Arabic" w:cs="Traditional Arabic"/>
          <w:sz w:val="28"/>
          <w:szCs w:val="28"/>
        </w:rPr>
      </w:pPr>
      <w:r w:rsidRPr="008F48D0">
        <w:rPr>
          <w:rFonts w:ascii="Traditional Arabic" w:eastAsia="Times New Roman" w:hAnsi="Traditional Arabic" w:cs="Traditional Arabic"/>
          <w:sz w:val="28"/>
          <w:szCs w:val="28"/>
          <w:rtl/>
        </w:rPr>
        <w:t>الغزو، نائلة عبد الكريم. (2024). استراتيجيات مواجهة الضغوط المهنية كمتنبئات بالقلق الوظيفي والشعور بالرضا المهني لدى المعلمات المتزوجات في محافظة إربد</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i/>
          <w:iCs/>
          <w:sz w:val="28"/>
          <w:szCs w:val="28"/>
          <w:rtl/>
        </w:rPr>
        <w:t>المجلة الأردنية في العلوم التربوية، 20</w:t>
      </w:r>
      <w:r w:rsidRPr="008F48D0">
        <w:rPr>
          <w:rFonts w:ascii="Traditional Arabic" w:eastAsia="Times New Roman" w:hAnsi="Traditional Arabic" w:cs="Traditional Arabic"/>
          <w:sz w:val="28"/>
          <w:szCs w:val="28"/>
        </w:rPr>
        <w:t>(4)</w:t>
      </w:r>
      <w:r w:rsidRPr="008F48D0">
        <w:rPr>
          <w:rFonts w:ascii="Traditional Arabic" w:eastAsia="Times New Roman" w:hAnsi="Traditional Arabic" w:cs="Traditional Arabic"/>
          <w:sz w:val="28"/>
          <w:szCs w:val="28"/>
          <w:rtl/>
        </w:rPr>
        <w:t xml:space="preserve">، 635–652. </w:t>
      </w:r>
      <w:r w:rsidRPr="008F48D0">
        <w:rPr>
          <w:rFonts w:ascii="Traditional Arabic" w:eastAsia="Times New Roman" w:hAnsi="Traditional Arabic" w:cs="Traditional Arabic"/>
          <w:sz w:val="28"/>
          <w:szCs w:val="28"/>
        </w:rPr>
        <w:t>https://doi.org/10.47015/20.4.1</w:t>
      </w:r>
    </w:p>
    <w:p w14:paraId="508E087F" w14:textId="0030520A" w:rsidR="008F48D0" w:rsidRPr="008F48D0" w:rsidRDefault="008F48D0" w:rsidP="0020372B">
      <w:pPr>
        <w:bidi/>
        <w:spacing w:before="100" w:beforeAutospacing="1" w:after="100" w:afterAutospacing="1" w:line="240" w:lineRule="auto"/>
        <w:ind w:left="793" w:hanging="709"/>
        <w:jc w:val="both"/>
        <w:rPr>
          <w:rFonts w:ascii="Traditional Arabic" w:eastAsia="Times New Roman" w:hAnsi="Traditional Arabic" w:cs="Traditional Arabic"/>
          <w:sz w:val="28"/>
          <w:szCs w:val="28"/>
        </w:rPr>
      </w:pPr>
      <w:r w:rsidRPr="008F48D0">
        <w:rPr>
          <w:rFonts w:ascii="Traditional Arabic" w:eastAsia="Times New Roman" w:hAnsi="Traditional Arabic" w:cs="Traditional Arabic"/>
          <w:sz w:val="28"/>
          <w:szCs w:val="28"/>
          <w:rtl/>
        </w:rPr>
        <w:t>الملحم، وليد عبد المحسن. (2007</w:t>
      </w:r>
      <w:r>
        <w:rPr>
          <w:rFonts w:ascii="Traditional Arabic" w:eastAsia="Times New Roman" w:hAnsi="Traditional Arabic" w:cs="Traditional Arabic" w:hint="cs"/>
          <w:sz w:val="28"/>
          <w:szCs w:val="28"/>
          <w:rtl/>
        </w:rPr>
        <w:t>).</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i/>
          <w:iCs/>
          <w:sz w:val="28"/>
          <w:szCs w:val="28"/>
          <w:rtl/>
        </w:rPr>
        <w:t>ضغوط العمل وعلاقتها باتجاهات العاملين نحو التسرب الوظيفي</w:t>
      </w:r>
      <w:r w:rsidRPr="008F48D0">
        <w:rPr>
          <w:rFonts w:ascii="Traditional Arabic" w:eastAsia="Times New Roman" w:hAnsi="Traditional Arabic" w:cs="Traditional Arabic"/>
          <w:sz w:val="28"/>
          <w:szCs w:val="28"/>
          <w:rtl/>
        </w:rPr>
        <w:t xml:space="preserve"> </w:t>
      </w:r>
      <w:r w:rsidRPr="008F48D0">
        <w:rPr>
          <w:rFonts w:ascii="Traditional Arabic" w:eastAsia="Times New Roman" w:hAnsi="Traditional Arabic" w:cs="Traditional Arabic"/>
          <w:sz w:val="28"/>
          <w:szCs w:val="28"/>
        </w:rPr>
        <w:t>(</w:t>
      </w:r>
      <w:r w:rsidRPr="008F48D0">
        <w:rPr>
          <w:rFonts w:ascii="Traditional Arabic" w:eastAsia="Times New Roman" w:hAnsi="Traditional Arabic" w:cs="Traditional Arabic"/>
          <w:sz w:val="28"/>
          <w:szCs w:val="28"/>
          <w:rtl/>
        </w:rPr>
        <w:t>رسالة ماجستير غير منشورة). الرياض، المملكة العربية السعودية</w:t>
      </w:r>
      <w:r w:rsidRPr="008F48D0">
        <w:rPr>
          <w:rFonts w:ascii="Traditional Arabic" w:eastAsia="Times New Roman" w:hAnsi="Traditional Arabic" w:cs="Traditional Arabic"/>
          <w:sz w:val="28"/>
          <w:szCs w:val="28"/>
        </w:rPr>
        <w:t>.</w:t>
      </w:r>
    </w:p>
    <w:p w14:paraId="73E8C6C0" w14:textId="4BAA33DD" w:rsidR="008F48D0" w:rsidRPr="008F48D0" w:rsidRDefault="008F48D0" w:rsidP="0020372B">
      <w:pPr>
        <w:bidi/>
        <w:spacing w:before="100" w:beforeAutospacing="1" w:after="100" w:afterAutospacing="1" w:line="240" w:lineRule="auto"/>
        <w:ind w:left="793" w:hanging="709"/>
        <w:jc w:val="both"/>
        <w:rPr>
          <w:rFonts w:ascii="Traditional Arabic" w:eastAsia="Times New Roman" w:hAnsi="Traditional Arabic" w:cs="Traditional Arabic"/>
          <w:sz w:val="28"/>
          <w:szCs w:val="28"/>
        </w:rPr>
      </w:pPr>
      <w:r w:rsidRPr="008F48D0">
        <w:rPr>
          <w:rFonts w:ascii="Traditional Arabic" w:eastAsia="Times New Roman" w:hAnsi="Traditional Arabic" w:cs="Traditional Arabic"/>
          <w:sz w:val="28"/>
          <w:szCs w:val="28"/>
          <w:rtl/>
        </w:rPr>
        <w:t>مكانسي، محمد، وقدرو، كمال. (2025). استراتيجيات مواجهة الضغوط النفسية: المفهوم والتصنيف</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i/>
          <w:iCs/>
          <w:sz w:val="28"/>
          <w:szCs w:val="28"/>
          <w:rtl/>
        </w:rPr>
        <w:t>مجلة الباحث في العلوم الإنسانية والاجتماعية، 16</w:t>
      </w:r>
      <w:r w:rsidRPr="008F48D0">
        <w:rPr>
          <w:rFonts w:ascii="Traditional Arabic" w:eastAsia="Times New Roman" w:hAnsi="Traditional Arabic" w:cs="Traditional Arabic"/>
          <w:sz w:val="28"/>
          <w:szCs w:val="28"/>
        </w:rPr>
        <w:t>(1)</w:t>
      </w:r>
      <w:r w:rsidRPr="008F48D0">
        <w:rPr>
          <w:rFonts w:ascii="Traditional Arabic" w:eastAsia="Times New Roman" w:hAnsi="Traditional Arabic" w:cs="Traditional Arabic"/>
          <w:sz w:val="28"/>
          <w:szCs w:val="28"/>
          <w:rtl/>
        </w:rPr>
        <w:t>، 120–139.</w:t>
      </w:r>
    </w:p>
    <w:p w14:paraId="441DB30E" w14:textId="18F19100" w:rsidR="008F48D0" w:rsidRPr="008F48D0" w:rsidRDefault="008F48D0" w:rsidP="0020372B">
      <w:pPr>
        <w:bidi/>
        <w:spacing w:before="100" w:beforeAutospacing="1" w:after="100" w:afterAutospacing="1" w:line="240" w:lineRule="auto"/>
        <w:ind w:left="793" w:hanging="709"/>
        <w:jc w:val="both"/>
        <w:rPr>
          <w:rFonts w:ascii="Traditional Arabic" w:eastAsia="Times New Roman" w:hAnsi="Traditional Arabic" w:cs="Traditional Arabic"/>
          <w:sz w:val="28"/>
          <w:szCs w:val="28"/>
        </w:rPr>
      </w:pPr>
      <w:r w:rsidRPr="008F48D0">
        <w:rPr>
          <w:rFonts w:ascii="Traditional Arabic" w:eastAsia="Times New Roman" w:hAnsi="Traditional Arabic" w:cs="Traditional Arabic"/>
          <w:sz w:val="28"/>
          <w:szCs w:val="28"/>
          <w:rtl/>
        </w:rPr>
        <w:t>مقداد، محمد، وخليفة، فاضل عباس. (2012). الضغوط النفسية واستراتيجيات مواجهتها لدى معلمي نظام الفصل بمملكة البحرين</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i/>
          <w:iCs/>
          <w:sz w:val="28"/>
          <w:szCs w:val="28"/>
          <w:rtl/>
        </w:rPr>
        <w:t>مجلة دراسات نفسية وتربوية البحرين، 9</w:t>
      </w:r>
      <w:r w:rsidRPr="008F48D0">
        <w:rPr>
          <w:rFonts w:ascii="Traditional Arabic" w:eastAsia="Times New Roman" w:hAnsi="Traditional Arabic" w:cs="Traditional Arabic"/>
          <w:sz w:val="28"/>
          <w:szCs w:val="28"/>
          <w:rtl/>
        </w:rPr>
        <w:t>، 175–219.</w:t>
      </w:r>
    </w:p>
    <w:p w14:paraId="426AEAF1" w14:textId="13535112" w:rsidR="008F48D0" w:rsidRPr="008F48D0" w:rsidRDefault="008F48D0" w:rsidP="0020372B">
      <w:pPr>
        <w:bidi/>
        <w:spacing w:before="100" w:beforeAutospacing="1" w:after="100" w:afterAutospacing="1" w:line="240" w:lineRule="auto"/>
        <w:ind w:left="793" w:hanging="709"/>
        <w:jc w:val="both"/>
        <w:rPr>
          <w:rFonts w:ascii="Traditional Arabic" w:eastAsia="Times New Roman" w:hAnsi="Traditional Arabic" w:cs="Traditional Arabic"/>
          <w:sz w:val="28"/>
          <w:szCs w:val="28"/>
        </w:rPr>
      </w:pPr>
      <w:r w:rsidRPr="008F48D0">
        <w:rPr>
          <w:rFonts w:ascii="Traditional Arabic" w:eastAsia="Times New Roman" w:hAnsi="Traditional Arabic" w:cs="Traditional Arabic"/>
          <w:sz w:val="28"/>
          <w:szCs w:val="28"/>
          <w:rtl/>
        </w:rPr>
        <w:t>وزارة الموارد البشرية والتنمية الاجتماعية. (2023</w:t>
      </w:r>
      <w:r>
        <w:rPr>
          <w:rFonts w:ascii="Traditional Arabic" w:eastAsia="Times New Roman" w:hAnsi="Traditional Arabic" w:cs="Traditional Arabic" w:hint="cs"/>
          <w:sz w:val="28"/>
          <w:szCs w:val="28"/>
          <w:rtl/>
        </w:rPr>
        <w:t>).</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i/>
          <w:iCs/>
          <w:sz w:val="28"/>
          <w:szCs w:val="28"/>
          <w:rtl/>
        </w:rPr>
        <w:t>التقرير السنوي لوزارة الموارد البشرية والتنمية الاجتماعية 2023</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sz w:val="28"/>
          <w:szCs w:val="28"/>
          <w:rtl/>
        </w:rPr>
        <w:t xml:space="preserve">المملكة العربية السعودية. </w:t>
      </w:r>
      <w:r w:rsidRPr="008F48D0">
        <w:rPr>
          <w:rFonts w:ascii="Traditional Arabic" w:eastAsia="Times New Roman" w:hAnsi="Traditional Arabic" w:cs="Traditional Arabic"/>
          <w:sz w:val="28"/>
          <w:szCs w:val="28"/>
        </w:rPr>
        <w:t>https://hrsd.gov.sa</w:t>
      </w:r>
    </w:p>
    <w:p w14:paraId="1AC3E4A3" w14:textId="06430655" w:rsidR="008F48D0" w:rsidRPr="008F48D0" w:rsidRDefault="008F48D0" w:rsidP="0020372B">
      <w:pPr>
        <w:bidi/>
        <w:spacing w:before="100" w:beforeAutospacing="1" w:after="100" w:afterAutospacing="1" w:line="240" w:lineRule="auto"/>
        <w:ind w:left="793" w:hanging="709"/>
        <w:jc w:val="both"/>
        <w:rPr>
          <w:rFonts w:ascii="Traditional Arabic" w:eastAsia="Times New Roman" w:hAnsi="Traditional Arabic" w:cs="Traditional Arabic"/>
          <w:sz w:val="28"/>
          <w:szCs w:val="28"/>
        </w:rPr>
      </w:pPr>
      <w:r w:rsidRPr="008F48D0">
        <w:rPr>
          <w:rFonts w:ascii="Traditional Arabic" w:eastAsia="Times New Roman" w:hAnsi="Traditional Arabic" w:cs="Traditional Arabic"/>
          <w:sz w:val="28"/>
          <w:szCs w:val="28"/>
          <w:rtl/>
        </w:rPr>
        <w:t>وزارة العدل. (2025</w:t>
      </w:r>
      <w:r>
        <w:rPr>
          <w:rFonts w:ascii="Traditional Arabic" w:eastAsia="Times New Roman" w:hAnsi="Traditional Arabic" w:cs="Traditional Arabic" w:hint="cs"/>
          <w:sz w:val="28"/>
          <w:szCs w:val="28"/>
          <w:rtl/>
        </w:rPr>
        <w:t>).</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i/>
          <w:iCs/>
          <w:sz w:val="28"/>
          <w:szCs w:val="28"/>
          <w:rtl/>
        </w:rPr>
        <w:t>التقرير الإحصائي السنوي للقوى العاملة</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sz w:val="28"/>
          <w:szCs w:val="28"/>
          <w:rtl/>
        </w:rPr>
        <w:t>المملكة العربية السعودية</w:t>
      </w:r>
      <w:r w:rsidRPr="008F48D0">
        <w:rPr>
          <w:rFonts w:ascii="Traditional Arabic" w:eastAsia="Times New Roman" w:hAnsi="Traditional Arabic" w:cs="Traditional Arabic"/>
          <w:sz w:val="28"/>
          <w:szCs w:val="28"/>
        </w:rPr>
        <w:t>.</w:t>
      </w:r>
    </w:p>
    <w:p w14:paraId="5968C79E" w14:textId="7567F6EB" w:rsidR="00EB2049" w:rsidRPr="00EB2049" w:rsidRDefault="008074A2" w:rsidP="00EB2049">
      <w:pPr>
        <w:bidi/>
        <w:spacing w:before="100" w:beforeAutospacing="1" w:after="100" w:afterAutospacing="1" w:line="240" w:lineRule="auto"/>
        <w:rPr>
          <w:rFonts w:ascii="Traditional Arabic" w:eastAsia="Times New Roman" w:hAnsi="Traditional Arabic" w:cs="Traditional Arabic"/>
          <w:b/>
          <w:bCs/>
          <w:sz w:val="36"/>
          <w:szCs w:val="36"/>
          <w:rtl/>
          <w:lang w:bidi="ar-JO"/>
        </w:rPr>
      </w:pPr>
      <w:r w:rsidRPr="004519FD">
        <w:rPr>
          <w:rFonts w:ascii="Traditional Arabic" w:eastAsia="Times New Roman" w:hAnsi="Traditional Arabic" w:cs="Traditional Arabic"/>
          <w:b/>
          <w:bCs/>
          <w:sz w:val="36"/>
          <w:szCs w:val="36"/>
          <w:rtl/>
        </w:rPr>
        <w:lastRenderedPageBreak/>
        <w:t>ثانيا: المراجع الاجنبية</w:t>
      </w:r>
    </w:p>
    <w:p w14:paraId="6D90DD6E" w14:textId="3AE16EE4"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Anees, R. T., Heidler, P., Cavaliere, L. P. L., &amp; Nordin, N. A. (2021). Brain drain in higher education: The impact of job stress and workload on turnover intention and the mediating role of job satisfaction at universities. European Journal of Business and Management Research, 6(3), 1–8. https://doi.org/10.24018/ejbmr.2021.6.3.849</w:t>
      </w:r>
    </w:p>
    <w:p w14:paraId="2EB954CE" w14:textId="4D366585"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proofErr w:type="spellStart"/>
      <w:r w:rsidRPr="00EB2049">
        <w:rPr>
          <w:rFonts w:asciiTheme="majorBidi" w:eastAsia="Times New Roman" w:hAnsiTheme="majorBidi" w:cstheme="majorBidi"/>
          <w:sz w:val="28"/>
          <w:szCs w:val="28"/>
        </w:rPr>
        <w:t>Aljawarneh</w:t>
      </w:r>
      <w:proofErr w:type="spellEnd"/>
      <w:r w:rsidRPr="00EB2049">
        <w:rPr>
          <w:rFonts w:asciiTheme="majorBidi" w:eastAsia="Times New Roman" w:hAnsiTheme="majorBidi" w:cstheme="majorBidi"/>
          <w:sz w:val="28"/>
          <w:szCs w:val="28"/>
        </w:rPr>
        <w:t>, Y., Al-</w:t>
      </w:r>
      <w:proofErr w:type="spellStart"/>
      <w:r w:rsidRPr="00EB2049">
        <w:rPr>
          <w:rFonts w:asciiTheme="majorBidi" w:eastAsia="Times New Roman" w:hAnsiTheme="majorBidi" w:cstheme="majorBidi"/>
          <w:sz w:val="28"/>
          <w:szCs w:val="28"/>
        </w:rPr>
        <w:t>Bashaireh</w:t>
      </w:r>
      <w:proofErr w:type="spellEnd"/>
      <w:r w:rsidRPr="00EB2049">
        <w:rPr>
          <w:rFonts w:asciiTheme="majorBidi" w:eastAsia="Times New Roman" w:hAnsiTheme="majorBidi" w:cstheme="majorBidi"/>
          <w:sz w:val="28"/>
          <w:szCs w:val="28"/>
        </w:rPr>
        <w:t xml:space="preserve">, A., </w:t>
      </w:r>
      <w:proofErr w:type="spellStart"/>
      <w:r w:rsidRPr="00EB2049">
        <w:rPr>
          <w:rFonts w:asciiTheme="majorBidi" w:eastAsia="Times New Roman" w:hAnsiTheme="majorBidi" w:cstheme="majorBidi"/>
          <w:sz w:val="28"/>
          <w:szCs w:val="28"/>
        </w:rPr>
        <w:t>Albikawi</w:t>
      </w:r>
      <w:proofErr w:type="spellEnd"/>
      <w:r w:rsidRPr="00EB2049">
        <w:rPr>
          <w:rFonts w:asciiTheme="majorBidi" w:eastAsia="Times New Roman" w:hAnsiTheme="majorBidi" w:cstheme="majorBidi"/>
          <w:sz w:val="28"/>
          <w:szCs w:val="28"/>
        </w:rPr>
        <w:t xml:space="preserve">, Z., </w:t>
      </w:r>
      <w:proofErr w:type="spellStart"/>
      <w:r w:rsidRPr="00EB2049">
        <w:rPr>
          <w:rFonts w:asciiTheme="majorBidi" w:eastAsia="Times New Roman" w:hAnsiTheme="majorBidi" w:cstheme="majorBidi"/>
          <w:sz w:val="28"/>
          <w:szCs w:val="28"/>
        </w:rPr>
        <w:t>Alkouri</w:t>
      </w:r>
      <w:proofErr w:type="spellEnd"/>
      <w:r w:rsidRPr="00EB2049">
        <w:rPr>
          <w:rFonts w:asciiTheme="majorBidi" w:eastAsia="Times New Roman" w:hAnsiTheme="majorBidi" w:cstheme="majorBidi"/>
          <w:sz w:val="28"/>
          <w:szCs w:val="28"/>
        </w:rPr>
        <w:t xml:space="preserve">, O., </w:t>
      </w:r>
      <w:proofErr w:type="spellStart"/>
      <w:r w:rsidRPr="00EB2049">
        <w:rPr>
          <w:rFonts w:asciiTheme="majorBidi" w:eastAsia="Times New Roman" w:hAnsiTheme="majorBidi" w:cstheme="majorBidi"/>
          <w:sz w:val="28"/>
          <w:szCs w:val="28"/>
        </w:rPr>
        <w:t>Alrida</w:t>
      </w:r>
      <w:proofErr w:type="spellEnd"/>
      <w:r w:rsidRPr="00EB2049">
        <w:rPr>
          <w:rFonts w:asciiTheme="majorBidi" w:eastAsia="Times New Roman" w:hAnsiTheme="majorBidi" w:cstheme="majorBidi"/>
          <w:sz w:val="28"/>
          <w:szCs w:val="28"/>
        </w:rPr>
        <w:t xml:space="preserve">, N. A., </w:t>
      </w:r>
      <w:proofErr w:type="spellStart"/>
      <w:r w:rsidRPr="00EB2049">
        <w:rPr>
          <w:rFonts w:asciiTheme="majorBidi" w:eastAsia="Times New Roman" w:hAnsiTheme="majorBidi" w:cstheme="majorBidi"/>
          <w:sz w:val="28"/>
          <w:szCs w:val="28"/>
        </w:rPr>
        <w:t>Abuadas</w:t>
      </w:r>
      <w:proofErr w:type="spellEnd"/>
      <w:r w:rsidRPr="00EB2049">
        <w:rPr>
          <w:rFonts w:asciiTheme="majorBidi" w:eastAsia="Times New Roman" w:hAnsiTheme="majorBidi" w:cstheme="majorBidi"/>
          <w:sz w:val="28"/>
          <w:szCs w:val="28"/>
        </w:rPr>
        <w:t xml:space="preserve">, M., </w:t>
      </w:r>
      <w:proofErr w:type="spellStart"/>
      <w:r w:rsidRPr="00EB2049">
        <w:rPr>
          <w:rFonts w:asciiTheme="majorBidi" w:eastAsia="Times New Roman" w:hAnsiTheme="majorBidi" w:cstheme="majorBidi"/>
          <w:sz w:val="28"/>
          <w:szCs w:val="28"/>
        </w:rPr>
        <w:t>Alobaidly</w:t>
      </w:r>
      <w:proofErr w:type="spellEnd"/>
      <w:r w:rsidRPr="00EB2049">
        <w:rPr>
          <w:rFonts w:asciiTheme="majorBidi" w:eastAsia="Times New Roman" w:hAnsiTheme="majorBidi" w:cstheme="majorBidi"/>
          <w:sz w:val="28"/>
          <w:szCs w:val="28"/>
        </w:rPr>
        <w:t xml:space="preserve">, A., Alyileili, M., Alyileili, S., Alyileili, W., Alhefetti, F., Alhefeiti, A., Alshehri, A., Alharbi, A., &amp; </w:t>
      </w:r>
      <w:proofErr w:type="spellStart"/>
      <w:r w:rsidRPr="00EB2049">
        <w:rPr>
          <w:rFonts w:asciiTheme="majorBidi" w:eastAsia="Times New Roman" w:hAnsiTheme="majorBidi" w:cstheme="majorBidi"/>
          <w:sz w:val="28"/>
          <w:szCs w:val="28"/>
        </w:rPr>
        <w:t>Qaladi</w:t>
      </w:r>
      <w:proofErr w:type="spellEnd"/>
      <w:r w:rsidRPr="00EB2049">
        <w:rPr>
          <w:rFonts w:asciiTheme="majorBidi" w:eastAsia="Times New Roman" w:hAnsiTheme="majorBidi" w:cstheme="majorBidi"/>
          <w:sz w:val="28"/>
          <w:szCs w:val="28"/>
        </w:rPr>
        <w:t>, O. (2025). The influence of occupational stress and job satisfaction on burnout among healthcare workers in the UAE: A cross-sectional study. PLOS ONE, 20(10), e0335430. https://doi.org/10.1371/journal.pone.0335430</w:t>
      </w:r>
    </w:p>
    <w:p w14:paraId="2267527C" w14:textId="34AF8963"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proofErr w:type="spellStart"/>
      <w:r w:rsidRPr="00EB2049">
        <w:rPr>
          <w:rFonts w:asciiTheme="majorBidi" w:eastAsia="Times New Roman" w:hAnsiTheme="majorBidi" w:cstheme="majorBidi"/>
          <w:sz w:val="28"/>
          <w:szCs w:val="28"/>
        </w:rPr>
        <w:t>Arumsari</w:t>
      </w:r>
      <w:proofErr w:type="spellEnd"/>
      <w:r w:rsidRPr="00EB2049">
        <w:rPr>
          <w:rFonts w:asciiTheme="majorBidi" w:eastAsia="Times New Roman" w:hAnsiTheme="majorBidi" w:cstheme="majorBidi"/>
          <w:sz w:val="28"/>
          <w:szCs w:val="28"/>
        </w:rPr>
        <w:t>, A., Suherman, E., &amp; Khalida, L. R. (2025). The effect of burnout and job satisfaction on turnover intention at PT Jonan Indonesia. International Journal of Economics and Management Research, 4(2), 113–118. https://doi.org/10.55606/ijemr.v4i2.361</w:t>
      </w:r>
    </w:p>
    <w:p w14:paraId="13E2C454" w14:textId="788F835D"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Bakker, A. B., &amp; Demerouti, E. (2017). Job demands–resources theory: Taking stock and looking forward. Journal of Occupational Health Psychology, 22(3), 273–285.</w:t>
      </w:r>
    </w:p>
    <w:p w14:paraId="77F84AF1" w14:textId="6D267CD2"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Bakker, A. B., Demerouti, E., &amp; Sanz-Vergel, A. I. (2023). Burnout and work engagement: The JD-R approach. Annual Review of Organizational Psychology and Organizational Behavior, 10, 47–75.</w:t>
      </w:r>
    </w:p>
    <w:p w14:paraId="0B5FFF4F" w14:textId="77777777"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Pr>
      </w:pPr>
      <w:r w:rsidRPr="00EB2049">
        <w:rPr>
          <w:rFonts w:asciiTheme="majorBidi" w:eastAsia="Times New Roman" w:hAnsiTheme="majorBidi" w:cstheme="majorBidi"/>
          <w:sz w:val="28"/>
          <w:szCs w:val="28"/>
        </w:rPr>
        <w:t>Biggs, A., Brough, P., &amp; Drummond, S. (2017). Lazarus and Folkman's psychological stress and coping theory. In The handbook of stress and health: A guide to research and practice (pp. 349–364).</w:t>
      </w:r>
    </w:p>
    <w:p w14:paraId="7CD221A2" w14:textId="77777777"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Pr>
      </w:pPr>
    </w:p>
    <w:p w14:paraId="416B8B0B" w14:textId="111EFEED"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Carver, C. S., Scheier, M. F., &amp; Weintraub, J. K. (1989). Assessing coping strategies: A theoretically based approach. Journal of Personality and Social Psychology, 56(2), 267–283. https://doi.org/10.1037/0022-3514.56.2.267</w:t>
      </w:r>
    </w:p>
    <w:p w14:paraId="0F76BC9D" w14:textId="290DCA84"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Clifton, S., &amp; McGraw, D. S. (2025). Are you satisfied? An examination of law enforcement job satisfaction, job stress, and police culture. Policing: An International Journal, 48(2), 354–368. https://doi.org/10.1108/PIJPSM-05-2024-0084</w:t>
      </w:r>
    </w:p>
    <w:p w14:paraId="6AF369DA" w14:textId="60EE17A4"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lastRenderedPageBreak/>
        <w:t>Conceição, A., &amp; Palma-Moreira, A. (2025). The relationship between occupational stress, burnout, and perceived performance: The moderating role of work regime. Administrative Sciences, 15(10), Article 377. https://doi.org/10.3390/admsci15100377</w:t>
      </w:r>
    </w:p>
    <w:p w14:paraId="4419E8DC" w14:textId="6C890E14"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Cordes, C. L., &amp; Dougherty, T. W. (1993). A review and an integration of research on job burnout. Academy of Management Review, 18(4), 621–656.</w:t>
      </w:r>
    </w:p>
    <w:p w14:paraId="788DFE58" w14:textId="2E116629"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 xml:space="preserve">Dalal, H. J. A., Ramoo, V., Chong, M. C., Danaee, M., </w:t>
      </w:r>
      <w:proofErr w:type="spellStart"/>
      <w:r w:rsidRPr="00EB2049">
        <w:rPr>
          <w:rFonts w:asciiTheme="majorBidi" w:eastAsia="Times New Roman" w:hAnsiTheme="majorBidi" w:cstheme="majorBidi"/>
          <w:sz w:val="28"/>
          <w:szCs w:val="28"/>
        </w:rPr>
        <w:t>Aljeesh</w:t>
      </w:r>
      <w:proofErr w:type="spellEnd"/>
      <w:r w:rsidRPr="00EB2049">
        <w:rPr>
          <w:rFonts w:asciiTheme="majorBidi" w:eastAsia="Times New Roman" w:hAnsiTheme="majorBidi" w:cstheme="majorBidi"/>
          <w:sz w:val="28"/>
          <w:szCs w:val="28"/>
        </w:rPr>
        <w:t>, Y. I., &amp; Rajeswaran, V. U. (2023). The mediating role of work satisfaction in the relationship between organizational communication satisfaction and organizational commitment of healthcare professionals: A cross-sectional study. Healthcare, 11(6), 806.</w:t>
      </w:r>
    </w:p>
    <w:p w14:paraId="54D8E63C" w14:textId="7C5D9B07"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Folkman, S., &amp; Lazarus, R. S. (1988). Manual for the Coping Strategies Inventory. Consulting Psychologists Press.</w:t>
      </w:r>
    </w:p>
    <w:p w14:paraId="08FF3C90" w14:textId="18C29868"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proofErr w:type="spellStart"/>
      <w:r w:rsidRPr="00EB2049">
        <w:rPr>
          <w:rFonts w:asciiTheme="majorBidi" w:eastAsia="Times New Roman" w:hAnsiTheme="majorBidi" w:cstheme="majorBidi"/>
          <w:sz w:val="28"/>
          <w:szCs w:val="28"/>
        </w:rPr>
        <w:t>Friganović</w:t>
      </w:r>
      <w:proofErr w:type="spellEnd"/>
      <w:r w:rsidRPr="00EB2049">
        <w:rPr>
          <w:rFonts w:asciiTheme="majorBidi" w:eastAsia="Times New Roman" w:hAnsiTheme="majorBidi" w:cstheme="majorBidi"/>
          <w:sz w:val="28"/>
          <w:szCs w:val="28"/>
        </w:rPr>
        <w:t>, A., &amp; Selič, P. (2021). Where to look for a remedy? Burnout syndrome and its associations with coping and job satisfaction in critical care nurses—A cross-sectional study. International Journal of Environmental Research and Public Health, 18(8), 4390. https://doi.org/10.3390/ijerph18084390</w:t>
      </w:r>
    </w:p>
    <w:p w14:paraId="53D1DBE9" w14:textId="1A3906B2"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proofErr w:type="spellStart"/>
      <w:r w:rsidRPr="00EB2049">
        <w:rPr>
          <w:rFonts w:asciiTheme="majorBidi" w:eastAsia="Times New Roman" w:hAnsiTheme="majorBidi" w:cstheme="majorBidi"/>
          <w:sz w:val="28"/>
          <w:szCs w:val="28"/>
        </w:rPr>
        <w:t>Friganović</w:t>
      </w:r>
      <w:proofErr w:type="spellEnd"/>
      <w:r w:rsidRPr="00EB2049">
        <w:rPr>
          <w:rFonts w:asciiTheme="majorBidi" w:eastAsia="Times New Roman" w:hAnsiTheme="majorBidi" w:cstheme="majorBidi"/>
          <w:sz w:val="28"/>
          <w:szCs w:val="28"/>
        </w:rPr>
        <w:t xml:space="preserve">, A., Selič, P., Ilić, B., &amp; Sedić, B. (2019). Stress and burnout syndrome and their associations with coping and job satisfaction in critical care nurses: A literature review. </w:t>
      </w:r>
      <w:proofErr w:type="spellStart"/>
      <w:r w:rsidRPr="00EB2049">
        <w:rPr>
          <w:rFonts w:asciiTheme="majorBidi" w:eastAsia="Times New Roman" w:hAnsiTheme="majorBidi" w:cstheme="majorBidi"/>
          <w:sz w:val="28"/>
          <w:szCs w:val="28"/>
        </w:rPr>
        <w:t>Psychiatria</w:t>
      </w:r>
      <w:proofErr w:type="spellEnd"/>
      <w:r w:rsidRPr="00EB2049">
        <w:rPr>
          <w:rFonts w:asciiTheme="majorBidi" w:eastAsia="Times New Roman" w:hAnsiTheme="majorBidi" w:cstheme="majorBidi"/>
          <w:sz w:val="28"/>
          <w:szCs w:val="28"/>
        </w:rPr>
        <w:t xml:space="preserve"> </w:t>
      </w:r>
      <w:proofErr w:type="spellStart"/>
      <w:r w:rsidRPr="00EB2049">
        <w:rPr>
          <w:rFonts w:asciiTheme="majorBidi" w:eastAsia="Times New Roman" w:hAnsiTheme="majorBidi" w:cstheme="majorBidi"/>
          <w:sz w:val="28"/>
          <w:szCs w:val="28"/>
        </w:rPr>
        <w:t>Danubina</w:t>
      </w:r>
      <w:proofErr w:type="spellEnd"/>
      <w:r w:rsidRPr="00EB2049">
        <w:rPr>
          <w:rFonts w:asciiTheme="majorBidi" w:eastAsia="Times New Roman" w:hAnsiTheme="majorBidi" w:cstheme="majorBidi"/>
          <w:sz w:val="28"/>
          <w:szCs w:val="28"/>
        </w:rPr>
        <w:t>, 31(Suppl. 1), S21–S31.</w:t>
      </w:r>
    </w:p>
    <w:p w14:paraId="39A32414" w14:textId="3BE6A447"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Goswami, I., &amp; Dsilva, N. R. (2019). Impact of job satisfaction and job stress on employees’ life in Mumbai’s hospitality sector: An empirical study using SEM. Journal of Strategy and Management, 12(3), 330–346. https://doi.org/10.1108/JSMA-01-2019-0012</w:t>
      </w:r>
    </w:p>
    <w:p w14:paraId="553E9E50" w14:textId="7867A9B6"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 xml:space="preserve">Gün, İ., </w:t>
      </w:r>
      <w:proofErr w:type="spellStart"/>
      <w:r w:rsidRPr="00EB2049">
        <w:rPr>
          <w:rFonts w:asciiTheme="majorBidi" w:eastAsia="Times New Roman" w:hAnsiTheme="majorBidi" w:cstheme="majorBidi"/>
          <w:sz w:val="28"/>
          <w:szCs w:val="28"/>
        </w:rPr>
        <w:t>Balsak</w:t>
      </w:r>
      <w:proofErr w:type="spellEnd"/>
      <w:r w:rsidRPr="00EB2049">
        <w:rPr>
          <w:rFonts w:asciiTheme="majorBidi" w:eastAsia="Times New Roman" w:hAnsiTheme="majorBidi" w:cstheme="majorBidi"/>
          <w:sz w:val="28"/>
          <w:szCs w:val="28"/>
        </w:rPr>
        <w:t>, H., &amp; Ayhan, F. (2025). Mediating effect of job burnout on the relationship between organisational support and quiet quitting in nurses. Journal of Advanced Nursing, 81(8), 4644–4652. https://doi.org/10.1111/jan.16599</w:t>
      </w:r>
    </w:p>
    <w:p w14:paraId="2E3676AD" w14:textId="20B26F61"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Hair, J. F., Black, W. C., Babin, B. J., &amp; Anderson, R. E. (2022). Multivariate data analysis (9th ed.). Cengage Learning.</w:t>
      </w:r>
    </w:p>
    <w:p w14:paraId="40F7CBD1" w14:textId="54AD8ACB"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lastRenderedPageBreak/>
        <w:t>Hayes, A. F. (2022). Introduction to mediation, moderation, and conditional process analysis: A regression-based approach (3rd ed.). Guilford Press.</w:t>
      </w:r>
    </w:p>
    <w:p w14:paraId="71D9E94D" w14:textId="43E5745A"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proofErr w:type="spellStart"/>
      <w:r w:rsidRPr="00EB2049">
        <w:rPr>
          <w:rFonts w:asciiTheme="majorBidi" w:eastAsia="Times New Roman" w:hAnsiTheme="majorBidi" w:cstheme="majorBidi"/>
          <w:sz w:val="28"/>
          <w:szCs w:val="28"/>
        </w:rPr>
        <w:t>Hobfoll</w:t>
      </w:r>
      <w:proofErr w:type="spellEnd"/>
      <w:r w:rsidRPr="00EB2049">
        <w:rPr>
          <w:rFonts w:asciiTheme="majorBidi" w:eastAsia="Times New Roman" w:hAnsiTheme="majorBidi" w:cstheme="majorBidi"/>
          <w:sz w:val="28"/>
          <w:szCs w:val="28"/>
        </w:rPr>
        <w:t>, S. E. (1989). Conservation of resources: A new attempt at conceptualizing stress. American Psychologist, 44(3), 513–524.</w:t>
      </w:r>
    </w:p>
    <w:p w14:paraId="33D02082" w14:textId="223AC6B3"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proofErr w:type="spellStart"/>
      <w:r w:rsidRPr="00EB2049">
        <w:rPr>
          <w:rFonts w:asciiTheme="majorBidi" w:eastAsia="Times New Roman" w:hAnsiTheme="majorBidi" w:cstheme="majorBidi"/>
          <w:sz w:val="28"/>
          <w:szCs w:val="28"/>
        </w:rPr>
        <w:t>Isfianadewi</w:t>
      </w:r>
      <w:proofErr w:type="spellEnd"/>
      <w:r w:rsidRPr="00EB2049">
        <w:rPr>
          <w:rFonts w:asciiTheme="majorBidi" w:eastAsia="Times New Roman" w:hAnsiTheme="majorBidi" w:cstheme="majorBidi"/>
          <w:sz w:val="28"/>
          <w:szCs w:val="28"/>
        </w:rPr>
        <w:t xml:space="preserve">, D., &amp; </w:t>
      </w:r>
      <w:proofErr w:type="spellStart"/>
      <w:r w:rsidRPr="00EB2049">
        <w:rPr>
          <w:rFonts w:asciiTheme="majorBidi" w:eastAsia="Times New Roman" w:hAnsiTheme="majorBidi" w:cstheme="majorBidi"/>
          <w:sz w:val="28"/>
          <w:szCs w:val="28"/>
        </w:rPr>
        <w:t>Noordyani</w:t>
      </w:r>
      <w:proofErr w:type="spellEnd"/>
      <w:r w:rsidRPr="00EB2049">
        <w:rPr>
          <w:rFonts w:asciiTheme="majorBidi" w:eastAsia="Times New Roman" w:hAnsiTheme="majorBidi" w:cstheme="majorBidi"/>
          <w:sz w:val="28"/>
          <w:szCs w:val="28"/>
        </w:rPr>
        <w:t>, A. (2020). Implementation of coping strategy in work-family conflict on job stress and job satisfaction: Social support as moderation variable. Review of Integrative Business and Economics Research, 9, 223–239.</w:t>
      </w:r>
    </w:p>
    <w:p w14:paraId="7894FD6C" w14:textId="646F7079"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Ivanković, M. (2020). Sources of stress, coping strategies with stress and job satisfaction of teachers in art schools. Croatian Journal of Education, 22(Special Edition 1), 203–222. https://doi.org/10.15516/cje.v22i0.3851</w:t>
      </w:r>
    </w:p>
    <w:p w14:paraId="3758BF2A" w14:textId="0A7277ED"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Khanna, A., &amp; Gupta, C. (2025). Burnout and job satisfaction: Analyzing the role of coping mechanisms in prevention. The International Journal of Indian Psychology, 13(2). https://doi.org/10.25215/1302.056</w:t>
      </w:r>
    </w:p>
    <w:p w14:paraId="410931B7" w14:textId="3572A6B7"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proofErr w:type="spellStart"/>
      <w:r w:rsidRPr="00EB2049">
        <w:rPr>
          <w:rFonts w:asciiTheme="majorBidi" w:eastAsia="Times New Roman" w:hAnsiTheme="majorBidi" w:cstheme="majorBidi"/>
          <w:sz w:val="28"/>
          <w:szCs w:val="28"/>
        </w:rPr>
        <w:t>Krejcie</w:t>
      </w:r>
      <w:proofErr w:type="spellEnd"/>
      <w:r w:rsidRPr="00EB2049">
        <w:rPr>
          <w:rFonts w:asciiTheme="majorBidi" w:eastAsia="Times New Roman" w:hAnsiTheme="majorBidi" w:cstheme="majorBidi"/>
          <w:sz w:val="28"/>
          <w:szCs w:val="28"/>
        </w:rPr>
        <w:t>, R. V., &amp; Morgan, D. W. (1970). Determining sample size for research activities. Educational and Psychological Measurement, 30(3), 607–610. https://doi.org/10.1177/001316447003000308</w:t>
      </w:r>
    </w:p>
    <w:p w14:paraId="59E7F4F4" w14:textId="3FEE5654"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Kumari, G., &amp; Pandey, K. M. (2023). Mapping the job satisfaction level of employees on work performance in pharmaceutical industry. In Interdisciplinary Research in Technology and Management (pp. 272–287). CRC Press.</w:t>
      </w:r>
    </w:p>
    <w:p w14:paraId="3613DF35" w14:textId="5B46A32A"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Lazarus, R. S., &amp; Folkman, S. (1984). Stress, appraisal, and coping. Springer.</w:t>
      </w:r>
    </w:p>
    <w:p w14:paraId="089BB04D" w14:textId="1A4B714F"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 xml:space="preserve">Leiss, U., Schiller, A., Fries, J., </w:t>
      </w:r>
      <w:proofErr w:type="spellStart"/>
      <w:r w:rsidRPr="00EB2049">
        <w:rPr>
          <w:rFonts w:asciiTheme="majorBidi" w:eastAsia="Times New Roman" w:hAnsiTheme="majorBidi" w:cstheme="majorBidi"/>
          <w:sz w:val="28"/>
          <w:szCs w:val="28"/>
        </w:rPr>
        <w:t>Voitl</w:t>
      </w:r>
      <w:proofErr w:type="spellEnd"/>
      <w:r w:rsidRPr="00EB2049">
        <w:rPr>
          <w:rFonts w:asciiTheme="majorBidi" w:eastAsia="Times New Roman" w:hAnsiTheme="majorBidi" w:cstheme="majorBidi"/>
          <w:sz w:val="28"/>
          <w:szCs w:val="28"/>
        </w:rPr>
        <w:t xml:space="preserve">, P., &amp; </w:t>
      </w:r>
      <w:proofErr w:type="spellStart"/>
      <w:r w:rsidRPr="00EB2049">
        <w:rPr>
          <w:rFonts w:asciiTheme="majorBidi" w:eastAsia="Times New Roman" w:hAnsiTheme="majorBidi" w:cstheme="majorBidi"/>
          <w:sz w:val="28"/>
          <w:szCs w:val="28"/>
        </w:rPr>
        <w:t>Peyrl</w:t>
      </w:r>
      <w:proofErr w:type="spellEnd"/>
      <w:r w:rsidRPr="00EB2049">
        <w:rPr>
          <w:rFonts w:asciiTheme="majorBidi" w:eastAsia="Times New Roman" w:hAnsiTheme="majorBidi" w:cstheme="majorBidi"/>
          <w:sz w:val="28"/>
          <w:szCs w:val="28"/>
        </w:rPr>
        <w:t>, A. (2021). Self-care strategies and job satisfaction in pediatricians: What we can do to prevent burnout—Results of a nationwide survey. Frontiers in Pediatrics, 9, Article 722356. https://doi.org/10.3389/fped.2021.722356</w:t>
      </w:r>
    </w:p>
    <w:p w14:paraId="57C7352A" w14:textId="77777777" w:rsidR="00EB2049" w:rsidRDefault="00EB2049" w:rsidP="00EB2049">
      <w:pPr>
        <w:spacing w:before="100" w:beforeAutospacing="1" w:after="100" w:afterAutospacing="1" w:line="240" w:lineRule="auto"/>
        <w:rPr>
          <w:rFonts w:asciiTheme="majorBidi" w:eastAsia="Times New Roman" w:hAnsiTheme="majorBidi" w:cstheme="majorBidi"/>
          <w:sz w:val="28"/>
          <w:szCs w:val="28"/>
          <w:rtl/>
        </w:rPr>
      </w:pPr>
      <w:r w:rsidRPr="00EB2049">
        <w:rPr>
          <w:rFonts w:asciiTheme="majorBidi" w:eastAsia="Times New Roman" w:hAnsiTheme="majorBidi" w:cstheme="majorBidi"/>
          <w:sz w:val="28"/>
          <w:szCs w:val="28"/>
        </w:rPr>
        <w:t>Leiter, M. P., &amp; Maslach, C. (2005). A mediation model of job burnout. In Research companion to organizational health psychology (pp. 544–564).</w:t>
      </w:r>
    </w:p>
    <w:p w14:paraId="0D3298BE" w14:textId="7751DAFF"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Maslach, C., &amp; Jackson, S. E. (1981). The measurement of experienced burnout. Journal of Occupational Behavior, 2(2), 99–113.</w:t>
      </w:r>
    </w:p>
    <w:p w14:paraId="36B91B36" w14:textId="2E72707B"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lastRenderedPageBreak/>
        <w:t>Maslach, C., Jackson, S. E., &amp; Leiter, M. P. (1996). Maslach Burnout Inventory Manual (3rd ed.). Consulting Psychologists Press.</w:t>
      </w:r>
    </w:p>
    <w:p w14:paraId="543DA93C" w14:textId="2FB784E7"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Maslach, C., &amp; Leiter, M. P. (2016). Understanding the burnout experience: Recent research and its implications for psychiatry. World Psychiatry, 15(2), 103–111.</w:t>
      </w:r>
    </w:p>
    <w:p w14:paraId="70B45051" w14:textId="464066E0"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Maslach, C., Schaufeli, W. B., &amp; Leiter, M. P. (2001). Job burnout. Annual Review of Psychology, 52(1), 397–422.</w:t>
      </w:r>
    </w:p>
    <w:p w14:paraId="783B9A57" w14:textId="7C40350E"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proofErr w:type="spellStart"/>
      <w:r w:rsidRPr="00EB2049">
        <w:rPr>
          <w:rFonts w:asciiTheme="majorBidi" w:eastAsia="Times New Roman" w:hAnsiTheme="majorBidi" w:cstheme="majorBidi"/>
          <w:sz w:val="28"/>
          <w:szCs w:val="28"/>
        </w:rPr>
        <w:t>Mbinya</w:t>
      </w:r>
      <w:proofErr w:type="spellEnd"/>
      <w:r w:rsidRPr="00EB2049">
        <w:rPr>
          <w:rFonts w:asciiTheme="majorBidi" w:eastAsia="Times New Roman" w:hAnsiTheme="majorBidi" w:cstheme="majorBidi"/>
          <w:sz w:val="28"/>
          <w:szCs w:val="28"/>
        </w:rPr>
        <w:t>, F., &amp; Mose, T. (2022). Effect of occupational stress on employee performance of the judicial service commission employees in Kenya. Journal of Human Resource &amp; Leadership, 6(3), 88–106.</w:t>
      </w:r>
    </w:p>
    <w:p w14:paraId="1C8F3BBB" w14:textId="3C7F572D"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Podsakoff, P. M., MacKenzie, S. B., Lee, J. Y., &amp; Podsakoff, N. P. (2003). Common method biases in behavioral research: A critical review of the literature and recommended remedies. Journal of Applied Psychology, 88(5), 879–903.</w:t>
      </w:r>
    </w:p>
    <w:p w14:paraId="3533EC60" w14:textId="4B4F4E65"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 xml:space="preserve">Portero de la Cruz, S., </w:t>
      </w:r>
      <w:proofErr w:type="spellStart"/>
      <w:r w:rsidRPr="00EB2049">
        <w:rPr>
          <w:rFonts w:asciiTheme="majorBidi" w:eastAsia="Times New Roman" w:hAnsiTheme="majorBidi" w:cstheme="majorBidi"/>
          <w:sz w:val="28"/>
          <w:szCs w:val="28"/>
        </w:rPr>
        <w:t>Cebrino</w:t>
      </w:r>
      <w:proofErr w:type="spellEnd"/>
      <w:r w:rsidRPr="00EB2049">
        <w:rPr>
          <w:rFonts w:asciiTheme="majorBidi" w:eastAsia="Times New Roman" w:hAnsiTheme="majorBidi" w:cstheme="majorBidi"/>
          <w:sz w:val="28"/>
          <w:szCs w:val="28"/>
        </w:rPr>
        <w:t xml:space="preserve">, J., </w:t>
      </w:r>
      <w:proofErr w:type="spellStart"/>
      <w:r w:rsidRPr="00EB2049">
        <w:rPr>
          <w:rFonts w:asciiTheme="majorBidi" w:eastAsia="Times New Roman" w:hAnsiTheme="majorBidi" w:cstheme="majorBidi"/>
          <w:sz w:val="28"/>
          <w:szCs w:val="28"/>
        </w:rPr>
        <w:t>Herruzo</w:t>
      </w:r>
      <w:proofErr w:type="spellEnd"/>
      <w:r w:rsidRPr="00EB2049">
        <w:rPr>
          <w:rFonts w:asciiTheme="majorBidi" w:eastAsia="Times New Roman" w:hAnsiTheme="majorBidi" w:cstheme="majorBidi"/>
          <w:sz w:val="28"/>
          <w:szCs w:val="28"/>
        </w:rPr>
        <w:t>, J., &amp; Vaquero-</w:t>
      </w:r>
      <w:proofErr w:type="spellStart"/>
      <w:r w:rsidRPr="00EB2049">
        <w:rPr>
          <w:rFonts w:asciiTheme="majorBidi" w:eastAsia="Times New Roman" w:hAnsiTheme="majorBidi" w:cstheme="majorBidi"/>
          <w:sz w:val="28"/>
          <w:szCs w:val="28"/>
        </w:rPr>
        <w:t>Abellán</w:t>
      </w:r>
      <w:proofErr w:type="spellEnd"/>
      <w:r w:rsidRPr="00EB2049">
        <w:rPr>
          <w:rFonts w:asciiTheme="majorBidi" w:eastAsia="Times New Roman" w:hAnsiTheme="majorBidi" w:cstheme="majorBidi"/>
          <w:sz w:val="28"/>
          <w:szCs w:val="28"/>
        </w:rPr>
        <w:t>, M. (2020). A multicenter study into burnout, perceived stress, job satisfaction, coping strategies, and general health among emergency department nursing staff. Journal of Clinical Medicine, 9(4), 1007. https://doi.org/10.3390/jcm9041007</w:t>
      </w:r>
    </w:p>
    <w:p w14:paraId="2ECCEC74" w14:textId="060A1188"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proofErr w:type="spellStart"/>
      <w:r w:rsidRPr="00EB2049">
        <w:rPr>
          <w:rFonts w:asciiTheme="majorBidi" w:eastAsia="Times New Roman" w:hAnsiTheme="majorBidi" w:cstheme="majorBidi"/>
          <w:sz w:val="28"/>
          <w:szCs w:val="28"/>
        </w:rPr>
        <w:t>Pramudita</w:t>
      </w:r>
      <w:proofErr w:type="spellEnd"/>
      <w:r w:rsidRPr="00EB2049">
        <w:rPr>
          <w:rFonts w:asciiTheme="majorBidi" w:eastAsia="Times New Roman" w:hAnsiTheme="majorBidi" w:cstheme="majorBidi"/>
          <w:sz w:val="28"/>
          <w:szCs w:val="28"/>
        </w:rPr>
        <w:t xml:space="preserve">, D. P. D., </w:t>
      </w:r>
      <w:proofErr w:type="spellStart"/>
      <w:r w:rsidRPr="00EB2049">
        <w:rPr>
          <w:rFonts w:asciiTheme="majorBidi" w:eastAsia="Times New Roman" w:hAnsiTheme="majorBidi" w:cstheme="majorBidi"/>
          <w:sz w:val="28"/>
          <w:szCs w:val="28"/>
        </w:rPr>
        <w:t>Mayasari</w:t>
      </w:r>
      <w:proofErr w:type="spellEnd"/>
      <w:r w:rsidRPr="00EB2049">
        <w:rPr>
          <w:rFonts w:asciiTheme="majorBidi" w:eastAsia="Times New Roman" w:hAnsiTheme="majorBidi" w:cstheme="majorBidi"/>
          <w:sz w:val="28"/>
          <w:szCs w:val="28"/>
        </w:rPr>
        <w:t xml:space="preserve">, A., &amp; </w:t>
      </w:r>
      <w:proofErr w:type="spellStart"/>
      <w:r w:rsidRPr="00EB2049">
        <w:rPr>
          <w:rFonts w:asciiTheme="majorBidi" w:eastAsia="Times New Roman" w:hAnsiTheme="majorBidi" w:cstheme="majorBidi"/>
          <w:sz w:val="28"/>
          <w:szCs w:val="28"/>
        </w:rPr>
        <w:t>Almoza</w:t>
      </w:r>
      <w:proofErr w:type="spellEnd"/>
      <w:r w:rsidRPr="00EB2049">
        <w:rPr>
          <w:rFonts w:asciiTheme="majorBidi" w:eastAsia="Times New Roman" w:hAnsiTheme="majorBidi" w:cstheme="majorBidi"/>
          <w:sz w:val="28"/>
          <w:szCs w:val="28"/>
        </w:rPr>
        <w:t>, F. M. L. (2025). Job stress, job burnout, and turnover intention in employees of digital education platform and book provider company PT. XYZ. International Journal of Economics and Management Research, 4(2), 646–654. https://doi.org/10.55606/ijemr.v4i2.444</w:t>
      </w:r>
    </w:p>
    <w:p w14:paraId="0EAC8E63" w14:textId="6850FD16"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Prasetya, A., Khairunnisa, H., &amp; Aziz, A. L. (2021). The effect of work stress and burnout on job satisfaction and employee performance: A test of conservation of resources theory. In Advances in Economics, Business and Management Research. Atlantis Press. https://doi.org/10.2991/aebmr.k.210928.016</w:t>
      </w:r>
    </w:p>
    <w:p w14:paraId="65533467" w14:textId="16C395A8"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Quick, J. C., &amp; Henderson, D. F. (2016). Occupational stress: Preventing suffering, enhancing wellbeing. International Journal of Environmental Research and Public Health, 13(5), 459.</w:t>
      </w:r>
    </w:p>
    <w:p w14:paraId="73C7B6A6" w14:textId="06055CBE"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proofErr w:type="spellStart"/>
      <w:r w:rsidRPr="00EB2049">
        <w:rPr>
          <w:rFonts w:asciiTheme="majorBidi" w:eastAsia="Times New Roman" w:hAnsiTheme="majorBidi" w:cstheme="majorBidi"/>
          <w:sz w:val="28"/>
          <w:szCs w:val="28"/>
        </w:rPr>
        <w:t>Ramlawati</w:t>
      </w:r>
      <w:proofErr w:type="spellEnd"/>
      <w:r w:rsidRPr="00EB2049">
        <w:rPr>
          <w:rFonts w:asciiTheme="majorBidi" w:eastAsia="Times New Roman" w:hAnsiTheme="majorBidi" w:cstheme="majorBidi"/>
          <w:sz w:val="28"/>
          <w:szCs w:val="28"/>
        </w:rPr>
        <w:t xml:space="preserve">, R., </w:t>
      </w:r>
      <w:proofErr w:type="spellStart"/>
      <w:r w:rsidRPr="00EB2049">
        <w:rPr>
          <w:rFonts w:asciiTheme="majorBidi" w:eastAsia="Times New Roman" w:hAnsiTheme="majorBidi" w:cstheme="majorBidi"/>
          <w:sz w:val="28"/>
          <w:szCs w:val="28"/>
        </w:rPr>
        <w:t>Trisnawati</w:t>
      </w:r>
      <w:proofErr w:type="spellEnd"/>
      <w:r w:rsidRPr="00EB2049">
        <w:rPr>
          <w:rFonts w:asciiTheme="majorBidi" w:eastAsia="Times New Roman" w:hAnsiTheme="majorBidi" w:cstheme="majorBidi"/>
          <w:sz w:val="28"/>
          <w:szCs w:val="28"/>
        </w:rPr>
        <w:t xml:space="preserve">, E., Yasin, N. A., &amp; </w:t>
      </w:r>
      <w:proofErr w:type="spellStart"/>
      <w:r w:rsidRPr="00EB2049">
        <w:rPr>
          <w:rFonts w:asciiTheme="majorBidi" w:eastAsia="Times New Roman" w:hAnsiTheme="majorBidi" w:cstheme="majorBidi"/>
          <w:sz w:val="28"/>
          <w:szCs w:val="28"/>
        </w:rPr>
        <w:t>Kurniawaty</w:t>
      </w:r>
      <w:proofErr w:type="spellEnd"/>
      <w:r w:rsidRPr="00EB2049">
        <w:rPr>
          <w:rFonts w:asciiTheme="majorBidi" w:eastAsia="Times New Roman" w:hAnsiTheme="majorBidi" w:cstheme="majorBidi"/>
          <w:sz w:val="28"/>
          <w:szCs w:val="28"/>
        </w:rPr>
        <w:t xml:space="preserve">, K. (2021). External alternatives, job stress on job satisfaction and employee turnover </w:t>
      </w:r>
      <w:r w:rsidRPr="00EB2049">
        <w:rPr>
          <w:rFonts w:asciiTheme="majorBidi" w:eastAsia="Times New Roman" w:hAnsiTheme="majorBidi" w:cstheme="majorBidi"/>
          <w:sz w:val="28"/>
          <w:szCs w:val="28"/>
        </w:rPr>
        <w:lastRenderedPageBreak/>
        <w:t>intention. Management Science Letters, 11(2), 511–518. https://doi.org/10.5267/j.msl.2020.9.016</w:t>
      </w:r>
    </w:p>
    <w:p w14:paraId="374955B0" w14:textId="479DA665"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proofErr w:type="spellStart"/>
      <w:r w:rsidRPr="00EB2049">
        <w:rPr>
          <w:rFonts w:asciiTheme="majorBidi" w:eastAsia="Times New Roman" w:hAnsiTheme="majorBidi" w:cstheme="majorBidi"/>
          <w:sz w:val="28"/>
          <w:szCs w:val="28"/>
        </w:rPr>
        <w:t>Salvagioni</w:t>
      </w:r>
      <w:proofErr w:type="spellEnd"/>
      <w:r w:rsidRPr="00EB2049">
        <w:rPr>
          <w:rFonts w:asciiTheme="majorBidi" w:eastAsia="Times New Roman" w:hAnsiTheme="majorBidi" w:cstheme="majorBidi"/>
          <w:sz w:val="28"/>
          <w:szCs w:val="28"/>
        </w:rPr>
        <w:t xml:space="preserve">, D. A. J., </w:t>
      </w:r>
      <w:proofErr w:type="spellStart"/>
      <w:r w:rsidRPr="00EB2049">
        <w:rPr>
          <w:rFonts w:asciiTheme="majorBidi" w:eastAsia="Times New Roman" w:hAnsiTheme="majorBidi" w:cstheme="majorBidi"/>
          <w:sz w:val="28"/>
          <w:szCs w:val="28"/>
        </w:rPr>
        <w:t>Melanda</w:t>
      </w:r>
      <w:proofErr w:type="spellEnd"/>
      <w:r w:rsidRPr="00EB2049">
        <w:rPr>
          <w:rFonts w:asciiTheme="majorBidi" w:eastAsia="Times New Roman" w:hAnsiTheme="majorBidi" w:cstheme="majorBidi"/>
          <w:sz w:val="28"/>
          <w:szCs w:val="28"/>
        </w:rPr>
        <w:t>, F. N., Mesas, A. E., González, A. D., Gabani, F. L., &amp; Andrade, S. M. (2017). Physical, psychological and occupational consequences of job burnout: A systematic review of prospective studies. PLOS ONE, 12(10), e0185781.</w:t>
      </w:r>
    </w:p>
    <w:p w14:paraId="418B7D98" w14:textId="53A3A27E"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Schaufeli, W. B., &amp; Taris, T. W. (2014). A critical review of the job demands-resources model: Implications for improving work and health. In Bridging occupational, organizational and public health (pp. 43–68).</w:t>
      </w:r>
    </w:p>
    <w:p w14:paraId="1F5E1693" w14:textId="77777777"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Pr>
      </w:pPr>
      <w:r w:rsidRPr="00EB2049">
        <w:rPr>
          <w:rFonts w:asciiTheme="majorBidi" w:eastAsia="Times New Roman" w:hAnsiTheme="majorBidi" w:cstheme="majorBidi"/>
          <w:sz w:val="28"/>
          <w:szCs w:val="28"/>
        </w:rPr>
        <w:t>Sekaran, U., &amp; Bougie, R. (2020). Research methods for business: A skill building approach (8th ed.). Wiley.</w:t>
      </w:r>
    </w:p>
    <w:p w14:paraId="7794BD85" w14:textId="77777777"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Pr>
      </w:pPr>
    </w:p>
    <w:p w14:paraId="100477C2" w14:textId="6DB1A8BF"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Sharma, I. (2023). Effects of occupational stress and coping strategies on job satisfaction among employees. International Journal of Indian Psychology, 11(1).</w:t>
      </w:r>
    </w:p>
    <w:p w14:paraId="56B5EE44" w14:textId="65D9C043"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Spector, P. E. (1985). Measurement of human service staff satisfaction: Development of the Job Satisfaction Survey. American Journal of Community Psychology, 13(6), 693–713. https://doi.org/10.1007/BF00929796</w:t>
      </w:r>
    </w:p>
    <w:p w14:paraId="577B6FCB" w14:textId="5BC9C00E"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Spector, P. E. (1997). Job satisfaction: Application, assessment, causes, and consequences. Sage Publications.</w:t>
      </w:r>
    </w:p>
    <w:p w14:paraId="0A498966" w14:textId="1EE1E98E"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Uhl-Bien, M., Piccolo, R. F., &amp; Schermerhorn, J. R. (2023). Organizational behavior. John Wiley &amp; Sons.</w:t>
      </w:r>
    </w:p>
    <w:p w14:paraId="2F284081" w14:textId="0A3E9B8B"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proofErr w:type="spellStart"/>
      <w:r w:rsidRPr="00EB2049">
        <w:rPr>
          <w:rFonts w:asciiTheme="majorBidi" w:eastAsia="Times New Roman" w:hAnsiTheme="majorBidi" w:cstheme="majorBidi"/>
          <w:sz w:val="28"/>
          <w:szCs w:val="28"/>
        </w:rPr>
        <w:t>Vetbuje</w:t>
      </w:r>
      <w:proofErr w:type="spellEnd"/>
      <w:r w:rsidRPr="00EB2049">
        <w:rPr>
          <w:rFonts w:asciiTheme="majorBidi" w:eastAsia="Times New Roman" w:hAnsiTheme="majorBidi" w:cstheme="majorBidi"/>
          <w:sz w:val="28"/>
          <w:szCs w:val="28"/>
        </w:rPr>
        <w:t>, B. G., &amp; Olaleye, B. R. (2022). Relationship between emotional intelligence, emotional labour, job stress and burnout: Does coping strategy work? Journal of Intelligence Studies in Business, 12(1). https://doi.org/10.37380/jisib.v12i1.912</w:t>
      </w:r>
    </w:p>
    <w:p w14:paraId="38677981" w14:textId="2FA5E493"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Wang, H., Lee, S. Y., &amp; Hall, N. C. (2022). Coping profiles among teachers: Implications for emotions, job satisfaction, burnout, and quitting intentions. Contemporary Educational Psychology, 68, 102030. https://doi.org/10.1016/j.cedpsych.2021.102030</w:t>
      </w:r>
    </w:p>
    <w:p w14:paraId="32EBCECB" w14:textId="13A1577C"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lastRenderedPageBreak/>
        <w:t xml:space="preserve">Weiss, D. J., </w:t>
      </w:r>
      <w:proofErr w:type="spellStart"/>
      <w:r w:rsidRPr="00EB2049">
        <w:rPr>
          <w:rFonts w:asciiTheme="majorBidi" w:eastAsia="Times New Roman" w:hAnsiTheme="majorBidi" w:cstheme="majorBidi"/>
          <w:sz w:val="28"/>
          <w:szCs w:val="28"/>
        </w:rPr>
        <w:t>Dawis</w:t>
      </w:r>
      <w:proofErr w:type="spellEnd"/>
      <w:r w:rsidRPr="00EB2049">
        <w:rPr>
          <w:rFonts w:asciiTheme="majorBidi" w:eastAsia="Times New Roman" w:hAnsiTheme="majorBidi" w:cstheme="majorBidi"/>
          <w:sz w:val="28"/>
          <w:szCs w:val="28"/>
        </w:rPr>
        <w:t>, R. V., England, G. W., &amp; Lofquist, L. H. (1967). Manual for the Minnesota Satisfaction Questionnaire. University of Minnesota, Industrial Relations Center.</w:t>
      </w:r>
    </w:p>
    <w:p w14:paraId="2A3D1C33" w14:textId="71B3A3D7"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Woods, S., Sebastian, J., Herman, K. C., Huang, F. L., Reinke, W. M., &amp; Thompson, A. M. (2023). The relationship between teacher stress and job satisfaction as moderated by coping. Psychology in the Schools, 60(7), 2237–2256. https://doi.org/10.1002/pits.22857</w:t>
      </w:r>
    </w:p>
    <w:p w14:paraId="270773E9" w14:textId="6F7B8BEB"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tl/>
          <w:lang w:bidi="ar-JO"/>
        </w:rPr>
      </w:pPr>
      <w:r w:rsidRPr="00EB2049">
        <w:rPr>
          <w:rFonts w:asciiTheme="majorBidi" w:eastAsia="Times New Roman" w:hAnsiTheme="majorBidi" w:cstheme="majorBidi"/>
          <w:sz w:val="28"/>
          <w:szCs w:val="28"/>
        </w:rPr>
        <w:t>Wu, F., Ren, Z., Wang, Q., He, M., Xiong, W., &amp; Ma, G. (2021). The relationship between job stress and job burnout: The mediating effects of perceived social support and job satisfaction. Psychology, Health &amp; Medicine, 26(2), 204–211. https://doi.org/10.1080/13548506.2020.1778750</w:t>
      </w:r>
    </w:p>
    <w:p w14:paraId="574C5765" w14:textId="63F67334" w:rsidR="00EB2049" w:rsidRPr="00EB2049" w:rsidRDefault="00EB2049" w:rsidP="00EB2049">
      <w:pPr>
        <w:spacing w:before="100" w:beforeAutospacing="1" w:after="100" w:afterAutospacing="1" w:line="240" w:lineRule="auto"/>
        <w:rPr>
          <w:rFonts w:asciiTheme="majorBidi" w:eastAsia="Times New Roman" w:hAnsiTheme="majorBidi" w:cstheme="majorBidi"/>
          <w:sz w:val="28"/>
          <w:szCs w:val="28"/>
        </w:rPr>
      </w:pPr>
      <w:r w:rsidRPr="00EB2049">
        <w:rPr>
          <w:rFonts w:asciiTheme="majorBidi" w:eastAsia="Times New Roman" w:hAnsiTheme="majorBidi" w:cstheme="majorBidi"/>
          <w:sz w:val="28"/>
          <w:szCs w:val="28"/>
        </w:rPr>
        <w:t>Zeng, P., &amp; Hu, X. (2024). A study of the psychological mechanisms of job burnout: Implications of person–job fit and person–organization fit. Frontiers in Psychology, 15, Article 1351032. https://doi.org/10.3389/fpsyg.2024.1351032</w:t>
      </w:r>
    </w:p>
    <w:p w14:paraId="78F3AFDD" w14:textId="37AEB649" w:rsidR="003A4066" w:rsidRDefault="003A4066" w:rsidP="003A4066">
      <w:pPr>
        <w:spacing w:before="100" w:beforeAutospacing="1" w:after="100" w:afterAutospacing="1" w:line="240" w:lineRule="auto"/>
        <w:rPr>
          <w:rFonts w:ascii="Traditional Arabic" w:eastAsia="Times New Roman" w:hAnsi="Traditional Arabic" w:cs="Traditional Arabic"/>
          <w:b/>
          <w:bCs/>
          <w:sz w:val="32"/>
          <w:szCs w:val="32"/>
          <w:rtl/>
        </w:rPr>
      </w:pPr>
    </w:p>
    <w:p w14:paraId="6C7DF8D9" w14:textId="77777777" w:rsidR="00EB2049" w:rsidRDefault="00EB2049" w:rsidP="003A4066">
      <w:pPr>
        <w:spacing w:before="100" w:beforeAutospacing="1" w:after="100" w:afterAutospacing="1" w:line="240" w:lineRule="auto"/>
        <w:rPr>
          <w:rFonts w:ascii="Traditional Arabic" w:eastAsia="Times New Roman" w:hAnsi="Traditional Arabic" w:cs="Traditional Arabic"/>
          <w:b/>
          <w:bCs/>
          <w:sz w:val="32"/>
          <w:szCs w:val="32"/>
          <w:rtl/>
        </w:rPr>
      </w:pPr>
    </w:p>
    <w:p w14:paraId="37C09937" w14:textId="77777777" w:rsidR="00EB2049" w:rsidRDefault="00EB2049" w:rsidP="003A4066">
      <w:pPr>
        <w:spacing w:before="100" w:beforeAutospacing="1" w:after="100" w:afterAutospacing="1" w:line="240" w:lineRule="auto"/>
        <w:rPr>
          <w:rFonts w:ascii="Traditional Arabic" w:eastAsia="Times New Roman" w:hAnsi="Traditional Arabic" w:cs="Traditional Arabic"/>
          <w:b/>
          <w:bCs/>
          <w:sz w:val="32"/>
          <w:szCs w:val="32"/>
          <w:rtl/>
        </w:rPr>
      </w:pPr>
    </w:p>
    <w:p w14:paraId="72C29A89" w14:textId="77777777" w:rsidR="00EB2049" w:rsidRDefault="00EB2049" w:rsidP="003A4066">
      <w:pPr>
        <w:spacing w:before="100" w:beforeAutospacing="1" w:after="100" w:afterAutospacing="1" w:line="240" w:lineRule="auto"/>
        <w:rPr>
          <w:rFonts w:ascii="Traditional Arabic" w:eastAsia="Times New Roman" w:hAnsi="Traditional Arabic" w:cs="Traditional Arabic"/>
          <w:b/>
          <w:bCs/>
          <w:sz w:val="32"/>
          <w:szCs w:val="32"/>
          <w:rtl/>
          <w:lang w:bidi="ar-AE"/>
        </w:rPr>
      </w:pPr>
    </w:p>
    <w:p w14:paraId="00AE8FA0" w14:textId="77777777" w:rsidR="00EB2049" w:rsidRDefault="00EB2049" w:rsidP="003A4066">
      <w:pPr>
        <w:spacing w:before="100" w:beforeAutospacing="1" w:after="100" w:afterAutospacing="1" w:line="240" w:lineRule="auto"/>
        <w:rPr>
          <w:rFonts w:ascii="Traditional Arabic" w:eastAsia="Times New Roman" w:hAnsi="Traditional Arabic" w:cs="Traditional Arabic"/>
          <w:b/>
          <w:bCs/>
          <w:sz w:val="32"/>
          <w:szCs w:val="32"/>
          <w:rtl/>
          <w:lang w:bidi="ar-AE"/>
        </w:rPr>
      </w:pPr>
    </w:p>
    <w:p w14:paraId="43C898A9" w14:textId="77777777" w:rsidR="00EB2049" w:rsidRDefault="00EB2049" w:rsidP="003A4066">
      <w:pPr>
        <w:spacing w:before="100" w:beforeAutospacing="1" w:after="100" w:afterAutospacing="1" w:line="240" w:lineRule="auto"/>
        <w:rPr>
          <w:rFonts w:ascii="Traditional Arabic" w:eastAsia="Times New Roman" w:hAnsi="Traditional Arabic" w:cs="Traditional Arabic"/>
          <w:b/>
          <w:bCs/>
          <w:sz w:val="32"/>
          <w:szCs w:val="32"/>
          <w:rtl/>
          <w:lang w:bidi="ar-AE"/>
        </w:rPr>
      </w:pPr>
    </w:p>
    <w:p w14:paraId="01955355" w14:textId="77777777" w:rsidR="00EB2049" w:rsidRDefault="00EB2049" w:rsidP="003A4066">
      <w:pPr>
        <w:spacing w:before="100" w:beforeAutospacing="1" w:after="100" w:afterAutospacing="1" w:line="240" w:lineRule="auto"/>
        <w:rPr>
          <w:rFonts w:ascii="Traditional Arabic" w:eastAsia="Times New Roman" w:hAnsi="Traditional Arabic" w:cs="Traditional Arabic"/>
          <w:b/>
          <w:bCs/>
          <w:sz w:val="32"/>
          <w:szCs w:val="32"/>
          <w:rtl/>
          <w:lang w:bidi="ar-AE"/>
        </w:rPr>
      </w:pPr>
    </w:p>
    <w:p w14:paraId="58AA8AD7" w14:textId="77777777" w:rsidR="00EB2049" w:rsidRDefault="00EB2049" w:rsidP="003A4066">
      <w:pPr>
        <w:spacing w:before="100" w:beforeAutospacing="1" w:after="100" w:afterAutospacing="1" w:line="240" w:lineRule="auto"/>
        <w:rPr>
          <w:rFonts w:ascii="Traditional Arabic" w:eastAsia="Times New Roman" w:hAnsi="Traditional Arabic" w:cs="Traditional Arabic"/>
          <w:b/>
          <w:bCs/>
          <w:sz w:val="32"/>
          <w:szCs w:val="32"/>
          <w:rtl/>
          <w:lang w:bidi="ar-AE"/>
        </w:rPr>
      </w:pPr>
    </w:p>
    <w:p w14:paraId="219D4555" w14:textId="77777777" w:rsidR="00EB2049" w:rsidRDefault="00EB2049" w:rsidP="003A4066">
      <w:pPr>
        <w:spacing w:before="100" w:beforeAutospacing="1" w:after="100" w:afterAutospacing="1" w:line="240" w:lineRule="auto"/>
        <w:rPr>
          <w:rFonts w:ascii="Traditional Arabic" w:eastAsia="Times New Roman" w:hAnsi="Traditional Arabic" w:cs="Traditional Arabic"/>
          <w:b/>
          <w:bCs/>
          <w:sz w:val="32"/>
          <w:szCs w:val="32"/>
          <w:rtl/>
          <w:lang w:bidi="ar-AE"/>
        </w:rPr>
      </w:pPr>
    </w:p>
    <w:p w14:paraId="29798A0C" w14:textId="77777777" w:rsidR="00EB2049" w:rsidRDefault="00EB2049" w:rsidP="003A4066">
      <w:pPr>
        <w:spacing w:before="100" w:beforeAutospacing="1" w:after="100" w:afterAutospacing="1" w:line="240" w:lineRule="auto"/>
        <w:rPr>
          <w:rFonts w:ascii="Traditional Arabic" w:eastAsia="Times New Roman" w:hAnsi="Traditional Arabic" w:cs="Traditional Arabic"/>
          <w:b/>
          <w:bCs/>
          <w:sz w:val="32"/>
          <w:szCs w:val="32"/>
          <w:rtl/>
          <w:lang w:bidi="ar-AE"/>
        </w:rPr>
      </w:pPr>
    </w:p>
    <w:p w14:paraId="41541DCB" w14:textId="5307DB79" w:rsidR="00EB2049" w:rsidRDefault="00EB2049" w:rsidP="00EB2049">
      <w:pPr>
        <w:spacing w:before="100" w:beforeAutospacing="1" w:after="100" w:afterAutospacing="1" w:line="240" w:lineRule="auto"/>
        <w:rPr>
          <w:rFonts w:ascii="Traditional Arabic" w:eastAsia="Times New Roman" w:hAnsi="Traditional Arabic" w:cs="Traditional Arabic"/>
          <w:b/>
          <w:bCs/>
          <w:sz w:val="32"/>
          <w:szCs w:val="32"/>
          <w:rtl/>
          <w:lang w:bidi="ar-AE"/>
        </w:rPr>
      </w:pPr>
      <w:r>
        <w:rPr>
          <w:rFonts w:ascii="Traditional Arabic" w:eastAsia="Times New Roman" w:hAnsi="Traditional Arabic" w:cs="Traditional Arabic"/>
          <w:b/>
          <w:bCs/>
          <w:sz w:val="32"/>
          <w:szCs w:val="32"/>
          <w:rtl/>
          <w:lang w:bidi="ar-AE"/>
        </w:rPr>
        <w:lastRenderedPageBreak/>
        <w:br w:type="page"/>
      </w:r>
    </w:p>
    <w:p w14:paraId="23C45ABF" w14:textId="3B0DBAE5" w:rsidR="003A4066" w:rsidRPr="003A4066" w:rsidRDefault="003A4066" w:rsidP="003A4066">
      <w:pPr>
        <w:bidi/>
        <w:spacing w:before="100" w:beforeAutospacing="1" w:after="100" w:afterAutospacing="1" w:line="240" w:lineRule="auto"/>
        <w:rPr>
          <w:rFonts w:ascii="Traditional Arabic" w:eastAsia="Times New Roman" w:hAnsi="Traditional Arabic" w:cs="Traditional Arabic"/>
          <w:b/>
          <w:bCs/>
          <w:sz w:val="36"/>
          <w:szCs w:val="36"/>
          <w:rtl/>
        </w:rPr>
      </w:pPr>
      <w:r w:rsidRPr="003A4066">
        <w:rPr>
          <w:rFonts w:ascii="Traditional Arabic" w:eastAsia="Times New Roman" w:hAnsi="Traditional Arabic" w:cs="Traditional Arabic"/>
          <w:b/>
          <w:bCs/>
          <w:sz w:val="36"/>
          <w:szCs w:val="36"/>
          <w:rtl/>
        </w:rPr>
        <w:lastRenderedPageBreak/>
        <w:t>الملحق رقم (1)</w:t>
      </w:r>
    </w:p>
    <w:p w14:paraId="407DDB28" w14:textId="77777777" w:rsidR="003A4066" w:rsidRPr="003A4066" w:rsidRDefault="003A4066" w:rsidP="003A4066">
      <w:pPr>
        <w:bidi/>
        <w:spacing w:before="100" w:beforeAutospacing="1" w:after="100" w:afterAutospacing="1" w:line="240" w:lineRule="auto"/>
        <w:rPr>
          <w:rFonts w:ascii="Traditional Arabic" w:eastAsia="Times New Roman" w:hAnsi="Traditional Arabic" w:cs="Traditional Arabic"/>
          <w:b/>
          <w:bCs/>
          <w:sz w:val="36"/>
          <w:szCs w:val="36"/>
          <w:rtl/>
        </w:rPr>
      </w:pPr>
    </w:p>
    <w:p w14:paraId="33DAFD18" w14:textId="4493D1E1" w:rsidR="003A4066" w:rsidRPr="003A4066" w:rsidRDefault="003A4066" w:rsidP="003A4066">
      <w:pPr>
        <w:bidi/>
        <w:jc w:val="center"/>
        <w:rPr>
          <w:rFonts w:ascii="Traditional Arabic" w:eastAsia="Calibri" w:hAnsi="Traditional Arabic" w:cs="Traditional Arabic"/>
          <w:b/>
          <w:bCs/>
          <w:kern w:val="2"/>
          <w:sz w:val="28"/>
          <w:szCs w:val="28"/>
          <w:lang w:bidi="ar-EG"/>
          <w14:ligatures w14:val="standardContextual"/>
        </w:rPr>
      </w:pPr>
      <w:r w:rsidRPr="003A4066">
        <w:rPr>
          <w:rFonts w:ascii="Traditional Arabic" w:eastAsia="Simplified Arabic" w:hAnsi="Traditional Arabic" w:cs="Traditional Arabic"/>
          <w:bCs/>
          <w:kern w:val="2"/>
          <w:sz w:val="36"/>
          <w:szCs w:val="36"/>
          <w:rtl/>
          <w14:ligatures w14:val="standardContextual"/>
        </w:rPr>
        <w:t xml:space="preserve">الاستبانة </w:t>
      </w:r>
    </w:p>
    <w:p w14:paraId="732C4C58" w14:textId="77777777" w:rsidR="003A4066" w:rsidRPr="003A4066" w:rsidRDefault="003A4066" w:rsidP="003A4066">
      <w:pPr>
        <w:bidi/>
        <w:rPr>
          <w:rFonts w:ascii="Traditional Arabic" w:eastAsia="Calibri" w:hAnsi="Traditional Arabic" w:cs="Traditional Arabic"/>
          <w:kern w:val="2"/>
          <w:sz w:val="32"/>
          <w:szCs w:val="32"/>
          <w:rtl/>
          <w14:ligatures w14:val="standardContextual"/>
        </w:rPr>
      </w:pPr>
      <w:r w:rsidRPr="003A4066">
        <w:rPr>
          <w:rFonts w:ascii="Traditional Arabic" w:eastAsia="Calibri" w:hAnsi="Traditional Arabic" w:cs="Traditional Arabic"/>
          <w:kern w:val="2"/>
          <w:sz w:val="32"/>
          <w:szCs w:val="32"/>
          <w:rtl/>
          <w14:ligatures w14:val="standardContextual"/>
        </w:rPr>
        <w:t>أخي المستجيب المحترم،</w:t>
      </w:r>
    </w:p>
    <w:p w14:paraId="0579C8E1" w14:textId="77777777" w:rsidR="003A4066" w:rsidRPr="003A4066" w:rsidRDefault="003A4066" w:rsidP="003A4066">
      <w:pPr>
        <w:bidi/>
        <w:rPr>
          <w:rFonts w:ascii="Traditional Arabic" w:eastAsia="Calibri" w:hAnsi="Traditional Arabic" w:cs="Traditional Arabic"/>
          <w:kern w:val="2"/>
          <w:sz w:val="32"/>
          <w:szCs w:val="32"/>
          <w:rtl/>
          <w14:ligatures w14:val="standardContextual"/>
        </w:rPr>
      </w:pPr>
      <w:r w:rsidRPr="003A4066">
        <w:rPr>
          <w:rFonts w:ascii="Traditional Arabic" w:eastAsia="Calibri" w:hAnsi="Traditional Arabic" w:cs="Traditional Arabic"/>
          <w:kern w:val="2"/>
          <w:sz w:val="32"/>
          <w:szCs w:val="32"/>
          <w:rtl/>
          <w14:ligatures w14:val="standardContextual"/>
        </w:rPr>
        <w:t>أختي المستجيبة المحترمة،</w:t>
      </w:r>
    </w:p>
    <w:p w14:paraId="2C1C0B6C" w14:textId="77777777" w:rsidR="003A4066" w:rsidRPr="003A4066" w:rsidRDefault="003A4066" w:rsidP="003A4066">
      <w:pPr>
        <w:bidi/>
        <w:rPr>
          <w:rFonts w:ascii="Traditional Arabic" w:eastAsia="Calibri" w:hAnsi="Traditional Arabic" w:cs="Traditional Arabic"/>
          <w:kern w:val="2"/>
          <w:sz w:val="32"/>
          <w:szCs w:val="32"/>
          <w:rtl/>
          <w14:ligatures w14:val="standardContextual"/>
        </w:rPr>
      </w:pPr>
      <w:r w:rsidRPr="003A4066">
        <w:rPr>
          <w:rFonts w:ascii="Traditional Arabic" w:eastAsia="Calibri" w:hAnsi="Traditional Arabic" w:cs="Traditional Arabic"/>
          <w:kern w:val="2"/>
          <w:sz w:val="32"/>
          <w:szCs w:val="32"/>
          <w:rtl/>
          <w14:ligatures w14:val="standardContextual"/>
        </w:rPr>
        <w:t>بعد التحية،</w:t>
      </w:r>
    </w:p>
    <w:p w14:paraId="4AEF041A" w14:textId="77777777" w:rsidR="003A4066" w:rsidRPr="003A4066" w:rsidRDefault="003A4066" w:rsidP="003A4066">
      <w:pPr>
        <w:bidi/>
        <w:rPr>
          <w:rFonts w:ascii="Traditional Arabic" w:eastAsia="Calibri" w:hAnsi="Traditional Arabic" w:cs="Traditional Arabic"/>
          <w:kern w:val="2"/>
          <w:sz w:val="32"/>
          <w:szCs w:val="32"/>
          <w:rtl/>
          <w14:ligatures w14:val="standardContextual"/>
        </w:rPr>
      </w:pPr>
      <w:r w:rsidRPr="003A4066">
        <w:rPr>
          <w:rFonts w:ascii="Traditional Arabic" w:eastAsia="Calibri" w:hAnsi="Traditional Arabic" w:cs="Traditional Arabic"/>
          <w:kern w:val="2"/>
          <w:sz w:val="32"/>
          <w:szCs w:val="32"/>
          <w:rtl/>
          <w14:ligatures w14:val="standardContextual"/>
        </w:rPr>
        <w:t>يقوم الباحث بإجراء دراسة بعنوان:</w:t>
      </w:r>
    </w:p>
    <w:p w14:paraId="4E7D396E" w14:textId="77777777" w:rsidR="003A4066" w:rsidRPr="003A4066" w:rsidRDefault="003A4066" w:rsidP="003A4066">
      <w:pPr>
        <w:bidi/>
        <w:spacing w:line="360" w:lineRule="auto"/>
        <w:jc w:val="center"/>
        <w:rPr>
          <w:rFonts w:ascii="Traditional Arabic" w:eastAsia="Calibri" w:hAnsi="Traditional Arabic" w:cs="Traditional Arabic"/>
          <w:b/>
          <w:bCs/>
          <w:kern w:val="2"/>
          <w:sz w:val="32"/>
          <w:szCs w:val="32"/>
          <w:rtl/>
          <w14:ligatures w14:val="standardContextual"/>
        </w:rPr>
      </w:pPr>
      <w:r w:rsidRPr="003A4066">
        <w:rPr>
          <w:rFonts w:ascii="Traditional Arabic" w:eastAsia="Calibri" w:hAnsi="Traditional Arabic" w:cs="Traditional Arabic"/>
          <w:b/>
          <w:bCs/>
          <w:kern w:val="2"/>
          <w:sz w:val="32"/>
          <w:szCs w:val="32"/>
          <w:rtl/>
          <w14:ligatures w14:val="standardContextual"/>
        </w:rPr>
        <w:t>" أثر الاحتراق الوظيفي كمتغير وسيط في العلاقة بين استراتيجيات مواجهة ضغوط العمل والرضا الوظيفي: دراسة تطبيقية على العاملين بمحكمة الأحوال الشخصية بجدة</w:t>
      </w:r>
    </w:p>
    <w:p w14:paraId="3510FE96" w14:textId="77777777" w:rsidR="003A4066" w:rsidRPr="003A4066" w:rsidRDefault="003A4066" w:rsidP="003A4066">
      <w:pPr>
        <w:bidi/>
        <w:spacing w:line="360" w:lineRule="auto"/>
        <w:jc w:val="center"/>
        <w:rPr>
          <w:rFonts w:ascii="Traditional Arabic" w:eastAsia="Calibri" w:hAnsi="Traditional Arabic" w:cs="Traditional Arabic"/>
          <w:b/>
          <w:bCs/>
          <w:kern w:val="2"/>
          <w:sz w:val="32"/>
          <w:szCs w:val="32"/>
          <w:rtl/>
          <w14:ligatures w14:val="standardContextual"/>
        </w:rPr>
      </w:pPr>
      <w:r w:rsidRPr="003A4066">
        <w:rPr>
          <w:rFonts w:ascii="Traditional Arabic" w:eastAsia="Calibri" w:hAnsi="Traditional Arabic" w:cs="Traditional Arabic"/>
          <w:b/>
          <w:bCs/>
          <w:kern w:val="2"/>
          <w:sz w:val="32"/>
          <w:szCs w:val="32"/>
          <w:rtl/>
          <w14:ligatures w14:val="standardContextual"/>
        </w:rPr>
        <w:t>"</w:t>
      </w:r>
    </w:p>
    <w:p w14:paraId="6803A139" w14:textId="4EA1D1E9" w:rsidR="003A4066" w:rsidRPr="003A4066" w:rsidRDefault="003A4066" w:rsidP="003A4066">
      <w:pPr>
        <w:bidi/>
        <w:spacing w:line="360" w:lineRule="auto"/>
        <w:jc w:val="both"/>
        <w:rPr>
          <w:rFonts w:ascii="Traditional Arabic" w:eastAsia="Calibri" w:hAnsi="Traditional Arabic" w:cs="Traditional Arabic"/>
          <w:kern w:val="2"/>
          <w:sz w:val="32"/>
          <w:szCs w:val="32"/>
          <w:rtl/>
          <w14:ligatures w14:val="standardContextual"/>
        </w:rPr>
      </w:pPr>
      <w:r w:rsidRPr="003A4066">
        <w:rPr>
          <w:rFonts w:ascii="Traditional Arabic" w:eastAsia="Calibri" w:hAnsi="Traditional Arabic" w:cs="Traditional Arabic"/>
          <w:kern w:val="2"/>
          <w:sz w:val="32"/>
          <w:szCs w:val="32"/>
          <w:rtl/>
          <w14:ligatures w14:val="standardContextual"/>
        </w:rPr>
        <w:t>وذلك استكمالًا لمتطلبات الحصول على درجة الدكتوراه في الإدارة</w:t>
      </w:r>
    </w:p>
    <w:p w14:paraId="6E4CF4A6" w14:textId="77777777" w:rsidR="003A4066" w:rsidRPr="003A4066" w:rsidRDefault="003A4066" w:rsidP="003A4066">
      <w:pPr>
        <w:bidi/>
        <w:spacing w:before="100" w:beforeAutospacing="1" w:after="100" w:afterAutospacing="1" w:line="240" w:lineRule="auto"/>
        <w:ind w:left="120"/>
        <w:jc w:val="both"/>
        <w:rPr>
          <w:rFonts w:ascii="Traditional Arabic" w:eastAsia="Calibri" w:hAnsi="Traditional Arabic" w:cs="Traditional Arabic"/>
          <w:kern w:val="2"/>
          <w:sz w:val="32"/>
          <w:szCs w:val="32"/>
          <w:rtl/>
          <w14:ligatures w14:val="standardContextual"/>
        </w:rPr>
      </w:pPr>
      <w:r w:rsidRPr="003A4066">
        <w:rPr>
          <w:rFonts w:ascii="Traditional Arabic" w:eastAsia="Times New Roman" w:hAnsi="Traditional Arabic" w:cs="Traditional Arabic"/>
          <w:i/>
          <w:iCs/>
          <w:sz w:val="32"/>
          <w:szCs w:val="32"/>
          <w:rtl/>
        </w:rPr>
        <w:t xml:space="preserve">لذا نرجو التكرم بالإجابة عن فقرات الاستبانة المرفقة بكل دقة وموضوعية، لما تتمتعون به من خبرة ومعرفة علمية، </w:t>
      </w:r>
      <w:r w:rsidRPr="003A4066">
        <w:rPr>
          <w:rFonts w:ascii="Traditional Arabic" w:eastAsia="Calibri" w:hAnsi="Traditional Arabic" w:cs="Traditional Arabic"/>
          <w:kern w:val="2"/>
          <w:sz w:val="32"/>
          <w:szCs w:val="32"/>
          <w:rtl/>
          <w14:ligatures w14:val="standardContextual"/>
        </w:rPr>
        <w:t>وذلك بوضع إشارة (</w:t>
      </w:r>
      <w:r w:rsidRPr="003A4066">
        <w:rPr>
          <w:rFonts w:ascii="Traditional Arabic" w:eastAsia="Calibri" w:hAnsi="Traditional Arabic" w:cs="Traditional Arabic"/>
          <w:kern w:val="2"/>
          <w:sz w:val="32"/>
          <w:szCs w:val="32"/>
          <w14:ligatures w14:val="standardContextual"/>
        </w:rPr>
        <w:sym w:font="Marlett" w:char="F062"/>
      </w:r>
      <w:r w:rsidRPr="003A4066">
        <w:rPr>
          <w:rFonts w:ascii="Traditional Arabic" w:eastAsia="Calibri" w:hAnsi="Traditional Arabic" w:cs="Traditional Arabic"/>
          <w:kern w:val="2"/>
          <w:sz w:val="32"/>
          <w:szCs w:val="32"/>
          <w:rtl/>
          <w14:ligatures w14:val="standardContextual"/>
        </w:rPr>
        <w:t>) حول الإجابة التي تنطبق عليكم، مع التأكيد على أن جميع البيانات والمعلومات ستُعامل بسرية تامة، ولن تُستخدم إلا لأغراض البحث العلمي</w:t>
      </w:r>
      <w:r w:rsidRPr="003A4066">
        <w:rPr>
          <w:rFonts w:ascii="Traditional Arabic" w:eastAsia="Calibri" w:hAnsi="Traditional Arabic" w:cs="Traditional Arabic"/>
          <w:kern w:val="2"/>
          <w:sz w:val="32"/>
          <w:szCs w:val="32"/>
          <w14:ligatures w14:val="standardContextual"/>
        </w:rPr>
        <w:t>.</w:t>
      </w:r>
    </w:p>
    <w:p w14:paraId="1952888E" w14:textId="77777777" w:rsidR="003A4066" w:rsidRPr="003A4066" w:rsidRDefault="003A4066" w:rsidP="003A4066">
      <w:pPr>
        <w:bidi/>
        <w:jc w:val="both"/>
        <w:rPr>
          <w:rFonts w:ascii="Traditional Arabic" w:eastAsia="Calibri" w:hAnsi="Traditional Arabic" w:cs="Traditional Arabic"/>
          <w:kern w:val="2"/>
          <w:sz w:val="32"/>
          <w:szCs w:val="32"/>
          <w:rtl/>
          <w14:ligatures w14:val="standardContextual"/>
        </w:rPr>
      </w:pPr>
      <w:r w:rsidRPr="003A4066">
        <w:rPr>
          <w:rFonts w:ascii="Traditional Arabic" w:eastAsia="Calibri" w:hAnsi="Traditional Arabic" w:cs="Traditional Arabic"/>
          <w:kern w:val="2"/>
          <w:sz w:val="32"/>
          <w:szCs w:val="32"/>
          <w:rtl/>
          <w14:ligatures w14:val="standardContextual"/>
        </w:rPr>
        <w:t>نشكر لكم تعاونكم الكريم ومساهمتكم القيمة في إنجاح هذا العمل الأكاديمي</w:t>
      </w:r>
      <w:r w:rsidRPr="003A4066">
        <w:rPr>
          <w:rFonts w:ascii="Traditional Arabic" w:eastAsia="Calibri" w:hAnsi="Traditional Arabic" w:cs="Traditional Arabic"/>
          <w:kern w:val="2"/>
          <w:sz w:val="32"/>
          <w:szCs w:val="32"/>
          <w14:ligatures w14:val="standardContextual"/>
        </w:rPr>
        <w:t>.</w:t>
      </w:r>
    </w:p>
    <w:p w14:paraId="0E4D79FE" w14:textId="77777777" w:rsidR="003A4066" w:rsidRPr="003A4066" w:rsidRDefault="003A4066" w:rsidP="003A4066">
      <w:pPr>
        <w:bidi/>
        <w:jc w:val="both"/>
        <w:rPr>
          <w:rFonts w:ascii="Traditional Arabic" w:eastAsia="Calibri" w:hAnsi="Traditional Arabic" w:cs="Traditional Arabic"/>
          <w:kern w:val="2"/>
          <w:sz w:val="32"/>
          <w:szCs w:val="32"/>
          <w:rtl/>
          <w14:ligatures w14:val="standardContextual"/>
        </w:rPr>
      </w:pPr>
      <w:r w:rsidRPr="003A4066">
        <w:rPr>
          <w:rFonts w:ascii="Traditional Arabic" w:eastAsia="Calibri" w:hAnsi="Traditional Arabic" w:cs="Traditional Arabic"/>
          <w:kern w:val="2"/>
          <w:sz w:val="32"/>
          <w:szCs w:val="32"/>
          <w:rtl/>
          <w14:ligatures w14:val="standardContextual"/>
        </w:rPr>
        <w:t>وتفضلوا بقبول فائق الاحترام.</w:t>
      </w:r>
    </w:p>
    <w:p w14:paraId="4D4DC6E9" w14:textId="77777777" w:rsidR="003A4066" w:rsidRPr="003A4066" w:rsidRDefault="003A4066" w:rsidP="003A4066">
      <w:pPr>
        <w:bidi/>
        <w:jc w:val="both"/>
        <w:rPr>
          <w:rFonts w:ascii="Traditional Arabic" w:eastAsia="Calibri" w:hAnsi="Traditional Arabic" w:cs="Traditional Arabic"/>
          <w:kern w:val="2"/>
          <w:sz w:val="28"/>
          <w:szCs w:val="28"/>
          <w14:ligatures w14:val="standardContextual"/>
        </w:rPr>
      </w:pPr>
    </w:p>
    <w:p w14:paraId="3BD4B6FB" w14:textId="77777777" w:rsidR="003A4066" w:rsidRPr="003A4066" w:rsidRDefault="003A4066" w:rsidP="003A4066">
      <w:pPr>
        <w:bidi/>
        <w:rPr>
          <w:rFonts w:ascii="Traditional Arabic" w:eastAsia="Calibri" w:hAnsi="Traditional Arabic" w:cs="Traditional Arabic"/>
          <w:kern w:val="2"/>
          <w:sz w:val="28"/>
          <w:szCs w:val="28"/>
          <w:rtl/>
          <w14:ligatures w14:val="standardContextual"/>
        </w:rPr>
      </w:pPr>
      <w:r w:rsidRPr="003A4066">
        <w:rPr>
          <w:rFonts w:ascii="Traditional Arabic" w:eastAsia="Calibri" w:hAnsi="Traditional Arabic" w:cs="Traditional Arabic"/>
          <w:bCs/>
          <w:kern w:val="2"/>
          <w:sz w:val="28"/>
          <w:szCs w:val="28"/>
          <w:rtl/>
          <w:lang w:bidi="ar-OM"/>
          <w14:ligatures w14:val="standardContextual"/>
        </w:rPr>
        <w:t xml:space="preserve">  </w:t>
      </w:r>
    </w:p>
    <w:p w14:paraId="6A7C88F5" w14:textId="77777777" w:rsidR="003A4066" w:rsidRPr="003A4066" w:rsidRDefault="003A4066" w:rsidP="003A4066">
      <w:pPr>
        <w:bidi/>
        <w:rPr>
          <w:rFonts w:ascii="Traditional Arabic" w:eastAsia="Calibri" w:hAnsi="Traditional Arabic" w:cs="Traditional Arabic"/>
          <w:kern w:val="2"/>
          <w:sz w:val="28"/>
          <w:szCs w:val="28"/>
          <w:rtl/>
          <w14:ligatures w14:val="standardContextual"/>
        </w:rPr>
      </w:pPr>
    </w:p>
    <w:p w14:paraId="359B8951" w14:textId="77777777" w:rsidR="003A4066" w:rsidRPr="003A4066" w:rsidRDefault="003A4066" w:rsidP="003A4066">
      <w:pPr>
        <w:rPr>
          <w:rFonts w:ascii="Traditional Arabic" w:eastAsia="Calibri" w:hAnsi="Traditional Arabic" w:cs="Traditional Arabic"/>
          <w:kern w:val="2"/>
          <w:sz w:val="28"/>
          <w:szCs w:val="28"/>
          <w:rtl/>
          <w14:ligatures w14:val="standardContextual"/>
        </w:rPr>
      </w:pPr>
    </w:p>
    <w:p w14:paraId="5EDC6430" w14:textId="02A27DD8" w:rsidR="003A4066" w:rsidRPr="003A4066" w:rsidRDefault="003A4066" w:rsidP="003A4066">
      <w:pPr>
        <w:bidi/>
        <w:rPr>
          <w:rFonts w:ascii="Traditional Arabic" w:eastAsia="Simplified Arabic" w:hAnsi="Traditional Arabic" w:cs="Traditional Arabic"/>
          <w:b/>
          <w:kern w:val="2"/>
          <w:sz w:val="32"/>
          <w:szCs w:val="32"/>
          <w:rtl/>
          <w14:ligatures w14:val="standardContextual"/>
        </w:rPr>
      </w:pPr>
      <w:r w:rsidRPr="003A4066">
        <w:rPr>
          <w:rFonts w:ascii="Traditional Arabic" w:eastAsia="Simplified Arabic" w:hAnsi="Traditional Arabic" w:cs="Traditional Arabic"/>
          <w:bCs/>
          <w:kern w:val="2"/>
          <w:sz w:val="36"/>
          <w:szCs w:val="36"/>
          <w:rtl/>
          <w14:ligatures w14:val="standardContextual"/>
        </w:rPr>
        <w:t xml:space="preserve">الجزء </w:t>
      </w:r>
      <w:r w:rsidRPr="003A4066">
        <w:rPr>
          <w:rFonts w:ascii="Traditional Arabic" w:eastAsia="Simplified Arabic" w:hAnsi="Traditional Arabic" w:cs="Traditional Arabic" w:hint="cs"/>
          <w:bCs/>
          <w:kern w:val="2"/>
          <w:sz w:val="36"/>
          <w:szCs w:val="36"/>
          <w:rtl/>
          <w14:ligatures w14:val="standardContextual"/>
        </w:rPr>
        <w:t>الأول</w:t>
      </w:r>
      <w:r w:rsidRPr="003A4066">
        <w:rPr>
          <w:rFonts w:ascii="Traditional Arabic" w:eastAsia="Simplified Arabic" w:hAnsi="Traditional Arabic" w:cs="Traditional Arabic"/>
          <w:bCs/>
          <w:kern w:val="2"/>
          <w:sz w:val="36"/>
          <w:szCs w:val="36"/>
          <w:rtl/>
          <w14:ligatures w14:val="standardContextual"/>
        </w:rPr>
        <w:t>:</w:t>
      </w:r>
      <w:r w:rsidRPr="003A4066">
        <w:rPr>
          <w:rFonts w:ascii="Traditional Arabic" w:eastAsia="Simplified Arabic" w:hAnsi="Traditional Arabic" w:cs="Traditional Arabic"/>
          <w:b/>
          <w:kern w:val="2"/>
          <w:sz w:val="36"/>
          <w:szCs w:val="36"/>
          <w:rtl/>
          <w14:ligatures w14:val="standardContextual"/>
        </w:rPr>
        <w:t xml:space="preserve"> </w:t>
      </w:r>
      <w:r w:rsidRPr="003A4066">
        <w:rPr>
          <w:rFonts w:ascii="Traditional Arabic" w:eastAsia="Simplified Arabic" w:hAnsi="Traditional Arabic" w:cs="Traditional Arabic"/>
          <w:b/>
          <w:kern w:val="2"/>
          <w:sz w:val="32"/>
          <w:szCs w:val="32"/>
          <w:rtl/>
          <w14:ligatures w14:val="standardContextual"/>
        </w:rPr>
        <w:t>يُرجى وضع إشارة (</w:t>
      </w:r>
      <w:r w:rsidRPr="003A4066">
        <w:rPr>
          <w:rFonts w:ascii="Traditional Arabic" w:eastAsia="Symbol" w:hAnsi="Traditional Arabic" w:cs="Traditional Arabic"/>
          <w:b/>
          <w:kern w:val="2"/>
          <w:sz w:val="32"/>
          <w:szCs w:val="32"/>
          <w14:ligatures w14:val="standardContextual"/>
        </w:rPr>
        <w:sym w:font="Wingdings 2" w:char="F050"/>
      </w:r>
      <w:r w:rsidRPr="003A4066">
        <w:rPr>
          <w:rFonts w:ascii="Traditional Arabic" w:eastAsia="Simplified Arabic" w:hAnsi="Traditional Arabic" w:cs="Traditional Arabic"/>
          <w:b/>
          <w:kern w:val="2"/>
          <w:sz w:val="32"/>
          <w:szCs w:val="32"/>
          <w:rtl/>
          <w14:ligatures w14:val="standardContextual"/>
        </w:rPr>
        <w:t>) أمام كل عبارة لبيان مدى انطباقها لرأيك وفقًا لمقاييس الاختيار بجانب كل فقرة.</w:t>
      </w:r>
    </w:p>
    <w:p w14:paraId="47FC6412" w14:textId="77777777" w:rsidR="003A4066" w:rsidRPr="003A4066" w:rsidRDefault="003A4066" w:rsidP="003A4066">
      <w:pPr>
        <w:bidi/>
        <w:rPr>
          <w:rFonts w:ascii="Traditional Arabic" w:eastAsia="Simplified Arabic" w:hAnsi="Traditional Arabic" w:cs="Traditional Arabic"/>
          <w:bCs/>
          <w:kern w:val="2"/>
          <w:sz w:val="36"/>
          <w:szCs w:val="36"/>
          <w:rtl/>
          <w14:ligatures w14:val="standardContextual"/>
        </w:rPr>
      </w:pPr>
      <w:r w:rsidRPr="003A4066">
        <w:rPr>
          <w:rFonts w:ascii="Traditional Arabic" w:eastAsia="Simplified Arabic" w:hAnsi="Traditional Arabic" w:cs="Traditional Arabic"/>
          <w:bCs/>
          <w:kern w:val="2"/>
          <w:sz w:val="36"/>
          <w:szCs w:val="36"/>
          <w:rtl/>
          <w14:ligatures w14:val="standardContextual"/>
        </w:rPr>
        <w:t xml:space="preserve">أبعاد المتغير المستقل: </w:t>
      </w:r>
      <w:r w:rsidRPr="003A4066">
        <w:rPr>
          <w:rFonts w:ascii="Traditional Arabic" w:eastAsia="Simplified Arabic" w:hAnsi="Traditional Arabic" w:cs="Traditional Arabic"/>
          <w:b/>
          <w:bCs/>
          <w:kern w:val="2"/>
          <w:sz w:val="36"/>
          <w:szCs w:val="36"/>
          <w:rtl/>
          <w14:ligatures w14:val="standardContextual"/>
        </w:rPr>
        <w:t xml:space="preserve">استراتيجيات مواجه ضغوط العمل </w:t>
      </w:r>
    </w:p>
    <w:tbl>
      <w:tblPr>
        <w:tblStyle w:val="a7"/>
        <w:bidiVisual/>
        <w:tblW w:w="10637" w:type="dxa"/>
        <w:jc w:val="center"/>
        <w:tblLook w:val="01E0" w:firstRow="1" w:lastRow="1" w:firstColumn="1" w:lastColumn="1" w:noHBand="0" w:noVBand="0"/>
      </w:tblPr>
      <w:tblGrid>
        <w:gridCol w:w="718"/>
        <w:gridCol w:w="6061"/>
        <w:gridCol w:w="735"/>
        <w:gridCol w:w="735"/>
        <w:gridCol w:w="821"/>
        <w:gridCol w:w="735"/>
        <w:gridCol w:w="832"/>
      </w:tblGrid>
      <w:tr w:rsidR="003A4066" w:rsidRPr="003A4066" w14:paraId="740F0B23" w14:textId="77777777" w:rsidTr="003A4066">
        <w:trPr>
          <w:jc w:val="center"/>
        </w:trPr>
        <w:tc>
          <w:tcPr>
            <w:tcW w:w="718"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3897F030" w14:textId="77777777" w:rsidR="003A4066" w:rsidRPr="003A4066" w:rsidRDefault="003A4066" w:rsidP="003A4066">
            <w:pPr>
              <w:bidi/>
              <w:jc w:val="center"/>
              <w:rPr>
                <w:rFonts w:ascii="Traditional Arabic" w:eastAsia="Calibri" w:hAnsi="Traditional Arabic" w:cs="Traditional Arabic"/>
                <w:kern w:val="2"/>
                <w:sz w:val="32"/>
                <w:szCs w:val="32"/>
                <w:lang w:bidi="ar-JO"/>
                <w14:ligatures w14:val="standardContextual"/>
              </w:rPr>
            </w:pPr>
            <w:r w:rsidRPr="003A4066">
              <w:rPr>
                <w:rFonts w:ascii="Traditional Arabic" w:eastAsia="Calibri" w:hAnsi="Traditional Arabic" w:cs="Traditional Arabic"/>
                <w:kern w:val="2"/>
                <w:sz w:val="32"/>
                <w:szCs w:val="32"/>
                <w:rtl/>
                <w:lang w:bidi="ar-JO"/>
                <w14:ligatures w14:val="standardContextual"/>
              </w:rPr>
              <w:t>الرقم</w:t>
            </w:r>
          </w:p>
        </w:tc>
        <w:tc>
          <w:tcPr>
            <w:tcW w:w="606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37E63FA0" w14:textId="77777777" w:rsidR="003A4066" w:rsidRPr="003A4066" w:rsidRDefault="003A4066" w:rsidP="003A4066">
            <w:pPr>
              <w:bidi/>
              <w:jc w:val="center"/>
              <w:rPr>
                <w:rFonts w:ascii="Traditional Arabic" w:eastAsia="Calibri" w:hAnsi="Traditional Arabic" w:cs="Traditional Arabic"/>
                <w:kern w:val="2"/>
                <w:sz w:val="32"/>
                <w:szCs w:val="32"/>
                <w:lang w:bidi="ar-JO"/>
                <w14:ligatures w14:val="standardContextual"/>
              </w:rPr>
            </w:pPr>
            <w:r w:rsidRPr="003A4066">
              <w:rPr>
                <w:rFonts w:ascii="Traditional Arabic" w:eastAsia="Simplified Arabic" w:hAnsi="Traditional Arabic" w:cs="Traditional Arabic"/>
                <w:kern w:val="2"/>
                <w:sz w:val="32"/>
                <w:szCs w:val="32"/>
                <w:rtl/>
                <w14:ligatures w14:val="standardContextual"/>
              </w:rPr>
              <w:t>الفقرة</w:t>
            </w:r>
          </w:p>
        </w:tc>
        <w:tc>
          <w:tcPr>
            <w:tcW w:w="735"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17239CF7" w14:textId="77777777" w:rsidR="003A4066" w:rsidRPr="003A4066" w:rsidRDefault="003A4066" w:rsidP="003A4066">
            <w:pPr>
              <w:bidi/>
              <w:jc w:val="center"/>
              <w:rPr>
                <w:rFonts w:ascii="Traditional Arabic" w:eastAsia="Calibri" w:hAnsi="Traditional Arabic" w:cs="Traditional Arabic"/>
                <w:kern w:val="2"/>
                <w:sz w:val="32"/>
                <w:szCs w:val="32"/>
                <w:lang w:bidi="ar-JO"/>
                <w14:ligatures w14:val="standardContextual"/>
              </w:rPr>
            </w:pPr>
            <w:r w:rsidRPr="003A4066">
              <w:rPr>
                <w:rFonts w:ascii="Traditional Arabic" w:eastAsia="Calibri" w:hAnsi="Traditional Arabic" w:cs="Traditional Arabic"/>
                <w:kern w:val="2"/>
                <w:sz w:val="32"/>
                <w:szCs w:val="32"/>
                <w:rtl/>
                <w:lang w:bidi="ar-JO"/>
                <w14:ligatures w14:val="standardContextual"/>
              </w:rPr>
              <w:t>موافق بشدة</w:t>
            </w:r>
          </w:p>
        </w:tc>
        <w:tc>
          <w:tcPr>
            <w:tcW w:w="735"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4C498047" w14:textId="77777777" w:rsidR="003A4066" w:rsidRPr="003A4066" w:rsidRDefault="003A4066" w:rsidP="003A4066">
            <w:pPr>
              <w:bidi/>
              <w:jc w:val="center"/>
              <w:rPr>
                <w:rFonts w:ascii="Traditional Arabic" w:eastAsia="Calibri" w:hAnsi="Traditional Arabic" w:cs="Traditional Arabic"/>
                <w:kern w:val="2"/>
                <w:sz w:val="32"/>
                <w:szCs w:val="32"/>
                <w:lang w:bidi="ar-JO"/>
                <w14:ligatures w14:val="standardContextual"/>
              </w:rPr>
            </w:pPr>
            <w:r w:rsidRPr="003A4066">
              <w:rPr>
                <w:rFonts w:ascii="Traditional Arabic" w:eastAsia="Calibri" w:hAnsi="Traditional Arabic" w:cs="Traditional Arabic"/>
                <w:kern w:val="2"/>
                <w:sz w:val="32"/>
                <w:szCs w:val="32"/>
                <w:rtl/>
                <w:lang w:bidi="ar-JO"/>
                <w14:ligatures w14:val="standardContextual"/>
              </w:rPr>
              <w:t>موافق</w:t>
            </w:r>
          </w:p>
        </w:tc>
        <w:tc>
          <w:tcPr>
            <w:tcW w:w="82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3ACB07BF" w14:textId="77777777" w:rsidR="003A4066" w:rsidRPr="003A4066" w:rsidRDefault="003A4066" w:rsidP="003A4066">
            <w:pPr>
              <w:bidi/>
              <w:jc w:val="center"/>
              <w:rPr>
                <w:rFonts w:ascii="Traditional Arabic" w:eastAsia="Calibri" w:hAnsi="Traditional Arabic" w:cs="Traditional Arabic"/>
                <w:kern w:val="2"/>
                <w:sz w:val="32"/>
                <w:szCs w:val="32"/>
                <w:rtl/>
                <w:lang w:bidi="ar-JO"/>
                <w14:ligatures w14:val="standardContextual"/>
              </w:rPr>
            </w:pPr>
            <w:r w:rsidRPr="003A4066">
              <w:rPr>
                <w:rFonts w:ascii="Traditional Arabic" w:eastAsia="Calibri" w:hAnsi="Traditional Arabic" w:cs="Traditional Arabic"/>
                <w:kern w:val="2"/>
                <w:sz w:val="32"/>
                <w:szCs w:val="32"/>
                <w:rtl/>
                <w:lang w:bidi="ar-JO"/>
                <w14:ligatures w14:val="standardContextual"/>
              </w:rPr>
              <w:t>محايد</w:t>
            </w:r>
          </w:p>
        </w:tc>
        <w:tc>
          <w:tcPr>
            <w:tcW w:w="735"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19F51011" w14:textId="77777777" w:rsidR="003A4066" w:rsidRPr="003A4066" w:rsidRDefault="003A4066" w:rsidP="003A4066">
            <w:pPr>
              <w:bidi/>
              <w:jc w:val="center"/>
              <w:rPr>
                <w:rFonts w:ascii="Traditional Arabic" w:eastAsia="Calibri" w:hAnsi="Traditional Arabic" w:cs="Traditional Arabic"/>
                <w:kern w:val="2"/>
                <w:sz w:val="32"/>
                <w:szCs w:val="32"/>
                <w:lang w:bidi="ar-JO"/>
                <w14:ligatures w14:val="standardContextual"/>
              </w:rPr>
            </w:pPr>
            <w:r w:rsidRPr="003A4066">
              <w:rPr>
                <w:rFonts w:ascii="Traditional Arabic" w:eastAsia="Calibri" w:hAnsi="Traditional Arabic" w:cs="Traditional Arabic"/>
                <w:kern w:val="2"/>
                <w:sz w:val="32"/>
                <w:szCs w:val="32"/>
                <w:rtl/>
                <w:lang w:bidi="ar-JO"/>
                <w14:ligatures w14:val="standardContextual"/>
              </w:rPr>
              <w:t>غير موافق</w:t>
            </w:r>
          </w:p>
        </w:tc>
        <w:tc>
          <w:tcPr>
            <w:tcW w:w="832"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6976224E" w14:textId="77777777" w:rsidR="003A4066" w:rsidRPr="003A4066" w:rsidRDefault="003A4066" w:rsidP="003A4066">
            <w:pPr>
              <w:bidi/>
              <w:jc w:val="center"/>
              <w:rPr>
                <w:rFonts w:ascii="Traditional Arabic" w:eastAsia="Calibri" w:hAnsi="Traditional Arabic" w:cs="Traditional Arabic"/>
                <w:kern w:val="2"/>
                <w:sz w:val="32"/>
                <w:szCs w:val="32"/>
                <w:lang w:bidi="ar-JO"/>
                <w14:ligatures w14:val="standardContextual"/>
              </w:rPr>
            </w:pPr>
            <w:r w:rsidRPr="003A4066">
              <w:rPr>
                <w:rFonts w:ascii="Traditional Arabic" w:eastAsia="Calibri" w:hAnsi="Traditional Arabic" w:cs="Traditional Arabic"/>
                <w:kern w:val="2"/>
                <w:sz w:val="32"/>
                <w:szCs w:val="32"/>
                <w:rtl/>
                <w:lang w:bidi="ar-JO"/>
                <w14:ligatures w14:val="standardContextual"/>
              </w:rPr>
              <w:t>غير موافق بشدة</w:t>
            </w:r>
          </w:p>
        </w:tc>
      </w:tr>
      <w:tr w:rsidR="003A4066" w:rsidRPr="003A4066" w14:paraId="1195045B" w14:textId="77777777" w:rsidTr="003A4066">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2B20C6" w14:textId="1588734D" w:rsidR="003A4066" w:rsidRPr="003A4066" w:rsidRDefault="003A4066" w:rsidP="004D7B3D">
            <w:pPr>
              <w:bidi/>
              <w:rPr>
                <w:rFonts w:ascii="Traditional Arabic" w:eastAsia="Simplified Arabic" w:hAnsi="Traditional Arabic" w:cs="Traditional Arabic"/>
                <w:bCs/>
                <w:kern w:val="2"/>
                <w:sz w:val="32"/>
                <w:szCs w:val="32"/>
                <w:rtl/>
                <w14:ligatures w14:val="standardContextual"/>
              </w:rPr>
            </w:pPr>
            <w:r w:rsidRPr="003A4066">
              <w:rPr>
                <w:rFonts w:ascii="Traditional Arabic" w:eastAsia="Simplified Arabic" w:hAnsi="Traditional Arabic" w:cs="Traditional Arabic"/>
                <w:b/>
                <w:bCs/>
                <w:kern w:val="2"/>
                <w:sz w:val="32"/>
                <w:szCs w:val="32"/>
                <w:rtl/>
                <w:lang w:bidi="ar-EG"/>
                <w14:ligatures w14:val="standardContextual"/>
              </w:rPr>
              <w:t>التعريف الإجرائي</w:t>
            </w:r>
            <w:r w:rsidRPr="003A4066">
              <w:rPr>
                <w:rFonts w:ascii="Traditional Arabic" w:eastAsia="Simplified Arabic" w:hAnsi="Traditional Arabic" w:cs="Traditional Arabic"/>
                <w:b/>
                <w:bCs/>
                <w:kern w:val="2"/>
                <w:sz w:val="32"/>
                <w:szCs w:val="32"/>
                <w:rtl/>
                <w14:ligatures w14:val="standardContextual"/>
              </w:rPr>
              <w:t xml:space="preserve"> لاستراتيجيات مواجه ضغوط العمل (المتغير المستقل):</w:t>
            </w:r>
            <w:r w:rsidRPr="003A4066">
              <w:rPr>
                <w:rFonts w:ascii="Traditional Arabic" w:eastAsia="Simplified Arabic" w:hAnsi="Traditional Arabic" w:cs="Traditional Arabic"/>
                <w:b/>
                <w:bCs/>
                <w:kern w:val="2"/>
                <w:sz w:val="32"/>
                <w:szCs w:val="32"/>
                <w:rtl/>
                <w:lang w:bidi="ar-EG"/>
                <w14:ligatures w14:val="standardContextual"/>
              </w:rPr>
              <w:t xml:space="preserve"> </w:t>
            </w:r>
            <w:r w:rsidR="004D7B3D" w:rsidRPr="004D7B3D">
              <w:rPr>
                <w:rFonts w:ascii="Traditional Arabic" w:eastAsia="Simplified Arabic" w:hAnsi="Traditional Arabic" w:cs="Traditional Arabic"/>
                <w:b/>
                <w:bCs/>
                <w:kern w:val="2"/>
                <w:sz w:val="32"/>
                <w:szCs w:val="32"/>
                <w:rtl/>
                <w14:ligatures w14:val="standardContextual"/>
              </w:rPr>
              <w:t>هي الدرجة التي يحصل عليها العاملون بمحكمة الأحوال الشخصية بجدة على مقياس معدل مستند إلى مقياس استراتيجيات المواجهة (</w:t>
            </w:r>
            <w:r w:rsidR="004D7B3D" w:rsidRPr="004D7B3D">
              <w:rPr>
                <w:rFonts w:ascii="Traditional Arabic" w:eastAsia="Simplified Arabic" w:hAnsi="Traditional Arabic" w:cs="Traditional Arabic"/>
                <w:b/>
                <w:bCs/>
                <w:kern w:val="2"/>
                <w:sz w:val="32"/>
                <w:szCs w:val="32"/>
                <w14:ligatures w14:val="standardContextual"/>
              </w:rPr>
              <w:t>Coping Strategies Inventory – CSI</w:t>
            </w:r>
            <w:r w:rsidR="004D7B3D" w:rsidRPr="004D7B3D">
              <w:rPr>
                <w:rFonts w:ascii="Traditional Arabic" w:eastAsia="Simplified Arabic" w:hAnsi="Traditional Arabic" w:cs="Traditional Arabic"/>
                <w:b/>
                <w:bCs/>
                <w:kern w:val="2"/>
                <w:sz w:val="32"/>
                <w:szCs w:val="32"/>
                <w:rtl/>
                <w14:ligatures w14:val="standardContextual"/>
              </w:rPr>
              <w:t xml:space="preserve">) الذي طوره </w:t>
            </w:r>
            <w:r w:rsidR="004D7B3D" w:rsidRPr="004D7B3D">
              <w:rPr>
                <w:rFonts w:ascii="Traditional Arabic" w:eastAsia="Simplified Arabic" w:hAnsi="Traditional Arabic" w:cs="Traditional Arabic"/>
                <w:b/>
                <w:bCs/>
                <w:kern w:val="2"/>
                <w:sz w:val="32"/>
                <w:szCs w:val="32"/>
                <w14:ligatures w14:val="standardContextual"/>
              </w:rPr>
              <w:t>Tobin et al. (1989</w:t>
            </w:r>
            <w:r w:rsidR="004D7B3D" w:rsidRPr="004D7B3D">
              <w:rPr>
                <w:rFonts w:ascii="Traditional Arabic" w:eastAsia="Simplified Arabic" w:hAnsi="Traditional Arabic" w:cs="Traditional Arabic"/>
                <w:b/>
                <w:bCs/>
                <w:kern w:val="2"/>
                <w:sz w:val="32"/>
                <w:szCs w:val="32"/>
                <w:rtl/>
                <w14:ligatures w14:val="standardContextual"/>
              </w:rPr>
              <w:t>)، والذي يصنف استراتيجيات المواجهة في هذه الدراسة إلى استراتيجيات إيجابية تتمثل في حل المشكلات وطلب الدعم الاجتماعي، واستراتيجيات سلبية تتمثل في التجنب والانسحاب، وتعكس الدرجات مدى اعتماد الأفراد على كل استراتيجية في التعامل مع ضغوط العمل.</w:t>
            </w:r>
          </w:p>
        </w:tc>
      </w:tr>
      <w:tr w:rsidR="003A4066" w:rsidRPr="003A4066" w14:paraId="292038AF" w14:textId="77777777" w:rsidTr="003A4066">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D4C1EC" w14:textId="77777777" w:rsidR="003A4066" w:rsidRPr="003A4066" w:rsidRDefault="003A4066" w:rsidP="003A4066">
            <w:pPr>
              <w:bidi/>
              <w:rPr>
                <w:rFonts w:ascii="Traditional Arabic" w:eastAsia="Calibri" w:hAnsi="Traditional Arabic" w:cs="Traditional Arabic"/>
                <w:bCs/>
                <w:kern w:val="2"/>
                <w:sz w:val="32"/>
                <w:szCs w:val="32"/>
                <w14:ligatures w14:val="standardContextual"/>
              </w:rPr>
            </w:pPr>
            <w:r w:rsidRPr="003A4066">
              <w:rPr>
                <w:rFonts w:ascii="Traditional Arabic" w:eastAsia="Simplified Arabic" w:hAnsi="Traditional Arabic" w:cs="Traditional Arabic"/>
                <w:bCs/>
                <w:kern w:val="2"/>
                <w:sz w:val="32"/>
                <w:szCs w:val="32"/>
                <w:rtl/>
                <w14:ligatures w14:val="standardContextual"/>
              </w:rPr>
              <w:t xml:space="preserve">المتغير الفرعي الأول: </w:t>
            </w:r>
            <w:r w:rsidRPr="003A4066">
              <w:rPr>
                <w:rFonts w:ascii="Traditional Arabic" w:eastAsia="Simplified Arabic" w:hAnsi="Traditional Arabic" w:cs="Traditional Arabic"/>
                <w:b/>
                <w:bCs/>
                <w:kern w:val="2"/>
                <w:sz w:val="32"/>
                <w:szCs w:val="32"/>
                <w:rtl/>
                <w14:ligatures w14:val="standardContextual"/>
              </w:rPr>
              <w:t>استراتيجية حل المشكلات</w:t>
            </w:r>
          </w:p>
        </w:tc>
      </w:tr>
      <w:tr w:rsidR="003A4066" w:rsidRPr="003A4066" w14:paraId="0C85C1DE" w14:textId="77777777" w:rsidTr="003A4066">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42B553C" w14:textId="77777777" w:rsidR="003A4066" w:rsidRPr="003A4066" w:rsidRDefault="003A4066" w:rsidP="003A4066">
            <w:pPr>
              <w:numPr>
                <w:ilvl w:val="0"/>
                <w:numId w:val="30"/>
              </w:numPr>
              <w:bidi/>
              <w:spacing w:after="0" w:line="240" w:lineRule="auto"/>
              <w:rPr>
                <w:rFonts w:ascii="Traditional Arabic" w:eastAsia="Calibri" w:hAnsi="Traditional Arabic" w:cs="Traditional Arabic"/>
                <w:kern w:val="2"/>
                <w:sz w:val="32"/>
                <w:szCs w:val="32"/>
                <w:lang w:bidi="ar-JO"/>
                <w14:ligatures w14:val="standardContextual"/>
              </w:rPr>
            </w:pPr>
          </w:p>
        </w:tc>
        <w:tc>
          <w:tcPr>
            <w:tcW w:w="6061" w:type="dxa"/>
            <w:tcBorders>
              <w:top w:val="single" w:sz="4" w:space="0" w:color="auto"/>
              <w:left w:val="single" w:sz="4" w:space="0" w:color="auto"/>
              <w:bottom w:val="single" w:sz="4" w:space="0" w:color="auto"/>
              <w:right w:val="single" w:sz="4" w:space="0" w:color="auto"/>
            </w:tcBorders>
          </w:tcPr>
          <w:p w14:paraId="1D71B976" w14:textId="77777777" w:rsidR="003A4066" w:rsidRPr="003A4066" w:rsidRDefault="003A4066" w:rsidP="003A4066">
            <w:pPr>
              <w:bidi/>
              <w:rPr>
                <w:rFonts w:ascii="Traditional Arabic" w:eastAsia="Calibri" w:hAnsi="Traditional Arabic" w:cs="Traditional Arabic"/>
                <w:kern w:val="2"/>
                <w:sz w:val="32"/>
                <w:szCs w:val="32"/>
                <w14:ligatures w14:val="standardContextual"/>
              </w:rPr>
            </w:pPr>
            <w:r w:rsidRPr="003A4066">
              <w:rPr>
                <w:rFonts w:ascii="Traditional Arabic" w:eastAsia="Simplified Arabic" w:hAnsi="Traditional Arabic" w:cs="Traditional Arabic"/>
                <w:b/>
                <w:bCs/>
                <w:kern w:val="2"/>
                <w:sz w:val="28"/>
                <w:szCs w:val="28"/>
                <w:rtl/>
                <w14:ligatures w14:val="standardContextual"/>
              </w:rPr>
              <w:t>أعمل على تحديد أسباب المشكلة التي تقابلني في العمل</w:t>
            </w:r>
            <w:r w:rsidRPr="003A4066">
              <w:rPr>
                <w:rFonts w:ascii="Traditional Arabic" w:eastAsia="Simplified Arabic" w:hAnsi="Traditional Arabic" w:cs="Traditional Arabic"/>
                <w:b/>
                <w:bCs/>
                <w:kern w:val="2"/>
                <w:sz w:val="28"/>
                <w:szCs w:val="28"/>
                <w14:ligatures w14:val="standardContextual"/>
              </w:rPr>
              <w:t>.</w:t>
            </w:r>
          </w:p>
        </w:tc>
        <w:tc>
          <w:tcPr>
            <w:tcW w:w="735" w:type="dxa"/>
            <w:tcBorders>
              <w:top w:val="single" w:sz="4" w:space="0" w:color="auto"/>
              <w:left w:val="single" w:sz="4" w:space="0" w:color="auto"/>
              <w:bottom w:val="single" w:sz="4" w:space="0" w:color="auto"/>
              <w:right w:val="single" w:sz="4" w:space="0" w:color="auto"/>
            </w:tcBorders>
          </w:tcPr>
          <w:p w14:paraId="2EE4B577"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c>
          <w:tcPr>
            <w:tcW w:w="735" w:type="dxa"/>
            <w:tcBorders>
              <w:top w:val="single" w:sz="4" w:space="0" w:color="auto"/>
              <w:left w:val="single" w:sz="4" w:space="0" w:color="auto"/>
              <w:bottom w:val="single" w:sz="4" w:space="0" w:color="auto"/>
              <w:right w:val="single" w:sz="4" w:space="0" w:color="auto"/>
            </w:tcBorders>
          </w:tcPr>
          <w:p w14:paraId="171268A8"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c>
          <w:tcPr>
            <w:tcW w:w="821" w:type="dxa"/>
            <w:tcBorders>
              <w:top w:val="single" w:sz="4" w:space="0" w:color="auto"/>
              <w:left w:val="single" w:sz="4" w:space="0" w:color="auto"/>
              <w:bottom w:val="single" w:sz="4" w:space="0" w:color="auto"/>
              <w:right w:val="single" w:sz="4" w:space="0" w:color="auto"/>
            </w:tcBorders>
          </w:tcPr>
          <w:p w14:paraId="3845A104"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c>
          <w:tcPr>
            <w:tcW w:w="735" w:type="dxa"/>
            <w:tcBorders>
              <w:top w:val="single" w:sz="4" w:space="0" w:color="auto"/>
              <w:left w:val="single" w:sz="4" w:space="0" w:color="auto"/>
              <w:bottom w:val="single" w:sz="4" w:space="0" w:color="auto"/>
              <w:right w:val="single" w:sz="4" w:space="0" w:color="auto"/>
            </w:tcBorders>
          </w:tcPr>
          <w:p w14:paraId="623EE1D4"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c>
          <w:tcPr>
            <w:tcW w:w="832" w:type="dxa"/>
            <w:tcBorders>
              <w:top w:val="single" w:sz="4" w:space="0" w:color="auto"/>
              <w:left w:val="single" w:sz="4" w:space="0" w:color="auto"/>
              <w:bottom w:val="single" w:sz="4" w:space="0" w:color="auto"/>
              <w:right w:val="single" w:sz="4" w:space="0" w:color="auto"/>
            </w:tcBorders>
          </w:tcPr>
          <w:p w14:paraId="216A77E1"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r>
      <w:tr w:rsidR="003A4066" w:rsidRPr="003A4066" w14:paraId="153F36B3" w14:textId="77777777" w:rsidTr="003A4066">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26B0DEF" w14:textId="77777777" w:rsidR="003A4066" w:rsidRPr="003A4066" w:rsidRDefault="003A4066" w:rsidP="003A4066">
            <w:pPr>
              <w:numPr>
                <w:ilvl w:val="0"/>
                <w:numId w:val="30"/>
              </w:numPr>
              <w:bidi/>
              <w:spacing w:after="0" w:line="240" w:lineRule="auto"/>
              <w:rPr>
                <w:rFonts w:ascii="Traditional Arabic" w:eastAsia="Calibri" w:hAnsi="Traditional Arabic" w:cs="Traditional Arabic"/>
                <w:kern w:val="2"/>
                <w:sz w:val="32"/>
                <w:szCs w:val="32"/>
                <w:lang w:bidi="ar-JO"/>
                <w14:ligatures w14:val="standardContextual"/>
              </w:rPr>
            </w:pPr>
          </w:p>
        </w:tc>
        <w:tc>
          <w:tcPr>
            <w:tcW w:w="6061" w:type="dxa"/>
            <w:tcBorders>
              <w:top w:val="single" w:sz="4" w:space="0" w:color="auto"/>
              <w:left w:val="single" w:sz="4" w:space="0" w:color="auto"/>
              <w:bottom w:val="single" w:sz="4" w:space="0" w:color="auto"/>
              <w:right w:val="single" w:sz="4" w:space="0" w:color="auto"/>
            </w:tcBorders>
          </w:tcPr>
          <w:p w14:paraId="60024AB6" w14:textId="77777777" w:rsidR="003A4066" w:rsidRPr="003A4066" w:rsidRDefault="003A4066" w:rsidP="003A4066">
            <w:pPr>
              <w:bidi/>
              <w:rPr>
                <w:rFonts w:ascii="Traditional Arabic" w:eastAsia="Calibri" w:hAnsi="Traditional Arabic" w:cs="Traditional Arabic"/>
                <w:kern w:val="2"/>
                <w:sz w:val="32"/>
                <w:szCs w:val="32"/>
                <w14:ligatures w14:val="standardContextual"/>
              </w:rPr>
            </w:pPr>
            <w:r w:rsidRPr="003A4066">
              <w:rPr>
                <w:rFonts w:ascii="Traditional Arabic" w:eastAsia="Simplified Arabic" w:hAnsi="Traditional Arabic" w:cs="Traditional Arabic"/>
                <w:b/>
                <w:bCs/>
                <w:kern w:val="2"/>
                <w:sz w:val="28"/>
                <w:szCs w:val="28"/>
                <w:rtl/>
                <w14:ligatures w14:val="standardContextual"/>
              </w:rPr>
              <w:t>أضع خطة واضحة للتعامل مع المواقف الضاغطة</w:t>
            </w:r>
            <w:r w:rsidRPr="003A4066">
              <w:rPr>
                <w:rFonts w:ascii="Traditional Arabic" w:eastAsia="Simplified Arabic" w:hAnsi="Traditional Arabic" w:cs="Traditional Arabic"/>
                <w:b/>
                <w:bCs/>
                <w:kern w:val="2"/>
                <w:sz w:val="28"/>
                <w:szCs w:val="28"/>
                <w14:ligatures w14:val="standardContextual"/>
              </w:rPr>
              <w:t>.</w:t>
            </w:r>
          </w:p>
        </w:tc>
        <w:tc>
          <w:tcPr>
            <w:tcW w:w="735" w:type="dxa"/>
            <w:tcBorders>
              <w:top w:val="single" w:sz="4" w:space="0" w:color="auto"/>
              <w:left w:val="single" w:sz="4" w:space="0" w:color="auto"/>
              <w:bottom w:val="single" w:sz="4" w:space="0" w:color="auto"/>
              <w:right w:val="single" w:sz="4" w:space="0" w:color="auto"/>
            </w:tcBorders>
          </w:tcPr>
          <w:p w14:paraId="52F90D7F"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c>
          <w:tcPr>
            <w:tcW w:w="735" w:type="dxa"/>
            <w:tcBorders>
              <w:top w:val="single" w:sz="4" w:space="0" w:color="auto"/>
              <w:left w:val="single" w:sz="4" w:space="0" w:color="auto"/>
              <w:bottom w:val="single" w:sz="4" w:space="0" w:color="auto"/>
              <w:right w:val="single" w:sz="4" w:space="0" w:color="auto"/>
            </w:tcBorders>
          </w:tcPr>
          <w:p w14:paraId="3787A8C3"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c>
          <w:tcPr>
            <w:tcW w:w="821" w:type="dxa"/>
            <w:tcBorders>
              <w:top w:val="single" w:sz="4" w:space="0" w:color="auto"/>
              <w:left w:val="single" w:sz="4" w:space="0" w:color="auto"/>
              <w:bottom w:val="single" w:sz="4" w:space="0" w:color="auto"/>
              <w:right w:val="single" w:sz="4" w:space="0" w:color="auto"/>
            </w:tcBorders>
          </w:tcPr>
          <w:p w14:paraId="6A6222B2"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c>
          <w:tcPr>
            <w:tcW w:w="735" w:type="dxa"/>
            <w:tcBorders>
              <w:top w:val="single" w:sz="4" w:space="0" w:color="auto"/>
              <w:left w:val="single" w:sz="4" w:space="0" w:color="auto"/>
              <w:bottom w:val="single" w:sz="4" w:space="0" w:color="auto"/>
              <w:right w:val="single" w:sz="4" w:space="0" w:color="auto"/>
            </w:tcBorders>
          </w:tcPr>
          <w:p w14:paraId="51D9E90B"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c>
          <w:tcPr>
            <w:tcW w:w="832" w:type="dxa"/>
            <w:tcBorders>
              <w:top w:val="single" w:sz="4" w:space="0" w:color="auto"/>
              <w:left w:val="single" w:sz="4" w:space="0" w:color="auto"/>
              <w:bottom w:val="single" w:sz="4" w:space="0" w:color="auto"/>
              <w:right w:val="single" w:sz="4" w:space="0" w:color="auto"/>
            </w:tcBorders>
          </w:tcPr>
          <w:p w14:paraId="2FCE37CB"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r>
      <w:tr w:rsidR="003A4066" w:rsidRPr="003A4066" w14:paraId="37907573" w14:textId="77777777" w:rsidTr="003A4066">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5221D3C" w14:textId="77777777" w:rsidR="003A4066" w:rsidRPr="003A4066" w:rsidRDefault="003A4066" w:rsidP="003A4066">
            <w:pPr>
              <w:numPr>
                <w:ilvl w:val="0"/>
                <w:numId w:val="30"/>
              </w:numPr>
              <w:bidi/>
              <w:spacing w:after="0" w:line="240" w:lineRule="auto"/>
              <w:rPr>
                <w:rFonts w:ascii="Traditional Arabic" w:eastAsia="Calibri" w:hAnsi="Traditional Arabic" w:cs="Traditional Arabic"/>
                <w:kern w:val="2"/>
                <w:sz w:val="32"/>
                <w:szCs w:val="32"/>
                <w:lang w:bidi="ar-JO"/>
                <w14:ligatures w14:val="standardContextual"/>
              </w:rPr>
            </w:pPr>
          </w:p>
        </w:tc>
        <w:tc>
          <w:tcPr>
            <w:tcW w:w="6061" w:type="dxa"/>
            <w:tcBorders>
              <w:top w:val="single" w:sz="4" w:space="0" w:color="auto"/>
              <w:left w:val="single" w:sz="4" w:space="0" w:color="auto"/>
              <w:bottom w:val="single" w:sz="4" w:space="0" w:color="auto"/>
              <w:right w:val="single" w:sz="4" w:space="0" w:color="auto"/>
            </w:tcBorders>
          </w:tcPr>
          <w:p w14:paraId="78C86714" w14:textId="77777777" w:rsidR="003A4066" w:rsidRPr="003A4066" w:rsidRDefault="003A4066" w:rsidP="003A4066">
            <w:pPr>
              <w:bidi/>
              <w:rPr>
                <w:rFonts w:ascii="Traditional Arabic" w:eastAsia="Calibri" w:hAnsi="Traditional Arabic" w:cs="Traditional Arabic"/>
                <w:kern w:val="2"/>
                <w:sz w:val="32"/>
                <w:szCs w:val="32"/>
                <w14:ligatures w14:val="standardContextual"/>
              </w:rPr>
            </w:pPr>
            <w:r w:rsidRPr="003A4066">
              <w:rPr>
                <w:rFonts w:ascii="Traditional Arabic" w:eastAsia="Simplified Arabic" w:hAnsi="Traditional Arabic" w:cs="Traditional Arabic"/>
                <w:b/>
                <w:bCs/>
                <w:kern w:val="2"/>
                <w:sz w:val="28"/>
                <w:szCs w:val="28"/>
                <w:rtl/>
                <w14:ligatures w14:val="standardContextual"/>
              </w:rPr>
              <w:t>أبحث عن حلول عملية للمشكلات المرتبطة بالعمل</w:t>
            </w:r>
            <w:r w:rsidRPr="003A4066">
              <w:rPr>
                <w:rFonts w:ascii="Traditional Arabic" w:eastAsia="Simplified Arabic" w:hAnsi="Traditional Arabic" w:cs="Traditional Arabic"/>
                <w:b/>
                <w:bCs/>
                <w:kern w:val="2"/>
                <w:sz w:val="28"/>
                <w:szCs w:val="28"/>
                <w14:ligatures w14:val="standardContextual"/>
              </w:rPr>
              <w:t>.</w:t>
            </w:r>
          </w:p>
        </w:tc>
        <w:tc>
          <w:tcPr>
            <w:tcW w:w="735" w:type="dxa"/>
            <w:tcBorders>
              <w:top w:val="single" w:sz="4" w:space="0" w:color="auto"/>
              <w:left w:val="single" w:sz="4" w:space="0" w:color="auto"/>
              <w:bottom w:val="single" w:sz="4" w:space="0" w:color="auto"/>
              <w:right w:val="single" w:sz="4" w:space="0" w:color="auto"/>
            </w:tcBorders>
          </w:tcPr>
          <w:p w14:paraId="3B2753C4"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c>
          <w:tcPr>
            <w:tcW w:w="735" w:type="dxa"/>
            <w:tcBorders>
              <w:top w:val="single" w:sz="4" w:space="0" w:color="auto"/>
              <w:left w:val="single" w:sz="4" w:space="0" w:color="auto"/>
              <w:bottom w:val="single" w:sz="4" w:space="0" w:color="auto"/>
              <w:right w:val="single" w:sz="4" w:space="0" w:color="auto"/>
            </w:tcBorders>
          </w:tcPr>
          <w:p w14:paraId="6EC55673"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c>
          <w:tcPr>
            <w:tcW w:w="821" w:type="dxa"/>
            <w:tcBorders>
              <w:top w:val="single" w:sz="4" w:space="0" w:color="auto"/>
              <w:left w:val="single" w:sz="4" w:space="0" w:color="auto"/>
              <w:bottom w:val="single" w:sz="4" w:space="0" w:color="auto"/>
              <w:right w:val="single" w:sz="4" w:space="0" w:color="auto"/>
            </w:tcBorders>
          </w:tcPr>
          <w:p w14:paraId="23926839"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c>
          <w:tcPr>
            <w:tcW w:w="735" w:type="dxa"/>
            <w:tcBorders>
              <w:top w:val="single" w:sz="4" w:space="0" w:color="auto"/>
              <w:left w:val="single" w:sz="4" w:space="0" w:color="auto"/>
              <w:bottom w:val="single" w:sz="4" w:space="0" w:color="auto"/>
              <w:right w:val="single" w:sz="4" w:space="0" w:color="auto"/>
            </w:tcBorders>
          </w:tcPr>
          <w:p w14:paraId="42B52281"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c>
          <w:tcPr>
            <w:tcW w:w="832" w:type="dxa"/>
            <w:tcBorders>
              <w:top w:val="single" w:sz="4" w:space="0" w:color="auto"/>
              <w:left w:val="single" w:sz="4" w:space="0" w:color="auto"/>
              <w:bottom w:val="single" w:sz="4" w:space="0" w:color="auto"/>
              <w:right w:val="single" w:sz="4" w:space="0" w:color="auto"/>
            </w:tcBorders>
          </w:tcPr>
          <w:p w14:paraId="39F999DD"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r>
      <w:tr w:rsidR="003A4066" w:rsidRPr="003A4066" w14:paraId="7A79458C" w14:textId="77777777" w:rsidTr="003A4066">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3BF67F2A" w14:textId="77777777" w:rsidR="003A4066" w:rsidRPr="003A4066" w:rsidRDefault="003A4066" w:rsidP="003A4066">
            <w:pPr>
              <w:bidi/>
              <w:rPr>
                <w:rFonts w:ascii="Traditional Arabic" w:eastAsia="Calibri" w:hAnsi="Traditional Arabic" w:cs="Traditional Arabic"/>
                <w:bCs/>
                <w:kern w:val="2"/>
                <w:sz w:val="32"/>
                <w:szCs w:val="32"/>
                <w:lang w:bidi="ar-JO"/>
                <w14:ligatures w14:val="standardContextual"/>
              </w:rPr>
            </w:pPr>
            <w:r w:rsidRPr="003A4066">
              <w:rPr>
                <w:rFonts w:ascii="Traditional Arabic" w:eastAsia="Simplified Arabic" w:hAnsi="Traditional Arabic" w:cs="Traditional Arabic"/>
                <w:bCs/>
                <w:kern w:val="2"/>
                <w:sz w:val="32"/>
                <w:szCs w:val="32"/>
                <w:rtl/>
                <w14:ligatures w14:val="standardContextual"/>
              </w:rPr>
              <w:t xml:space="preserve">المتغير الفرعي الثاني: </w:t>
            </w:r>
            <w:r w:rsidRPr="003A4066">
              <w:rPr>
                <w:rFonts w:ascii="Traditional Arabic" w:eastAsia="Simplified Arabic" w:hAnsi="Traditional Arabic" w:cs="Traditional Arabic"/>
                <w:b/>
                <w:bCs/>
                <w:kern w:val="2"/>
                <w:sz w:val="32"/>
                <w:szCs w:val="32"/>
                <w:rtl/>
                <w14:ligatures w14:val="standardContextual"/>
              </w:rPr>
              <w:t>استراتيجية طلب الدعم الاجتماعي</w:t>
            </w:r>
          </w:p>
        </w:tc>
      </w:tr>
      <w:tr w:rsidR="003A4066" w:rsidRPr="003A4066" w14:paraId="2480AF06" w14:textId="77777777" w:rsidTr="003A4066">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96DFD27" w14:textId="77777777" w:rsidR="003A4066" w:rsidRPr="003A4066" w:rsidRDefault="003A4066" w:rsidP="003A4066">
            <w:pPr>
              <w:numPr>
                <w:ilvl w:val="0"/>
                <w:numId w:val="30"/>
              </w:numPr>
              <w:bidi/>
              <w:spacing w:after="0" w:line="240" w:lineRule="auto"/>
              <w:contextualSpacing/>
              <w:rPr>
                <w:rFonts w:ascii="Traditional Arabic" w:eastAsia="Calibri" w:hAnsi="Traditional Arabic" w:cs="Traditional Arabic"/>
                <w:sz w:val="32"/>
                <w:szCs w:val="32"/>
                <w:rtl/>
                <w:lang w:bidi="ar-JO"/>
              </w:rPr>
            </w:pPr>
          </w:p>
        </w:tc>
        <w:tc>
          <w:tcPr>
            <w:tcW w:w="6061" w:type="dxa"/>
            <w:tcBorders>
              <w:top w:val="single" w:sz="4" w:space="0" w:color="auto"/>
              <w:left w:val="single" w:sz="4" w:space="0" w:color="auto"/>
              <w:bottom w:val="single" w:sz="4" w:space="0" w:color="auto"/>
              <w:right w:val="single" w:sz="4" w:space="0" w:color="auto"/>
            </w:tcBorders>
          </w:tcPr>
          <w:p w14:paraId="2B958D39" w14:textId="77777777" w:rsidR="003A4066" w:rsidRPr="003A4066" w:rsidRDefault="003A4066" w:rsidP="003A4066">
            <w:pPr>
              <w:bidi/>
              <w:rPr>
                <w:rFonts w:ascii="Traditional Arabic" w:eastAsia="Calibri" w:hAnsi="Traditional Arabic" w:cs="Traditional Arabic"/>
                <w:kern w:val="2"/>
                <w:sz w:val="32"/>
                <w:szCs w:val="32"/>
                <w:rtl/>
                <w14:ligatures w14:val="standardContextual"/>
              </w:rPr>
            </w:pPr>
            <w:r w:rsidRPr="003A4066">
              <w:rPr>
                <w:rFonts w:ascii="Traditional Arabic" w:eastAsia="Simplified Arabic" w:hAnsi="Traditional Arabic" w:cs="Traditional Arabic"/>
                <w:b/>
                <w:bCs/>
                <w:kern w:val="2"/>
                <w:sz w:val="28"/>
                <w:szCs w:val="28"/>
                <w:rtl/>
                <w14:ligatures w14:val="standardContextual"/>
              </w:rPr>
              <w:t>ألجأ إلى زملائي للحصول على المساعدة عند مواجهة ضغوط العمل</w:t>
            </w:r>
            <w:r w:rsidRPr="003A4066">
              <w:rPr>
                <w:rFonts w:ascii="Traditional Arabic" w:eastAsia="Simplified Arabic" w:hAnsi="Traditional Arabic" w:cs="Traditional Arabic"/>
                <w:b/>
                <w:bCs/>
                <w:kern w:val="2"/>
                <w:sz w:val="28"/>
                <w:szCs w:val="28"/>
                <w14:ligatures w14:val="standardContextual"/>
              </w:rPr>
              <w:t>.</w:t>
            </w:r>
          </w:p>
        </w:tc>
        <w:tc>
          <w:tcPr>
            <w:tcW w:w="735" w:type="dxa"/>
            <w:tcBorders>
              <w:top w:val="single" w:sz="4" w:space="0" w:color="auto"/>
              <w:left w:val="single" w:sz="4" w:space="0" w:color="auto"/>
              <w:bottom w:val="single" w:sz="4" w:space="0" w:color="auto"/>
              <w:right w:val="single" w:sz="4" w:space="0" w:color="auto"/>
            </w:tcBorders>
          </w:tcPr>
          <w:p w14:paraId="23578532"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c>
          <w:tcPr>
            <w:tcW w:w="735" w:type="dxa"/>
            <w:tcBorders>
              <w:top w:val="single" w:sz="4" w:space="0" w:color="auto"/>
              <w:left w:val="single" w:sz="4" w:space="0" w:color="auto"/>
              <w:bottom w:val="single" w:sz="4" w:space="0" w:color="auto"/>
              <w:right w:val="single" w:sz="4" w:space="0" w:color="auto"/>
            </w:tcBorders>
          </w:tcPr>
          <w:p w14:paraId="6F9D9F8F"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c>
          <w:tcPr>
            <w:tcW w:w="821" w:type="dxa"/>
            <w:tcBorders>
              <w:top w:val="single" w:sz="4" w:space="0" w:color="auto"/>
              <w:left w:val="single" w:sz="4" w:space="0" w:color="auto"/>
              <w:bottom w:val="single" w:sz="4" w:space="0" w:color="auto"/>
              <w:right w:val="single" w:sz="4" w:space="0" w:color="auto"/>
            </w:tcBorders>
          </w:tcPr>
          <w:p w14:paraId="0CFF2D55"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c>
          <w:tcPr>
            <w:tcW w:w="735" w:type="dxa"/>
            <w:tcBorders>
              <w:top w:val="single" w:sz="4" w:space="0" w:color="auto"/>
              <w:left w:val="single" w:sz="4" w:space="0" w:color="auto"/>
              <w:bottom w:val="single" w:sz="4" w:space="0" w:color="auto"/>
              <w:right w:val="single" w:sz="4" w:space="0" w:color="auto"/>
            </w:tcBorders>
          </w:tcPr>
          <w:p w14:paraId="347ADD70"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c>
          <w:tcPr>
            <w:tcW w:w="832" w:type="dxa"/>
            <w:tcBorders>
              <w:top w:val="single" w:sz="4" w:space="0" w:color="auto"/>
              <w:left w:val="single" w:sz="4" w:space="0" w:color="auto"/>
              <w:bottom w:val="single" w:sz="4" w:space="0" w:color="auto"/>
              <w:right w:val="single" w:sz="4" w:space="0" w:color="auto"/>
            </w:tcBorders>
          </w:tcPr>
          <w:p w14:paraId="688DD712"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r>
      <w:tr w:rsidR="003A4066" w:rsidRPr="003A4066" w14:paraId="5D50B2B6" w14:textId="77777777" w:rsidTr="003A4066">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77C738B7" w14:textId="77777777" w:rsidR="003A4066" w:rsidRPr="003A4066" w:rsidRDefault="003A4066" w:rsidP="003A4066">
            <w:pPr>
              <w:numPr>
                <w:ilvl w:val="0"/>
                <w:numId w:val="30"/>
              </w:numPr>
              <w:bidi/>
              <w:spacing w:after="0" w:line="240" w:lineRule="auto"/>
              <w:rPr>
                <w:rFonts w:ascii="Traditional Arabic" w:eastAsia="Calibri" w:hAnsi="Traditional Arabic" w:cs="Traditional Arabic"/>
                <w:kern w:val="2"/>
                <w:sz w:val="32"/>
                <w:szCs w:val="32"/>
                <w:rtl/>
                <w:lang w:bidi="ar-JO"/>
                <w14:ligatures w14:val="standardContextual"/>
              </w:rPr>
            </w:pPr>
          </w:p>
        </w:tc>
        <w:tc>
          <w:tcPr>
            <w:tcW w:w="6061" w:type="dxa"/>
            <w:tcBorders>
              <w:top w:val="single" w:sz="4" w:space="0" w:color="auto"/>
              <w:left w:val="single" w:sz="4" w:space="0" w:color="auto"/>
              <w:bottom w:val="single" w:sz="4" w:space="0" w:color="auto"/>
              <w:right w:val="single" w:sz="4" w:space="0" w:color="auto"/>
            </w:tcBorders>
          </w:tcPr>
          <w:p w14:paraId="30D7C5E2" w14:textId="77777777" w:rsidR="003A4066" w:rsidRPr="003A4066" w:rsidRDefault="003A4066" w:rsidP="003A4066">
            <w:pPr>
              <w:bidi/>
              <w:rPr>
                <w:rFonts w:ascii="Traditional Arabic" w:eastAsia="Calibri" w:hAnsi="Traditional Arabic" w:cs="Traditional Arabic"/>
                <w:kern w:val="2"/>
                <w:sz w:val="32"/>
                <w:szCs w:val="32"/>
                <w:rtl/>
                <w14:ligatures w14:val="standardContextual"/>
              </w:rPr>
            </w:pPr>
            <w:r w:rsidRPr="003A4066">
              <w:rPr>
                <w:rFonts w:ascii="Traditional Arabic" w:eastAsia="Simplified Arabic" w:hAnsi="Traditional Arabic" w:cs="Traditional Arabic"/>
                <w:b/>
                <w:bCs/>
                <w:kern w:val="2"/>
                <w:sz w:val="28"/>
                <w:szCs w:val="28"/>
                <w:rtl/>
                <w14:ligatures w14:val="standardContextual"/>
              </w:rPr>
              <w:t>أستفيد من خبرات الآخرين للتعامل مع المشكلات الوظيفية</w:t>
            </w:r>
            <w:r w:rsidRPr="003A4066">
              <w:rPr>
                <w:rFonts w:ascii="Traditional Arabic" w:eastAsia="Simplified Arabic" w:hAnsi="Traditional Arabic" w:cs="Traditional Arabic"/>
                <w:b/>
                <w:bCs/>
                <w:kern w:val="2"/>
                <w:sz w:val="28"/>
                <w:szCs w:val="28"/>
                <w14:ligatures w14:val="standardContextual"/>
              </w:rPr>
              <w:t>.</w:t>
            </w:r>
          </w:p>
        </w:tc>
        <w:tc>
          <w:tcPr>
            <w:tcW w:w="735" w:type="dxa"/>
            <w:tcBorders>
              <w:top w:val="single" w:sz="4" w:space="0" w:color="auto"/>
              <w:left w:val="single" w:sz="4" w:space="0" w:color="auto"/>
              <w:bottom w:val="single" w:sz="4" w:space="0" w:color="auto"/>
              <w:right w:val="single" w:sz="4" w:space="0" w:color="auto"/>
            </w:tcBorders>
          </w:tcPr>
          <w:p w14:paraId="60CF3D40"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c>
          <w:tcPr>
            <w:tcW w:w="735" w:type="dxa"/>
            <w:tcBorders>
              <w:top w:val="single" w:sz="4" w:space="0" w:color="auto"/>
              <w:left w:val="single" w:sz="4" w:space="0" w:color="auto"/>
              <w:bottom w:val="single" w:sz="4" w:space="0" w:color="auto"/>
              <w:right w:val="single" w:sz="4" w:space="0" w:color="auto"/>
            </w:tcBorders>
          </w:tcPr>
          <w:p w14:paraId="096DAB67"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c>
          <w:tcPr>
            <w:tcW w:w="821" w:type="dxa"/>
            <w:tcBorders>
              <w:top w:val="single" w:sz="4" w:space="0" w:color="auto"/>
              <w:left w:val="single" w:sz="4" w:space="0" w:color="auto"/>
              <w:bottom w:val="single" w:sz="4" w:space="0" w:color="auto"/>
              <w:right w:val="single" w:sz="4" w:space="0" w:color="auto"/>
            </w:tcBorders>
          </w:tcPr>
          <w:p w14:paraId="4F553827"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c>
          <w:tcPr>
            <w:tcW w:w="735" w:type="dxa"/>
            <w:tcBorders>
              <w:top w:val="single" w:sz="4" w:space="0" w:color="auto"/>
              <w:left w:val="single" w:sz="4" w:space="0" w:color="auto"/>
              <w:bottom w:val="single" w:sz="4" w:space="0" w:color="auto"/>
              <w:right w:val="single" w:sz="4" w:space="0" w:color="auto"/>
            </w:tcBorders>
          </w:tcPr>
          <w:p w14:paraId="135810AE"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c>
          <w:tcPr>
            <w:tcW w:w="832" w:type="dxa"/>
            <w:tcBorders>
              <w:top w:val="single" w:sz="4" w:space="0" w:color="auto"/>
              <w:left w:val="single" w:sz="4" w:space="0" w:color="auto"/>
              <w:bottom w:val="single" w:sz="4" w:space="0" w:color="auto"/>
              <w:right w:val="single" w:sz="4" w:space="0" w:color="auto"/>
            </w:tcBorders>
          </w:tcPr>
          <w:p w14:paraId="348494E4"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r>
      <w:tr w:rsidR="003A4066" w:rsidRPr="003A4066" w14:paraId="5D493D34" w14:textId="77777777" w:rsidTr="003A4066">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7BE4DFAF" w14:textId="77777777" w:rsidR="003A4066" w:rsidRPr="003A4066" w:rsidRDefault="003A4066" w:rsidP="003A4066">
            <w:pPr>
              <w:numPr>
                <w:ilvl w:val="0"/>
                <w:numId w:val="30"/>
              </w:numPr>
              <w:bidi/>
              <w:spacing w:after="0" w:line="240" w:lineRule="auto"/>
              <w:rPr>
                <w:rFonts w:ascii="Traditional Arabic" w:eastAsia="Calibri" w:hAnsi="Traditional Arabic" w:cs="Traditional Arabic"/>
                <w:kern w:val="2"/>
                <w:sz w:val="32"/>
                <w:szCs w:val="32"/>
                <w:rtl/>
                <w:lang w:bidi="ar-JO"/>
                <w14:ligatures w14:val="standardContextual"/>
              </w:rPr>
            </w:pPr>
          </w:p>
        </w:tc>
        <w:tc>
          <w:tcPr>
            <w:tcW w:w="6061" w:type="dxa"/>
            <w:tcBorders>
              <w:top w:val="single" w:sz="4" w:space="0" w:color="auto"/>
              <w:left w:val="single" w:sz="4" w:space="0" w:color="auto"/>
              <w:bottom w:val="single" w:sz="4" w:space="0" w:color="auto"/>
              <w:right w:val="single" w:sz="4" w:space="0" w:color="auto"/>
            </w:tcBorders>
          </w:tcPr>
          <w:p w14:paraId="1666282D" w14:textId="77777777" w:rsidR="003A4066" w:rsidRPr="003A4066" w:rsidRDefault="003A4066" w:rsidP="003A4066">
            <w:pPr>
              <w:bidi/>
              <w:rPr>
                <w:rFonts w:ascii="Traditional Arabic" w:eastAsia="Calibri" w:hAnsi="Traditional Arabic" w:cs="Traditional Arabic"/>
                <w:kern w:val="2"/>
                <w:sz w:val="32"/>
                <w:szCs w:val="32"/>
                <w:rtl/>
                <w14:ligatures w14:val="standardContextual"/>
              </w:rPr>
            </w:pPr>
            <w:r w:rsidRPr="003A4066">
              <w:rPr>
                <w:rFonts w:ascii="Traditional Arabic" w:eastAsia="Simplified Arabic" w:hAnsi="Traditional Arabic" w:cs="Traditional Arabic"/>
                <w:b/>
                <w:bCs/>
                <w:kern w:val="2"/>
                <w:sz w:val="28"/>
                <w:szCs w:val="28"/>
                <w:rtl/>
                <w14:ligatures w14:val="standardContextual"/>
              </w:rPr>
              <w:t>أطلب المشورة من المسؤولين عند مواجهة مواقف عمل صعبة</w:t>
            </w:r>
            <w:r w:rsidRPr="003A4066">
              <w:rPr>
                <w:rFonts w:ascii="Traditional Arabic" w:eastAsia="Simplified Arabic" w:hAnsi="Traditional Arabic" w:cs="Traditional Arabic"/>
                <w:b/>
                <w:bCs/>
                <w:kern w:val="2"/>
                <w:sz w:val="28"/>
                <w:szCs w:val="28"/>
                <w14:ligatures w14:val="standardContextual"/>
              </w:rPr>
              <w:t>.</w:t>
            </w:r>
          </w:p>
        </w:tc>
        <w:tc>
          <w:tcPr>
            <w:tcW w:w="735" w:type="dxa"/>
            <w:tcBorders>
              <w:top w:val="single" w:sz="4" w:space="0" w:color="auto"/>
              <w:left w:val="single" w:sz="4" w:space="0" w:color="auto"/>
              <w:bottom w:val="single" w:sz="4" w:space="0" w:color="auto"/>
              <w:right w:val="single" w:sz="4" w:space="0" w:color="auto"/>
            </w:tcBorders>
          </w:tcPr>
          <w:p w14:paraId="681FF387"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c>
          <w:tcPr>
            <w:tcW w:w="735" w:type="dxa"/>
            <w:tcBorders>
              <w:top w:val="single" w:sz="4" w:space="0" w:color="auto"/>
              <w:left w:val="single" w:sz="4" w:space="0" w:color="auto"/>
              <w:bottom w:val="single" w:sz="4" w:space="0" w:color="auto"/>
              <w:right w:val="single" w:sz="4" w:space="0" w:color="auto"/>
            </w:tcBorders>
          </w:tcPr>
          <w:p w14:paraId="2CCE7030"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c>
          <w:tcPr>
            <w:tcW w:w="821" w:type="dxa"/>
            <w:tcBorders>
              <w:top w:val="single" w:sz="4" w:space="0" w:color="auto"/>
              <w:left w:val="single" w:sz="4" w:space="0" w:color="auto"/>
              <w:bottom w:val="single" w:sz="4" w:space="0" w:color="auto"/>
              <w:right w:val="single" w:sz="4" w:space="0" w:color="auto"/>
            </w:tcBorders>
          </w:tcPr>
          <w:p w14:paraId="06B2BBBB"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c>
          <w:tcPr>
            <w:tcW w:w="735" w:type="dxa"/>
            <w:tcBorders>
              <w:top w:val="single" w:sz="4" w:space="0" w:color="auto"/>
              <w:left w:val="single" w:sz="4" w:space="0" w:color="auto"/>
              <w:bottom w:val="single" w:sz="4" w:space="0" w:color="auto"/>
              <w:right w:val="single" w:sz="4" w:space="0" w:color="auto"/>
            </w:tcBorders>
          </w:tcPr>
          <w:p w14:paraId="11D8A3B1"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c>
          <w:tcPr>
            <w:tcW w:w="832" w:type="dxa"/>
            <w:tcBorders>
              <w:top w:val="single" w:sz="4" w:space="0" w:color="auto"/>
              <w:left w:val="single" w:sz="4" w:space="0" w:color="auto"/>
              <w:bottom w:val="single" w:sz="4" w:space="0" w:color="auto"/>
              <w:right w:val="single" w:sz="4" w:space="0" w:color="auto"/>
            </w:tcBorders>
          </w:tcPr>
          <w:p w14:paraId="3F0C7DF7" w14:textId="77777777" w:rsidR="003A4066" w:rsidRPr="003A4066" w:rsidRDefault="003A4066" w:rsidP="003A4066">
            <w:pPr>
              <w:bidi/>
              <w:rPr>
                <w:rFonts w:ascii="Traditional Arabic" w:eastAsia="Calibri" w:hAnsi="Traditional Arabic" w:cs="Traditional Arabic"/>
                <w:b/>
                <w:bCs/>
                <w:kern w:val="2"/>
                <w:sz w:val="32"/>
                <w:szCs w:val="32"/>
                <w:lang w:bidi="ar-JO"/>
                <w14:ligatures w14:val="standardContextual"/>
              </w:rPr>
            </w:pPr>
          </w:p>
        </w:tc>
      </w:tr>
      <w:tr w:rsidR="003A4066" w:rsidRPr="003A4066" w14:paraId="56030B2C" w14:textId="77777777" w:rsidTr="003A4066">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BDD0E0"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32"/>
                <w:szCs w:val="32"/>
                <w:rtl/>
                <w14:ligatures w14:val="standardContextual"/>
              </w:rPr>
              <w:t>المتغير</w:t>
            </w:r>
            <w:r w:rsidRPr="003A4066">
              <w:rPr>
                <w:rFonts w:ascii="Traditional Arabic" w:eastAsia="Simplified Arabic" w:hAnsi="Traditional Arabic" w:cs="Traditional Arabic"/>
                <w:bCs/>
                <w:kern w:val="2"/>
                <w:sz w:val="32"/>
                <w:szCs w:val="32"/>
                <w:rtl/>
                <w14:ligatures w14:val="standardContextual"/>
              </w:rPr>
              <w:t xml:space="preserve"> </w:t>
            </w:r>
            <w:r w:rsidRPr="003A4066">
              <w:rPr>
                <w:rFonts w:ascii="Traditional Arabic" w:eastAsia="Simplified Arabic" w:hAnsi="Traditional Arabic" w:cs="Traditional Arabic"/>
                <w:b/>
                <w:bCs/>
                <w:kern w:val="2"/>
                <w:sz w:val="32"/>
                <w:szCs w:val="32"/>
                <w:rtl/>
                <w14:ligatures w14:val="standardContextual"/>
              </w:rPr>
              <w:t>الفرعي الثالث: استراتيجية التجنب</w:t>
            </w:r>
          </w:p>
        </w:tc>
      </w:tr>
      <w:tr w:rsidR="003A4066" w:rsidRPr="003A4066" w14:paraId="4E4B5CF3" w14:textId="77777777" w:rsidTr="003A4066">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DD0831B"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14:ligatures w14:val="standardContextual"/>
              </w:rPr>
            </w:pPr>
          </w:p>
        </w:tc>
        <w:tc>
          <w:tcPr>
            <w:tcW w:w="6061" w:type="dxa"/>
            <w:tcBorders>
              <w:top w:val="single" w:sz="4" w:space="0" w:color="auto"/>
              <w:left w:val="single" w:sz="4" w:space="0" w:color="auto"/>
              <w:bottom w:val="single" w:sz="4" w:space="0" w:color="auto"/>
              <w:right w:val="single" w:sz="4" w:space="0" w:color="auto"/>
            </w:tcBorders>
          </w:tcPr>
          <w:p w14:paraId="534280C5"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28"/>
                <w:szCs w:val="28"/>
                <w:rtl/>
                <w14:ligatures w14:val="standardContextual"/>
              </w:rPr>
              <w:t>أتجنب التفكير في المشكلات المرتبطة بالعمل</w:t>
            </w:r>
            <w:r w:rsidRPr="003A4066">
              <w:rPr>
                <w:rFonts w:ascii="Traditional Arabic" w:eastAsia="Simplified Arabic" w:hAnsi="Traditional Arabic" w:cs="Traditional Arabic"/>
                <w:b/>
                <w:bCs/>
                <w:kern w:val="2"/>
                <w:sz w:val="28"/>
                <w:szCs w:val="28"/>
                <w14:ligatures w14:val="standardContextual"/>
              </w:rPr>
              <w:t>.</w:t>
            </w:r>
          </w:p>
        </w:tc>
        <w:tc>
          <w:tcPr>
            <w:tcW w:w="735" w:type="dxa"/>
            <w:tcBorders>
              <w:top w:val="single" w:sz="4" w:space="0" w:color="auto"/>
              <w:left w:val="single" w:sz="4" w:space="0" w:color="auto"/>
              <w:bottom w:val="single" w:sz="4" w:space="0" w:color="auto"/>
              <w:right w:val="single" w:sz="4" w:space="0" w:color="auto"/>
            </w:tcBorders>
          </w:tcPr>
          <w:p w14:paraId="3952D6DD"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35" w:type="dxa"/>
            <w:tcBorders>
              <w:top w:val="single" w:sz="4" w:space="0" w:color="auto"/>
              <w:left w:val="single" w:sz="4" w:space="0" w:color="auto"/>
              <w:bottom w:val="single" w:sz="4" w:space="0" w:color="auto"/>
              <w:right w:val="single" w:sz="4" w:space="0" w:color="auto"/>
            </w:tcBorders>
          </w:tcPr>
          <w:p w14:paraId="3A09B932"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21" w:type="dxa"/>
            <w:tcBorders>
              <w:top w:val="single" w:sz="4" w:space="0" w:color="auto"/>
              <w:left w:val="single" w:sz="4" w:space="0" w:color="auto"/>
              <w:bottom w:val="single" w:sz="4" w:space="0" w:color="auto"/>
              <w:right w:val="single" w:sz="4" w:space="0" w:color="auto"/>
            </w:tcBorders>
          </w:tcPr>
          <w:p w14:paraId="221295FF"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35" w:type="dxa"/>
            <w:tcBorders>
              <w:top w:val="single" w:sz="4" w:space="0" w:color="auto"/>
              <w:left w:val="single" w:sz="4" w:space="0" w:color="auto"/>
              <w:bottom w:val="single" w:sz="4" w:space="0" w:color="auto"/>
              <w:right w:val="single" w:sz="4" w:space="0" w:color="auto"/>
            </w:tcBorders>
          </w:tcPr>
          <w:p w14:paraId="3E112184"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2" w:type="dxa"/>
            <w:tcBorders>
              <w:top w:val="single" w:sz="4" w:space="0" w:color="auto"/>
              <w:left w:val="single" w:sz="4" w:space="0" w:color="auto"/>
              <w:bottom w:val="single" w:sz="4" w:space="0" w:color="auto"/>
              <w:right w:val="single" w:sz="4" w:space="0" w:color="auto"/>
            </w:tcBorders>
          </w:tcPr>
          <w:p w14:paraId="323FA28A"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r w:rsidR="003A4066" w:rsidRPr="003A4066" w14:paraId="1C5E5592" w14:textId="77777777" w:rsidTr="003A4066">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C39C7CB"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14:ligatures w14:val="standardContextual"/>
              </w:rPr>
            </w:pPr>
          </w:p>
        </w:tc>
        <w:tc>
          <w:tcPr>
            <w:tcW w:w="6061" w:type="dxa"/>
            <w:tcBorders>
              <w:top w:val="single" w:sz="4" w:space="0" w:color="auto"/>
              <w:left w:val="single" w:sz="4" w:space="0" w:color="auto"/>
              <w:bottom w:val="single" w:sz="4" w:space="0" w:color="auto"/>
              <w:right w:val="single" w:sz="4" w:space="0" w:color="auto"/>
            </w:tcBorders>
          </w:tcPr>
          <w:p w14:paraId="0FB297B5"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28"/>
                <w:szCs w:val="28"/>
                <w:rtl/>
                <w14:ligatures w14:val="standardContextual"/>
              </w:rPr>
              <w:t>أحاول تجاهل المواقف الضاغطة بدلاً من التعامل معها</w:t>
            </w:r>
            <w:r w:rsidRPr="003A4066">
              <w:rPr>
                <w:rFonts w:ascii="Traditional Arabic" w:eastAsia="Simplified Arabic" w:hAnsi="Traditional Arabic" w:cs="Traditional Arabic"/>
                <w:b/>
                <w:bCs/>
                <w:kern w:val="2"/>
                <w:sz w:val="28"/>
                <w:szCs w:val="28"/>
                <w14:ligatures w14:val="standardContextual"/>
              </w:rPr>
              <w:t>.</w:t>
            </w:r>
          </w:p>
        </w:tc>
        <w:tc>
          <w:tcPr>
            <w:tcW w:w="735" w:type="dxa"/>
            <w:tcBorders>
              <w:top w:val="single" w:sz="4" w:space="0" w:color="auto"/>
              <w:left w:val="single" w:sz="4" w:space="0" w:color="auto"/>
              <w:bottom w:val="single" w:sz="4" w:space="0" w:color="auto"/>
              <w:right w:val="single" w:sz="4" w:space="0" w:color="auto"/>
            </w:tcBorders>
          </w:tcPr>
          <w:p w14:paraId="5172AFE1"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35" w:type="dxa"/>
            <w:tcBorders>
              <w:top w:val="single" w:sz="4" w:space="0" w:color="auto"/>
              <w:left w:val="single" w:sz="4" w:space="0" w:color="auto"/>
              <w:bottom w:val="single" w:sz="4" w:space="0" w:color="auto"/>
              <w:right w:val="single" w:sz="4" w:space="0" w:color="auto"/>
            </w:tcBorders>
          </w:tcPr>
          <w:p w14:paraId="37D21C43"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21" w:type="dxa"/>
            <w:tcBorders>
              <w:top w:val="single" w:sz="4" w:space="0" w:color="auto"/>
              <w:left w:val="single" w:sz="4" w:space="0" w:color="auto"/>
              <w:bottom w:val="single" w:sz="4" w:space="0" w:color="auto"/>
              <w:right w:val="single" w:sz="4" w:space="0" w:color="auto"/>
            </w:tcBorders>
          </w:tcPr>
          <w:p w14:paraId="129301CC"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35" w:type="dxa"/>
            <w:tcBorders>
              <w:top w:val="single" w:sz="4" w:space="0" w:color="auto"/>
              <w:left w:val="single" w:sz="4" w:space="0" w:color="auto"/>
              <w:bottom w:val="single" w:sz="4" w:space="0" w:color="auto"/>
              <w:right w:val="single" w:sz="4" w:space="0" w:color="auto"/>
            </w:tcBorders>
          </w:tcPr>
          <w:p w14:paraId="2CB89F37"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2" w:type="dxa"/>
            <w:tcBorders>
              <w:top w:val="single" w:sz="4" w:space="0" w:color="auto"/>
              <w:left w:val="single" w:sz="4" w:space="0" w:color="auto"/>
              <w:bottom w:val="single" w:sz="4" w:space="0" w:color="auto"/>
              <w:right w:val="single" w:sz="4" w:space="0" w:color="auto"/>
            </w:tcBorders>
          </w:tcPr>
          <w:p w14:paraId="41C0CBFC"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r w:rsidR="003A4066" w:rsidRPr="003A4066" w14:paraId="5C5C8E74" w14:textId="77777777" w:rsidTr="003A4066">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A057F67"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14:ligatures w14:val="standardContextual"/>
              </w:rPr>
            </w:pPr>
          </w:p>
        </w:tc>
        <w:tc>
          <w:tcPr>
            <w:tcW w:w="6061" w:type="dxa"/>
            <w:tcBorders>
              <w:top w:val="single" w:sz="4" w:space="0" w:color="auto"/>
              <w:left w:val="single" w:sz="4" w:space="0" w:color="auto"/>
              <w:bottom w:val="single" w:sz="4" w:space="0" w:color="auto"/>
              <w:right w:val="single" w:sz="4" w:space="0" w:color="auto"/>
            </w:tcBorders>
          </w:tcPr>
          <w:p w14:paraId="6FF5898D"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28"/>
                <w:szCs w:val="28"/>
                <w:rtl/>
                <w14:ligatures w14:val="standardContextual"/>
              </w:rPr>
              <w:t>أؤجل التعامل مع المشكلات الوظيفية عندما أشعر بالضغط</w:t>
            </w:r>
            <w:r w:rsidRPr="003A4066">
              <w:rPr>
                <w:rFonts w:ascii="Traditional Arabic" w:eastAsia="Simplified Arabic" w:hAnsi="Traditional Arabic" w:cs="Traditional Arabic"/>
                <w:b/>
                <w:bCs/>
                <w:kern w:val="2"/>
                <w:sz w:val="28"/>
                <w:szCs w:val="28"/>
                <w14:ligatures w14:val="standardContextual"/>
              </w:rPr>
              <w:t>.</w:t>
            </w:r>
          </w:p>
        </w:tc>
        <w:tc>
          <w:tcPr>
            <w:tcW w:w="735" w:type="dxa"/>
            <w:tcBorders>
              <w:top w:val="single" w:sz="4" w:space="0" w:color="auto"/>
              <w:left w:val="single" w:sz="4" w:space="0" w:color="auto"/>
              <w:bottom w:val="single" w:sz="4" w:space="0" w:color="auto"/>
              <w:right w:val="single" w:sz="4" w:space="0" w:color="auto"/>
            </w:tcBorders>
          </w:tcPr>
          <w:p w14:paraId="39AADF15"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35" w:type="dxa"/>
            <w:tcBorders>
              <w:top w:val="single" w:sz="4" w:space="0" w:color="auto"/>
              <w:left w:val="single" w:sz="4" w:space="0" w:color="auto"/>
              <w:bottom w:val="single" w:sz="4" w:space="0" w:color="auto"/>
              <w:right w:val="single" w:sz="4" w:space="0" w:color="auto"/>
            </w:tcBorders>
          </w:tcPr>
          <w:p w14:paraId="6B3D0204"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21" w:type="dxa"/>
            <w:tcBorders>
              <w:top w:val="single" w:sz="4" w:space="0" w:color="auto"/>
              <w:left w:val="single" w:sz="4" w:space="0" w:color="auto"/>
              <w:bottom w:val="single" w:sz="4" w:space="0" w:color="auto"/>
              <w:right w:val="single" w:sz="4" w:space="0" w:color="auto"/>
            </w:tcBorders>
          </w:tcPr>
          <w:p w14:paraId="1E83480B"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35" w:type="dxa"/>
            <w:tcBorders>
              <w:top w:val="single" w:sz="4" w:space="0" w:color="auto"/>
              <w:left w:val="single" w:sz="4" w:space="0" w:color="auto"/>
              <w:bottom w:val="single" w:sz="4" w:space="0" w:color="auto"/>
              <w:right w:val="single" w:sz="4" w:space="0" w:color="auto"/>
            </w:tcBorders>
          </w:tcPr>
          <w:p w14:paraId="2D6F99C0"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2" w:type="dxa"/>
            <w:tcBorders>
              <w:top w:val="single" w:sz="4" w:space="0" w:color="auto"/>
              <w:left w:val="single" w:sz="4" w:space="0" w:color="auto"/>
              <w:bottom w:val="single" w:sz="4" w:space="0" w:color="auto"/>
              <w:right w:val="single" w:sz="4" w:space="0" w:color="auto"/>
            </w:tcBorders>
          </w:tcPr>
          <w:p w14:paraId="2D6A26BB"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r w:rsidR="003A4066" w:rsidRPr="003A4066" w14:paraId="3CA5450A" w14:textId="77777777" w:rsidTr="003A4066">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65D1CCA8"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32"/>
                <w:szCs w:val="32"/>
                <w:rtl/>
                <w14:ligatures w14:val="standardContextual"/>
              </w:rPr>
              <w:t>المتغير الفرعي الرابع: استراتيجية الانسحاب</w:t>
            </w:r>
          </w:p>
        </w:tc>
      </w:tr>
      <w:tr w:rsidR="003A4066" w:rsidRPr="003A4066" w14:paraId="6D522E7A" w14:textId="77777777" w:rsidTr="003A4066">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B565BB6"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rtl/>
                <w:lang w:bidi="ar-JO"/>
                <w14:ligatures w14:val="standardContextual"/>
              </w:rPr>
            </w:pPr>
          </w:p>
        </w:tc>
        <w:tc>
          <w:tcPr>
            <w:tcW w:w="6061" w:type="dxa"/>
            <w:tcBorders>
              <w:top w:val="single" w:sz="4" w:space="0" w:color="auto"/>
              <w:left w:val="single" w:sz="4" w:space="0" w:color="auto"/>
              <w:bottom w:val="single" w:sz="4" w:space="0" w:color="auto"/>
              <w:right w:val="single" w:sz="4" w:space="0" w:color="auto"/>
            </w:tcBorders>
          </w:tcPr>
          <w:p w14:paraId="2B092F1C"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rtl/>
                <w14:ligatures w14:val="standardContextual"/>
              </w:rPr>
            </w:pPr>
            <w:r w:rsidRPr="003A4066">
              <w:rPr>
                <w:rFonts w:ascii="Traditional Arabic" w:eastAsia="Simplified Arabic" w:hAnsi="Traditional Arabic" w:cs="Traditional Arabic"/>
                <w:b/>
                <w:bCs/>
                <w:kern w:val="2"/>
                <w:sz w:val="28"/>
                <w:szCs w:val="28"/>
                <w:rtl/>
                <w14:ligatures w14:val="standardContextual"/>
              </w:rPr>
              <w:t>أفضل الابتعاد عن الآخرين عند مواجهة ضغوط العمل</w:t>
            </w:r>
            <w:r w:rsidRPr="003A4066">
              <w:rPr>
                <w:rFonts w:ascii="Traditional Arabic" w:eastAsia="Simplified Arabic" w:hAnsi="Traditional Arabic" w:cs="Traditional Arabic"/>
                <w:b/>
                <w:bCs/>
                <w:kern w:val="2"/>
                <w:sz w:val="28"/>
                <w:szCs w:val="28"/>
                <w14:ligatures w14:val="standardContextual"/>
              </w:rPr>
              <w:t>.</w:t>
            </w:r>
          </w:p>
        </w:tc>
        <w:tc>
          <w:tcPr>
            <w:tcW w:w="735" w:type="dxa"/>
            <w:tcBorders>
              <w:top w:val="single" w:sz="4" w:space="0" w:color="auto"/>
              <w:left w:val="single" w:sz="4" w:space="0" w:color="auto"/>
              <w:bottom w:val="single" w:sz="4" w:space="0" w:color="auto"/>
              <w:right w:val="single" w:sz="4" w:space="0" w:color="auto"/>
            </w:tcBorders>
          </w:tcPr>
          <w:p w14:paraId="1A60FE6B"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35" w:type="dxa"/>
            <w:tcBorders>
              <w:top w:val="single" w:sz="4" w:space="0" w:color="auto"/>
              <w:left w:val="single" w:sz="4" w:space="0" w:color="auto"/>
              <w:bottom w:val="single" w:sz="4" w:space="0" w:color="auto"/>
              <w:right w:val="single" w:sz="4" w:space="0" w:color="auto"/>
            </w:tcBorders>
          </w:tcPr>
          <w:p w14:paraId="160D2005"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21" w:type="dxa"/>
            <w:tcBorders>
              <w:top w:val="single" w:sz="4" w:space="0" w:color="auto"/>
              <w:left w:val="single" w:sz="4" w:space="0" w:color="auto"/>
              <w:bottom w:val="single" w:sz="4" w:space="0" w:color="auto"/>
              <w:right w:val="single" w:sz="4" w:space="0" w:color="auto"/>
            </w:tcBorders>
          </w:tcPr>
          <w:p w14:paraId="10922ECB"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35" w:type="dxa"/>
            <w:tcBorders>
              <w:top w:val="single" w:sz="4" w:space="0" w:color="auto"/>
              <w:left w:val="single" w:sz="4" w:space="0" w:color="auto"/>
              <w:bottom w:val="single" w:sz="4" w:space="0" w:color="auto"/>
              <w:right w:val="single" w:sz="4" w:space="0" w:color="auto"/>
            </w:tcBorders>
          </w:tcPr>
          <w:p w14:paraId="5319E674"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2" w:type="dxa"/>
            <w:tcBorders>
              <w:top w:val="single" w:sz="4" w:space="0" w:color="auto"/>
              <w:left w:val="single" w:sz="4" w:space="0" w:color="auto"/>
              <w:bottom w:val="single" w:sz="4" w:space="0" w:color="auto"/>
              <w:right w:val="single" w:sz="4" w:space="0" w:color="auto"/>
            </w:tcBorders>
          </w:tcPr>
          <w:p w14:paraId="23AADFA3"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r w:rsidR="003A4066" w:rsidRPr="003A4066" w14:paraId="089AD1A2" w14:textId="77777777" w:rsidTr="003A4066">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4CDFC5B"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rtl/>
                <w:lang w:bidi="ar-JO"/>
                <w14:ligatures w14:val="standardContextual"/>
              </w:rPr>
            </w:pPr>
          </w:p>
        </w:tc>
        <w:tc>
          <w:tcPr>
            <w:tcW w:w="6061" w:type="dxa"/>
            <w:tcBorders>
              <w:top w:val="single" w:sz="4" w:space="0" w:color="auto"/>
              <w:left w:val="single" w:sz="4" w:space="0" w:color="auto"/>
              <w:bottom w:val="single" w:sz="4" w:space="0" w:color="auto"/>
              <w:right w:val="single" w:sz="4" w:space="0" w:color="auto"/>
            </w:tcBorders>
          </w:tcPr>
          <w:p w14:paraId="6D56D019"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rtl/>
                <w14:ligatures w14:val="standardContextual"/>
              </w:rPr>
            </w:pPr>
            <w:r w:rsidRPr="003A4066">
              <w:rPr>
                <w:rFonts w:ascii="Traditional Arabic" w:eastAsia="Simplified Arabic" w:hAnsi="Traditional Arabic" w:cs="Traditional Arabic"/>
                <w:b/>
                <w:bCs/>
                <w:kern w:val="2"/>
                <w:sz w:val="28"/>
                <w:szCs w:val="28"/>
                <w:rtl/>
                <w14:ligatures w14:val="standardContextual"/>
              </w:rPr>
              <w:t>أقلل من مشاركتي في الأنشطة الوظيفية عندما أشعر بالإجهاد</w:t>
            </w:r>
            <w:r w:rsidRPr="003A4066">
              <w:rPr>
                <w:rFonts w:ascii="Traditional Arabic" w:eastAsia="Simplified Arabic" w:hAnsi="Traditional Arabic" w:cs="Traditional Arabic"/>
                <w:b/>
                <w:bCs/>
                <w:kern w:val="2"/>
                <w:sz w:val="28"/>
                <w:szCs w:val="28"/>
                <w14:ligatures w14:val="standardContextual"/>
              </w:rPr>
              <w:t>.</w:t>
            </w:r>
          </w:p>
        </w:tc>
        <w:tc>
          <w:tcPr>
            <w:tcW w:w="735" w:type="dxa"/>
            <w:tcBorders>
              <w:top w:val="single" w:sz="4" w:space="0" w:color="auto"/>
              <w:left w:val="single" w:sz="4" w:space="0" w:color="auto"/>
              <w:bottom w:val="single" w:sz="4" w:space="0" w:color="auto"/>
              <w:right w:val="single" w:sz="4" w:space="0" w:color="auto"/>
            </w:tcBorders>
          </w:tcPr>
          <w:p w14:paraId="367A5342"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35" w:type="dxa"/>
            <w:tcBorders>
              <w:top w:val="single" w:sz="4" w:space="0" w:color="auto"/>
              <w:left w:val="single" w:sz="4" w:space="0" w:color="auto"/>
              <w:bottom w:val="single" w:sz="4" w:space="0" w:color="auto"/>
              <w:right w:val="single" w:sz="4" w:space="0" w:color="auto"/>
            </w:tcBorders>
          </w:tcPr>
          <w:p w14:paraId="0DD8CE57"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21" w:type="dxa"/>
            <w:tcBorders>
              <w:top w:val="single" w:sz="4" w:space="0" w:color="auto"/>
              <w:left w:val="single" w:sz="4" w:space="0" w:color="auto"/>
              <w:bottom w:val="single" w:sz="4" w:space="0" w:color="auto"/>
              <w:right w:val="single" w:sz="4" w:space="0" w:color="auto"/>
            </w:tcBorders>
          </w:tcPr>
          <w:p w14:paraId="51709E65"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35" w:type="dxa"/>
            <w:tcBorders>
              <w:top w:val="single" w:sz="4" w:space="0" w:color="auto"/>
              <w:left w:val="single" w:sz="4" w:space="0" w:color="auto"/>
              <w:bottom w:val="single" w:sz="4" w:space="0" w:color="auto"/>
              <w:right w:val="single" w:sz="4" w:space="0" w:color="auto"/>
            </w:tcBorders>
          </w:tcPr>
          <w:p w14:paraId="68796AC5"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2" w:type="dxa"/>
            <w:tcBorders>
              <w:top w:val="single" w:sz="4" w:space="0" w:color="auto"/>
              <w:left w:val="single" w:sz="4" w:space="0" w:color="auto"/>
              <w:bottom w:val="single" w:sz="4" w:space="0" w:color="auto"/>
              <w:right w:val="single" w:sz="4" w:space="0" w:color="auto"/>
            </w:tcBorders>
          </w:tcPr>
          <w:p w14:paraId="1501FEDB"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r w:rsidR="003A4066" w:rsidRPr="003A4066" w14:paraId="7FC40B4A" w14:textId="77777777" w:rsidTr="003A4066">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668DE90"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rtl/>
                <w:lang w:bidi="ar-JO"/>
                <w14:ligatures w14:val="standardContextual"/>
              </w:rPr>
            </w:pPr>
          </w:p>
        </w:tc>
        <w:tc>
          <w:tcPr>
            <w:tcW w:w="6061" w:type="dxa"/>
            <w:tcBorders>
              <w:top w:val="single" w:sz="4" w:space="0" w:color="auto"/>
              <w:left w:val="single" w:sz="4" w:space="0" w:color="auto"/>
              <w:bottom w:val="single" w:sz="4" w:space="0" w:color="auto"/>
              <w:right w:val="single" w:sz="4" w:space="0" w:color="auto"/>
            </w:tcBorders>
          </w:tcPr>
          <w:p w14:paraId="702F0251"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rtl/>
                <w14:ligatures w14:val="standardContextual"/>
              </w:rPr>
            </w:pPr>
            <w:r w:rsidRPr="003A4066">
              <w:rPr>
                <w:rFonts w:ascii="Traditional Arabic" w:eastAsia="Simplified Arabic" w:hAnsi="Traditional Arabic" w:cs="Traditional Arabic"/>
                <w:b/>
                <w:bCs/>
                <w:kern w:val="2"/>
                <w:sz w:val="28"/>
                <w:szCs w:val="28"/>
                <w:rtl/>
                <w14:ligatures w14:val="standardContextual"/>
              </w:rPr>
              <w:t>أميل إلى الانعزال عن زملائي أثناء فترات الضغط المرتفع</w:t>
            </w:r>
            <w:r w:rsidRPr="003A4066">
              <w:rPr>
                <w:rFonts w:ascii="Traditional Arabic" w:eastAsia="Simplified Arabic" w:hAnsi="Traditional Arabic" w:cs="Traditional Arabic"/>
                <w:b/>
                <w:bCs/>
                <w:kern w:val="2"/>
                <w:sz w:val="28"/>
                <w:szCs w:val="28"/>
                <w14:ligatures w14:val="standardContextual"/>
              </w:rPr>
              <w:t>.</w:t>
            </w:r>
          </w:p>
        </w:tc>
        <w:tc>
          <w:tcPr>
            <w:tcW w:w="735" w:type="dxa"/>
            <w:tcBorders>
              <w:top w:val="single" w:sz="4" w:space="0" w:color="auto"/>
              <w:left w:val="single" w:sz="4" w:space="0" w:color="auto"/>
              <w:bottom w:val="single" w:sz="4" w:space="0" w:color="auto"/>
              <w:right w:val="single" w:sz="4" w:space="0" w:color="auto"/>
            </w:tcBorders>
          </w:tcPr>
          <w:p w14:paraId="5678CC9E"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35" w:type="dxa"/>
            <w:tcBorders>
              <w:top w:val="single" w:sz="4" w:space="0" w:color="auto"/>
              <w:left w:val="single" w:sz="4" w:space="0" w:color="auto"/>
              <w:bottom w:val="single" w:sz="4" w:space="0" w:color="auto"/>
              <w:right w:val="single" w:sz="4" w:space="0" w:color="auto"/>
            </w:tcBorders>
          </w:tcPr>
          <w:p w14:paraId="734EB884"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21" w:type="dxa"/>
            <w:tcBorders>
              <w:top w:val="single" w:sz="4" w:space="0" w:color="auto"/>
              <w:left w:val="single" w:sz="4" w:space="0" w:color="auto"/>
              <w:bottom w:val="single" w:sz="4" w:space="0" w:color="auto"/>
              <w:right w:val="single" w:sz="4" w:space="0" w:color="auto"/>
            </w:tcBorders>
          </w:tcPr>
          <w:p w14:paraId="2E09881B"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35" w:type="dxa"/>
            <w:tcBorders>
              <w:top w:val="single" w:sz="4" w:space="0" w:color="auto"/>
              <w:left w:val="single" w:sz="4" w:space="0" w:color="auto"/>
              <w:bottom w:val="single" w:sz="4" w:space="0" w:color="auto"/>
              <w:right w:val="single" w:sz="4" w:space="0" w:color="auto"/>
            </w:tcBorders>
          </w:tcPr>
          <w:p w14:paraId="3EB739B8"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2" w:type="dxa"/>
            <w:tcBorders>
              <w:top w:val="single" w:sz="4" w:space="0" w:color="auto"/>
              <w:left w:val="single" w:sz="4" w:space="0" w:color="auto"/>
              <w:bottom w:val="single" w:sz="4" w:space="0" w:color="auto"/>
              <w:right w:val="single" w:sz="4" w:space="0" w:color="auto"/>
            </w:tcBorders>
          </w:tcPr>
          <w:p w14:paraId="162E0D61"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bl>
    <w:p w14:paraId="1EF219E9"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rtl/>
          <w14:ligatures w14:val="standardContextual"/>
        </w:rPr>
      </w:pPr>
    </w:p>
    <w:p w14:paraId="48D8B511"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6"/>
          <w:szCs w:val="36"/>
          <w:rtl/>
          <w14:ligatures w14:val="standardContextual"/>
        </w:rPr>
      </w:pPr>
    </w:p>
    <w:p w14:paraId="3CA73A92"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6"/>
          <w:szCs w:val="36"/>
          <w:rtl/>
          <w14:ligatures w14:val="standardContextual"/>
        </w:rPr>
      </w:pPr>
      <w:r w:rsidRPr="003A4066">
        <w:rPr>
          <w:rFonts w:ascii="Traditional Arabic" w:eastAsia="Simplified Arabic" w:hAnsi="Traditional Arabic" w:cs="Traditional Arabic"/>
          <w:b/>
          <w:bCs/>
          <w:kern w:val="2"/>
          <w:sz w:val="36"/>
          <w:szCs w:val="36"/>
          <w:rtl/>
          <w14:ligatures w14:val="standardContextual"/>
        </w:rPr>
        <w:t>أبعاد المتغير الوسيط: الاحتراق الوظيفي</w:t>
      </w:r>
    </w:p>
    <w:tbl>
      <w:tblPr>
        <w:tblStyle w:val="a7"/>
        <w:bidiVisual/>
        <w:tblW w:w="10637" w:type="dxa"/>
        <w:jc w:val="center"/>
        <w:tblLook w:val="01E0" w:firstRow="1" w:lastRow="1" w:firstColumn="1" w:lastColumn="1" w:noHBand="0" w:noVBand="0"/>
      </w:tblPr>
      <w:tblGrid>
        <w:gridCol w:w="715"/>
        <w:gridCol w:w="5891"/>
        <w:gridCol w:w="794"/>
        <w:gridCol w:w="794"/>
        <w:gridCol w:w="818"/>
        <w:gridCol w:w="794"/>
        <w:gridCol w:w="831"/>
      </w:tblGrid>
      <w:tr w:rsidR="003A4066" w:rsidRPr="003A4066" w14:paraId="05D0CE8C" w14:textId="77777777" w:rsidTr="003A4066">
        <w:trPr>
          <w:jc w:val="center"/>
        </w:trPr>
        <w:tc>
          <w:tcPr>
            <w:tcW w:w="715"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767ED45E"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32"/>
                <w:szCs w:val="32"/>
                <w:rtl/>
                <w:lang w:bidi="ar-JO"/>
                <w14:ligatures w14:val="standardContextual"/>
              </w:rPr>
              <w:t>الرقم</w:t>
            </w:r>
          </w:p>
        </w:tc>
        <w:tc>
          <w:tcPr>
            <w:tcW w:w="589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7AA61879"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32"/>
                <w:szCs w:val="32"/>
                <w:rtl/>
                <w14:ligatures w14:val="standardContextual"/>
              </w:rPr>
              <w:t>الفقرة</w:t>
            </w:r>
          </w:p>
        </w:tc>
        <w:tc>
          <w:tcPr>
            <w:tcW w:w="794"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5105E399"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32"/>
                <w:szCs w:val="32"/>
                <w:rtl/>
                <w:lang w:bidi="ar-JO"/>
                <w14:ligatures w14:val="standardContextual"/>
              </w:rPr>
              <w:t>موافق بشدة</w:t>
            </w:r>
          </w:p>
        </w:tc>
        <w:tc>
          <w:tcPr>
            <w:tcW w:w="794"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69F95858"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32"/>
                <w:szCs w:val="32"/>
                <w:rtl/>
                <w:lang w:bidi="ar-JO"/>
                <w14:ligatures w14:val="standardContextual"/>
              </w:rPr>
              <w:t>موافق</w:t>
            </w:r>
          </w:p>
        </w:tc>
        <w:tc>
          <w:tcPr>
            <w:tcW w:w="818"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1DBF1A29"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rtl/>
                <w:lang w:bidi="ar-JO"/>
                <w14:ligatures w14:val="standardContextual"/>
              </w:rPr>
            </w:pPr>
            <w:r w:rsidRPr="003A4066">
              <w:rPr>
                <w:rFonts w:ascii="Traditional Arabic" w:eastAsia="Simplified Arabic" w:hAnsi="Traditional Arabic" w:cs="Traditional Arabic"/>
                <w:b/>
                <w:bCs/>
                <w:kern w:val="2"/>
                <w:sz w:val="32"/>
                <w:szCs w:val="32"/>
                <w:rtl/>
                <w:lang w:bidi="ar-JO"/>
                <w14:ligatures w14:val="standardContextual"/>
              </w:rPr>
              <w:t>محايد</w:t>
            </w:r>
          </w:p>
        </w:tc>
        <w:tc>
          <w:tcPr>
            <w:tcW w:w="794"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475B69D7"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32"/>
                <w:szCs w:val="32"/>
                <w:rtl/>
                <w:lang w:bidi="ar-JO"/>
                <w14:ligatures w14:val="standardContextual"/>
              </w:rPr>
              <w:t>غير موافق</w:t>
            </w:r>
          </w:p>
        </w:tc>
        <w:tc>
          <w:tcPr>
            <w:tcW w:w="83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18F839DF"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32"/>
                <w:szCs w:val="32"/>
                <w:rtl/>
                <w:lang w:bidi="ar-JO"/>
                <w14:ligatures w14:val="standardContextual"/>
              </w:rPr>
              <w:t>غير موافق بشدة</w:t>
            </w:r>
          </w:p>
        </w:tc>
      </w:tr>
      <w:tr w:rsidR="003A4066" w:rsidRPr="003A4066" w14:paraId="6009963C" w14:textId="77777777" w:rsidTr="003A4066">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907C9E"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rtl/>
                <w14:ligatures w14:val="standardContextual"/>
              </w:rPr>
            </w:pPr>
            <w:r w:rsidRPr="003A4066">
              <w:rPr>
                <w:rFonts w:ascii="Traditional Arabic" w:eastAsia="Simplified Arabic" w:hAnsi="Traditional Arabic" w:cs="Traditional Arabic"/>
                <w:b/>
                <w:bCs/>
                <w:kern w:val="2"/>
                <w:sz w:val="32"/>
                <w:szCs w:val="32"/>
                <w:rtl/>
                <w14:ligatures w14:val="standardContextual"/>
              </w:rPr>
              <w:t>الاحتراق الوظيفي: هو الدرجة الكلية التي يحصل عليها العاملون بمحكمة الأحوال الشخصية بجدة على مقياس الاحتراق الوظيفي المعتمد في هذه الدراسة، والمكون من ثلاثة أبعاد رئيسة: الإنهاك العاطفي، تبلد المشاعر، وانخفاظ الإنجاز الشخصي. وتشير الدرجة المرتفعة إلى مستوى عالٍ من الاحتراق الوظيفي، في حين تشير الدرجة المنخفضة إلى مستوى منخفض منه.</w:t>
            </w:r>
          </w:p>
        </w:tc>
      </w:tr>
      <w:tr w:rsidR="003A4066" w:rsidRPr="003A4066" w14:paraId="1590BC66" w14:textId="77777777" w:rsidTr="003A4066">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D557A8"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32"/>
                <w:szCs w:val="32"/>
                <w:rtl/>
                <w14:ligatures w14:val="standardContextual"/>
              </w:rPr>
              <w:t>المتغير الفرعي الأول: الإنهاك العاطفي</w:t>
            </w:r>
          </w:p>
        </w:tc>
      </w:tr>
      <w:tr w:rsidR="003A4066" w:rsidRPr="003A4066" w14:paraId="49A12B06" w14:textId="77777777" w:rsidTr="003A4066">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6C984BFA"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14:ligatures w14:val="standardContextual"/>
              </w:rPr>
            </w:pPr>
          </w:p>
        </w:tc>
        <w:tc>
          <w:tcPr>
            <w:tcW w:w="5891" w:type="dxa"/>
            <w:tcBorders>
              <w:top w:val="single" w:sz="4" w:space="0" w:color="auto"/>
              <w:left w:val="single" w:sz="4" w:space="0" w:color="auto"/>
              <w:bottom w:val="single" w:sz="4" w:space="0" w:color="auto"/>
              <w:right w:val="single" w:sz="4" w:space="0" w:color="auto"/>
            </w:tcBorders>
          </w:tcPr>
          <w:p w14:paraId="29A79521"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28"/>
                <w:szCs w:val="28"/>
                <w:rtl/>
                <w14:ligatures w14:val="standardContextual"/>
              </w:rPr>
              <w:t>أشعر بالإرهاق النفسي نتيجة متطلبات العمل</w:t>
            </w:r>
            <w:r w:rsidRPr="003A4066">
              <w:rPr>
                <w:rFonts w:ascii="Traditional Arabic" w:eastAsia="Simplified Arabic" w:hAnsi="Traditional Arabic" w:cs="Traditional Arabic"/>
                <w:b/>
                <w:bCs/>
                <w:kern w:val="2"/>
                <w:sz w:val="28"/>
                <w:szCs w:val="28"/>
                <w14:ligatures w14:val="standardContextual"/>
              </w:rPr>
              <w:t>.</w:t>
            </w:r>
          </w:p>
        </w:tc>
        <w:tc>
          <w:tcPr>
            <w:tcW w:w="794" w:type="dxa"/>
            <w:tcBorders>
              <w:top w:val="single" w:sz="4" w:space="0" w:color="auto"/>
              <w:left w:val="single" w:sz="4" w:space="0" w:color="auto"/>
              <w:bottom w:val="single" w:sz="4" w:space="0" w:color="auto"/>
              <w:right w:val="single" w:sz="4" w:space="0" w:color="auto"/>
            </w:tcBorders>
          </w:tcPr>
          <w:p w14:paraId="1D10EEA1"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2D9F4F96"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18" w:type="dxa"/>
            <w:tcBorders>
              <w:top w:val="single" w:sz="4" w:space="0" w:color="auto"/>
              <w:left w:val="single" w:sz="4" w:space="0" w:color="auto"/>
              <w:bottom w:val="single" w:sz="4" w:space="0" w:color="auto"/>
              <w:right w:val="single" w:sz="4" w:space="0" w:color="auto"/>
            </w:tcBorders>
          </w:tcPr>
          <w:p w14:paraId="53BCF0B4"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126B009C"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1" w:type="dxa"/>
            <w:tcBorders>
              <w:top w:val="single" w:sz="4" w:space="0" w:color="auto"/>
              <w:left w:val="single" w:sz="4" w:space="0" w:color="auto"/>
              <w:bottom w:val="single" w:sz="4" w:space="0" w:color="auto"/>
              <w:right w:val="single" w:sz="4" w:space="0" w:color="auto"/>
            </w:tcBorders>
          </w:tcPr>
          <w:p w14:paraId="2E0324A2"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r w:rsidR="003A4066" w:rsidRPr="003A4066" w14:paraId="3A9B73D2" w14:textId="77777777" w:rsidTr="003A4066">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46FC6CA8"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14:ligatures w14:val="standardContextual"/>
              </w:rPr>
            </w:pPr>
          </w:p>
        </w:tc>
        <w:tc>
          <w:tcPr>
            <w:tcW w:w="5891" w:type="dxa"/>
            <w:tcBorders>
              <w:top w:val="single" w:sz="4" w:space="0" w:color="auto"/>
              <w:left w:val="single" w:sz="4" w:space="0" w:color="auto"/>
              <w:bottom w:val="single" w:sz="4" w:space="0" w:color="auto"/>
              <w:right w:val="single" w:sz="4" w:space="0" w:color="auto"/>
            </w:tcBorders>
          </w:tcPr>
          <w:p w14:paraId="5CE13CF3"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28"/>
                <w:szCs w:val="28"/>
                <w:rtl/>
                <w14:ligatures w14:val="standardContextual"/>
              </w:rPr>
              <w:t>أشعر باستنزاف طاقتي بسبب ضغوط العمل اليومية</w:t>
            </w:r>
            <w:r w:rsidRPr="003A4066">
              <w:rPr>
                <w:rFonts w:ascii="Traditional Arabic" w:eastAsia="Simplified Arabic" w:hAnsi="Traditional Arabic" w:cs="Traditional Arabic"/>
                <w:b/>
                <w:bCs/>
                <w:kern w:val="2"/>
                <w:sz w:val="28"/>
                <w:szCs w:val="28"/>
                <w14:ligatures w14:val="standardContextual"/>
              </w:rPr>
              <w:t>.</w:t>
            </w:r>
          </w:p>
        </w:tc>
        <w:tc>
          <w:tcPr>
            <w:tcW w:w="794" w:type="dxa"/>
            <w:tcBorders>
              <w:top w:val="single" w:sz="4" w:space="0" w:color="auto"/>
              <w:left w:val="single" w:sz="4" w:space="0" w:color="auto"/>
              <w:bottom w:val="single" w:sz="4" w:space="0" w:color="auto"/>
              <w:right w:val="single" w:sz="4" w:space="0" w:color="auto"/>
            </w:tcBorders>
          </w:tcPr>
          <w:p w14:paraId="47EC20E6"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48B7039A"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18" w:type="dxa"/>
            <w:tcBorders>
              <w:top w:val="single" w:sz="4" w:space="0" w:color="auto"/>
              <w:left w:val="single" w:sz="4" w:space="0" w:color="auto"/>
              <w:bottom w:val="single" w:sz="4" w:space="0" w:color="auto"/>
              <w:right w:val="single" w:sz="4" w:space="0" w:color="auto"/>
            </w:tcBorders>
          </w:tcPr>
          <w:p w14:paraId="301201F0"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3DE1299B"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1" w:type="dxa"/>
            <w:tcBorders>
              <w:top w:val="single" w:sz="4" w:space="0" w:color="auto"/>
              <w:left w:val="single" w:sz="4" w:space="0" w:color="auto"/>
              <w:bottom w:val="single" w:sz="4" w:space="0" w:color="auto"/>
              <w:right w:val="single" w:sz="4" w:space="0" w:color="auto"/>
            </w:tcBorders>
          </w:tcPr>
          <w:p w14:paraId="0205FBD9"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r w:rsidR="003A4066" w:rsidRPr="003A4066" w14:paraId="2B4AFFAC" w14:textId="77777777" w:rsidTr="003A4066">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78B71DC6"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14:ligatures w14:val="standardContextual"/>
              </w:rPr>
            </w:pPr>
          </w:p>
        </w:tc>
        <w:tc>
          <w:tcPr>
            <w:tcW w:w="5891" w:type="dxa"/>
            <w:tcBorders>
              <w:top w:val="single" w:sz="4" w:space="0" w:color="auto"/>
              <w:left w:val="single" w:sz="4" w:space="0" w:color="auto"/>
              <w:bottom w:val="single" w:sz="4" w:space="0" w:color="auto"/>
              <w:right w:val="single" w:sz="4" w:space="0" w:color="auto"/>
            </w:tcBorders>
          </w:tcPr>
          <w:p w14:paraId="23FE27A6"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28"/>
                <w:szCs w:val="28"/>
                <w:rtl/>
                <w14:ligatures w14:val="standardContextual"/>
              </w:rPr>
              <w:t>أجد صعوبة في المحافظة على حماسي تجاه العمل</w:t>
            </w:r>
            <w:r w:rsidRPr="003A4066">
              <w:rPr>
                <w:rFonts w:ascii="Traditional Arabic" w:eastAsia="Simplified Arabic" w:hAnsi="Traditional Arabic" w:cs="Traditional Arabic"/>
                <w:b/>
                <w:bCs/>
                <w:kern w:val="2"/>
                <w:sz w:val="28"/>
                <w:szCs w:val="28"/>
                <w14:ligatures w14:val="standardContextual"/>
              </w:rPr>
              <w:t>.</w:t>
            </w:r>
          </w:p>
        </w:tc>
        <w:tc>
          <w:tcPr>
            <w:tcW w:w="794" w:type="dxa"/>
            <w:tcBorders>
              <w:top w:val="single" w:sz="4" w:space="0" w:color="auto"/>
              <w:left w:val="single" w:sz="4" w:space="0" w:color="auto"/>
              <w:bottom w:val="single" w:sz="4" w:space="0" w:color="auto"/>
              <w:right w:val="single" w:sz="4" w:space="0" w:color="auto"/>
            </w:tcBorders>
          </w:tcPr>
          <w:p w14:paraId="6843C260"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0A84CA20"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18" w:type="dxa"/>
            <w:tcBorders>
              <w:top w:val="single" w:sz="4" w:space="0" w:color="auto"/>
              <w:left w:val="single" w:sz="4" w:space="0" w:color="auto"/>
              <w:bottom w:val="single" w:sz="4" w:space="0" w:color="auto"/>
              <w:right w:val="single" w:sz="4" w:space="0" w:color="auto"/>
            </w:tcBorders>
          </w:tcPr>
          <w:p w14:paraId="234ADAA9"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09B33F3E"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1" w:type="dxa"/>
            <w:tcBorders>
              <w:top w:val="single" w:sz="4" w:space="0" w:color="auto"/>
              <w:left w:val="single" w:sz="4" w:space="0" w:color="auto"/>
              <w:bottom w:val="single" w:sz="4" w:space="0" w:color="auto"/>
              <w:right w:val="single" w:sz="4" w:space="0" w:color="auto"/>
            </w:tcBorders>
          </w:tcPr>
          <w:p w14:paraId="3C8DE9B1"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r w:rsidR="003A4066" w:rsidRPr="003A4066" w14:paraId="4E4EF81F" w14:textId="77777777" w:rsidTr="003A4066">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773F3130"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32"/>
                <w:szCs w:val="32"/>
                <w:rtl/>
                <w14:ligatures w14:val="standardContextual"/>
              </w:rPr>
              <w:t>المتغير الفرعي الثاني: تبلد المشاعر</w:t>
            </w:r>
          </w:p>
        </w:tc>
      </w:tr>
      <w:tr w:rsidR="003A4066" w:rsidRPr="003A4066" w14:paraId="70053127" w14:textId="77777777" w:rsidTr="003A4066">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46919680"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rtl/>
                <w:lang w:bidi="ar-JO"/>
                <w14:ligatures w14:val="standardContextual"/>
              </w:rPr>
            </w:pPr>
          </w:p>
        </w:tc>
        <w:tc>
          <w:tcPr>
            <w:tcW w:w="5891" w:type="dxa"/>
            <w:tcBorders>
              <w:top w:val="single" w:sz="4" w:space="0" w:color="auto"/>
              <w:left w:val="single" w:sz="4" w:space="0" w:color="auto"/>
              <w:bottom w:val="single" w:sz="4" w:space="0" w:color="auto"/>
              <w:right w:val="single" w:sz="4" w:space="0" w:color="auto"/>
            </w:tcBorders>
          </w:tcPr>
          <w:p w14:paraId="5A479327"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rtl/>
                <w14:ligatures w14:val="standardContextual"/>
              </w:rPr>
            </w:pPr>
            <w:r w:rsidRPr="003A4066">
              <w:rPr>
                <w:rFonts w:ascii="Traditional Arabic" w:eastAsia="Simplified Arabic" w:hAnsi="Traditional Arabic" w:cs="Traditional Arabic"/>
                <w:b/>
                <w:bCs/>
                <w:kern w:val="2"/>
                <w:sz w:val="28"/>
                <w:szCs w:val="28"/>
                <w:rtl/>
                <w14:ligatures w14:val="standardContextual"/>
              </w:rPr>
              <w:t>أصبحت أقل اهتماماً بالتعامل مع المراجعين أو الزملاء</w:t>
            </w:r>
            <w:r w:rsidRPr="003A4066">
              <w:rPr>
                <w:rFonts w:ascii="Traditional Arabic" w:eastAsia="Simplified Arabic" w:hAnsi="Traditional Arabic" w:cs="Traditional Arabic"/>
                <w:b/>
                <w:bCs/>
                <w:kern w:val="2"/>
                <w:sz w:val="28"/>
                <w:szCs w:val="28"/>
                <w14:ligatures w14:val="standardContextual"/>
              </w:rPr>
              <w:t>.</w:t>
            </w:r>
          </w:p>
        </w:tc>
        <w:tc>
          <w:tcPr>
            <w:tcW w:w="794" w:type="dxa"/>
            <w:tcBorders>
              <w:top w:val="single" w:sz="4" w:space="0" w:color="auto"/>
              <w:left w:val="single" w:sz="4" w:space="0" w:color="auto"/>
              <w:bottom w:val="single" w:sz="4" w:space="0" w:color="auto"/>
              <w:right w:val="single" w:sz="4" w:space="0" w:color="auto"/>
            </w:tcBorders>
          </w:tcPr>
          <w:p w14:paraId="06E5132B"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1D1CFD7D"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18" w:type="dxa"/>
            <w:tcBorders>
              <w:top w:val="single" w:sz="4" w:space="0" w:color="auto"/>
              <w:left w:val="single" w:sz="4" w:space="0" w:color="auto"/>
              <w:bottom w:val="single" w:sz="4" w:space="0" w:color="auto"/>
              <w:right w:val="single" w:sz="4" w:space="0" w:color="auto"/>
            </w:tcBorders>
          </w:tcPr>
          <w:p w14:paraId="7C3565F8"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2795D8D3"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1" w:type="dxa"/>
            <w:tcBorders>
              <w:top w:val="single" w:sz="4" w:space="0" w:color="auto"/>
              <w:left w:val="single" w:sz="4" w:space="0" w:color="auto"/>
              <w:bottom w:val="single" w:sz="4" w:space="0" w:color="auto"/>
              <w:right w:val="single" w:sz="4" w:space="0" w:color="auto"/>
            </w:tcBorders>
          </w:tcPr>
          <w:p w14:paraId="3AABE88D"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r w:rsidR="003A4066" w:rsidRPr="003A4066" w14:paraId="4ED9B654" w14:textId="77777777" w:rsidTr="003A4066">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123B8D65"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rtl/>
                <w:lang w:bidi="ar-JO"/>
                <w14:ligatures w14:val="standardContextual"/>
              </w:rPr>
            </w:pPr>
          </w:p>
        </w:tc>
        <w:tc>
          <w:tcPr>
            <w:tcW w:w="5891" w:type="dxa"/>
            <w:tcBorders>
              <w:top w:val="single" w:sz="4" w:space="0" w:color="auto"/>
              <w:left w:val="single" w:sz="4" w:space="0" w:color="auto"/>
              <w:bottom w:val="single" w:sz="4" w:space="0" w:color="auto"/>
              <w:right w:val="single" w:sz="4" w:space="0" w:color="auto"/>
            </w:tcBorders>
          </w:tcPr>
          <w:p w14:paraId="11AC28A5"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rtl/>
                <w14:ligatures w14:val="standardContextual"/>
              </w:rPr>
            </w:pPr>
            <w:r w:rsidRPr="003A4066">
              <w:rPr>
                <w:rFonts w:ascii="Traditional Arabic" w:eastAsia="Simplified Arabic" w:hAnsi="Traditional Arabic" w:cs="Traditional Arabic"/>
                <w:b/>
                <w:bCs/>
                <w:kern w:val="2"/>
                <w:sz w:val="28"/>
                <w:szCs w:val="28"/>
                <w:rtl/>
                <w14:ligatures w14:val="standardContextual"/>
              </w:rPr>
              <w:t>أشعر بقدر من اللامبالاة تجاه بعض مهام عملي</w:t>
            </w:r>
            <w:r w:rsidRPr="003A4066">
              <w:rPr>
                <w:rFonts w:ascii="Traditional Arabic" w:eastAsia="Simplified Arabic" w:hAnsi="Traditional Arabic" w:cs="Traditional Arabic"/>
                <w:b/>
                <w:bCs/>
                <w:kern w:val="2"/>
                <w:sz w:val="28"/>
                <w:szCs w:val="28"/>
                <w14:ligatures w14:val="standardContextual"/>
              </w:rPr>
              <w:t>.</w:t>
            </w:r>
          </w:p>
        </w:tc>
        <w:tc>
          <w:tcPr>
            <w:tcW w:w="794" w:type="dxa"/>
            <w:tcBorders>
              <w:top w:val="single" w:sz="4" w:space="0" w:color="auto"/>
              <w:left w:val="single" w:sz="4" w:space="0" w:color="auto"/>
              <w:bottom w:val="single" w:sz="4" w:space="0" w:color="auto"/>
              <w:right w:val="single" w:sz="4" w:space="0" w:color="auto"/>
            </w:tcBorders>
          </w:tcPr>
          <w:p w14:paraId="14A00A53"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5AB8D776"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18" w:type="dxa"/>
            <w:tcBorders>
              <w:top w:val="single" w:sz="4" w:space="0" w:color="auto"/>
              <w:left w:val="single" w:sz="4" w:space="0" w:color="auto"/>
              <w:bottom w:val="single" w:sz="4" w:space="0" w:color="auto"/>
              <w:right w:val="single" w:sz="4" w:space="0" w:color="auto"/>
            </w:tcBorders>
          </w:tcPr>
          <w:p w14:paraId="002EA463"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18650744"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1" w:type="dxa"/>
            <w:tcBorders>
              <w:top w:val="single" w:sz="4" w:space="0" w:color="auto"/>
              <w:left w:val="single" w:sz="4" w:space="0" w:color="auto"/>
              <w:bottom w:val="single" w:sz="4" w:space="0" w:color="auto"/>
              <w:right w:val="single" w:sz="4" w:space="0" w:color="auto"/>
            </w:tcBorders>
          </w:tcPr>
          <w:p w14:paraId="76D47000"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r w:rsidR="003A4066" w:rsidRPr="003A4066" w14:paraId="3A20C255" w14:textId="77777777" w:rsidTr="003A4066">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11348A03"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rtl/>
                <w:lang w:bidi="ar-JO"/>
                <w14:ligatures w14:val="standardContextual"/>
              </w:rPr>
            </w:pPr>
          </w:p>
        </w:tc>
        <w:tc>
          <w:tcPr>
            <w:tcW w:w="5891" w:type="dxa"/>
            <w:tcBorders>
              <w:top w:val="single" w:sz="4" w:space="0" w:color="auto"/>
              <w:left w:val="single" w:sz="4" w:space="0" w:color="auto"/>
              <w:bottom w:val="single" w:sz="4" w:space="0" w:color="auto"/>
              <w:right w:val="single" w:sz="4" w:space="0" w:color="auto"/>
            </w:tcBorders>
          </w:tcPr>
          <w:p w14:paraId="279F523C" w14:textId="77777777" w:rsidR="003A4066" w:rsidRPr="003A4066" w:rsidRDefault="003A4066" w:rsidP="003A4066">
            <w:pPr>
              <w:bidi/>
              <w:spacing w:after="0" w:line="240" w:lineRule="auto"/>
              <w:rPr>
                <w:rFonts w:ascii="Traditional Arabic" w:eastAsia="Simplified Arabic" w:hAnsi="Traditional Arabic" w:cs="Traditional Arabic"/>
                <w:b/>
                <w:bCs/>
                <w:kern w:val="2"/>
                <w:sz w:val="28"/>
                <w:szCs w:val="28"/>
                <w:rtl/>
                <w14:ligatures w14:val="standardContextual"/>
              </w:rPr>
            </w:pPr>
            <w:r w:rsidRPr="003A4066">
              <w:rPr>
                <w:rFonts w:ascii="Traditional Arabic" w:eastAsia="Simplified Arabic" w:hAnsi="Traditional Arabic" w:cs="Traditional Arabic"/>
                <w:b/>
                <w:bCs/>
                <w:kern w:val="2"/>
                <w:sz w:val="28"/>
                <w:szCs w:val="28"/>
                <w:rtl/>
                <w14:ligatures w14:val="standardContextual"/>
              </w:rPr>
              <w:t>أتعامل مع بعض متطلبات العمل بصورة آلية دون اهتمام كافٍ</w:t>
            </w:r>
            <w:r w:rsidRPr="003A4066">
              <w:rPr>
                <w:rFonts w:ascii="Traditional Arabic" w:eastAsia="Simplified Arabic" w:hAnsi="Traditional Arabic" w:cs="Traditional Arabic"/>
                <w:b/>
                <w:bCs/>
                <w:kern w:val="2"/>
                <w:sz w:val="28"/>
                <w:szCs w:val="28"/>
                <w14:ligatures w14:val="standardContextual"/>
              </w:rPr>
              <w:t>.</w:t>
            </w:r>
          </w:p>
        </w:tc>
        <w:tc>
          <w:tcPr>
            <w:tcW w:w="794" w:type="dxa"/>
            <w:tcBorders>
              <w:top w:val="single" w:sz="4" w:space="0" w:color="auto"/>
              <w:left w:val="single" w:sz="4" w:space="0" w:color="auto"/>
              <w:bottom w:val="single" w:sz="4" w:space="0" w:color="auto"/>
              <w:right w:val="single" w:sz="4" w:space="0" w:color="auto"/>
            </w:tcBorders>
          </w:tcPr>
          <w:p w14:paraId="262283AB"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1521EF9F"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18" w:type="dxa"/>
            <w:tcBorders>
              <w:top w:val="single" w:sz="4" w:space="0" w:color="auto"/>
              <w:left w:val="single" w:sz="4" w:space="0" w:color="auto"/>
              <w:bottom w:val="single" w:sz="4" w:space="0" w:color="auto"/>
              <w:right w:val="single" w:sz="4" w:space="0" w:color="auto"/>
            </w:tcBorders>
          </w:tcPr>
          <w:p w14:paraId="51F25897"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593D6AAD"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1" w:type="dxa"/>
            <w:tcBorders>
              <w:top w:val="single" w:sz="4" w:space="0" w:color="auto"/>
              <w:left w:val="single" w:sz="4" w:space="0" w:color="auto"/>
              <w:bottom w:val="single" w:sz="4" w:space="0" w:color="auto"/>
              <w:right w:val="single" w:sz="4" w:space="0" w:color="auto"/>
            </w:tcBorders>
          </w:tcPr>
          <w:p w14:paraId="2432562D"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r w:rsidR="003A4066" w:rsidRPr="003A4066" w14:paraId="4EAA8B89" w14:textId="77777777" w:rsidTr="003A4066">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CC0362"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32"/>
                <w:szCs w:val="32"/>
                <w:rtl/>
                <w14:ligatures w14:val="standardContextual"/>
              </w:rPr>
              <w:t>المتغير الفرعي الثالث: انخفاض الإنجاز الشخصي</w:t>
            </w:r>
          </w:p>
        </w:tc>
      </w:tr>
      <w:tr w:rsidR="003A4066" w:rsidRPr="003A4066" w14:paraId="47C391E5" w14:textId="77777777" w:rsidTr="003A4066">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7FB7E4CD"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14:ligatures w14:val="standardContextual"/>
              </w:rPr>
            </w:pPr>
          </w:p>
        </w:tc>
        <w:tc>
          <w:tcPr>
            <w:tcW w:w="5891" w:type="dxa"/>
            <w:tcBorders>
              <w:top w:val="single" w:sz="4" w:space="0" w:color="auto"/>
              <w:left w:val="single" w:sz="4" w:space="0" w:color="auto"/>
              <w:bottom w:val="single" w:sz="4" w:space="0" w:color="auto"/>
              <w:right w:val="single" w:sz="4" w:space="0" w:color="auto"/>
            </w:tcBorders>
          </w:tcPr>
          <w:p w14:paraId="4CD18B1A"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28"/>
                <w:szCs w:val="28"/>
                <w:rtl/>
                <w14:ligatures w14:val="standardContextual"/>
              </w:rPr>
              <w:t>أشعر بأن إنجازاتي في العمل أقل مما ينبغي</w:t>
            </w:r>
            <w:r w:rsidRPr="003A4066">
              <w:rPr>
                <w:rFonts w:ascii="Traditional Arabic" w:eastAsia="Simplified Arabic" w:hAnsi="Traditional Arabic" w:cs="Traditional Arabic"/>
                <w:b/>
                <w:bCs/>
                <w:kern w:val="2"/>
                <w:sz w:val="28"/>
                <w:szCs w:val="28"/>
                <w14:ligatures w14:val="standardContextual"/>
              </w:rPr>
              <w:t>.</w:t>
            </w:r>
          </w:p>
        </w:tc>
        <w:tc>
          <w:tcPr>
            <w:tcW w:w="794" w:type="dxa"/>
            <w:tcBorders>
              <w:top w:val="single" w:sz="4" w:space="0" w:color="auto"/>
              <w:left w:val="single" w:sz="4" w:space="0" w:color="auto"/>
              <w:bottom w:val="single" w:sz="4" w:space="0" w:color="auto"/>
              <w:right w:val="single" w:sz="4" w:space="0" w:color="auto"/>
            </w:tcBorders>
          </w:tcPr>
          <w:p w14:paraId="1DD23D3D"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25840A01"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18" w:type="dxa"/>
            <w:tcBorders>
              <w:top w:val="single" w:sz="4" w:space="0" w:color="auto"/>
              <w:left w:val="single" w:sz="4" w:space="0" w:color="auto"/>
              <w:bottom w:val="single" w:sz="4" w:space="0" w:color="auto"/>
              <w:right w:val="single" w:sz="4" w:space="0" w:color="auto"/>
            </w:tcBorders>
          </w:tcPr>
          <w:p w14:paraId="55808EB8"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3FF01830"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1" w:type="dxa"/>
            <w:tcBorders>
              <w:top w:val="single" w:sz="4" w:space="0" w:color="auto"/>
              <w:left w:val="single" w:sz="4" w:space="0" w:color="auto"/>
              <w:bottom w:val="single" w:sz="4" w:space="0" w:color="auto"/>
              <w:right w:val="single" w:sz="4" w:space="0" w:color="auto"/>
            </w:tcBorders>
          </w:tcPr>
          <w:p w14:paraId="78DCC020"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r w:rsidR="003A4066" w:rsidRPr="003A4066" w14:paraId="0C194A61" w14:textId="77777777" w:rsidTr="003A4066">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34C0EB37"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14:ligatures w14:val="standardContextual"/>
              </w:rPr>
            </w:pPr>
          </w:p>
        </w:tc>
        <w:tc>
          <w:tcPr>
            <w:tcW w:w="5891" w:type="dxa"/>
            <w:tcBorders>
              <w:top w:val="single" w:sz="4" w:space="0" w:color="auto"/>
              <w:left w:val="single" w:sz="4" w:space="0" w:color="auto"/>
              <w:bottom w:val="single" w:sz="4" w:space="0" w:color="auto"/>
              <w:right w:val="single" w:sz="4" w:space="0" w:color="auto"/>
            </w:tcBorders>
          </w:tcPr>
          <w:p w14:paraId="680C5B78"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28"/>
                <w:szCs w:val="28"/>
                <w:rtl/>
                <w14:ligatures w14:val="standardContextual"/>
              </w:rPr>
              <w:t>أعتقد أن قدرتي على تحقيق نتائج متميزة قد تراجعت</w:t>
            </w:r>
            <w:r w:rsidRPr="003A4066">
              <w:rPr>
                <w:rFonts w:ascii="Traditional Arabic" w:eastAsia="Simplified Arabic" w:hAnsi="Traditional Arabic" w:cs="Traditional Arabic"/>
                <w:b/>
                <w:bCs/>
                <w:kern w:val="2"/>
                <w:sz w:val="28"/>
                <w:szCs w:val="28"/>
                <w14:ligatures w14:val="standardContextual"/>
              </w:rPr>
              <w:t>.</w:t>
            </w:r>
          </w:p>
        </w:tc>
        <w:tc>
          <w:tcPr>
            <w:tcW w:w="794" w:type="dxa"/>
            <w:tcBorders>
              <w:top w:val="single" w:sz="4" w:space="0" w:color="auto"/>
              <w:left w:val="single" w:sz="4" w:space="0" w:color="auto"/>
              <w:bottom w:val="single" w:sz="4" w:space="0" w:color="auto"/>
              <w:right w:val="single" w:sz="4" w:space="0" w:color="auto"/>
            </w:tcBorders>
          </w:tcPr>
          <w:p w14:paraId="3D1DF72A"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419FE7AA"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18" w:type="dxa"/>
            <w:tcBorders>
              <w:top w:val="single" w:sz="4" w:space="0" w:color="auto"/>
              <w:left w:val="single" w:sz="4" w:space="0" w:color="auto"/>
              <w:bottom w:val="single" w:sz="4" w:space="0" w:color="auto"/>
              <w:right w:val="single" w:sz="4" w:space="0" w:color="auto"/>
            </w:tcBorders>
          </w:tcPr>
          <w:p w14:paraId="2E8743B1"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163CBC76"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1" w:type="dxa"/>
            <w:tcBorders>
              <w:top w:val="single" w:sz="4" w:space="0" w:color="auto"/>
              <w:left w:val="single" w:sz="4" w:space="0" w:color="auto"/>
              <w:bottom w:val="single" w:sz="4" w:space="0" w:color="auto"/>
              <w:right w:val="single" w:sz="4" w:space="0" w:color="auto"/>
            </w:tcBorders>
          </w:tcPr>
          <w:p w14:paraId="3316C892"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r w:rsidR="003A4066" w:rsidRPr="003A4066" w14:paraId="75FF441C" w14:textId="77777777" w:rsidTr="003A4066">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41472DB3"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14:ligatures w14:val="standardContextual"/>
              </w:rPr>
            </w:pPr>
          </w:p>
        </w:tc>
        <w:tc>
          <w:tcPr>
            <w:tcW w:w="5891" w:type="dxa"/>
            <w:tcBorders>
              <w:top w:val="single" w:sz="4" w:space="0" w:color="auto"/>
              <w:left w:val="single" w:sz="4" w:space="0" w:color="auto"/>
              <w:bottom w:val="single" w:sz="4" w:space="0" w:color="auto"/>
              <w:right w:val="single" w:sz="4" w:space="0" w:color="auto"/>
            </w:tcBorders>
          </w:tcPr>
          <w:p w14:paraId="62B10A49"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28"/>
                <w:szCs w:val="28"/>
                <w:rtl/>
                <w14:ligatures w14:val="standardContextual"/>
              </w:rPr>
              <w:t>أشعر بانخفاض مستوى كفاءتي المهنية مقارنة بالسابق</w:t>
            </w:r>
            <w:r w:rsidRPr="003A4066">
              <w:rPr>
                <w:rFonts w:ascii="Traditional Arabic" w:eastAsia="Simplified Arabic" w:hAnsi="Traditional Arabic" w:cs="Traditional Arabic"/>
                <w:b/>
                <w:bCs/>
                <w:kern w:val="2"/>
                <w:sz w:val="28"/>
                <w:szCs w:val="28"/>
                <w14:ligatures w14:val="standardContextual"/>
              </w:rPr>
              <w:t>.</w:t>
            </w:r>
          </w:p>
        </w:tc>
        <w:tc>
          <w:tcPr>
            <w:tcW w:w="794" w:type="dxa"/>
            <w:tcBorders>
              <w:top w:val="single" w:sz="4" w:space="0" w:color="auto"/>
              <w:left w:val="single" w:sz="4" w:space="0" w:color="auto"/>
              <w:bottom w:val="single" w:sz="4" w:space="0" w:color="auto"/>
              <w:right w:val="single" w:sz="4" w:space="0" w:color="auto"/>
            </w:tcBorders>
          </w:tcPr>
          <w:p w14:paraId="3CE47FB1"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250375BB"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18" w:type="dxa"/>
            <w:tcBorders>
              <w:top w:val="single" w:sz="4" w:space="0" w:color="auto"/>
              <w:left w:val="single" w:sz="4" w:space="0" w:color="auto"/>
              <w:bottom w:val="single" w:sz="4" w:space="0" w:color="auto"/>
              <w:right w:val="single" w:sz="4" w:space="0" w:color="auto"/>
            </w:tcBorders>
          </w:tcPr>
          <w:p w14:paraId="10C844E7"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6E080DB5"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1" w:type="dxa"/>
            <w:tcBorders>
              <w:top w:val="single" w:sz="4" w:space="0" w:color="auto"/>
              <w:left w:val="single" w:sz="4" w:space="0" w:color="auto"/>
              <w:bottom w:val="single" w:sz="4" w:space="0" w:color="auto"/>
              <w:right w:val="single" w:sz="4" w:space="0" w:color="auto"/>
            </w:tcBorders>
          </w:tcPr>
          <w:p w14:paraId="4602D702"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bl>
    <w:p w14:paraId="5CE4E4F3"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rtl/>
          <w14:ligatures w14:val="standardContextual"/>
        </w:rPr>
      </w:pPr>
    </w:p>
    <w:p w14:paraId="54302501"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rtl/>
          <w14:ligatures w14:val="standardContextual"/>
        </w:rPr>
      </w:pPr>
    </w:p>
    <w:p w14:paraId="56087253"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6"/>
          <w:szCs w:val="36"/>
          <w:rtl/>
          <w14:ligatures w14:val="standardContextual"/>
        </w:rPr>
      </w:pPr>
      <w:r w:rsidRPr="003A4066">
        <w:rPr>
          <w:rFonts w:ascii="Traditional Arabic" w:eastAsia="Simplified Arabic" w:hAnsi="Traditional Arabic" w:cs="Traditional Arabic"/>
          <w:b/>
          <w:bCs/>
          <w:kern w:val="2"/>
          <w:sz w:val="36"/>
          <w:szCs w:val="36"/>
          <w:rtl/>
          <w14:ligatures w14:val="standardContextual"/>
        </w:rPr>
        <w:t>أبعاد المتغير التابع: الرضا الوظيفي</w:t>
      </w:r>
    </w:p>
    <w:tbl>
      <w:tblPr>
        <w:tblStyle w:val="a7"/>
        <w:bidiVisual/>
        <w:tblW w:w="10637" w:type="dxa"/>
        <w:jc w:val="center"/>
        <w:tblLook w:val="01E0" w:firstRow="1" w:lastRow="1" w:firstColumn="1" w:lastColumn="1" w:noHBand="0" w:noVBand="0"/>
      </w:tblPr>
      <w:tblGrid>
        <w:gridCol w:w="715"/>
        <w:gridCol w:w="5891"/>
        <w:gridCol w:w="794"/>
        <w:gridCol w:w="794"/>
        <w:gridCol w:w="818"/>
        <w:gridCol w:w="794"/>
        <w:gridCol w:w="831"/>
      </w:tblGrid>
      <w:tr w:rsidR="003A4066" w:rsidRPr="003A4066" w14:paraId="3D634D18" w14:textId="77777777" w:rsidTr="003A4066">
        <w:trPr>
          <w:jc w:val="center"/>
        </w:trPr>
        <w:tc>
          <w:tcPr>
            <w:tcW w:w="715"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1D16C7A0"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32"/>
                <w:szCs w:val="32"/>
                <w:rtl/>
                <w:lang w:bidi="ar-JO"/>
                <w14:ligatures w14:val="standardContextual"/>
              </w:rPr>
              <w:t>الرقم</w:t>
            </w:r>
          </w:p>
        </w:tc>
        <w:tc>
          <w:tcPr>
            <w:tcW w:w="589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0DF50711"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32"/>
                <w:szCs w:val="32"/>
                <w:rtl/>
                <w14:ligatures w14:val="standardContextual"/>
              </w:rPr>
              <w:t>الفقرة</w:t>
            </w:r>
          </w:p>
        </w:tc>
        <w:tc>
          <w:tcPr>
            <w:tcW w:w="794"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0C1CC4A9"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32"/>
                <w:szCs w:val="32"/>
                <w:rtl/>
                <w:lang w:bidi="ar-JO"/>
                <w14:ligatures w14:val="standardContextual"/>
              </w:rPr>
              <w:t>موافق بشدة</w:t>
            </w:r>
          </w:p>
        </w:tc>
        <w:tc>
          <w:tcPr>
            <w:tcW w:w="794"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46B144B0"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32"/>
                <w:szCs w:val="32"/>
                <w:rtl/>
                <w:lang w:bidi="ar-JO"/>
                <w14:ligatures w14:val="standardContextual"/>
              </w:rPr>
              <w:t>موافق</w:t>
            </w:r>
          </w:p>
        </w:tc>
        <w:tc>
          <w:tcPr>
            <w:tcW w:w="818"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19A4DDBF"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rtl/>
                <w:lang w:bidi="ar-JO"/>
                <w14:ligatures w14:val="standardContextual"/>
              </w:rPr>
            </w:pPr>
            <w:r w:rsidRPr="003A4066">
              <w:rPr>
                <w:rFonts w:ascii="Traditional Arabic" w:eastAsia="Simplified Arabic" w:hAnsi="Traditional Arabic" w:cs="Traditional Arabic"/>
                <w:b/>
                <w:bCs/>
                <w:kern w:val="2"/>
                <w:sz w:val="32"/>
                <w:szCs w:val="32"/>
                <w:rtl/>
                <w:lang w:bidi="ar-JO"/>
                <w14:ligatures w14:val="standardContextual"/>
              </w:rPr>
              <w:t>محايد</w:t>
            </w:r>
          </w:p>
        </w:tc>
        <w:tc>
          <w:tcPr>
            <w:tcW w:w="794"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64DB98A3"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32"/>
                <w:szCs w:val="32"/>
                <w:rtl/>
                <w:lang w:bidi="ar-JO"/>
                <w14:ligatures w14:val="standardContextual"/>
              </w:rPr>
              <w:t>غير موافق</w:t>
            </w:r>
          </w:p>
        </w:tc>
        <w:tc>
          <w:tcPr>
            <w:tcW w:w="83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577BA484"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32"/>
                <w:szCs w:val="32"/>
                <w:rtl/>
                <w:lang w:bidi="ar-JO"/>
                <w14:ligatures w14:val="standardContextual"/>
              </w:rPr>
              <w:t>غير موافق بشدة</w:t>
            </w:r>
          </w:p>
        </w:tc>
      </w:tr>
      <w:tr w:rsidR="003A4066" w:rsidRPr="003A4066" w14:paraId="58704C41" w14:textId="77777777" w:rsidTr="003A4066">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917633"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rtl/>
                <w14:ligatures w14:val="standardContextual"/>
              </w:rPr>
            </w:pPr>
            <w:r w:rsidRPr="003A4066">
              <w:rPr>
                <w:rFonts w:ascii="Traditional Arabic" w:eastAsia="Simplified Arabic" w:hAnsi="Traditional Arabic" w:cs="Traditional Arabic"/>
                <w:b/>
                <w:bCs/>
                <w:kern w:val="2"/>
                <w:sz w:val="32"/>
                <w:szCs w:val="32"/>
                <w:rtl/>
                <w14:ligatures w14:val="standardContextual"/>
              </w:rPr>
              <w:t>الرضا الوظيفي: هو الدرجة الكلية التي يحصل عليها العاملون بمحكمة الأحوال الشخصية بجدة على أداة الدراسة، والتي تقيس مستوى رضاهم عن مختلف جوانب العمل من خلال بعدي الرضا الداخلي والرضا الخارجي. وتشير الدرجة المرتفعة إلى ارتفاع مستوى الرضا الوظيفي، في حين تشير الدرجة المنخفضة إلى انخفاض مستواه</w:t>
            </w:r>
          </w:p>
        </w:tc>
      </w:tr>
      <w:tr w:rsidR="003A4066" w:rsidRPr="003A4066" w14:paraId="5D3D8A2F" w14:textId="77777777" w:rsidTr="003A4066">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2A4FA0"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32"/>
                <w:szCs w:val="32"/>
                <w:rtl/>
                <w14:ligatures w14:val="standardContextual"/>
              </w:rPr>
              <w:t>المتغير الفرعي الأول: الرضا الداخلي</w:t>
            </w:r>
          </w:p>
        </w:tc>
      </w:tr>
      <w:tr w:rsidR="003A4066" w:rsidRPr="003A4066" w14:paraId="5C9DB530" w14:textId="77777777" w:rsidTr="003A4066">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1CEB1DD8"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14:ligatures w14:val="standardContextual"/>
              </w:rPr>
            </w:pPr>
          </w:p>
        </w:tc>
        <w:tc>
          <w:tcPr>
            <w:tcW w:w="5891" w:type="dxa"/>
            <w:tcBorders>
              <w:top w:val="single" w:sz="4" w:space="0" w:color="auto"/>
              <w:left w:val="single" w:sz="4" w:space="0" w:color="auto"/>
              <w:bottom w:val="single" w:sz="4" w:space="0" w:color="auto"/>
              <w:right w:val="single" w:sz="4" w:space="0" w:color="auto"/>
            </w:tcBorders>
          </w:tcPr>
          <w:p w14:paraId="02E4A91C"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28"/>
                <w:szCs w:val="28"/>
                <w:rtl/>
                <w14:ligatures w14:val="standardContextual"/>
              </w:rPr>
              <w:t>أشعر بالرضا عن طبيعة عملي الحالية</w:t>
            </w:r>
            <w:r w:rsidRPr="003A4066">
              <w:rPr>
                <w:rFonts w:ascii="Traditional Arabic" w:eastAsia="Simplified Arabic" w:hAnsi="Traditional Arabic" w:cs="Traditional Arabic"/>
                <w:b/>
                <w:bCs/>
                <w:kern w:val="2"/>
                <w:sz w:val="28"/>
                <w:szCs w:val="28"/>
                <w14:ligatures w14:val="standardContextual"/>
              </w:rPr>
              <w:t>.</w:t>
            </w:r>
          </w:p>
        </w:tc>
        <w:tc>
          <w:tcPr>
            <w:tcW w:w="794" w:type="dxa"/>
            <w:tcBorders>
              <w:top w:val="single" w:sz="4" w:space="0" w:color="auto"/>
              <w:left w:val="single" w:sz="4" w:space="0" w:color="auto"/>
              <w:bottom w:val="single" w:sz="4" w:space="0" w:color="auto"/>
              <w:right w:val="single" w:sz="4" w:space="0" w:color="auto"/>
            </w:tcBorders>
          </w:tcPr>
          <w:p w14:paraId="19384F25"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20410C39"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18" w:type="dxa"/>
            <w:tcBorders>
              <w:top w:val="single" w:sz="4" w:space="0" w:color="auto"/>
              <w:left w:val="single" w:sz="4" w:space="0" w:color="auto"/>
              <w:bottom w:val="single" w:sz="4" w:space="0" w:color="auto"/>
              <w:right w:val="single" w:sz="4" w:space="0" w:color="auto"/>
            </w:tcBorders>
          </w:tcPr>
          <w:p w14:paraId="7A7E9FA6"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66BFA54E"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1" w:type="dxa"/>
            <w:tcBorders>
              <w:top w:val="single" w:sz="4" w:space="0" w:color="auto"/>
              <w:left w:val="single" w:sz="4" w:space="0" w:color="auto"/>
              <w:bottom w:val="single" w:sz="4" w:space="0" w:color="auto"/>
              <w:right w:val="single" w:sz="4" w:space="0" w:color="auto"/>
            </w:tcBorders>
          </w:tcPr>
          <w:p w14:paraId="613580DE"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r w:rsidR="003A4066" w:rsidRPr="003A4066" w14:paraId="3D4DFCC8" w14:textId="77777777" w:rsidTr="003A4066">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293CEBE6"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14:ligatures w14:val="standardContextual"/>
              </w:rPr>
            </w:pPr>
          </w:p>
        </w:tc>
        <w:tc>
          <w:tcPr>
            <w:tcW w:w="5891" w:type="dxa"/>
            <w:tcBorders>
              <w:top w:val="single" w:sz="4" w:space="0" w:color="auto"/>
              <w:left w:val="single" w:sz="4" w:space="0" w:color="auto"/>
              <w:bottom w:val="single" w:sz="4" w:space="0" w:color="auto"/>
              <w:right w:val="single" w:sz="4" w:space="0" w:color="auto"/>
            </w:tcBorders>
          </w:tcPr>
          <w:p w14:paraId="21329AE4"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28"/>
                <w:szCs w:val="28"/>
                <w:rtl/>
                <w14:ligatures w14:val="standardContextual"/>
              </w:rPr>
              <w:t>يمنحني عملي شعوراً بالإنجاز الشخصي</w:t>
            </w:r>
            <w:r w:rsidRPr="003A4066">
              <w:rPr>
                <w:rFonts w:ascii="Traditional Arabic" w:eastAsia="Simplified Arabic" w:hAnsi="Traditional Arabic" w:cs="Traditional Arabic"/>
                <w:b/>
                <w:bCs/>
                <w:kern w:val="2"/>
                <w:sz w:val="28"/>
                <w:szCs w:val="28"/>
                <w14:ligatures w14:val="standardContextual"/>
              </w:rPr>
              <w:t>.</w:t>
            </w:r>
          </w:p>
        </w:tc>
        <w:tc>
          <w:tcPr>
            <w:tcW w:w="794" w:type="dxa"/>
            <w:tcBorders>
              <w:top w:val="single" w:sz="4" w:space="0" w:color="auto"/>
              <w:left w:val="single" w:sz="4" w:space="0" w:color="auto"/>
              <w:bottom w:val="single" w:sz="4" w:space="0" w:color="auto"/>
              <w:right w:val="single" w:sz="4" w:space="0" w:color="auto"/>
            </w:tcBorders>
          </w:tcPr>
          <w:p w14:paraId="2D6CE97B"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4645E68E"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18" w:type="dxa"/>
            <w:tcBorders>
              <w:top w:val="single" w:sz="4" w:space="0" w:color="auto"/>
              <w:left w:val="single" w:sz="4" w:space="0" w:color="auto"/>
              <w:bottom w:val="single" w:sz="4" w:space="0" w:color="auto"/>
              <w:right w:val="single" w:sz="4" w:space="0" w:color="auto"/>
            </w:tcBorders>
          </w:tcPr>
          <w:p w14:paraId="02AAAB62"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687D8140"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1" w:type="dxa"/>
            <w:tcBorders>
              <w:top w:val="single" w:sz="4" w:space="0" w:color="auto"/>
              <w:left w:val="single" w:sz="4" w:space="0" w:color="auto"/>
              <w:bottom w:val="single" w:sz="4" w:space="0" w:color="auto"/>
              <w:right w:val="single" w:sz="4" w:space="0" w:color="auto"/>
            </w:tcBorders>
          </w:tcPr>
          <w:p w14:paraId="31D46C5D"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r w:rsidR="003A4066" w:rsidRPr="003A4066" w14:paraId="330FA4D0" w14:textId="77777777" w:rsidTr="003A4066">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73E76C0E"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14:ligatures w14:val="standardContextual"/>
              </w:rPr>
            </w:pPr>
          </w:p>
        </w:tc>
        <w:tc>
          <w:tcPr>
            <w:tcW w:w="5891" w:type="dxa"/>
            <w:tcBorders>
              <w:top w:val="single" w:sz="4" w:space="0" w:color="auto"/>
              <w:left w:val="single" w:sz="4" w:space="0" w:color="auto"/>
              <w:bottom w:val="single" w:sz="4" w:space="0" w:color="auto"/>
              <w:right w:val="single" w:sz="4" w:space="0" w:color="auto"/>
            </w:tcBorders>
          </w:tcPr>
          <w:p w14:paraId="10294867"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28"/>
                <w:szCs w:val="28"/>
                <w:rtl/>
                <w14:ligatures w14:val="standardContextual"/>
              </w:rPr>
              <w:t>أشعر بأن عملي يوفر فرصاً لتطوير قدراتي المهنية</w:t>
            </w:r>
            <w:r w:rsidRPr="003A4066">
              <w:rPr>
                <w:rFonts w:ascii="Traditional Arabic" w:eastAsia="Simplified Arabic" w:hAnsi="Traditional Arabic" w:cs="Traditional Arabic"/>
                <w:b/>
                <w:bCs/>
                <w:kern w:val="2"/>
                <w:sz w:val="28"/>
                <w:szCs w:val="28"/>
                <w14:ligatures w14:val="standardContextual"/>
              </w:rPr>
              <w:t>.</w:t>
            </w:r>
          </w:p>
        </w:tc>
        <w:tc>
          <w:tcPr>
            <w:tcW w:w="794" w:type="dxa"/>
            <w:tcBorders>
              <w:top w:val="single" w:sz="4" w:space="0" w:color="auto"/>
              <w:left w:val="single" w:sz="4" w:space="0" w:color="auto"/>
              <w:bottom w:val="single" w:sz="4" w:space="0" w:color="auto"/>
              <w:right w:val="single" w:sz="4" w:space="0" w:color="auto"/>
            </w:tcBorders>
          </w:tcPr>
          <w:p w14:paraId="1ACB5FE0"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0729E0A8"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18" w:type="dxa"/>
            <w:tcBorders>
              <w:top w:val="single" w:sz="4" w:space="0" w:color="auto"/>
              <w:left w:val="single" w:sz="4" w:space="0" w:color="auto"/>
              <w:bottom w:val="single" w:sz="4" w:space="0" w:color="auto"/>
              <w:right w:val="single" w:sz="4" w:space="0" w:color="auto"/>
            </w:tcBorders>
          </w:tcPr>
          <w:p w14:paraId="6C9C3D0F"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40DF52D9"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1" w:type="dxa"/>
            <w:tcBorders>
              <w:top w:val="single" w:sz="4" w:space="0" w:color="auto"/>
              <w:left w:val="single" w:sz="4" w:space="0" w:color="auto"/>
              <w:bottom w:val="single" w:sz="4" w:space="0" w:color="auto"/>
              <w:right w:val="single" w:sz="4" w:space="0" w:color="auto"/>
            </w:tcBorders>
          </w:tcPr>
          <w:p w14:paraId="527A25F9"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r w:rsidR="003A4066" w:rsidRPr="003A4066" w14:paraId="76017E91" w14:textId="77777777" w:rsidTr="003A4066">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7A3293DB"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rtl/>
                <w:lang w:bidi="ar-JO"/>
                <w14:ligatures w14:val="standardContextual"/>
              </w:rPr>
            </w:pPr>
          </w:p>
        </w:tc>
        <w:tc>
          <w:tcPr>
            <w:tcW w:w="5891" w:type="dxa"/>
            <w:tcBorders>
              <w:top w:val="single" w:sz="4" w:space="0" w:color="auto"/>
              <w:left w:val="single" w:sz="4" w:space="0" w:color="auto"/>
              <w:bottom w:val="single" w:sz="4" w:space="0" w:color="auto"/>
              <w:right w:val="single" w:sz="4" w:space="0" w:color="auto"/>
            </w:tcBorders>
          </w:tcPr>
          <w:p w14:paraId="015F1FAA"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rtl/>
                <w14:ligatures w14:val="standardContextual"/>
              </w:rPr>
            </w:pPr>
            <w:r w:rsidRPr="003A4066">
              <w:rPr>
                <w:rFonts w:ascii="Traditional Arabic" w:eastAsia="Simplified Arabic" w:hAnsi="Traditional Arabic" w:cs="Traditional Arabic"/>
                <w:b/>
                <w:bCs/>
                <w:kern w:val="2"/>
                <w:sz w:val="28"/>
                <w:szCs w:val="28"/>
                <w:rtl/>
                <w14:ligatures w14:val="standardContextual"/>
              </w:rPr>
              <w:t>أستمتع بأداء المهام المرتبطة بعملي</w:t>
            </w:r>
            <w:r w:rsidRPr="003A4066">
              <w:rPr>
                <w:rFonts w:ascii="Traditional Arabic" w:eastAsia="Simplified Arabic" w:hAnsi="Traditional Arabic" w:cs="Traditional Arabic"/>
                <w:b/>
                <w:bCs/>
                <w:kern w:val="2"/>
                <w:sz w:val="28"/>
                <w:szCs w:val="28"/>
                <w14:ligatures w14:val="standardContextual"/>
              </w:rPr>
              <w:t>.</w:t>
            </w:r>
          </w:p>
        </w:tc>
        <w:tc>
          <w:tcPr>
            <w:tcW w:w="794" w:type="dxa"/>
            <w:tcBorders>
              <w:top w:val="single" w:sz="4" w:space="0" w:color="auto"/>
              <w:left w:val="single" w:sz="4" w:space="0" w:color="auto"/>
              <w:bottom w:val="single" w:sz="4" w:space="0" w:color="auto"/>
              <w:right w:val="single" w:sz="4" w:space="0" w:color="auto"/>
            </w:tcBorders>
          </w:tcPr>
          <w:p w14:paraId="394E6DD6"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10D8839D"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18" w:type="dxa"/>
            <w:tcBorders>
              <w:top w:val="single" w:sz="4" w:space="0" w:color="auto"/>
              <w:left w:val="single" w:sz="4" w:space="0" w:color="auto"/>
              <w:bottom w:val="single" w:sz="4" w:space="0" w:color="auto"/>
              <w:right w:val="single" w:sz="4" w:space="0" w:color="auto"/>
            </w:tcBorders>
          </w:tcPr>
          <w:p w14:paraId="5D3DC6F2"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26061280"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1" w:type="dxa"/>
            <w:tcBorders>
              <w:top w:val="single" w:sz="4" w:space="0" w:color="auto"/>
              <w:left w:val="single" w:sz="4" w:space="0" w:color="auto"/>
              <w:bottom w:val="single" w:sz="4" w:space="0" w:color="auto"/>
              <w:right w:val="single" w:sz="4" w:space="0" w:color="auto"/>
            </w:tcBorders>
          </w:tcPr>
          <w:p w14:paraId="52007125"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r w:rsidR="003A4066" w:rsidRPr="003A4066" w14:paraId="5D7E6B92" w14:textId="77777777" w:rsidTr="003A4066">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3261709F"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rtl/>
                <w:lang w:bidi="ar-JO"/>
                <w14:ligatures w14:val="standardContextual"/>
              </w:rPr>
            </w:pPr>
          </w:p>
        </w:tc>
        <w:tc>
          <w:tcPr>
            <w:tcW w:w="5891" w:type="dxa"/>
            <w:tcBorders>
              <w:top w:val="single" w:sz="4" w:space="0" w:color="auto"/>
              <w:left w:val="single" w:sz="4" w:space="0" w:color="auto"/>
              <w:bottom w:val="single" w:sz="4" w:space="0" w:color="auto"/>
              <w:right w:val="single" w:sz="4" w:space="0" w:color="auto"/>
            </w:tcBorders>
          </w:tcPr>
          <w:p w14:paraId="5F2A4579"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rtl/>
                <w14:ligatures w14:val="standardContextual"/>
              </w:rPr>
            </w:pPr>
            <w:r w:rsidRPr="003A4066">
              <w:rPr>
                <w:rFonts w:ascii="Traditional Arabic" w:eastAsia="Simplified Arabic" w:hAnsi="Traditional Arabic" w:cs="Traditional Arabic"/>
                <w:b/>
                <w:bCs/>
                <w:kern w:val="2"/>
                <w:sz w:val="28"/>
                <w:szCs w:val="28"/>
                <w:rtl/>
                <w14:ligatures w14:val="standardContextual"/>
              </w:rPr>
              <w:t>أشعر بأهمية الدور الذي أقوم به في المحكمة</w:t>
            </w:r>
            <w:r w:rsidRPr="003A4066">
              <w:rPr>
                <w:rFonts w:ascii="Traditional Arabic" w:eastAsia="Simplified Arabic" w:hAnsi="Traditional Arabic" w:cs="Traditional Arabic"/>
                <w:b/>
                <w:bCs/>
                <w:kern w:val="2"/>
                <w:sz w:val="28"/>
                <w:szCs w:val="28"/>
                <w14:ligatures w14:val="standardContextual"/>
              </w:rPr>
              <w:t>.</w:t>
            </w:r>
          </w:p>
        </w:tc>
        <w:tc>
          <w:tcPr>
            <w:tcW w:w="794" w:type="dxa"/>
            <w:tcBorders>
              <w:top w:val="single" w:sz="4" w:space="0" w:color="auto"/>
              <w:left w:val="single" w:sz="4" w:space="0" w:color="auto"/>
              <w:bottom w:val="single" w:sz="4" w:space="0" w:color="auto"/>
              <w:right w:val="single" w:sz="4" w:space="0" w:color="auto"/>
            </w:tcBorders>
          </w:tcPr>
          <w:p w14:paraId="73B81842"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78878BFE"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18" w:type="dxa"/>
            <w:tcBorders>
              <w:top w:val="single" w:sz="4" w:space="0" w:color="auto"/>
              <w:left w:val="single" w:sz="4" w:space="0" w:color="auto"/>
              <w:bottom w:val="single" w:sz="4" w:space="0" w:color="auto"/>
              <w:right w:val="single" w:sz="4" w:space="0" w:color="auto"/>
            </w:tcBorders>
          </w:tcPr>
          <w:p w14:paraId="03127E65"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7787AA8D"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1" w:type="dxa"/>
            <w:tcBorders>
              <w:top w:val="single" w:sz="4" w:space="0" w:color="auto"/>
              <w:left w:val="single" w:sz="4" w:space="0" w:color="auto"/>
              <w:bottom w:val="single" w:sz="4" w:space="0" w:color="auto"/>
              <w:right w:val="single" w:sz="4" w:space="0" w:color="auto"/>
            </w:tcBorders>
          </w:tcPr>
          <w:p w14:paraId="2AA6D677"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r w:rsidR="003A4066" w:rsidRPr="003A4066" w14:paraId="189498CA" w14:textId="77777777" w:rsidTr="003A4066">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55F19FCC"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rtl/>
                <w:lang w:bidi="ar-JO"/>
                <w14:ligatures w14:val="standardContextual"/>
              </w:rPr>
            </w:pPr>
          </w:p>
        </w:tc>
        <w:tc>
          <w:tcPr>
            <w:tcW w:w="5891" w:type="dxa"/>
            <w:tcBorders>
              <w:top w:val="single" w:sz="4" w:space="0" w:color="auto"/>
              <w:left w:val="single" w:sz="4" w:space="0" w:color="auto"/>
              <w:bottom w:val="single" w:sz="4" w:space="0" w:color="auto"/>
              <w:right w:val="single" w:sz="4" w:space="0" w:color="auto"/>
            </w:tcBorders>
          </w:tcPr>
          <w:p w14:paraId="318C3432"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rtl/>
                <w14:ligatures w14:val="standardContextual"/>
              </w:rPr>
            </w:pPr>
            <w:r w:rsidRPr="003A4066">
              <w:rPr>
                <w:rFonts w:ascii="Traditional Arabic" w:eastAsia="Simplified Arabic" w:hAnsi="Traditional Arabic" w:cs="Traditional Arabic"/>
                <w:b/>
                <w:bCs/>
                <w:kern w:val="2"/>
                <w:sz w:val="28"/>
                <w:szCs w:val="28"/>
                <w:rtl/>
                <w14:ligatures w14:val="standardContextual"/>
              </w:rPr>
              <w:t>أجد في عملي تحديات مهنية إيجابية</w:t>
            </w:r>
            <w:r w:rsidRPr="003A4066">
              <w:rPr>
                <w:rFonts w:ascii="Traditional Arabic" w:eastAsia="Simplified Arabic" w:hAnsi="Traditional Arabic" w:cs="Traditional Arabic"/>
                <w:b/>
                <w:bCs/>
                <w:kern w:val="2"/>
                <w:sz w:val="28"/>
                <w:szCs w:val="28"/>
                <w14:ligatures w14:val="standardContextual"/>
              </w:rPr>
              <w:t>.</w:t>
            </w:r>
          </w:p>
        </w:tc>
        <w:tc>
          <w:tcPr>
            <w:tcW w:w="794" w:type="dxa"/>
            <w:tcBorders>
              <w:top w:val="single" w:sz="4" w:space="0" w:color="auto"/>
              <w:left w:val="single" w:sz="4" w:space="0" w:color="auto"/>
              <w:bottom w:val="single" w:sz="4" w:space="0" w:color="auto"/>
              <w:right w:val="single" w:sz="4" w:space="0" w:color="auto"/>
            </w:tcBorders>
          </w:tcPr>
          <w:p w14:paraId="6ABB28E5"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291CC504"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18" w:type="dxa"/>
            <w:tcBorders>
              <w:top w:val="single" w:sz="4" w:space="0" w:color="auto"/>
              <w:left w:val="single" w:sz="4" w:space="0" w:color="auto"/>
              <w:bottom w:val="single" w:sz="4" w:space="0" w:color="auto"/>
              <w:right w:val="single" w:sz="4" w:space="0" w:color="auto"/>
            </w:tcBorders>
          </w:tcPr>
          <w:p w14:paraId="4FBEEC8A"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6A854BE9"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1" w:type="dxa"/>
            <w:tcBorders>
              <w:top w:val="single" w:sz="4" w:space="0" w:color="auto"/>
              <w:left w:val="single" w:sz="4" w:space="0" w:color="auto"/>
              <w:bottom w:val="single" w:sz="4" w:space="0" w:color="auto"/>
              <w:right w:val="single" w:sz="4" w:space="0" w:color="auto"/>
            </w:tcBorders>
          </w:tcPr>
          <w:p w14:paraId="16BE2B6C"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r w:rsidR="003A4066" w:rsidRPr="003A4066" w14:paraId="47B32919" w14:textId="77777777" w:rsidTr="003A4066">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B64CF6"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32"/>
                <w:szCs w:val="32"/>
                <w:rtl/>
                <w14:ligatures w14:val="standardContextual"/>
              </w:rPr>
              <w:t>المتغير الفرعي الثاني: الرضا الخارجي</w:t>
            </w:r>
          </w:p>
        </w:tc>
      </w:tr>
      <w:tr w:rsidR="003A4066" w:rsidRPr="003A4066" w14:paraId="30836D61" w14:textId="77777777" w:rsidTr="003A4066">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3F3C729B"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14:ligatures w14:val="standardContextual"/>
              </w:rPr>
            </w:pPr>
          </w:p>
        </w:tc>
        <w:tc>
          <w:tcPr>
            <w:tcW w:w="5891" w:type="dxa"/>
            <w:tcBorders>
              <w:top w:val="single" w:sz="4" w:space="0" w:color="auto"/>
              <w:left w:val="single" w:sz="4" w:space="0" w:color="auto"/>
              <w:bottom w:val="single" w:sz="4" w:space="0" w:color="auto"/>
              <w:right w:val="single" w:sz="4" w:space="0" w:color="auto"/>
            </w:tcBorders>
          </w:tcPr>
          <w:p w14:paraId="0D058BF0"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28"/>
                <w:szCs w:val="28"/>
                <w:rtl/>
                <w14:ligatures w14:val="standardContextual"/>
              </w:rPr>
              <w:t>أشعر بالرضا عن بيئة العمل في المحكمة</w:t>
            </w:r>
            <w:r w:rsidRPr="003A4066">
              <w:rPr>
                <w:rFonts w:ascii="Traditional Arabic" w:eastAsia="Simplified Arabic" w:hAnsi="Traditional Arabic" w:cs="Traditional Arabic"/>
                <w:b/>
                <w:bCs/>
                <w:kern w:val="2"/>
                <w:sz w:val="28"/>
                <w:szCs w:val="28"/>
                <w14:ligatures w14:val="standardContextual"/>
              </w:rPr>
              <w:t>.</w:t>
            </w:r>
          </w:p>
        </w:tc>
        <w:tc>
          <w:tcPr>
            <w:tcW w:w="794" w:type="dxa"/>
            <w:tcBorders>
              <w:top w:val="single" w:sz="4" w:space="0" w:color="auto"/>
              <w:left w:val="single" w:sz="4" w:space="0" w:color="auto"/>
              <w:bottom w:val="single" w:sz="4" w:space="0" w:color="auto"/>
              <w:right w:val="single" w:sz="4" w:space="0" w:color="auto"/>
            </w:tcBorders>
          </w:tcPr>
          <w:p w14:paraId="28D631AF"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3C3CC298"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18" w:type="dxa"/>
            <w:tcBorders>
              <w:top w:val="single" w:sz="4" w:space="0" w:color="auto"/>
              <w:left w:val="single" w:sz="4" w:space="0" w:color="auto"/>
              <w:bottom w:val="single" w:sz="4" w:space="0" w:color="auto"/>
              <w:right w:val="single" w:sz="4" w:space="0" w:color="auto"/>
            </w:tcBorders>
          </w:tcPr>
          <w:p w14:paraId="020207A8"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22EC619E"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1" w:type="dxa"/>
            <w:tcBorders>
              <w:top w:val="single" w:sz="4" w:space="0" w:color="auto"/>
              <w:left w:val="single" w:sz="4" w:space="0" w:color="auto"/>
              <w:bottom w:val="single" w:sz="4" w:space="0" w:color="auto"/>
              <w:right w:val="single" w:sz="4" w:space="0" w:color="auto"/>
            </w:tcBorders>
          </w:tcPr>
          <w:p w14:paraId="6169BCF8"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r w:rsidR="003A4066" w:rsidRPr="003A4066" w14:paraId="64664FA6" w14:textId="77777777" w:rsidTr="003A4066">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3D0802AC"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14:ligatures w14:val="standardContextual"/>
              </w:rPr>
            </w:pPr>
          </w:p>
        </w:tc>
        <w:tc>
          <w:tcPr>
            <w:tcW w:w="5891" w:type="dxa"/>
            <w:tcBorders>
              <w:top w:val="single" w:sz="4" w:space="0" w:color="auto"/>
              <w:left w:val="single" w:sz="4" w:space="0" w:color="auto"/>
              <w:bottom w:val="single" w:sz="4" w:space="0" w:color="auto"/>
              <w:right w:val="single" w:sz="4" w:space="0" w:color="auto"/>
            </w:tcBorders>
          </w:tcPr>
          <w:p w14:paraId="775B518E"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28"/>
                <w:szCs w:val="28"/>
                <w:rtl/>
                <w14:ligatures w14:val="standardContextual"/>
              </w:rPr>
              <w:t>أشعر بالرضا عن أسلوب الإشراف والمتابعة في العمل</w:t>
            </w:r>
            <w:r w:rsidRPr="003A4066">
              <w:rPr>
                <w:rFonts w:ascii="Traditional Arabic" w:eastAsia="Simplified Arabic" w:hAnsi="Traditional Arabic" w:cs="Traditional Arabic"/>
                <w:b/>
                <w:bCs/>
                <w:kern w:val="2"/>
                <w:sz w:val="28"/>
                <w:szCs w:val="28"/>
                <w14:ligatures w14:val="standardContextual"/>
              </w:rPr>
              <w:t>.</w:t>
            </w:r>
          </w:p>
        </w:tc>
        <w:tc>
          <w:tcPr>
            <w:tcW w:w="794" w:type="dxa"/>
            <w:tcBorders>
              <w:top w:val="single" w:sz="4" w:space="0" w:color="auto"/>
              <w:left w:val="single" w:sz="4" w:space="0" w:color="auto"/>
              <w:bottom w:val="single" w:sz="4" w:space="0" w:color="auto"/>
              <w:right w:val="single" w:sz="4" w:space="0" w:color="auto"/>
            </w:tcBorders>
          </w:tcPr>
          <w:p w14:paraId="0554A2F6"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1AFC59E9"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18" w:type="dxa"/>
            <w:tcBorders>
              <w:top w:val="single" w:sz="4" w:space="0" w:color="auto"/>
              <w:left w:val="single" w:sz="4" w:space="0" w:color="auto"/>
              <w:bottom w:val="single" w:sz="4" w:space="0" w:color="auto"/>
              <w:right w:val="single" w:sz="4" w:space="0" w:color="auto"/>
            </w:tcBorders>
          </w:tcPr>
          <w:p w14:paraId="5E120F5E"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75E46D2D"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1" w:type="dxa"/>
            <w:tcBorders>
              <w:top w:val="single" w:sz="4" w:space="0" w:color="auto"/>
              <w:left w:val="single" w:sz="4" w:space="0" w:color="auto"/>
              <w:bottom w:val="single" w:sz="4" w:space="0" w:color="auto"/>
              <w:right w:val="single" w:sz="4" w:space="0" w:color="auto"/>
            </w:tcBorders>
          </w:tcPr>
          <w:p w14:paraId="573D43FE"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r w:rsidR="003A4066" w:rsidRPr="003A4066" w14:paraId="75C55470" w14:textId="77777777" w:rsidTr="003A4066">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440A6E1E"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14:ligatures w14:val="standardContextual"/>
              </w:rPr>
            </w:pPr>
          </w:p>
        </w:tc>
        <w:tc>
          <w:tcPr>
            <w:tcW w:w="5891" w:type="dxa"/>
            <w:tcBorders>
              <w:top w:val="single" w:sz="4" w:space="0" w:color="auto"/>
              <w:left w:val="single" w:sz="4" w:space="0" w:color="auto"/>
              <w:bottom w:val="single" w:sz="4" w:space="0" w:color="auto"/>
              <w:right w:val="single" w:sz="4" w:space="0" w:color="auto"/>
            </w:tcBorders>
          </w:tcPr>
          <w:p w14:paraId="5F2F546E"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28"/>
                <w:szCs w:val="28"/>
                <w:rtl/>
                <w14:ligatures w14:val="standardContextual"/>
              </w:rPr>
              <w:t>أشعر بالرضا عن العلاقات المهنية مع زملائي</w:t>
            </w:r>
            <w:r w:rsidRPr="003A4066">
              <w:rPr>
                <w:rFonts w:ascii="Traditional Arabic" w:eastAsia="Simplified Arabic" w:hAnsi="Traditional Arabic" w:cs="Traditional Arabic"/>
                <w:b/>
                <w:bCs/>
                <w:kern w:val="2"/>
                <w:sz w:val="28"/>
                <w:szCs w:val="28"/>
                <w14:ligatures w14:val="standardContextual"/>
              </w:rPr>
              <w:t>.</w:t>
            </w:r>
          </w:p>
        </w:tc>
        <w:tc>
          <w:tcPr>
            <w:tcW w:w="794" w:type="dxa"/>
            <w:tcBorders>
              <w:top w:val="single" w:sz="4" w:space="0" w:color="auto"/>
              <w:left w:val="single" w:sz="4" w:space="0" w:color="auto"/>
              <w:bottom w:val="single" w:sz="4" w:space="0" w:color="auto"/>
              <w:right w:val="single" w:sz="4" w:space="0" w:color="auto"/>
            </w:tcBorders>
          </w:tcPr>
          <w:p w14:paraId="35C6F081"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2C0557F6"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18" w:type="dxa"/>
            <w:tcBorders>
              <w:top w:val="single" w:sz="4" w:space="0" w:color="auto"/>
              <w:left w:val="single" w:sz="4" w:space="0" w:color="auto"/>
              <w:bottom w:val="single" w:sz="4" w:space="0" w:color="auto"/>
              <w:right w:val="single" w:sz="4" w:space="0" w:color="auto"/>
            </w:tcBorders>
          </w:tcPr>
          <w:p w14:paraId="640C3CB3"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4481920B"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1" w:type="dxa"/>
            <w:tcBorders>
              <w:top w:val="single" w:sz="4" w:space="0" w:color="auto"/>
              <w:left w:val="single" w:sz="4" w:space="0" w:color="auto"/>
              <w:bottom w:val="single" w:sz="4" w:space="0" w:color="auto"/>
              <w:right w:val="single" w:sz="4" w:space="0" w:color="auto"/>
            </w:tcBorders>
          </w:tcPr>
          <w:p w14:paraId="39CC82DE"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r w:rsidR="003A4066" w:rsidRPr="003A4066" w14:paraId="44B049D3" w14:textId="77777777" w:rsidTr="003A4066">
        <w:trPr>
          <w:trHeight w:val="485"/>
          <w:jc w:val="center"/>
        </w:trPr>
        <w:tc>
          <w:tcPr>
            <w:tcW w:w="715" w:type="dxa"/>
            <w:tcBorders>
              <w:top w:val="single" w:sz="4" w:space="0" w:color="auto"/>
              <w:left w:val="single" w:sz="4" w:space="0" w:color="auto"/>
              <w:bottom w:val="single" w:sz="4" w:space="0" w:color="auto"/>
              <w:right w:val="single" w:sz="4" w:space="0" w:color="auto"/>
            </w:tcBorders>
            <w:vAlign w:val="center"/>
          </w:tcPr>
          <w:p w14:paraId="2E454C11"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14:ligatures w14:val="standardContextual"/>
              </w:rPr>
            </w:pPr>
          </w:p>
        </w:tc>
        <w:tc>
          <w:tcPr>
            <w:tcW w:w="5891" w:type="dxa"/>
            <w:tcBorders>
              <w:top w:val="single" w:sz="4" w:space="0" w:color="auto"/>
              <w:left w:val="single" w:sz="4" w:space="0" w:color="auto"/>
              <w:bottom w:val="single" w:sz="4" w:space="0" w:color="auto"/>
              <w:right w:val="single" w:sz="4" w:space="0" w:color="auto"/>
            </w:tcBorders>
          </w:tcPr>
          <w:p w14:paraId="3383F9EC"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28"/>
                <w:szCs w:val="28"/>
                <w:rtl/>
                <w14:ligatures w14:val="standardContextual"/>
              </w:rPr>
              <w:t>أشعر بالرضا عن العدالة في توزيع المهام الوظيفية</w:t>
            </w:r>
            <w:r w:rsidRPr="003A4066">
              <w:rPr>
                <w:rFonts w:ascii="Traditional Arabic" w:eastAsia="Simplified Arabic" w:hAnsi="Traditional Arabic" w:cs="Traditional Arabic"/>
                <w:b/>
                <w:bCs/>
                <w:kern w:val="2"/>
                <w:sz w:val="28"/>
                <w:szCs w:val="28"/>
                <w14:ligatures w14:val="standardContextual"/>
              </w:rPr>
              <w:t>.</w:t>
            </w:r>
          </w:p>
        </w:tc>
        <w:tc>
          <w:tcPr>
            <w:tcW w:w="794" w:type="dxa"/>
            <w:tcBorders>
              <w:top w:val="single" w:sz="4" w:space="0" w:color="auto"/>
              <w:left w:val="single" w:sz="4" w:space="0" w:color="auto"/>
              <w:bottom w:val="single" w:sz="4" w:space="0" w:color="auto"/>
              <w:right w:val="single" w:sz="4" w:space="0" w:color="auto"/>
            </w:tcBorders>
          </w:tcPr>
          <w:p w14:paraId="6917B317"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4D3E69D3"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18" w:type="dxa"/>
            <w:tcBorders>
              <w:top w:val="single" w:sz="4" w:space="0" w:color="auto"/>
              <w:left w:val="single" w:sz="4" w:space="0" w:color="auto"/>
              <w:bottom w:val="single" w:sz="4" w:space="0" w:color="auto"/>
              <w:right w:val="single" w:sz="4" w:space="0" w:color="auto"/>
            </w:tcBorders>
          </w:tcPr>
          <w:p w14:paraId="6E6E8FC7"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228EB41D"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1" w:type="dxa"/>
            <w:tcBorders>
              <w:top w:val="single" w:sz="4" w:space="0" w:color="auto"/>
              <w:left w:val="single" w:sz="4" w:space="0" w:color="auto"/>
              <w:bottom w:val="single" w:sz="4" w:space="0" w:color="auto"/>
              <w:right w:val="single" w:sz="4" w:space="0" w:color="auto"/>
            </w:tcBorders>
          </w:tcPr>
          <w:p w14:paraId="57A088E3"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r w:rsidR="003A4066" w:rsidRPr="003A4066" w14:paraId="3864FBFA" w14:textId="77777777" w:rsidTr="003A4066">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3A0D09EE"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14:ligatures w14:val="standardContextual"/>
              </w:rPr>
            </w:pPr>
          </w:p>
        </w:tc>
        <w:tc>
          <w:tcPr>
            <w:tcW w:w="5891" w:type="dxa"/>
            <w:tcBorders>
              <w:top w:val="single" w:sz="4" w:space="0" w:color="auto"/>
              <w:left w:val="single" w:sz="4" w:space="0" w:color="auto"/>
              <w:bottom w:val="single" w:sz="4" w:space="0" w:color="auto"/>
              <w:right w:val="single" w:sz="4" w:space="0" w:color="auto"/>
            </w:tcBorders>
          </w:tcPr>
          <w:p w14:paraId="2142C6FB"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28"/>
                <w:szCs w:val="28"/>
                <w:rtl/>
                <w14:ligatures w14:val="standardContextual"/>
              </w:rPr>
              <w:t>أشعر بالرضا عن الحوافز والمزايا المقدمة للعاملين</w:t>
            </w:r>
            <w:r w:rsidRPr="003A4066">
              <w:rPr>
                <w:rFonts w:ascii="Traditional Arabic" w:eastAsia="Simplified Arabic" w:hAnsi="Traditional Arabic" w:cs="Traditional Arabic"/>
                <w:b/>
                <w:bCs/>
                <w:kern w:val="2"/>
                <w:sz w:val="28"/>
                <w:szCs w:val="28"/>
                <w14:ligatures w14:val="standardContextual"/>
              </w:rPr>
              <w:t>.</w:t>
            </w:r>
          </w:p>
        </w:tc>
        <w:tc>
          <w:tcPr>
            <w:tcW w:w="794" w:type="dxa"/>
            <w:tcBorders>
              <w:top w:val="single" w:sz="4" w:space="0" w:color="auto"/>
              <w:left w:val="single" w:sz="4" w:space="0" w:color="auto"/>
              <w:bottom w:val="single" w:sz="4" w:space="0" w:color="auto"/>
              <w:right w:val="single" w:sz="4" w:space="0" w:color="auto"/>
            </w:tcBorders>
          </w:tcPr>
          <w:p w14:paraId="19D844A8"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18CEA0B9"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18" w:type="dxa"/>
            <w:tcBorders>
              <w:top w:val="single" w:sz="4" w:space="0" w:color="auto"/>
              <w:left w:val="single" w:sz="4" w:space="0" w:color="auto"/>
              <w:bottom w:val="single" w:sz="4" w:space="0" w:color="auto"/>
              <w:right w:val="single" w:sz="4" w:space="0" w:color="auto"/>
            </w:tcBorders>
          </w:tcPr>
          <w:p w14:paraId="49F89BD1"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617E8D1F"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1" w:type="dxa"/>
            <w:tcBorders>
              <w:top w:val="single" w:sz="4" w:space="0" w:color="auto"/>
              <w:left w:val="single" w:sz="4" w:space="0" w:color="auto"/>
              <w:bottom w:val="single" w:sz="4" w:space="0" w:color="auto"/>
              <w:right w:val="single" w:sz="4" w:space="0" w:color="auto"/>
            </w:tcBorders>
          </w:tcPr>
          <w:p w14:paraId="4EF8C331"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r w:rsidR="003A4066" w:rsidRPr="003A4066" w14:paraId="54A808E0" w14:textId="77777777" w:rsidTr="003A4066">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1523831C" w14:textId="77777777" w:rsidR="003A4066" w:rsidRPr="003A4066" w:rsidRDefault="003A4066" w:rsidP="003A4066">
            <w:pPr>
              <w:numPr>
                <w:ilvl w:val="0"/>
                <w:numId w:val="30"/>
              </w:numPr>
              <w:bidi/>
              <w:spacing w:after="0" w:line="240" w:lineRule="auto"/>
              <w:rPr>
                <w:rFonts w:ascii="Traditional Arabic" w:eastAsia="Simplified Arabic" w:hAnsi="Traditional Arabic" w:cs="Traditional Arabic"/>
                <w:b/>
                <w:bCs/>
                <w:kern w:val="2"/>
                <w:sz w:val="32"/>
                <w:szCs w:val="32"/>
                <w14:ligatures w14:val="standardContextual"/>
              </w:rPr>
            </w:pPr>
          </w:p>
        </w:tc>
        <w:tc>
          <w:tcPr>
            <w:tcW w:w="5891" w:type="dxa"/>
            <w:tcBorders>
              <w:top w:val="single" w:sz="4" w:space="0" w:color="auto"/>
              <w:left w:val="single" w:sz="4" w:space="0" w:color="auto"/>
              <w:bottom w:val="single" w:sz="4" w:space="0" w:color="auto"/>
              <w:right w:val="single" w:sz="4" w:space="0" w:color="auto"/>
            </w:tcBorders>
          </w:tcPr>
          <w:p w14:paraId="0E69821F"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28"/>
                <w:szCs w:val="28"/>
                <w:rtl/>
                <w14:ligatures w14:val="standardContextual"/>
              </w:rPr>
              <w:t>أشعر بالرضا عن فرص التقدم والتطوير الوظيفي</w:t>
            </w:r>
            <w:r w:rsidRPr="003A4066">
              <w:rPr>
                <w:rFonts w:ascii="Traditional Arabic" w:eastAsia="Simplified Arabic" w:hAnsi="Traditional Arabic" w:cs="Traditional Arabic"/>
                <w:b/>
                <w:bCs/>
                <w:kern w:val="2"/>
                <w:sz w:val="28"/>
                <w:szCs w:val="28"/>
                <w14:ligatures w14:val="standardContextual"/>
              </w:rPr>
              <w:t>.</w:t>
            </w:r>
          </w:p>
        </w:tc>
        <w:tc>
          <w:tcPr>
            <w:tcW w:w="794" w:type="dxa"/>
            <w:tcBorders>
              <w:top w:val="single" w:sz="4" w:space="0" w:color="auto"/>
              <w:left w:val="single" w:sz="4" w:space="0" w:color="auto"/>
              <w:bottom w:val="single" w:sz="4" w:space="0" w:color="auto"/>
              <w:right w:val="single" w:sz="4" w:space="0" w:color="auto"/>
            </w:tcBorders>
          </w:tcPr>
          <w:p w14:paraId="00B1948A"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379C2B3B"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18" w:type="dxa"/>
            <w:tcBorders>
              <w:top w:val="single" w:sz="4" w:space="0" w:color="auto"/>
              <w:left w:val="single" w:sz="4" w:space="0" w:color="auto"/>
              <w:bottom w:val="single" w:sz="4" w:space="0" w:color="auto"/>
              <w:right w:val="single" w:sz="4" w:space="0" w:color="auto"/>
            </w:tcBorders>
          </w:tcPr>
          <w:p w14:paraId="7D3339A4"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794" w:type="dxa"/>
            <w:tcBorders>
              <w:top w:val="single" w:sz="4" w:space="0" w:color="auto"/>
              <w:left w:val="single" w:sz="4" w:space="0" w:color="auto"/>
              <w:bottom w:val="single" w:sz="4" w:space="0" w:color="auto"/>
              <w:right w:val="single" w:sz="4" w:space="0" w:color="auto"/>
            </w:tcBorders>
          </w:tcPr>
          <w:p w14:paraId="313751A0"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c>
          <w:tcPr>
            <w:tcW w:w="831" w:type="dxa"/>
            <w:tcBorders>
              <w:top w:val="single" w:sz="4" w:space="0" w:color="auto"/>
              <w:left w:val="single" w:sz="4" w:space="0" w:color="auto"/>
              <w:bottom w:val="single" w:sz="4" w:space="0" w:color="auto"/>
              <w:right w:val="single" w:sz="4" w:space="0" w:color="auto"/>
            </w:tcBorders>
          </w:tcPr>
          <w:p w14:paraId="32432325"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p>
        </w:tc>
      </w:tr>
    </w:tbl>
    <w:p w14:paraId="733D52E4"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rtl/>
          <w14:ligatures w14:val="standardContextual"/>
        </w:rPr>
      </w:pPr>
    </w:p>
    <w:p w14:paraId="12A1E347" w14:textId="77777777" w:rsidR="003A4066" w:rsidRDefault="003A4066" w:rsidP="003A4066">
      <w:pPr>
        <w:bidi/>
        <w:spacing w:after="0" w:line="240" w:lineRule="auto"/>
        <w:rPr>
          <w:rFonts w:ascii="Traditional Arabic" w:eastAsia="Simplified Arabic" w:hAnsi="Traditional Arabic" w:cs="Traditional Arabic"/>
          <w:b/>
          <w:bCs/>
          <w:kern w:val="2"/>
          <w:sz w:val="32"/>
          <w:szCs w:val="32"/>
          <w:rtl/>
          <w14:ligatures w14:val="standardContextual"/>
        </w:rPr>
      </w:pPr>
    </w:p>
    <w:p w14:paraId="2EC28B21" w14:textId="77777777" w:rsidR="003A4066" w:rsidRDefault="003A4066" w:rsidP="003A4066">
      <w:pPr>
        <w:bidi/>
        <w:spacing w:after="0" w:line="240" w:lineRule="auto"/>
        <w:rPr>
          <w:rFonts w:ascii="Traditional Arabic" w:eastAsia="Simplified Arabic" w:hAnsi="Traditional Arabic" w:cs="Traditional Arabic"/>
          <w:b/>
          <w:bCs/>
          <w:kern w:val="2"/>
          <w:sz w:val="32"/>
          <w:szCs w:val="32"/>
          <w:rtl/>
          <w14:ligatures w14:val="standardContextual"/>
        </w:rPr>
      </w:pPr>
    </w:p>
    <w:p w14:paraId="78604BA7" w14:textId="77777777" w:rsidR="003A4066" w:rsidRDefault="003A4066" w:rsidP="003A4066">
      <w:pPr>
        <w:bidi/>
        <w:spacing w:after="0" w:line="240" w:lineRule="auto"/>
        <w:rPr>
          <w:rFonts w:ascii="Traditional Arabic" w:eastAsia="Simplified Arabic" w:hAnsi="Traditional Arabic" w:cs="Traditional Arabic"/>
          <w:b/>
          <w:bCs/>
          <w:kern w:val="2"/>
          <w:sz w:val="32"/>
          <w:szCs w:val="32"/>
          <w:rtl/>
          <w14:ligatures w14:val="standardContextual"/>
        </w:rPr>
      </w:pPr>
    </w:p>
    <w:p w14:paraId="21432E45"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rtl/>
          <w14:ligatures w14:val="standardContextual"/>
        </w:rPr>
      </w:pPr>
    </w:p>
    <w:p w14:paraId="6798C43A" w14:textId="77777777" w:rsidR="003A4066" w:rsidRPr="003A4066" w:rsidRDefault="003A4066" w:rsidP="003A4066">
      <w:pPr>
        <w:bidi/>
        <w:spacing w:after="0" w:line="240" w:lineRule="auto"/>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32"/>
          <w:szCs w:val="32"/>
          <w:rtl/>
          <w14:ligatures w14:val="standardContextual"/>
        </w:rPr>
        <w:t>الجزء الثالث: البيانات الشخصية والوظيفية</w:t>
      </w:r>
    </w:p>
    <w:p w14:paraId="6AACD011" w14:textId="77777777" w:rsidR="003A4066" w:rsidRPr="003A4066" w:rsidRDefault="003A4066" w:rsidP="003A4066">
      <w:pPr>
        <w:bidi/>
        <w:spacing w:after="0" w:line="240" w:lineRule="auto"/>
        <w:rPr>
          <w:rFonts w:ascii="Traditional Arabic" w:eastAsia="Simplified Arabic" w:hAnsi="Traditional Arabic" w:cs="Traditional Arabic"/>
          <w:kern w:val="2"/>
          <w:sz w:val="32"/>
          <w:szCs w:val="32"/>
          <w14:ligatures w14:val="standardContextual"/>
        </w:rPr>
      </w:pPr>
      <w:r w:rsidRPr="003A4066">
        <w:rPr>
          <w:rFonts w:ascii="Traditional Arabic" w:eastAsia="Simplified Arabic" w:hAnsi="Traditional Arabic" w:cs="Traditional Arabic"/>
          <w:kern w:val="2"/>
          <w:sz w:val="32"/>
          <w:szCs w:val="32"/>
          <w:rtl/>
          <w14:ligatures w14:val="standardContextual"/>
        </w:rPr>
        <w:t>يُرجى وضع إشارة (</w:t>
      </w:r>
      <w:r w:rsidRPr="003A4066">
        <w:rPr>
          <w:rFonts w:ascii="Traditional Arabic" w:eastAsia="Noto Sans Symbols" w:hAnsi="Traditional Arabic" w:cs="Traditional Arabic"/>
          <w:kern w:val="2"/>
          <w:sz w:val="32"/>
          <w:szCs w:val="32"/>
          <w14:ligatures w14:val="standardContextual"/>
        </w:rPr>
        <w:sym w:font="Wingdings 2" w:char="F050"/>
      </w:r>
      <w:r w:rsidRPr="003A4066">
        <w:rPr>
          <w:rFonts w:ascii="Traditional Arabic" w:eastAsia="Simplified Arabic" w:hAnsi="Traditional Arabic" w:cs="Traditional Arabic"/>
          <w:kern w:val="2"/>
          <w:sz w:val="32"/>
          <w:szCs w:val="32"/>
          <w:rtl/>
          <w14:ligatures w14:val="standardContextual"/>
        </w:rPr>
        <w:t>) داخل مربع الإجابة الذي يتوافق معك</w:t>
      </w:r>
    </w:p>
    <w:tbl>
      <w:tblPr>
        <w:tblStyle w:val="a7"/>
        <w:bidiVisual/>
        <w:tblW w:w="0" w:type="auto"/>
        <w:tblLook w:val="04A0" w:firstRow="1" w:lastRow="0" w:firstColumn="1" w:lastColumn="0" w:noHBand="0" w:noVBand="1"/>
      </w:tblPr>
      <w:tblGrid>
        <w:gridCol w:w="3422"/>
        <w:gridCol w:w="4874"/>
      </w:tblGrid>
      <w:tr w:rsidR="003A4066" w:rsidRPr="003A4066" w14:paraId="1A01BC97" w14:textId="77777777" w:rsidTr="003A4066">
        <w:tc>
          <w:tcPr>
            <w:tcW w:w="0" w:type="auto"/>
            <w:hideMark/>
          </w:tcPr>
          <w:p w14:paraId="02B704B4" w14:textId="77777777" w:rsidR="003A4066" w:rsidRPr="003A4066" w:rsidRDefault="003A4066" w:rsidP="003A4066">
            <w:pPr>
              <w:bidi/>
              <w:spacing w:after="0"/>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32"/>
                <w:szCs w:val="32"/>
                <w:rtl/>
                <w14:ligatures w14:val="standardContextual"/>
              </w:rPr>
              <w:t>المتغير</w:t>
            </w:r>
          </w:p>
        </w:tc>
        <w:tc>
          <w:tcPr>
            <w:tcW w:w="0" w:type="auto"/>
            <w:hideMark/>
          </w:tcPr>
          <w:p w14:paraId="423C2FC7" w14:textId="77777777" w:rsidR="003A4066" w:rsidRPr="003A4066" w:rsidRDefault="003A4066" w:rsidP="003A4066">
            <w:pPr>
              <w:bidi/>
              <w:spacing w:after="0"/>
              <w:rPr>
                <w:rFonts w:ascii="Traditional Arabic" w:eastAsia="Simplified Arabic" w:hAnsi="Traditional Arabic" w:cs="Traditional Arabic"/>
                <w:b/>
                <w:bCs/>
                <w:kern w:val="2"/>
                <w:sz w:val="32"/>
                <w:szCs w:val="32"/>
                <w14:ligatures w14:val="standardContextual"/>
              </w:rPr>
            </w:pPr>
            <w:r w:rsidRPr="003A4066">
              <w:rPr>
                <w:rFonts w:ascii="Traditional Arabic" w:eastAsia="Simplified Arabic" w:hAnsi="Traditional Arabic" w:cs="Traditional Arabic"/>
                <w:b/>
                <w:bCs/>
                <w:kern w:val="2"/>
                <w:sz w:val="32"/>
                <w:szCs w:val="32"/>
                <w:rtl/>
                <w14:ligatures w14:val="standardContextual"/>
              </w:rPr>
              <w:t>الفئات</w:t>
            </w:r>
          </w:p>
        </w:tc>
      </w:tr>
      <w:tr w:rsidR="003A4066" w:rsidRPr="003A4066" w14:paraId="24DCDCCE" w14:textId="77777777" w:rsidTr="003A4066">
        <w:tc>
          <w:tcPr>
            <w:tcW w:w="0" w:type="auto"/>
            <w:hideMark/>
          </w:tcPr>
          <w:p w14:paraId="4FACA86C" w14:textId="77777777" w:rsidR="003A4066" w:rsidRPr="003A4066" w:rsidRDefault="003A4066" w:rsidP="003A4066">
            <w:pPr>
              <w:bidi/>
              <w:spacing w:after="0"/>
              <w:rPr>
                <w:rFonts w:ascii="Traditional Arabic" w:eastAsia="Simplified Arabic" w:hAnsi="Traditional Arabic" w:cs="Traditional Arabic"/>
                <w:kern w:val="2"/>
                <w:sz w:val="32"/>
                <w:szCs w:val="32"/>
                <w14:ligatures w14:val="standardContextual"/>
              </w:rPr>
            </w:pPr>
            <w:r w:rsidRPr="003A4066">
              <w:rPr>
                <w:rFonts w:ascii="Traditional Arabic" w:eastAsia="Simplified Arabic" w:hAnsi="Traditional Arabic" w:cs="Traditional Arabic"/>
                <w:kern w:val="2"/>
                <w:sz w:val="32"/>
                <w:szCs w:val="32"/>
                <w:rtl/>
                <w14:ligatures w14:val="standardContextual"/>
              </w:rPr>
              <w:t>الجنس</w:t>
            </w:r>
          </w:p>
        </w:tc>
        <w:tc>
          <w:tcPr>
            <w:tcW w:w="0" w:type="auto"/>
            <w:hideMark/>
          </w:tcPr>
          <w:p w14:paraId="2DC62096" w14:textId="77777777" w:rsidR="003A4066" w:rsidRPr="003A4066" w:rsidRDefault="003A4066" w:rsidP="003A4066">
            <w:pPr>
              <w:bidi/>
              <w:spacing w:after="0"/>
              <w:rPr>
                <w:rFonts w:ascii="Traditional Arabic" w:eastAsia="Simplified Arabic" w:hAnsi="Traditional Arabic" w:cs="Traditional Arabic"/>
                <w:kern w:val="2"/>
                <w:sz w:val="32"/>
                <w:szCs w:val="32"/>
                <w14:ligatures w14:val="standardContextual"/>
              </w:rPr>
            </w:pPr>
            <w:r w:rsidRPr="003A4066">
              <w:rPr>
                <w:rFonts w:ascii="MS Gothic" w:eastAsia="MS Gothic" w:hAnsi="MS Gothic" w:cs="MS Gothic" w:hint="eastAsia"/>
                <w:kern w:val="2"/>
                <w:sz w:val="32"/>
                <w:szCs w:val="32"/>
                <w14:ligatures w14:val="standardContextual"/>
              </w:rPr>
              <w:t>☐</w:t>
            </w:r>
            <w:r w:rsidRPr="003A4066">
              <w:rPr>
                <w:rFonts w:ascii="Traditional Arabic" w:eastAsia="Simplified Arabic" w:hAnsi="Traditional Arabic" w:cs="Traditional Arabic"/>
                <w:kern w:val="2"/>
                <w:sz w:val="32"/>
                <w:szCs w:val="32"/>
                <w14:ligatures w14:val="standardContextual"/>
              </w:rPr>
              <w:t xml:space="preserve"> </w:t>
            </w:r>
            <w:r w:rsidRPr="003A4066">
              <w:rPr>
                <w:rFonts w:ascii="Traditional Arabic" w:eastAsia="Simplified Arabic" w:hAnsi="Traditional Arabic" w:cs="Traditional Arabic"/>
                <w:kern w:val="2"/>
                <w:sz w:val="32"/>
                <w:szCs w:val="32"/>
                <w:rtl/>
                <w14:ligatures w14:val="standardContextual"/>
              </w:rPr>
              <w:t xml:space="preserve">ذكر </w:t>
            </w:r>
            <w:r w:rsidRPr="003A4066">
              <w:rPr>
                <w:rFonts w:ascii="MS Gothic" w:eastAsia="MS Gothic" w:hAnsi="MS Gothic" w:cs="MS Gothic" w:hint="eastAsia"/>
                <w:kern w:val="2"/>
                <w:sz w:val="32"/>
                <w:szCs w:val="32"/>
                <w:rtl/>
                <w14:ligatures w14:val="standardContextual"/>
              </w:rPr>
              <w:t>☐</w:t>
            </w:r>
            <w:r w:rsidRPr="003A4066">
              <w:rPr>
                <w:rFonts w:ascii="Traditional Arabic" w:eastAsia="Simplified Arabic" w:hAnsi="Traditional Arabic" w:cs="Traditional Arabic"/>
                <w:kern w:val="2"/>
                <w:sz w:val="32"/>
                <w:szCs w:val="32"/>
                <w:rtl/>
                <w14:ligatures w14:val="standardContextual"/>
              </w:rPr>
              <w:t xml:space="preserve"> أنثى</w:t>
            </w:r>
          </w:p>
        </w:tc>
      </w:tr>
      <w:tr w:rsidR="003A4066" w:rsidRPr="003A4066" w14:paraId="7FD50997" w14:textId="77777777" w:rsidTr="003A4066">
        <w:tc>
          <w:tcPr>
            <w:tcW w:w="0" w:type="auto"/>
            <w:hideMark/>
          </w:tcPr>
          <w:p w14:paraId="480F9B29" w14:textId="77777777" w:rsidR="003A4066" w:rsidRPr="003A4066" w:rsidRDefault="003A4066" w:rsidP="003A4066">
            <w:pPr>
              <w:bidi/>
              <w:spacing w:after="0"/>
              <w:rPr>
                <w:rFonts w:ascii="Traditional Arabic" w:eastAsia="Simplified Arabic" w:hAnsi="Traditional Arabic" w:cs="Traditional Arabic"/>
                <w:kern w:val="2"/>
                <w:sz w:val="32"/>
                <w:szCs w:val="32"/>
                <w14:ligatures w14:val="standardContextual"/>
              </w:rPr>
            </w:pPr>
            <w:r w:rsidRPr="003A4066">
              <w:rPr>
                <w:rFonts w:ascii="Traditional Arabic" w:eastAsia="Simplified Arabic" w:hAnsi="Traditional Arabic" w:cs="Traditional Arabic"/>
                <w:kern w:val="2"/>
                <w:sz w:val="32"/>
                <w:szCs w:val="32"/>
                <w:rtl/>
                <w14:ligatures w14:val="standardContextual"/>
              </w:rPr>
              <w:t>العمر</w:t>
            </w:r>
          </w:p>
        </w:tc>
        <w:tc>
          <w:tcPr>
            <w:tcW w:w="0" w:type="auto"/>
            <w:hideMark/>
          </w:tcPr>
          <w:p w14:paraId="19C042F2" w14:textId="77777777" w:rsidR="003A4066" w:rsidRPr="003A4066" w:rsidRDefault="003A4066" w:rsidP="003A4066">
            <w:pPr>
              <w:bidi/>
              <w:spacing w:after="0"/>
              <w:rPr>
                <w:rFonts w:ascii="Traditional Arabic" w:eastAsia="Simplified Arabic" w:hAnsi="Traditional Arabic" w:cs="Traditional Arabic"/>
                <w:kern w:val="2"/>
                <w:sz w:val="32"/>
                <w:szCs w:val="32"/>
                <w14:ligatures w14:val="standardContextual"/>
              </w:rPr>
            </w:pPr>
            <w:r w:rsidRPr="003A4066">
              <w:rPr>
                <w:rFonts w:ascii="MS Gothic" w:eastAsia="MS Gothic" w:hAnsi="MS Gothic" w:cs="MS Gothic" w:hint="eastAsia"/>
                <w:kern w:val="2"/>
                <w:sz w:val="32"/>
                <w:szCs w:val="32"/>
                <w14:ligatures w14:val="standardContextual"/>
              </w:rPr>
              <w:t>☐</w:t>
            </w:r>
            <w:r w:rsidRPr="003A4066">
              <w:rPr>
                <w:rFonts w:ascii="Traditional Arabic" w:eastAsia="Simplified Arabic" w:hAnsi="Traditional Arabic" w:cs="Traditional Arabic"/>
                <w:kern w:val="2"/>
                <w:sz w:val="32"/>
                <w:szCs w:val="32"/>
                <w14:ligatures w14:val="standardContextual"/>
              </w:rPr>
              <w:t xml:space="preserve"> </w:t>
            </w:r>
            <w:r w:rsidRPr="003A4066">
              <w:rPr>
                <w:rFonts w:ascii="Traditional Arabic" w:eastAsia="Simplified Arabic" w:hAnsi="Traditional Arabic" w:cs="Traditional Arabic"/>
                <w:kern w:val="2"/>
                <w:sz w:val="32"/>
                <w:szCs w:val="32"/>
                <w:rtl/>
                <w14:ligatures w14:val="standardContextual"/>
              </w:rPr>
              <w:t xml:space="preserve">أقل من 30 سنة </w:t>
            </w:r>
            <w:r w:rsidRPr="003A4066">
              <w:rPr>
                <w:rFonts w:ascii="MS Gothic" w:eastAsia="MS Gothic" w:hAnsi="MS Gothic" w:cs="MS Gothic" w:hint="eastAsia"/>
                <w:kern w:val="2"/>
                <w:sz w:val="32"/>
                <w:szCs w:val="32"/>
                <w:rtl/>
                <w14:ligatures w14:val="standardContextual"/>
              </w:rPr>
              <w:t>☐</w:t>
            </w:r>
            <w:r w:rsidRPr="003A4066">
              <w:rPr>
                <w:rFonts w:ascii="Traditional Arabic" w:eastAsia="Simplified Arabic" w:hAnsi="Traditional Arabic" w:cs="Traditional Arabic"/>
                <w:kern w:val="2"/>
                <w:sz w:val="32"/>
                <w:szCs w:val="32"/>
                <w:rtl/>
                <w14:ligatures w14:val="standardContextual"/>
              </w:rPr>
              <w:t xml:space="preserve"> 30–أقل من 40 سنة </w:t>
            </w:r>
            <w:r w:rsidRPr="003A4066">
              <w:rPr>
                <w:rFonts w:ascii="MS Gothic" w:eastAsia="MS Gothic" w:hAnsi="MS Gothic" w:cs="MS Gothic" w:hint="eastAsia"/>
                <w:kern w:val="2"/>
                <w:sz w:val="32"/>
                <w:szCs w:val="32"/>
                <w:rtl/>
                <w14:ligatures w14:val="standardContextual"/>
              </w:rPr>
              <w:t>☐</w:t>
            </w:r>
            <w:r w:rsidRPr="003A4066">
              <w:rPr>
                <w:rFonts w:ascii="Traditional Arabic" w:eastAsia="Simplified Arabic" w:hAnsi="Traditional Arabic" w:cs="Traditional Arabic"/>
                <w:kern w:val="2"/>
                <w:sz w:val="32"/>
                <w:szCs w:val="32"/>
                <w:rtl/>
                <w14:ligatures w14:val="standardContextual"/>
              </w:rPr>
              <w:t xml:space="preserve"> 40–أقل من 50 سنة </w:t>
            </w:r>
            <w:r w:rsidRPr="003A4066">
              <w:rPr>
                <w:rFonts w:ascii="MS Gothic" w:eastAsia="MS Gothic" w:hAnsi="MS Gothic" w:cs="MS Gothic" w:hint="eastAsia"/>
                <w:kern w:val="2"/>
                <w:sz w:val="32"/>
                <w:szCs w:val="32"/>
                <w:rtl/>
                <w14:ligatures w14:val="standardContextual"/>
              </w:rPr>
              <w:t>☐</w:t>
            </w:r>
            <w:r w:rsidRPr="003A4066">
              <w:rPr>
                <w:rFonts w:ascii="Traditional Arabic" w:eastAsia="Simplified Arabic" w:hAnsi="Traditional Arabic" w:cs="Traditional Arabic"/>
                <w:kern w:val="2"/>
                <w:sz w:val="32"/>
                <w:szCs w:val="32"/>
                <w:rtl/>
                <w14:ligatures w14:val="standardContextual"/>
              </w:rPr>
              <w:t xml:space="preserve"> 50 سنة فأكثر</w:t>
            </w:r>
          </w:p>
        </w:tc>
      </w:tr>
      <w:tr w:rsidR="003A4066" w:rsidRPr="003A4066" w14:paraId="00A423EC" w14:textId="77777777" w:rsidTr="003A4066">
        <w:tc>
          <w:tcPr>
            <w:tcW w:w="0" w:type="auto"/>
            <w:hideMark/>
          </w:tcPr>
          <w:p w14:paraId="2ADDD13B" w14:textId="77777777" w:rsidR="003A4066" w:rsidRPr="003A4066" w:rsidRDefault="003A4066" w:rsidP="003A4066">
            <w:pPr>
              <w:bidi/>
              <w:spacing w:after="0"/>
              <w:rPr>
                <w:rFonts w:ascii="Traditional Arabic" w:eastAsia="Simplified Arabic" w:hAnsi="Traditional Arabic" w:cs="Traditional Arabic"/>
                <w:kern w:val="2"/>
                <w:sz w:val="32"/>
                <w:szCs w:val="32"/>
                <w14:ligatures w14:val="standardContextual"/>
              </w:rPr>
            </w:pPr>
            <w:r w:rsidRPr="003A4066">
              <w:rPr>
                <w:rFonts w:ascii="Traditional Arabic" w:eastAsia="Simplified Arabic" w:hAnsi="Traditional Arabic" w:cs="Traditional Arabic"/>
                <w:kern w:val="2"/>
                <w:sz w:val="32"/>
                <w:szCs w:val="32"/>
                <w:rtl/>
                <w14:ligatures w14:val="standardContextual"/>
              </w:rPr>
              <w:t>المؤهل العلمي</w:t>
            </w:r>
          </w:p>
        </w:tc>
        <w:tc>
          <w:tcPr>
            <w:tcW w:w="0" w:type="auto"/>
            <w:hideMark/>
          </w:tcPr>
          <w:p w14:paraId="1AB08327" w14:textId="77777777" w:rsidR="003A4066" w:rsidRPr="003A4066" w:rsidRDefault="003A4066" w:rsidP="003A4066">
            <w:pPr>
              <w:bidi/>
              <w:spacing w:after="0"/>
              <w:rPr>
                <w:rFonts w:ascii="Traditional Arabic" w:eastAsia="Simplified Arabic" w:hAnsi="Traditional Arabic" w:cs="Traditional Arabic"/>
                <w:kern w:val="2"/>
                <w:sz w:val="32"/>
                <w:szCs w:val="32"/>
                <w14:ligatures w14:val="standardContextual"/>
              </w:rPr>
            </w:pPr>
            <w:r w:rsidRPr="003A4066">
              <w:rPr>
                <w:rFonts w:ascii="MS Gothic" w:eastAsia="MS Gothic" w:hAnsi="MS Gothic" w:cs="MS Gothic" w:hint="eastAsia"/>
                <w:kern w:val="2"/>
                <w:sz w:val="32"/>
                <w:szCs w:val="32"/>
                <w14:ligatures w14:val="standardContextual"/>
              </w:rPr>
              <w:t>☐</w:t>
            </w:r>
            <w:r w:rsidRPr="003A4066">
              <w:rPr>
                <w:rFonts w:ascii="Traditional Arabic" w:eastAsia="Simplified Arabic" w:hAnsi="Traditional Arabic" w:cs="Traditional Arabic"/>
                <w:kern w:val="2"/>
                <w:sz w:val="32"/>
                <w:szCs w:val="32"/>
                <w14:ligatures w14:val="standardContextual"/>
              </w:rPr>
              <w:t xml:space="preserve"> </w:t>
            </w:r>
            <w:r w:rsidRPr="003A4066">
              <w:rPr>
                <w:rFonts w:ascii="Traditional Arabic" w:eastAsia="Simplified Arabic" w:hAnsi="Traditional Arabic" w:cs="Traditional Arabic"/>
                <w:kern w:val="2"/>
                <w:sz w:val="32"/>
                <w:szCs w:val="32"/>
                <w:rtl/>
                <w14:ligatures w14:val="standardContextual"/>
              </w:rPr>
              <w:t xml:space="preserve">الثانوية العامة أو أقل </w:t>
            </w:r>
            <w:r w:rsidRPr="003A4066">
              <w:rPr>
                <w:rFonts w:ascii="MS Gothic" w:eastAsia="MS Gothic" w:hAnsi="MS Gothic" w:cs="MS Gothic" w:hint="eastAsia"/>
                <w:kern w:val="2"/>
                <w:sz w:val="32"/>
                <w:szCs w:val="32"/>
                <w:rtl/>
                <w14:ligatures w14:val="standardContextual"/>
              </w:rPr>
              <w:t>☐</w:t>
            </w:r>
            <w:r w:rsidRPr="003A4066">
              <w:rPr>
                <w:rFonts w:ascii="Traditional Arabic" w:eastAsia="Simplified Arabic" w:hAnsi="Traditional Arabic" w:cs="Traditional Arabic"/>
                <w:kern w:val="2"/>
                <w:sz w:val="32"/>
                <w:szCs w:val="32"/>
                <w:rtl/>
                <w14:ligatures w14:val="standardContextual"/>
              </w:rPr>
              <w:t xml:space="preserve"> دبلوم </w:t>
            </w:r>
            <w:r w:rsidRPr="003A4066">
              <w:rPr>
                <w:rFonts w:ascii="MS Gothic" w:eastAsia="MS Gothic" w:hAnsi="MS Gothic" w:cs="MS Gothic" w:hint="eastAsia"/>
                <w:kern w:val="2"/>
                <w:sz w:val="32"/>
                <w:szCs w:val="32"/>
                <w:rtl/>
                <w14:ligatures w14:val="standardContextual"/>
              </w:rPr>
              <w:t>☐</w:t>
            </w:r>
            <w:r w:rsidRPr="003A4066">
              <w:rPr>
                <w:rFonts w:ascii="Traditional Arabic" w:eastAsia="Simplified Arabic" w:hAnsi="Traditional Arabic" w:cs="Traditional Arabic"/>
                <w:kern w:val="2"/>
                <w:sz w:val="32"/>
                <w:szCs w:val="32"/>
                <w:rtl/>
                <w14:ligatures w14:val="standardContextual"/>
              </w:rPr>
              <w:t xml:space="preserve"> بكالوريوس </w:t>
            </w:r>
            <w:r w:rsidRPr="003A4066">
              <w:rPr>
                <w:rFonts w:ascii="MS Gothic" w:eastAsia="MS Gothic" w:hAnsi="MS Gothic" w:cs="MS Gothic" w:hint="eastAsia"/>
                <w:kern w:val="2"/>
                <w:sz w:val="32"/>
                <w:szCs w:val="32"/>
                <w:rtl/>
                <w14:ligatures w14:val="standardContextual"/>
              </w:rPr>
              <w:t>☐</w:t>
            </w:r>
            <w:r w:rsidRPr="003A4066">
              <w:rPr>
                <w:rFonts w:ascii="Traditional Arabic" w:eastAsia="Simplified Arabic" w:hAnsi="Traditional Arabic" w:cs="Traditional Arabic"/>
                <w:kern w:val="2"/>
                <w:sz w:val="32"/>
                <w:szCs w:val="32"/>
                <w:rtl/>
                <w14:ligatures w14:val="standardContextual"/>
              </w:rPr>
              <w:t xml:space="preserve"> دراسات عليا</w:t>
            </w:r>
          </w:p>
        </w:tc>
      </w:tr>
      <w:tr w:rsidR="003A4066" w:rsidRPr="003A4066" w14:paraId="16832FC6" w14:textId="77777777" w:rsidTr="003A4066">
        <w:tc>
          <w:tcPr>
            <w:tcW w:w="0" w:type="auto"/>
            <w:hideMark/>
          </w:tcPr>
          <w:p w14:paraId="3402C36A" w14:textId="77777777" w:rsidR="003A4066" w:rsidRPr="003A4066" w:rsidRDefault="003A4066" w:rsidP="003A4066">
            <w:pPr>
              <w:bidi/>
              <w:spacing w:after="0"/>
              <w:rPr>
                <w:rFonts w:ascii="Traditional Arabic" w:eastAsia="Simplified Arabic" w:hAnsi="Traditional Arabic" w:cs="Traditional Arabic"/>
                <w:kern w:val="2"/>
                <w:sz w:val="32"/>
                <w:szCs w:val="32"/>
                <w14:ligatures w14:val="standardContextual"/>
              </w:rPr>
            </w:pPr>
            <w:r w:rsidRPr="003A4066">
              <w:rPr>
                <w:rFonts w:ascii="Traditional Arabic" w:eastAsia="Simplified Arabic" w:hAnsi="Traditional Arabic" w:cs="Traditional Arabic"/>
                <w:kern w:val="2"/>
                <w:sz w:val="32"/>
                <w:szCs w:val="32"/>
                <w:rtl/>
                <w14:ligatures w14:val="standardContextual"/>
              </w:rPr>
              <w:t>سنوات الخبرة الوظيفية</w:t>
            </w:r>
          </w:p>
        </w:tc>
        <w:tc>
          <w:tcPr>
            <w:tcW w:w="0" w:type="auto"/>
            <w:hideMark/>
          </w:tcPr>
          <w:p w14:paraId="690F9991" w14:textId="77777777" w:rsidR="003A4066" w:rsidRPr="003A4066" w:rsidRDefault="003A4066" w:rsidP="003A4066">
            <w:pPr>
              <w:bidi/>
              <w:spacing w:after="0"/>
              <w:rPr>
                <w:rFonts w:ascii="Traditional Arabic" w:eastAsia="Simplified Arabic" w:hAnsi="Traditional Arabic" w:cs="Traditional Arabic"/>
                <w:kern w:val="2"/>
                <w:sz w:val="32"/>
                <w:szCs w:val="32"/>
                <w14:ligatures w14:val="standardContextual"/>
              </w:rPr>
            </w:pPr>
            <w:r w:rsidRPr="003A4066">
              <w:rPr>
                <w:rFonts w:ascii="MS Gothic" w:eastAsia="MS Gothic" w:hAnsi="MS Gothic" w:cs="MS Gothic" w:hint="eastAsia"/>
                <w:kern w:val="2"/>
                <w:sz w:val="32"/>
                <w:szCs w:val="32"/>
                <w14:ligatures w14:val="standardContextual"/>
              </w:rPr>
              <w:t>☐</w:t>
            </w:r>
            <w:r w:rsidRPr="003A4066">
              <w:rPr>
                <w:rFonts w:ascii="Traditional Arabic" w:eastAsia="Simplified Arabic" w:hAnsi="Traditional Arabic" w:cs="Traditional Arabic"/>
                <w:kern w:val="2"/>
                <w:sz w:val="32"/>
                <w:szCs w:val="32"/>
                <w14:ligatures w14:val="standardContextual"/>
              </w:rPr>
              <w:t xml:space="preserve"> </w:t>
            </w:r>
            <w:r w:rsidRPr="003A4066">
              <w:rPr>
                <w:rFonts w:ascii="Traditional Arabic" w:eastAsia="Simplified Arabic" w:hAnsi="Traditional Arabic" w:cs="Traditional Arabic"/>
                <w:kern w:val="2"/>
                <w:sz w:val="32"/>
                <w:szCs w:val="32"/>
                <w:rtl/>
                <w14:ligatures w14:val="standardContextual"/>
              </w:rPr>
              <w:t xml:space="preserve">أقل من 5 سنوات </w:t>
            </w:r>
            <w:r w:rsidRPr="003A4066">
              <w:rPr>
                <w:rFonts w:ascii="MS Gothic" w:eastAsia="MS Gothic" w:hAnsi="MS Gothic" w:cs="MS Gothic" w:hint="eastAsia"/>
                <w:kern w:val="2"/>
                <w:sz w:val="32"/>
                <w:szCs w:val="32"/>
                <w:rtl/>
                <w14:ligatures w14:val="standardContextual"/>
              </w:rPr>
              <w:t>☐</w:t>
            </w:r>
            <w:r w:rsidRPr="003A4066">
              <w:rPr>
                <w:rFonts w:ascii="Traditional Arabic" w:eastAsia="Simplified Arabic" w:hAnsi="Traditional Arabic" w:cs="Traditional Arabic"/>
                <w:kern w:val="2"/>
                <w:sz w:val="32"/>
                <w:szCs w:val="32"/>
                <w:rtl/>
                <w14:ligatures w14:val="standardContextual"/>
              </w:rPr>
              <w:t xml:space="preserve"> 5–أقل من 10 سنوات </w:t>
            </w:r>
            <w:r w:rsidRPr="003A4066">
              <w:rPr>
                <w:rFonts w:ascii="MS Gothic" w:eastAsia="MS Gothic" w:hAnsi="MS Gothic" w:cs="MS Gothic" w:hint="eastAsia"/>
                <w:kern w:val="2"/>
                <w:sz w:val="32"/>
                <w:szCs w:val="32"/>
                <w:rtl/>
                <w14:ligatures w14:val="standardContextual"/>
              </w:rPr>
              <w:t>☐</w:t>
            </w:r>
            <w:r w:rsidRPr="003A4066">
              <w:rPr>
                <w:rFonts w:ascii="Traditional Arabic" w:eastAsia="Simplified Arabic" w:hAnsi="Traditional Arabic" w:cs="Traditional Arabic"/>
                <w:kern w:val="2"/>
                <w:sz w:val="32"/>
                <w:szCs w:val="32"/>
                <w:rtl/>
                <w14:ligatures w14:val="standardContextual"/>
              </w:rPr>
              <w:t xml:space="preserve"> 10–أقل من 15 سنة </w:t>
            </w:r>
            <w:r w:rsidRPr="003A4066">
              <w:rPr>
                <w:rFonts w:ascii="MS Gothic" w:eastAsia="MS Gothic" w:hAnsi="MS Gothic" w:cs="MS Gothic" w:hint="eastAsia"/>
                <w:kern w:val="2"/>
                <w:sz w:val="32"/>
                <w:szCs w:val="32"/>
                <w:rtl/>
                <w14:ligatures w14:val="standardContextual"/>
              </w:rPr>
              <w:t>☐</w:t>
            </w:r>
            <w:r w:rsidRPr="003A4066">
              <w:rPr>
                <w:rFonts w:ascii="Traditional Arabic" w:eastAsia="Simplified Arabic" w:hAnsi="Traditional Arabic" w:cs="Traditional Arabic"/>
                <w:kern w:val="2"/>
                <w:sz w:val="32"/>
                <w:szCs w:val="32"/>
                <w:rtl/>
                <w14:ligatures w14:val="standardContextual"/>
              </w:rPr>
              <w:t xml:space="preserve"> 15 سنة فأكثر</w:t>
            </w:r>
          </w:p>
        </w:tc>
      </w:tr>
      <w:tr w:rsidR="003A4066" w:rsidRPr="003A4066" w14:paraId="317F890E" w14:textId="77777777" w:rsidTr="003A4066">
        <w:tc>
          <w:tcPr>
            <w:tcW w:w="0" w:type="auto"/>
            <w:hideMark/>
          </w:tcPr>
          <w:p w14:paraId="41CC83DD" w14:textId="77777777" w:rsidR="003A4066" w:rsidRPr="003A4066" w:rsidRDefault="003A4066" w:rsidP="003A4066">
            <w:pPr>
              <w:bidi/>
              <w:spacing w:after="0"/>
              <w:rPr>
                <w:rFonts w:ascii="Traditional Arabic" w:eastAsia="Simplified Arabic" w:hAnsi="Traditional Arabic" w:cs="Traditional Arabic"/>
                <w:kern w:val="2"/>
                <w:sz w:val="32"/>
                <w:szCs w:val="32"/>
                <w14:ligatures w14:val="standardContextual"/>
              </w:rPr>
            </w:pPr>
            <w:r w:rsidRPr="003A4066">
              <w:rPr>
                <w:rFonts w:ascii="Traditional Arabic" w:eastAsia="Simplified Arabic" w:hAnsi="Traditional Arabic" w:cs="Traditional Arabic"/>
                <w:kern w:val="2"/>
                <w:sz w:val="32"/>
                <w:szCs w:val="32"/>
                <w:rtl/>
                <w14:ligatures w14:val="standardContextual"/>
              </w:rPr>
              <w:t>المسمى الوظيفي</w:t>
            </w:r>
          </w:p>
        </w:tc>
        <w:tc>
          <w:tcPr>
            <w:tcW w:w="0" w:type="auto"/>
            <w:hideMark/>
          </w:tcPr>
          <w:p w14:paraId="37663691" w14:textId="77777777" w:rsidR="00D73409" w:rsidRPr="00D73409" w:rsidRDefault="00D73409" w:rsidP="00D73409">
            <w:pPr>
              <w:bidi/>
              <w:spacing w:after="0"/>
              <w:rPr>
                <w:rFonts w:asciiTheme="majorBidi" w:eastAsia="MS Gothic" w:hAnsiTheme="majorBidi" w:cstheme="majorBidi"/>
                <w:kern w:val="2"/>
                <w:sz w:val="24"/>
                <w:szCs w:val="24"/>
                <w:rtl/>
                <w14:ligatures w14:val="standardContextual"/>
              </w:rPr>
            </w:pPr>
            <w:r w:rsidRPr="00D73409">
              <w:rPr>
                <w:rFonts w:ascii="Segoe UI Symbol" w:eastAsia="MS Gothic" w:hAnsi="Segoe UI Symbol" w:cs="Segoe UI Symbol"/>
                <w:kern w:val="2"/>
                <w:sz w:val="24"/>
                <w:szCs w:val="24"/>
                <w14:ligatures w14:val="standardContextual"/>
              </w:rPr>
              <w:t>☐</w:t>
            </w:r>
            <w:r w:rsidRPr="00D73409">
              <w:rPr>
                <w:rFonts w:asciiTheme="majorBidi" w:eastAsia="MS Gothic" w:hAnsiTheme="majorBidi" w:cstheme="majorBidi"/>
                <w:kern w:val="2"/>
                <w:sz w:val="24"/>
                <w:szCs w:val="24"/>
                <w14:ligatures w14:val="standardContextual"/>
              </w:rPr>
              <w:t xml:space="preserve"> </w:t>
            </w:r>
            <w:r w:rsidRPr="00D73409">
              <w:rPr>
                <w:rFonts w:asciiTheme="majorBidi" w:eastAsia="MS Gothic" w:hAnsiTheme="majorBidi" w:cstheme="majorBidi"/>
                <w:kern w:val="2"/>
                <w:sz w:val="24"/>
                <w:szCs w:val="24"/>
                <w:rtl/>
                <w14:ligatures w14:val="standardContextual"/>
              </w:rPr>
              <w:t>قاضٍ</w:t>
            </w:r>
          </w:p>
          <w:p w14:paraId="6748356F" w14:textId="77777777" w:rsidR="00D73409" w:rsidRPr="00D73409" w:rsidRDefault="00D73409" w:rsidP="00D73409">
            <w:pPr>
              <w:bidi/>
              <w:spacing w:after="0"/>
              <w:rPr>
                <w:rFonts w:asciiTheme="majorBidi" w:eastAsia="MS Gothic" w:hAnsiTheme="majorBidi" w:cstheme="majorBidi"/>
                <w:kern w:val="2"/>
                <w:sz w:val="24"/>
                <w:szCs w:val="24"/>
                <w:rtl/>
                <w14:ligatures w14:val="standardContextual"/>
              </w:rPr>
            </w:pPr>
            <w:r w:rsidRPr="00D73409">
              <w:rPr>
                <w:rFonts w:ascii="Segoe UI Symbol" w:eastAsia="MS Gothic" w:hAnsi="Segoe UI Symbol" w:cs="Segoe UI Symbol"/>
                <w:kern w:val="2"/>
                <w:sz w:val="24"/>
                <w:szCs w:val="24"/>
                <w14:ligatures w14:val="standardContextual"/>
              </w:rPr>
              <w:t>☐</w:t>
            </w:r>
            <w:r w:rsidRPr="00D73409">
              <w:rPr>
                <w:rFonts w:asciiTheme="majorBidi" w:eastAsia="MS Gothic" w:hAnsiTheme="majorBidi" w:cstheme="majorBidi"/>
                <w:kern w:val="2"/>
                <w:sz w:val="24"/>
                <w:szCs w:val="24"/>
                <w14:ligatures w14:val="standardContextual"/>
              </w:rPr>
              <w:t xml:space="preserve"> </w:t>
            </w:r>
            <w:r w:rsidRPr="00D73409">
              <w:rPr>
                <w:rFonts w:asciiTheme="majorBidi" w:eastAsia="MS Gothic" w:hAnsiTheme="majorBidi" w:cstheme="majorBidi"/>
                <w:kern w:val="2"/>
                <w:sz w:val="24"/>
                <w:szCs w:val="24"/>
                <w:rtl/>
                <w14:ligatures w14:val="standardContextual"/>
              </w:rPr>
              <w:t>باحث شرعي</w:t>
            </w:r>
          </w:p>
          <w:p w14:paraId="5836DE95" w14:textId="77777777" w:rsidR="00D73409" w:rsidRPr="00D73409" w:rsidRDefault="00D73409" w:rsidP="00D73409">
            <w:pPr>
              <w:bidi/>
              <w:spacing w:after="0"/>
              <w:rPr>
                <w:rFonts w:asciiTheme="majorBidi" w:eastAsia="MS Gothic" w:hAnsiTheme="majorBidi" w:cstheme="majorBidi"/>
                <w:kern w:val="2"/>
                <w:sz w:val="24"/>
                <w:szCs w:val="24"/>
                <w:rtl/>
                <w14:ligatures w14:val="standardContextual"/>
              </w:rPr>
            </w:pPr>
            <w:r w:rsidRPr="00D73409">
              <w:rPr>
                <w:rFonts w:ascii="Segoe UI Symbol" w:eastAsia="MS Gothic" w:hAnsi="Segoe UI Symbol" w:cs="Segoe UI Symbol"/>
                <w:kern w:val="2"/>
                <w:sz w:val="24"/>
                <w:szCs w:val="24"/>
                <w14:ligatures w14:val="standardContextual"/>
              </w:rPr>
              <w:t>☐</w:t>
            </w:r>
            <w:r w:rsidRPr="00D73409">
              <w:rPr>
                <w:rFonts w:asciiTheme="majorBidi" w:eastAsia="MS Gothic" w:hAnsiTheme="majorBidi" w:cstheme="majorBidi"/>
                <w:kern w:val="2"/>
                <w:sz w:val="24"/>
                <w:szCs w:val="24"/>
                <w14:ligatures w14:val="standardContextual"/>
              </w:rPr>
              <w:t xml:space="preserve"> </w:t>
            </w:r>
            <w:r w:rsidRPr="00D73409">
              <w:rPr>
                <w:rFonts w:asciiTheme="majorBidi" w:eastAsia="MS Gothic" w:hAnsiTheme="majorBidi" w:cstheme="majorBidi"/>
                <w:kern w:val="2"/>
                <w:sz w:val="24"/>
                <w:szCs w:val="24"/>
                <w:rtl/>
                <w14:ligatures w14:val="standardContextual"/>
              </w:rPr>
              <w:t>كاتب ضبط</w:t>
            </w:r>
          </w:p>
          <w:p w14:paraId="4C05CC40" w14:textId="77777777" w:rsidR="00D73409" w:rsidRPr="00D73409" w:rsidRDefault="00D73409" w:rsidP="00D73409">
            <w:pPr>
              <w:bidi/>
              <w:spacing w:after="0"/>
              <w:rPr>
                <w:rFonts w:asciiTheme="majorBidi" w:eastAsia="MS Gothic" w:hAnsiTheme="majorBidi" w:cstheme="majorBidi"/>
                <w:kern w:val="2"/>
                <w:sz w:val="24"/>
                <w:szCs w:val="24"/>
                <w:rtl/>
                <w14:ligatures w14:val="standardContextual"/>
              </w:rPr>
            </w:pPr>
            <w:r w:rsidRPr="00D73409">
              <w:rPr>
                <w:rFonts w:ascii="Segoe UI Symbol" w:eastAsia="MS Gothic" w:hAnsi="Segoe UI Symbol" w:cs="Segoe UI Symbol"/>
                <w:kern w:val="2"/>
                <w:sz w:val="24"/>
                <w:szCs w:val="24"/>
                <w14:ligatures w14:val="standardContextual"/>
              </w:rPr>
              <w:t>☐</w:t>
            </w:r>
            <w:r w:rsidRPr="00D73409">
              <w:rPr>
                <w:rFonts w:asciiTheme="majorBidi" w:eastAsia="MS Gothic" w:hAnsiTheme="majorBidi" w:cstheme="majorBidi"/>
                <w:kern w:val="2"/>
                <w:sz w:val="24"/>
                <w:szCs w:val="24"/>
                <w14:ligatures w14:val="standardContextual"/>
              </w:rPr>
              <w:t xml:space="preserve"> </w:t>
            </w:r>
            <w:r w:rsidRPr="00D73409">
              <w:rPr>
                <w:rFonts w:asciiTheme="majorBidi" w:eastAsia="MS Gothic" w:hAnsiTheme="majorBidi" w:cstheme="majorBidi"/>
                <w:kern w:val="2"/>
                <w:sz w:val="24"/>
                <w:szCs w:val="24"/>
                <w:rtl/>
                <w14:ligatures w14:val="standardContextual"/>
              </w:rPr>
              <w:t>موظف إداري</w:t>
            </w:r>
          </w:p>
          <w:p w14:paraId="15799017" w14:textId="77777777" w:rsidR="00D73409" w:rsidRPr="00D73409" w:rsidRDefault="00D73409" w:rsidP="00D73409">
            <w:pPr>
              <w:bidi/>
              <w:spacing w:after="0"/>
              <w:rPr>
                <w:rFonts w:asciiTheme="majorBidi" w:eastAsia="MS Gothic" w:hAnsiTheme="majorBidi" w:cstheme="majorBidi"/>
                <w:kern w:val="2"/>
                <w:sz w:val="24"/>
                <w:szCs w:val="24"/>
                <w:rtl/>
                <w14:ligatures w14:val="standardContextual"/>
              </w:rPr>
            </w:pPr>
            <w:r w:rsidRPr="00D73409">
              <w:rPr>
                <w:rFonts w:ascii="Segoe UI Symbol" w:eastAsia="MS Gothic" w:hAnsi="Segoe UI Symbol" w:cs="Segoe UI Symbol"/>
                <w:kern w:val="2"/>
                <w:sz w:val="24"/>
                <w:szCs w:val="24"/>
                <w14:ligatures w14:val="standardContextual"/>
              </w:rPr>
              <w:t>☐</w:t>
            </w:r>
            <w:r w:rsidRPr="00D73409">
              <w:rPr>
                <w:rFonts w:asciiTheme="majorBidi" w:eastAsia="MS Gothic" w:hAnsiTheme="majorBidi" w:cstheme="majorBidi"/>
                <w:kern w:val="2"/>
                <w:sz w:val="24"/>
                <w:szCs w:val="24"/>
                <w14:ligatures w14:val="standardContextual"/>
              </w:rPr>
              <w:t xml:space="preserve"> </w:t>
            </w:r>
            <w:r w:rsidRPr="00D73409">
              <w:rPr>
                <w:rFonts w:asciiTheme="majorBidi" w:eastAsia="MS Gothic" w:hAnsiTheme="majorBidi" w:cstheme="majorBidi"/>
                <w:kern w:val="2"/>
                <w:sz w:val="24"/>
                <w:szCs w:val="24"/>
                <w:rtl/>
                <w14:ligatures w14:val="standardContextual"/>
              </w:rPr>
              <w:t>موظف خدمات مساندة</w:t>
            </w:r>
          </w:p>
          <w:p w14:paraId="5DEB9352" w14:textId="739977DA" w:rsidR="00D73409" w:rsidRPr="003A4066" w:rsidRDefault="00D73409" w:rsidP="00D73409">
            <w:pPr>
              <w:bidi/>
              <w:spacing w:after="0"/>
              <w:rPr>
                <w:rFonts w:ascii="Traditional Arabic" w:eastAsia="Simplified Arabic" w:hAnsi="Traditional Arabic" w:cs="Traditional Arabic"/>
                <w:kern w:val="2"/>
                <w:sz w:val="32"/>
                <w:szCs w:val="32"/>
                <w14:ligatures w14:val="standardContextual"/>
              </w:rPr>
            </w:pPr>
            <w:r w:rsidRPr="00D73409">
              <w:rPr>
                <w:rFonts w:ascii="Segoe UI Symbol" w:eastAsia="MS Gothic" w:hAnsi="Segoe UI Symbol" w:cs="Segoe UI Symbol" w:hint="cs"/>
                <w:kern w:val="2"/>
                <w:sz w:val="24"/>
                <w:szCs w:val="24"/>
                <w:rtl/>
                <w14:ligatures w14:val="standardContextual"/>
              </w:rPr>
              <w:t>☐</w:t>
            </w:r>
            <w:r w:rsidRPr="00D73409">
              <w:rPr>
                <w:rFonts w:asciiTheme="majorBidi" w:eastAsia="MS Gothic" w:hAnsiTheme="majorBidi" w:cstheme="majorBidi"/>
                <w:kern w:val="2"/>
                <w:sz w:val="24"/>
                <w:szCs w:val="24"/>
                <w:rtl/>
                <w14:ligatures w14:val="standardContextual"/>
              </w:rPr>
              <w:t xml:space="preserve"> </w:t>
            </w:r>
            <w:r w:rsidRPr="00D73409">
              <w:rPr>
                <w:rFonts w:ascii="Times New Roman" w:eastAsia="MS Gothic" w:hAnsi="Times New Roman" w:cs="Times New Roman" w:hint="cs"/>
                <w:kern w:val="2"/>
                <w:sz w:val="24"/>
                <w:szCs w:val="24"/>
                <w:rtl/>
                <w14:ligatures w14:val="standardContextual"/>
              </w:rPr>
              <w:t>أخرى</w:t>
            </w:r>
            <w:r w:rsidRPr="00D73409">
              <w:rPr>
                <w:rFonts w:asciiTheme="majorBidi" w:eastAsia="MS Gothic" w:hAnsiTheme="majorBidi" w:cstheme="majorBidi"/>
                <w:kern w:val="2"/>
                <w:sz w:val="24"/>
                <w:szCs w:val="24"/>
                <w:rtl/>
                <w14:ligatures w14:val="standardContextual"/>
              </w:rPr>
              <w:t>: ....................</w:t>
            </w:r>
          </w:p>
        </w:tc>
      </w:tr>
      <w:tr w:rsidR="003A4066" w:rsidRPr="003A4066" w14:paraId="7B69247C" w14:textId="77777777" w:rsidTr="003A4066">
        <w:tc>
          <w:tcPr>
            <w:tcW w:w="0" w:type="auto"/>
            <w:hideMark/>
          </w:tcPr>
          <w:p w14:paraId="04B9B6E1" w14:textId="77777777" w:rsidR="003A4066" w:rsidRPr="003A4066" w:rsidRDefault="003A4066" w:rsidP="003A4066">
            <w:pPr>
              <w:bidi/>
              <w:spacing w:after="0"/>
              <w:rPr>
                <w:rFonts w:ascii="Traditional Arabic" w:eastAsia="Simplified Arabic" w:hAnsi="Traditional Arabic" w:cs="Traditional Arabic"/>
                <w:kern w:val="2"/>
                <w:sz w:val="32"/>
                <w:szCs w:val="32"/>
                <w14:ligatures w14:val="standardContextual"/>
              </w:rPr>
            </w:pPr>
            <w:r w:rsidRPr="003A4066">
              <w:rPr>
                <w:rFonts w:ascii="Traditional Arabic" w:eastAsia="Simplified Arabic" w:hAnsi="Traditional Arabic" w:cs="Traditional Arabic"/>
                <w:kern w:val="2"/>
                <w:sz w:val="32"/>
                <w:szCs w:val="32"/>
                <w:rtl/>
                <w14:ligatures w14:val="standardContextual"/>
              </w:rPr>
              <w:t>المرتبة/المستوى الوظيفي</w:t>
            </w:r>
          </w:p>
        </w:tc>
        <w:tc>
          <w:tcPr>
            <w:tcW w:w="0" w:type="auto"/>
            <w:hideMark/>
          </w:tcPr>
          <w:p w14:paraId="63A99294" w14:textId="77777777" w:rsidR="003A4066" w:rsidRPr="003A4066" w:rsidRDefault="003A4066" w:rsidP="003A4066">
            <w:pPr>
              <w:bidi/>
              <w:spacing w:after="0"/>
              <w:rPr>
                <w:rFonts w:ascii="Traditional Arabic" w:eastAsia="Simplified Arabic" w:hAnsi="Traditional Arabic" w:cs="Traditional Arabic"/>
                <w:kern w:val="2"/>
                <w:sz w:val="32"/>
                <w:szCs w:val="32"/>
                <w14:ligatures w14:val="standardContextual"/>
              </w:rPr>
            </w:pPr>
            <w:r w:rsidRPr="003A4066">
              <w:rPr>
                <w:rFonts w:ascii="MS Gothic" w:eastAsia="MS Gothic" w:hAnsi="MS Gothic" w:cs="MS Gothic" w:hint="eastAsia"/>
                <w:kern w:val="2"/>
                <w:sz w:val="32"/>
                <w:szCs w:val="32"/>
                <w14:ligatures w14:val="standardContextual"/>
              </w:rPr>
              <w:t>☐</w:t>
            </w:r>
            <w:r w:rsidRPr="003A4066">
              <w:rPr>
                <w:rFonts w:ascii="Traditional Arabic" w:eastAsia="Simplified Arabic" w:hAnsi="Traditional Arabic" w:cs="Traditional Arabic"/>
                <w:kern w:val="2"/>
                <w:sz w:val="32"/>
                <w:szCs w:val="32"/>
                <w14:ligatures w14:val="standardContextual"/>
              </w:rPr>
              <w:t xml:space="preserve"> </w:t>
            </w:r>
            <w:r w:rsidRPr="003A4066">
              <w:rPr>
                <w:rFonts w:ascii="Traditional Arabic" w:eastAsia="Simplified Arabic" w:hAnsi="Traditional Arabic" w:cs="Traditional Arabic"/>
                <w:kern w:val="2"/>
                <w:sz w:val="32"/>
                <w:szCs w:val="32"/>
                <w:rtl/>
                <w14:ligatures w14:val="standardContextual"/>
              </w:rPr>
              <w:t xml:space="preserve">مرتبة منخفضة </w:t>
            </w:r>
            <w:r w:rsidRPr="003A4066">
              <w:rPr>
                <w:rFonts w:ascii="MS Gothic" w:eastAsia="MS Gothic" w:hAnsi="MS Gothic" w:cs="MS Gothic" w:hint="eastAsia"/>
                <w:kern w:val="2"/>
                <w:sz w:val="32"/>
                <w:szCs w:val="32"/>
                <w:rtl/>
                <w14:ligatures w14:val="standardContextual"/>
              </w:rPr>
              <w:t>☐</w:t>
            </w:r>
            <w:r w:rsidRPr="003A4066">
              <w:rPr>
                <w:rFonts w:ascii="Traditional Arabic" w:eastAsia="Simplified Arabic" w:hAnsi="Traditional Arabic" w:cs="Traditional Arabic"/>
                <w:kern w:val="2"/>
                <w:sz w:val="32"/>
                <w:szCs w:val="32"/>
                <w:rtl/>
                <w14:ligatures w14:val="standardContextual"/>
              </w:rPr>
              <w:t xml:space="preserve"> مرتبة متوسطة </w:t>
            </w:r>
            <w:r w:rsidRPr="003A4066">
              <w:rPr>
                <w:rFonts w:ascii="MS Gothic" w:eastAsia="MS Gothic" w:hAnsi="MS Gothic" w:cs="MS Gothic" w:hint="eastAsia"/>
                <w:kern w:val="2"/>
                <w:sz w:val="32"/>
                <w:szCs w:val="32"/>
                <w:rtl/>
                <w14:ligatures w14:val="standardContextual"/>
              </w:rPr>
              <w:t>☐</w:t>
            </w:r>
            <w:r w:rsidRPr="003A4066">
              <w:rPr>
                <w:rFonts w:ascii="Traditional Arabic" w:eastAsia="Simplified Arabic" w:hAnsi="Traditional Arabic" w:cs="Traditional Arabic"/>
                <w:kern w:val="2"/>
                <w:sz w:val="32"/>
                <w:szCs w:val="32"/>
                <w:rtl/>
                <w14:ligatures w14:val="standardContextual"/>
              </w:rPr>
              <w:t xml:space="preserve"> مرتبة إشرافية</w:t>
            </w:r>
          </w:p>
        </w:tc>
      </w:tr>
      <w:tr w:rsidR="003A4066" w:rsidRPr="003A4066" w14:paraId="5ADB9EB9" w14:textId="77777777" w:rsidTr="003A4066">
        <w:tc>
          <w:tcPr>
            <w:tcW w:w="0" w:type="auto"/>
            <w:hideMark/>
          </w:tcPr>
          <w:p w14:paraId="0BA99865" w14:textId="77777777" w:rsidR="003A4066" w:rsidRPr="003A4066" w:rsidRDefault="003A4066" w:rsidP="003A4066">
            <w:pPr>
              <w:bidi/>
              <w:spacing w:after="0"/>
              <w:rPr>
                <w:rFonts w:ascii="Traditional Arabic" w:eastAsia="Simplified Arabic" w:hAnsi="Traditional Arabic" w:cs="Traditional Arabic"/>
                <w:kern w:val="2"/>
                <w:sz w:val="32"/>
                <w:szCs w:val="32"/>
                <w14:ligatures w14:val="standardContextual"/>
              </w:rPr>
            </w:pPr>
            <w:r w:rsidRPr="003A4066">
              <w:rPr>
                <w:rFonts w:ascii="Traditional Arabic" w:eastAsia="Simplified Arabic" w:hAnsi="Traditional Arabic" w:cs="Traditional Arabic"/>
                <w:kern w:val="2"/>
                <w:sz w:val="32"/>
                <w:szCs w:val="32"/>
                <w:rtl/>
                <w14:ligatures w14:val="standardContextual"/>
              </w:rPr>
              <w:t>عدد الدورات التدريبية المتعلقة بإدارة ضغوط العمل أو التطوير المهني</w:t>
            </w:r>
          </w:p>
        </w:tc>
        <w:tc>
          <w:tcPr>
            <w:tcW w:w="0" w:type="auto"/>
            <w:hideMark/>
          </w:tcPr>
          <w:p w14:paraId="04480B06" w14:textId="77777777" w:rsidR="003A4066" w:rsidRPr="003A4066" w:rsidRDefault="003A4066" w:rsidP="003A4066">
            <w:pPr>
              <w:bidi/>
              <w:spacing w:after="0"/>
              <w:rPr>
                <w:rFonts w:ascii="Traditional Arabic" w:eastAsia="Simplified Arabic" w:hAnsi="Traditional Arabic" w:cs="Traditional Arabic"/>
                <w:kern w:val="2"/>
                <w:sz w:val="32"/>
                <w:szCs w:val="32"/>
                <w14:ligatures w14:val="standardContextual"/>
              </w:rPr>
            </w:pPr>
            <w:r w:rsidRPr="003A4066">
              <w:rPr>
                <w:rFonts w:ascii="MS Gothic" w:eastAsia="MS Gothic" w:hAnsi="MS Gothic" w:cs="MS Gothic" w:hint="eastAsia"/>
                <w:kern w:val="2"/>
                <w:sz w:val="32"/>
                <w:szCs w:val="32"/>
                <w14:ligatures w14:val="standardContextual"/>
              </w:rPr>
              <w:t>☐</w:t>
            </w:r>
            <w:r w:rsidRPr="003A4066">
              <w:rPr>
                <w:rFonts w:ascii="Traditional Arabic" w:eastAsia="Simplified Arabic" w:hAnsi="Traditional Arabic" w:cs="Traditional Arabic"/>
                <w:kern w:val="2"/>
                <w:sz w:val="32"/>
                <w:szCs w:val="32"/>
                <w14:ligatures w14:val="standardContextual"/>
              </w:rPr>
              <w:t xml:space="preserve"> </w:t>
            </w:r>
            <w:r w:rsidRPr="003A4066">
              <w:rPr>
                <w:rFonts w:ascii="Traditional Arabic" w:eastAsia="Simplified Arabic" w:hAnsi="Traditional Arabic" w:cs="Traditional Arabic"/>
                <w:kern w:val="2"/>
                <w:sz w:val="32"/>
                <w:szCs w:val="32"/>
                <w:rtl/>
                <w14:ligatures w14:val="standardContextual"/>
              </w:rPr>
              <w:t xml:space="preserve">لا يوجد </w:t>
            </w:r>
            <w:r w:rsidRPr="003A4066">
              <w:rPr>
                <w:rFonts w:ascii="MS Gothic" w:eastAsia="MS Gothic" w:hAnsi="MS Gothic" w:cs="MS Gothic" w:hint="eastAsia"/>
                <w:kern w:val="2"/>
                <w:sz w:val="32"/>
                <w:szCs w:val="32"/>
                <w:rtl/>
                <w14:ligatures w14:val="standardContextual"/>
              </w:rPr>
              <w:t>☐</w:t>
            </w:r>
            <w:r w:rsidRPr="003A4066">
              <w:rPr>
                <w:rFonts w:ascii="Traditional Arabic" w:eastAsia="Simplified Arabic" w:hAnsi="Traditional Arabic" w:cs="Traditional Arabic"/>
                <w:kern w:val="2"/>
                <w:sz w:val="32"/>
                <w:szCs w:val="32"/>
                <w:rtl/>
                <w14:ligatures w14:val="standardContextual"/>
              </w:rPr>
              <w:t xml:space="preserve"> 1–2 دورة </w:t>
            </w:r>
            <w:r w:rsidRPr="003A4066">
              <w:rPr>
                <w:rFonts w:ascii="MS Gothic" w:eastAsia="MS Gothic" w:hAnsi="MS Gothic" w:cs="MS Gothic" w:hint="eastAsia"/>
                <w:kern w:val="2"/>
                <w:sz w:val="32"/>
                <w:szCs w:val="32"/>
                <w:rtl/>
                <w14:ligatures w14:val="standardContextual"/>
              </w:rPr>
              <w:t>☐</w:t>
            </w:r>
            <w:r w:rsidRPr="003A4066">
              <w:rPr>
                <w:rFonts w:ascii="Traditional Arabic" w:eastAsia="Simplified Arabic" w:hAnsi="Traditional Arabic" w:cs="Traditional Arabic"/>
                <w:kern w:val="2"/>
                <w:sz w:val="32"/>
                <w:szCs w:val="32"/>
                <w:rtl/>
                <w14:ligatures w14:val="standardContextual"/>
              </w:rPr>
              <w:t xml:space="preserve"> 3–5 دورات </w:t>
            </w:r>
            <w:r w:rsidRPr="003A4066">
              <w:rPr>
                <w:rFonts w:ascii="MS Gothic" w:eastAsia="MS Gothic" w:hAnsi="MS Gothic" w:cs="MS Gothic" w:hint="eastAsia"/>
                <w:kern w:val="2"/>
                <w:sz w:val="32"/>
                <w:szCs w:val="32"/>
                <w:rtl/>
                <w14:ligatures w14:val="standardContextual"/>
              </w:rPr>
              <w:t>☐</w:t>
            </w:r>
            <w:r w:rsidRPr="003A4066">
              <w:rPr>
                <w:rFonts w:ascii="Traditional Arabic" w:eastAsia="Simplified Arabic" w:hAnsi="Traditional Arabic" w:cs="Traditional Arabic"/>
                <w:kern w:val="2"/>
                <w:sz w:val="32"/>
                <w:szCs w:val="32"/>
                <w:rtl/>
                <w14:ligatures w14:val="standardContextual"/>
              </w:rPr>
              <w:t xml:space="preserve"> أكثر من 5 دورات</w:t>
            </w:r>
          </w:p>
        </w:tc>
      </w:tr>
      <w:tr w:rsidR="003A4066" w:rsidRPr="003A4066" w14:paraId="6957D74E" w14:textId="77777777" w:rsidTr="003A4066">
        <w:tc>
          <w:tcPr>
            <w:tcW w:w="0" w:type="auto"/>
            <w:hideMark/>
          </w:tcPr>
          <w:p w14:paraId="36650C3B" w14:textId="77777777" w:rsidR="003A4066" w:rsidRPr="003A4066" w:rsidRDefault="003A4066" w:rsidP="003A4066">
            <w:pPr>
              <w:bidi/>
              <w:spacing w:after="0"/>
              <w:rPr>
                <w:rFonts w:ascii="Traditional Arabic" w:eastAsia="Simplified Arabic" w:hAnsi="Traditional Arabic" w:cs="Traditional Arabic"/>
                <w:kern w:val="2"/>
                <w:sz w:val="32"/>
                <w:szCs w:val="32"/>
                <w14:ligatures w14:val="standardContextual"/>
              </w:rPr>
            </w:pPr>
            <w:r w:rsidRPr="003A4066">
              <w:rPr>
                <w:rFonts w:ascii="Traditional Arabic" w:eastAsia="Simplified Arabic" w:hAnsi="Traditional Arabic" w:cs="Traditional Arabic"/>
                <w:kern w:val="2"/>
                <w:sz w:val="32"/>
                <w:szCs w:val="32"/>
                <w:rtl/>
                <w14:ligatures w14:val="standardContextual"/>
              </w:rPr>
              <w:t>مدة العمل في المحكمة الحالية</w:t>
            </w:r>
          </w:p>
        </w:tc>
        <w:tc>
          <w:tcPr>
            <w:tcW w:w="0" w:type="auto"/>
            <w:hideMark/>
          </w:tcPr>
          <w:p w14:paraId="5D92F1EC" w14:textId="77777777" w:rsidR="003A4066" w:rsidRPr="003A4066" w:rsidRDefault="003A4066" w:rsidP="003A4066">
            <w:pPr>
              <w:bidi/>
              <w:spacing w:after="0"/>
              <w:rPr>
                <w:rFonts w:ascii="Traditional Arabic" w:eastAsia="Simplified Arabic" w:hAnsi="Traditional Arabic" w:cs="Traditional Arabic"/>
                <w:kern w:val="2"/>
                <w:sz w:val="32"/>
                <w:szCs w:val="32"/>
                <w14:ligatures w14:val="standardContextual"/>
              </w:rPr>
            </w:pPr>
            <w:r w:rsidRPr="003A4066">
              <w:rPr>
                <w:rFonts w:ascii="MS Gothic" w:eastAsia="MS Gothic" w:hAnsi="MS Gothic" w:cs="MS Gothic" w:hint="eastAsia"/>
                <w:kern w:val="2"/>
                <w:sz w:val="32"/>
                <w:szCs w:val="32"/>
                <w14:ligatures w14:val="standardContextual"/>
              </w:rPr>
              <w:t>☐</w:t>
            </w:r>
            <w:r w:rsidRPr="003A4066">
              <w:rPr>
                <w:rFonts w:ascii="Traditional Arabic" w:eastAsia="Simplified Arabic" w:hAnsi="Traditional Arabic" w:cs="Traditional Arabic"/>
                <w:kern w:val="2"/>
                <w:sz w:val="32"/>
                <w:szCs w:val="32"/>
                <w14:ligatures w14:val="standardContextual"/>
              </w:rPr>
              <w:t xml:space="preserve"> </w:t>
            </w:r>
            <w:r w:rsidRPr="003A4066">
              <w:rPr>
                <w:rFonts w:ascii="Traditional Arabic" w:eastAsia="Simplified Arabic" w:hAnsi="Traditional Arabic" w:cs="Traditional Arabic"/>
                <w:kern w:val="2"/>
                <w:sz w:val="32"/>
                <w:szCs w:val="32"/>
                <w:rtl/>
                <w14:ligatures w14:val="standardContextual"/>
              </w:rPr>
              <w:t xml:space="preserve">أقل من 5 سنوات </w:t>
            </w:r>
            <w:r w:rsidRPr="003A4066">
              <w:rPr>
                <w:rFonts w:ascii="MS Gothic" w:eastAsia="MS Gothic" w:hAnsi="MS Gothic" w:cs="MS Gothic" w:hint="eastAsia"/>
                <w:kern w:val="2"/>
                <w:sz w:val="32"/>
                <w:szCs w:val="32"/>
                <w:rtl/>
                <w14:ligatures w14:val="standardContextual"/>
              </w:rPr>
              <w:t>☐</w:t>
            </w:r>
            <w:r w:rsidRPr="003A4066">
              <w:rPr>
                <w:rFonts w:ascii="Traditional Arabic" w:eastAsia="Simplified Arabic" w:hAnsi="Traditional Arabic" w:cs="Traditional Arabic"/>
                <w:kern w:val="2"/>
                <w:sz w:val="32"/>
                <w:szCs w:val="32"/>
                <w:rtl/>
                <w14:ligatures w14:val="standardContextual"/>
              </w:rPr>
              <w:t xml:space="preserve"> 5–أقل من 10 سنوات </w:t>
            </w:r>
            <w:r w:rsidRPr="003A4066">
              <w:rPr>
                <w:rFonts w:ascii="MS Gothic" w:eastAsia="MS Gothic" w:hAnsi="MS Gothic" w:cs="MS Gothic" w:hint="eastAsia"/>
                <w:kern w:val="2"/>
                <w:sz w:val="32"/>
                <w:szCs w:val="32"/>
                <w:rtl/>
                <w14:ligatures w14:val="standardContextual"/>
              </w:rPr>
              <w:t>☐</w:t>
            </w:r>
            <w:r w:rsidRPr="003A4066">
              <w:rPr>
                <w:rFonts w:ascii="Traditional Arabic" w:eastAsia="Simplified Arabic" w:hAnsi="Traditional Arabic" w:cs="Traditional Arabic"/>
                <w:kern w:val="2"/>
                <w:sz w:val="32"/>
                <w:szCs w:val="32"/>
                <w:rtl/>
                <w14:ligatures w14:val="standardContextual"/>
              </w:rPr>
              <w:t xml:space="preserve"> 10 سنوات فأكثر</w:t>
            </w:r>
          </w:p>
        </w:tc>
      </w:tr>
    </w:tbl>
    <w:p w14:paraId="69EBACBE" w14:textId="77777777" w:rsidR="003A4066" w:rsidRPr="003A4066" w:rsidRDefault="003A4066" w:rsidP="003A4066">
      <w:pPr>
        <w:bidi/>
        <w:spacing w:after="0"/>
        <w:rPr>
          <w:rFonts w:ascii="Traditional Arabic" w:eastAsia="Simplified Arabic" w:hAnsi="Traditional Arabic" w:cs="Traditional Arabic"/>
          <w:color w:val="EE0000"/>
          <w:kern w:val="2"/>
          <w:sz w:val="32"/>
          <w:szCs w:val="32"/>
          <w:rtl/>
          <w14:ligatures w14:val="standardContextual"/>
        </w:rPr>
      </w:pPr>
    </w:p>
    <w:p w14:paraId="114ED3F6" w14:textId="77777777" w:rsidR="003A4066" w:rsidRPr="003A4066" w:rsidRDefault="003A4066" w:rsidP="003A4066">
      <w:pPr>
        <w:bidi/>
        <w:spacing w:after="0"/>
        <w:rPr>
          <w:rFonts w:ascii="Traditional Arabic" w:eastAsia="Simplified Arabic" w:hAnsi="Traditional Arabic" w:cs="Traditional Arabic"/>
          <w:color w:val="EE0000"/>
          <w:kern w:val="2"/>
          <w:sz w:val="32"/>
          <w:szCs w:val="32"/>
          <w:rtl/>
          <w14:ligatures w14:val="standardContextual"/>
        </w:rPr>
      </w:pPr>
    </w:p>
    <w:p w14:paraId="18263D2A" w14:textId="62DCE759" w:rsidR="003A4066" w:rsidRPr="003A4066" w:rsidRDefault="001023FA" w:rsidP="003A4066">
      <w:pPr>
        <w:jc w:val="right"/>
        <w:rPr>
          <w:rFonts w:ascii="Traditional Arabic" w:eastAsia="Simplified Arabic" w:hAnsi="Traditional Arabic" w:cs="Traditional Arabic"/>
          <w:kern w:val="2"/>
          <w:sz w:val="32"/>
          <w:szCs w:val="32"/>
          <w:rtl/>
          <w14:ligatures w14:val="standardContextual"/>
        </w:rPr>
      </w:pPr>
      <w:r>
        <w:rPr>
          <w:rFonts w:ascii="Traditional Arabic" w:eastAsia="Simplified Arabic" w:hAnsi="Traditional Arabic" w:cs="Traditional Arabic" w:hint="cs"/>
          <w:kern w:val="2"/>
          <w:sz w:val="32"/>
          <w:szCs w:val="32"/>
          <w:rtl/>
          <w14:ligatures w14:val="standardContextual"/>
        </w:rPr>
        <w:t>توزع</w:t>
      </w:r>
      <w:r w:rsidR="003A4066" w:rsidRPr="003A4066">
        <w:rPr>
          <w:rFonts w:ascii="Traditional Arabic" w:eastAsia="Simplified Arabic" w:hAnsi="Traditional Arabic" w:cs="Traditional Arabic"/>
          <w:kern w:val="2"/>
          <w:sz w:val="32"/>
          <w:szCs w:val="32"/>
          <w:rtl/>
          <w14:ligatures w14:val="standardContextual"/>
        </w:rPr>
        <w:t xml:space="preserve"> نشر هذه الاستبانة باستخدام قوقل فورم.</w:t>
      </w:r>
    </w:p>
    <w:p w14:paraId="0E0541F6" w14:textId="75E2390C" w:rsidR="003A4066" w:rsidRPr="003A4066" w:rsidRDefault="003A4066" w:rsidP="003A4066">
      <w:pPr>
        <w:jc w:val="right"/>
        <w:rPr>
          <w:rFonts w:ascii="Traditional Arabic" w:eastAsia="Simplified Arabic" w:hAnsi="Traditional Arabic" w:cs="Traditional Arabic"/>
          <w:color w:val="EE0000"/>
          <w:kern w:val="2"/>
          <w:sz w:val="32"/>
          <w:szCs w:val="32"/>
          <w:rtl/>
          <w14:ligatures w14:val="standardContextual"/>
        </w:rPr>
      </w:pPr>
      <w:r w:rsidRPr="003A4066">
        <w:rPr>
          <w:rFonts w:ascii="Traditional Arabic" w:eastAsia="Simplified Arabic" w:hAnsi="Traditional Arabic" w:cs="Traditional Arabic"/>
          <w:kern w:val="2"/>
          <w:sz w:val="32"/>
          <w:szCs w:val="32"/>
          <w:rtl/>
          <w14:ligatures w14:val="standardContextual"/>
        </w:rPr>
        <w:t xml:space="preserve"> ويمكن الوصول لها من خلال الرابط الإلكتروني</w:t>
      </w:r>
    </w:p>
    <w:p w14:paraId="7AC03BB4" w14:textId="77777777" w:rsidR="003A4066" w:rsidRPr="003A4066" w:rsidRDefault="003A4066" w:rsidP="003A4066">
      <w:pPr>
        <w:rPr>
          <w:rFonts w:ascii="Traditional Arabic" w:eastAsia="Calibri" w:hAnsi="Traditional Arabic" w:cs="Traditional Arabic"/>
          <w:kern w:val="2"/>
          <w:sz w:val="24"/>
          <w:szCs w:val="24"/>
          <w14:ligatures w14:val="standardContextual"/>
        </w:rPr>
      </w:pPr>
    </w:p>
    <w:p w14:paraId="18C7B52A" w14:textId="77777777" w:rsidR="003A4066" w:rsidRPr="003A4066" w:rsidRDefault="003A4066" w:rsidP="004519FD">
      <w:pPr>
        <w:spacing w:before="100" w:beforeAutospacing="1" w:after="100" w:afterAutospacing="1" w:line="240" w:lineRule="auto"/>
        <w:rPr>
          <w:rFonts w:ascii="Traditional Arabic" w:eastAsia="Times New Roman" w:hAnsi="Traditional Arabic" w:cs="Traditional Arabic"/>
          <w:b/>
          <w:bCs/>
          <w:sz w:val="36"/>
          <w:szCs w:val="36"/>
        </w:rPr>
      </w:pPr>
    </w:p>
    <w:sectPr w:rsidR="003A4066" w:rsidRPr="003A4066" w:rsidSect="00395E1F">
      <w:headerReference w:type="even" r:id="rId8"/>
      <w:headerReference w:type="default" r:id="rId9"/>
      <w:footerReference w:type="default" r:id="rId10"/>
      <w:headerReference w:type="first" r:id="rId11"/>
      <w:footerReference w:type="first" r:id="rId12"/>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DE00EC" w14:textId="77777777" w:rsidR="001664ED" w:rsidRDefault="001664ED" w:rsidP="00F628F0">
      <w:pPr>
        <w:spacing w:after="0" w:line="240" w:lineRule="auto"/>
      </w:pPr>
      <w:r>
        <w:separator/>
      </w:r>
    </w:p>
  </w:endnote>
  <w:endnote w:type="continuationSeparator" w:id="0">
    <w:p w14:paraId="2A2FBC5B" w14:textId="77777777" w:rsidR="001664ED" w:rsidRDefault="001664ED"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altName w:val="Times New Roman"/>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Marlett">
    <w:panose1 w:val="00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Noto Sans Symbols">
    <w:altName w:val="Calibri"/>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D4D50" w:rsidRDefault="003D4D50">
        <w:pPr>
          <w:pStyle w:val="a5"/>
          <w:jc w:val="center"/>
        </w:pPr>
        <w:r>
          <w:fldChar w:fldCharType="begin"/>
        </w:r>
        <w:r>
          <w:instrText xml:space="preserve"> PAGE   \* MERGEFORMAT </w:instrText>
        </w:r>
        <w:r>
          <w:fldChar w:fldCharType="separate"/>
        </w:r>
        <w:r w:rsidR="004D7B3D">
          <w:rPr>
            <w:noProof/>
          </w:rPr>
          <w:t>34</w:t>
        </w:r>
        <w:r>
          <w:rPr>
            <w:noProof/>
          </w:rPr>
          <w:fldChar w:fldCharType="end"/>
        </w:r>
      </w:p>
    </w:sdtContent>
  </w:sdt>
  <w:p w14:paraId="3B85871D" w14:textId="77777777" w:rsidR="003D4D50" w:rsidRDefault="003D4D5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19BD255F" w:rsidR="003D4D50" w:rsidRPr="00883E09" w:rsidRDefault="003D4D50" w:rsidP="008074A2">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1501212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A509ED" w14:textId="77777777" w:rsidR="001664ED" w:rsidRDefault="001664ED" w:rsidP="00F628F0">
      <w:pPr>
        <w:spacing w:after="0" w:line="240" w:lineRule="auto"/>
      </w:pPr>
      <w:r>
        <w:separator/>
      </w:r>
    </w:p>
  </w:footnote>
  <w:footnote w:type="continuationSeparator" w:id="0">
    <w:p w14:paraId="677F3D3D" w14:textId="77777777" w:rsidR="001664ED" w:rsidRDefault="001664ED"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D4D50" w:rsidRDefault="001664ED">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D4D50" w:rsidRDefault="001664ED">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EndPr/>
    <w:sdtContent>
      <w:p w14:paraId="2C592018" w14:textId="2BE52E38" w:rsidR="003D4D50" w:rsidRDefault="001664ED">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35187"/>
    <w:multiLevelType w:val="multilevel"/>
    <w:tmpl w:val="F7C26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346199"/>
    <w:multiLevelType w:val="hybridMultilevel"/>
    <w:tmpl w:val="644C30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073E38"/>
    <w:multiLevelType w:val="hybridMultilevel"/>
    <w:tmpl w:val="7A129D9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0C733D80"/>
    <w:multiLevelType w:val="multilevel"/>
    <w:tmpl w:val="0E3A2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155ECC"/>
    <w:multiLevelType w:val="multilevel"/>
    <w:tmpl w:val="58AE89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654493"/>
    <w:multiLevelType w:val="hybridMultilevel"/>
    <w:tmpl w:val="0AB8A4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783194"/>
    <w:multiLevelType w:val="multilevel"/>
    <w:tmpl w:val="92C637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F94F35"/>
    <w:multiLevelType w:val="hybridMultilevel"/>
    <w:tmpl w:val="A9B2A8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701CCA"/>
    <w:multiLevelType w:val="multilevel"/>
    <w:tmpl w:val="6B04E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C550EE"/>
    <w:multiLevelType w:val="multilevel"/>
    <w:tmpl w:val="0B809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FA2E2B"/>
    <w:multiLevelType w:val="multilevel"/>
    <w:tmpl w:val="CE868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D45C38"/>
    <w:multiLevelType w:val="hybridMultilevel"/>
    <w:tmpl w:val="FA38C1E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1FBF22D0"/>
    <w:multiLevelType w:val="hybridMultilevel"/>
    <w:tmpl w:val="10AAA4F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0812F25"/>
    <w:multiLevelType w:val="hybridMultilevel"/>
    <w:tmpl w:val="9710C3EE"/>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4" w15:restartNumberingAfterBreak="0">
    <w:nsid w:val="22247DD4"/>
    <w:multiLevelType w:val="hybridMultilevel"/>
    <w:tmpl w:val="1610DED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2D177ECF"/>
    <w:multiLevelType w:val="multilevel"/>
    <w:tmpl w:val="57F0F3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D7107D3"/>
    <w:multiLevelType w:val="hybridMultilevel"/>
    <w:tmpl w:val="ADC031E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15:restartNumberingAfterBreak="0">
    <w:nsid w:val="2DCC1536"/>
    <w:multiLevelType w:val="multilevel"/>
    <w:tmpl w:val="FDD2F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EF6347"/>
    <w:multiLevelType w:val="multilevel"/>
    <w:tmpl w:val="D6E48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FC156E"/>
    <w:multiLevelType w:val="multilevel"/>
    <w:tmpl w:val="95824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131083"/>
    <w:multiLevelType w:val="hybridMultilevel"/>
    <w:tmpl w:val="8ECC9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00364AA"/>
    <w:multiLevelType w:val="hybridMultilevel"/>
    <w:tmpl w:val="44528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05E05A6"/>
    <w:multiLevelType w:val="multilevel"/>
    <w:tmpl w:val="58AE89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4D97D98"/>
    <w:multiLevelType w:val="multilevel"/>
    <w:tmpl w:val="E8021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7C6339"/>
    <w:multiLevelType w:val="multilevel"/>
    <w:tmpl w:val="81B0A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6753806"/>
    <w:multiLevelType w:val="multilevel"/>
    <w:tmpl w:val="0F4E7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0B68F7"/>
    <w:multiLevelType w:val="hybridMultilevel"/>
    <w:tmpl w:val="4C0CD81A"/>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4F8B46FE"/>
    <w:multiLevelType w:val="multilevel"/>
    <w:tmpl w:val="A26A6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F07278"/>
    <w:multiLevelType w:val="multilevel"/>
    <w:tmpl w:val="64A81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8CA0F76"/>
    <w:multiLevelType w:val="multilevel"/>
    <w:tmpl w:val="B1940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B093EAA"/>
    <w:multiLevelType w:val="multilevel"/>
    <w:tmpl w:val="A6802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9B6C87"/>
    <w:multiLevelType w:val="multilevel"/>
    <w:tmpl w:val="713C8F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008617A"/>
    <w:multiLevelType w:val="multilevel"/>
    <w:tmpl w:val="84145E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1720CD5"/>
    <w:multiLevelType w:val="multilevel"/>
    <w:tmpl w:val="F3FC9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33B250E"/>
    <w:multiLevelType w:val="hybridMultilevel"/>
    <w:tmpl w:val="AB789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8431F1D"/>
    <w:multiLevelType w:val="hybridMultilevel"/>
    <w:tmpl w:val="A57887F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15:restartNumberingAfterBreak="0">
    <w:nsid w:val="725C1576"/>
    <w:multiLevelType w:val="hybridMultilevel"/>
    <w:tmpl w:val="F6C22A86"/>
    <w:lvl w:ilvl="0" w:tplc="E6F6F0EA">
      <w:numFmt w:val="bullet"/>
      <w:lvlText w:val="-"/>
      <w:lvlJc w:val="left"/>
      <w:pPr>
        <w:ind w:left="720" w:hanging="360"/>
      </w:pPr>
      <w:rPr>
        <w:rFonts w:ascii="Traditional Arabic" w:eastAsiaTheme="minorHAnsi" w:hAnsi="Traditional Arabic" w:cs="Traditional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A8E69E1"/>
    <w:multiLevelType w:val="multilevel"/>
    <w:tmpl w:val="7610D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AC934C8"/>
    <w:multiLevelType w:val="multilevel"/>
    <w:tmpl w:val="4822A9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57993801">
    <w:abstractNumId w:val="28"/>
  </w:num>
  <w:num w:numId="2" w16cid:durableId="253632150">
    <w:abstractNumId w:val="32"/>
  </w:num>
  <w:num w:numId="3" w16cid:durableId="616181596">
    <w:abstractNumId w:val="7"/>
  </w:num>
  <w:num w:numId="4" w16cid:durableId="647169033">
    <w:abstractNumId w:val="24"/>
  </w:num>
  <w:num w:numId="5" w16cid:durableId="1601988378">
    <w:abstractNumId w:val="26"/>
  </w:num>
  <w:num w:numId="6" w16cid:durableId="697775250">
    <w:abstractNumId w:val="29"/>
  </w:num>
  <w:num w:numId="7" w16cid:durableId="1605916136">
    <w:abstractNumId w:val="36"/>
  </w:num>
  <w:num w:numId="8" w16cid:durableId="1145661848">
    <w:abstractNumId w:val="22"/>
  </w:num>
  <w:num w:numId="9" w16cid:durableId="1198470369">
    <w:abstractNumId w:val="4"/>
  </w:num>
  <w:num w:numId="10" w16cid:durableId="509218695">
    <w:abstractNumId w:val="11"/>
  </w:num>
  <w:num w:numId="11" w16cid:durableId="559100767">
    <w:abstractNumId w:val="38"/>
  </w:num>
  <w:num w:numId="12" w16cid:durableId="1826237039">
    <w:abstractNumId w:val="6"/>
  </w:num>
  <w:num w:numId="13" w16cid:durableId="409352950">
    <w:abstractNumId w:val="35"/>
  </w:num>
  <w:num w:numId="14" w16cid:durableId="1675524543">
    <w:abstractNumId w:val="2"/>
  </w:num>
  <w:num w:numId="15" w16cid:durableId="2060468920">
    <w:abstractNumId w:val="16"/>
  </w:num>
  <w:num w:numId="16" w16cid:durableId="1338539480">
    <w:abstractNumId w:val="14"/>
  </w:num>
  <w:num w:numId="17" w16cid:durableId="351076398">
    <w:abstractNumId w:val="12"/>
  </w:num>
  <w:num w:numId="18" w16cid:durableId="1374963810">
    <w:abstractNumId w:val="20"/>
  </w:num>
  <w:num w:numId="19" w16cid:durableId="2040274823">
    <w:abstractNumId w:val="0"/>
  </w:num>
  <w:num w:numId="20" w16cid:durableId="202139414">
    <w:abstractNumId w:val="33"/>
  </w:num>
  <w:num w:numId="21" w16cid:durableId="453525019">
    <w:abstractNumId w:val="37"/>
  </w:num>
  <w:num w:numId="22" w16cid:durableId="1300645078">
    <w:abstractNumId w:val="10"/>
  </w:num>
  <w:num w:numId="23" w16cid:durableId="1861158137">
    <w:abstractNumId w:val="17"/>
  </w:num>
  <w:num w:numId="24" w16cid:durableId="1540774174">
    <w:abstractNumId w:val="18"/>
  </w:num>
  <w:num w:numId="25" w16cid:durableId="1470056415">
    <w:abstractNumId w:val="3"/>
  </w:num>
  <w:num w:numId="26" w16cid:durableId="285625562">
    <w:abstractNumId w:val="30"/>
  </w:num>
  <w:num w:numId="27" w16cid:durableId="1412778380">
    <w:abstractNumId w:val="5"/>
  </w:num>
  <w:num w:numId="28" w16cid:durableId="981467736">
    <w:abstractNumId w:val="34"/>
  </w:num>
  <w:num w:numId="29" w16cid:durableId="1956718299">
    <w:abstractNumId w:val="21"/>
  </w:num>
  <w:num w:numId="30" w16cid:durableId="510879214">
    <w:abstractNumId w:val="13"/>
  </w:num>
  <w:num w:numId="31" w16cid:durableId="309943253">
    <w:abstractNumId w:val="8"/>
  </w:num>
  <w:num w:numId="32" w16cid:durableId="1968926742">
    <w:abstractNumId w:val="1"/>
  </w:num>
  <w:num w:numId="33" w16cid:durableId="1740177969">
    <w:abstractNumId w:val="9"/>
  </w:num>
  <w:num w:numId="34" w16cid:durableId="1299846678">
    <w:abstractNumId w:val="19"/>
  </w:num>
  <w:num w:numId="35" w16cid:durableId="245384894">
    <w:abstractNumId w:val="31"/>
  </w:num>
  <w:num w:numId="36" w16cid:durableId="1388411279">
    <w:abstractNumId w:val="25"/>
  </w:num>
  <w:num w:numId="37" w16cid:durableId="1409421167">
    <w:abstractNumId w:val="27"/>
  </w:num>
  <w:num w:numId="38" w16cid:durableId="260335025">
    <w:abstractNumId w:val="23"/>
  </w:num>
  <w:num w:numId="39" w16cid:durableId="1870684490">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346"/>
    <w:rsid w:val="00013268"/>
    <w:rsid w:val="00015F0D"/>
    <w:rsid w:val="00017805"/>
    <w:rsid w:val="00027A34"/>
    <w:rsid w:val="000300F1"/>
    <w:rsid w:val="000322E7"/>
    <w:rsid w:val="00044CFD"/>
    <w:rsid w:val="00047426"/>
    <w:rsid w:val="0006174C"/>
    <w:rsid w:val="00061A09"/>
    <w:rsid w:val="0006323A"/>
    <w:rsid w:val="000755B1"/>
    <w:rsid w:val="00080FC2"/>
    <w:rsid w:val="000845C4"/>
    <w:rsid w:val="000860A2"/>
    <w:rsid w:val="00087E4F"/>
    <w:rsid w:val="00090A9C"/>
    <w:rsid w:val="00092C24"/>
    <w:rsid w:val="000940A0"/>
    <w:rsid w:val="000A06CE"/>
    <w:rsid w:val="000A19D5"/>
    <w:rsid w:val="000A1A70"/>
    <w:rsid w:val="000A1D3E"/>
    <w:rsid w:val="000A1E46"/>
    <w:rsid w:val="000A310D"/>
    <w:rsid w:val="000A49ED"/>
    <w:rsid w:val="000A749C"/>
    <w:rsid w:val="000B0B32"/>
    <w:rsid w:val="000B1091"/>
    <w:rsid w:val="000B5D4F"/>
    <w:rsid w:val="000B706D"/>
    <w:rsid w:val="000C4E7F"/>
    <w:rsid w:val="000D0869"/>
    <w:rsid w:val="000D362A"/>
    <w:rsid w:val="000D3EAE"/>
    <w:rsid w:val="000D5131"/>
    <w:rsid w:val="000E23AB"/>
    <w:rsid w:val="000E5AFD"/>
    <w:rsid w:val="000E6887"/>
    <w:rsid w:val="000E68B6"/>
    <w:rsid w:val="000F0A0D"/>
    <w:rsid w:val="000F1A5E"/>
    <w:rsid w:val="000F64AD"/>
    <w:rsid w:val="000F7F04"/>
    <w:rsid w:val="00101BCB"/>
    <w:rsid w:val="001023FA"/>
    <w:rsid w:val="00105CF7"/>
    <w:rsid w:val="00110665"/>
    <w:rsid w:val="0011126E"/>
    <w:rsid w:val="00116AE4"/>
    <w:rsid w:val="0011764A"/>
    <w:rsid w:val="001176C6"/>
    <w:rsid w:val="00117CA1"/>
    <w:rsid w:val="00121B06"/>
    <w:rsid w:val="0012270F"/>
    <w:rsid w:val="00127ACE"/>
    <w:rsid w:val="00130CEE"/>
    <w:rsid w:val="00152104"/>
    <w:rsid w:val="001603EF"/>
    <w:rsid w:val="00161634"/>
    <w:rsid w:val="001618EF"/>
    <w:rsid w:val="001624C4"/>
    <w:rsid w:val="001654CD"/>
    <w:rsid w:val="001664ED"/>
    <w:rsid w:val="00175B5C"/>
    <w:rsid w:val="001762F4"/>
    <w:rsid w:val="00180799"/>
    <w:rsid w:val="00180A9B"/>
    <w:rsid w:val="00185F71"/>
    <w:rsid w:val="00194963"/>
    <w:rsid w:val="00195226"/>
    <w:rsid w:val="001A1DAF"/>
    <w:rsid w:val="001A2F3B"/>
    <w:rsid w:val="001A5804"/>
    <w:rsid w:val="001A680C"/>
    <w:rsid w:val="001B4876"/>
    <w:rsid w:val="001C01BE"/>
    <w:rsid w:val="001C3DA0"/>
    <w:rsid w:val="001C426A"/>
    <w:rsid w:val="001C7DB2"/>
    <w:rsid w:val="001D47AD"/>
    <w:rsid w:val="001D5B54"/>
    <w:rsid w:val="001D6C2D"/>
    <w:rsid w:val="001E252D"/>
    <w:rsid w:val="001E32DF"/>
    <w:rsid w:val="001E3406"/>
    <w:rsid w:val="001E34FC"/>
    <w:rsid w:val="0020239B"/>
    <w:rsid w:val="0020372B"/>
    <w:rsid w:val="002134AC"/>
    <w:rsid w:val="0022051E"/>
    <w:rsid w:val="00221600"/>
    <w:rsid w:val="00222468"/>
    <w:rsid w:val="00223498"/>
    <w:rsid w:val="00224D08"/>
    <w:rsid w:val="002267E3"/>
    <w:rsid w:val="00231AB1"/>
    <w:rsid w:val="00232A16"/>
    <w:rsid w:val="0024045F"/>
    <w:rsid w:val="00250CC6"/>
    <w:rsid w:val="00251580"/>
    <w:rsid w:val="002517C5"/>
    <w:rsid w:val="0025309F"/>
    <w:rsid w:val="00257F01"/>
    <w:rsid w:val="002616CF"/>
    <w:rsid w:val="00263733"/>
    <w:rsid w:val="00263F0A"/>
    <w:rsid w:val="00264677"/>
    <w:rsid w:val="00265C31"/>
    <w:rsid w:val="0027069A"/>
    <w:rsid w:val="00274C5B"/>
    <w:rsid w:val="00281201"/>
    <w:rsid w:val="0028680C"/>
    <w:rsid w:val="00293639"/>
    <w:rsid w:val="0029601B"/>
    <w:rsid w:val="002A113E"/>
    <w:rsid w:val="002A257A"/>
    <w:rsid w:val="002A7F20"/>
    <w:rsid w:val="002B5C49"/>
    <w:rsid w:val="002B6766"/>
    <w:rsid w:val="002C2285"/>
    <w:rsid w:val="002C5A84"/>
    <w:rsid w:val="002C76FF"/>
    <w:rsid w:val="002D019D"/>
    <w:rsid w:val="002D3349"/>
    <w:rsid w:val="002D638C"/>
    <w:rsid w:val="002D68BB"/>
    <w:rsid w:val="002E03CF"/>
    <w:rsid w:val="002F0EEA"/>
    <w:rsid w:val="002F20A7"/>
    <w:rsid w:val="002F20B5"/>
    <w:rsid w:val="002F3FD3"/>
    <w:rsid w:val="00315D3C"/>
    <w:rsid w:val="00316776"/>
    <w:rsid w:val="00321775"/>
    <w:rsid w:val="003223F2"/>
    <w:rsid w:val="00322A0D"/>
    <w:rsid w:val="00322CDE"/>
    <w:rsid w:val="003235C8"/>
    <w:rsid w:val="003317DE"/>
    <w:rsid w:val="00333FF1"/>
    <w:rsid w:val="00334002"/>
    <w:rsid w:val="00343773"/>
    <w:rsid w:val="00356156"/>
    <w:rsid w:val="0035679C"/>
    <w:rsid w:val="00360A3F"/>
    <w:rsid w:val="003635A4"/>
    <w:rsid w:val="00364C07"/>
    <w:rsid w:val="00377CB0"/>
    <w:rsid w:val="00381E67"/>
    <w:rsid w:val="003871AB"/>
    <w:rsid w:val="00395E1F"/>
    <w:rsid w:val="00396F46"/>
    <w:rsid w:val="00397058"/>
    <w:rsid w:val="003A09BA"/>
    <w:rsid w:val="003A3F8F"/>
    <w:rsid w:val="003A4066"/>
    <w:rsid w:val="003A4334"/>
    <w:rsid w:val="003A66D3"/>
    <w:rsid w:val="003B0F00"/>
    <w:rsid w:val="003B1418"/>
    <w:rsid w:val="003B6969"/>
    <w:rsid w:val="003C05E1"/>
    <w:rsid w:val="003C0E8C"/>
    <w:rsid w:val="003C1A1B"/>
    <w:rsid w:val="003D3563"/>
    <w:rsid w:val="003D4B33"/>
    <w:rsid w:val="003D4D50"/>
    <w:rsid w:val="003D5F89"/>
    <w:rsid w:val="003D7E7F"/>
    <w:rsid w:val="003E1E60"/>
    <w:rsid w:val="003F4C64"/>
    <w:rsid w:val="003F6189"/>
    <w:rsid w:val="003F69BC"/>
    <w:rsid w:val="0040510D"/>
    <w:rsid w:val="00413BBE"/>
    <w:rsid w:val="00416CC9"/>
    <w:rsid w:val="0042549A"/>
    <w:rsid w:val="00426D93"/>
    <w:rsid w:val="00430A78"/>
    <w:rsid w:val="0043189F"/>
    <w:rsid w:val="0043449E"/>
    <w:rsid w:val="00436873"/>
    <w:rsid w:val="00436B59"/>
    <w:rsid w:val="004413CD"/>
    <w:rsid w:val="0044258D"/>
    <w:rsid w:val="00443A60"/>
    <w:rsid w:val="00444B1D"/>
    <w:rsid w:val="00444B3C"/>
    <w:rsid w:val="0044788D"/>
    <w:rsid w:val="00447BBB"/>
    <w:rsid w:val="0045129A"/>
    <w:rsid w:val="004519FD"/>
    <w:rsid w:val="00454375"/>
    <w:rsid w:val="00456C07"/>
    <w:rsid w:val="00466097"/>
    <w:rsid w:val="004664EA"/>
    <w:rsid w:val="00472858"/>
    <w:rsid w:val="00473518"/>
    <w:rsid w:val="00473F99"/>
    <w:rsid w:val="00476433"/>
    <w:rsid w:val="00485BD0"/>
    <w:rsid w:val="00486B51"/>
    <w:rsid w:val="00487152"/>
    <w:rsid w:val="00487F47"/>
    <w:rsid w:val="00492C0D"/>
    <w:rsid w:val="00492E40"/>
    <w:rsid w:val="004968FC"/>
    <w:rsid w:val="004A10BC"/>
    <w:rsid w:val="004A56B5"/>
    <w:rsid w:val="004A5E36"/>
    <w:rsid w:val="004B484B"/>
    <w:rsid w:val="004B78C6"/>
    <w:rsid w:val="004C1CC5"/>
    <w:rsid w:val="004C7B52"/>
    <w:rsid w:val="004D075E"/>
    <w:rsid w:val="004D2A39"/>
    <w:rsid w:val="004D6DB2"/>
    <w:rsid w:val="004D7783"/>
    <w:rsid w:val="004D7B3D"/>
    <w:rsid w:val="004D7F28"/>
    <w:rsid w:val="004E01F6"/>
    <w:rsid w:val="004E1E36"/>
    <w:rsid w:val="004E7B8F"/>
    <w:rsid w:val="004F1607"/>
    <w:rsid w:val="004F1964"/>
    <w:rsid w:val="004F1CF1"/>
    <w:rsid w:val="004F4787"/>
    <w:rsid w:val="004F4902"/>
    <w:rsid w:val="004F5FFB"/>
    <w:rsid w:val="0050023D"/>
    <w:rsid w:val="0050451B"/>
    <w:rsid w:val="005144E3"/>
    <w:rsid w:val="00515088"/>
    <w:rsid w:val="0052019E"/>
    <w:rsid w:val="0052698D"/>
    <w:rsid w:val="0053336F"/>
    <w:rsid w:val="00533AA9"/>
    <w:rsid w:val="00535ED5"/>
    <w:rsid w:val="0053681E"/>
    <w:rsid w:val="005409F5"/>
    <w:rsid w:val="005433BE"/>
    <w:rsid w:val="00545742"/>
    <w:rsid w:val="00546BB3"/>
    <w:rsid w:val="005532E5"/>
    <w:rsid w:val="00553DC2"/>
    <w:rsid w:val="00560CC1"/>
    <w:rsid w:val="005651EB"/>
    <w:rsid w:val="005705D0"/>
    <w:rsid w:val="00583F86"/>
    <w:rsid w:val="0058667A"/>
    <w:rsid w:val="00590D1E"/>
    <w:rsid w:val="005913E9"/>
    <w:rsid w:val="0059243E"/>
    <w:rsid w:val="00595574"/>
    <w:rsid w:val="00597208"/>
    <w:rsid w:val="005A0EE4"/>
    <w:rsid w:val="005A19AA"/>
    <w:rsid w:val="005A3266"/>
    <w:rsid w:val="005A3959"/>
    <w:rsid w:val="005A3D7A"/>
    <w:rsid w:val="005A4F66"/>
    <w:rsid w:val="005A76D0"/>
    <w:rsid w:val="005A7EB2"/>
    <w:rsid w:val="005B0A05"/>
    <w:rsid w:val="005B16AE"/>
    <w:rsid w:val="005B2114"/>
    <w:rsid w:val="005B25B6"/>
    <w:rsid w:val="005B2E32"/>
    <w:rsid w:val="005B5936"/>
    <w:rsid w:val="005B65AE"/>
    <w:rsid w:val="005C3DA2"/>
    <w:rsid w:val="005D08DB"/>
    <w:rsid w:val="005D1768"/>
    <w:rsid w:val="005D2492"/>
    <w:rsid w:val="005E1B3A"/>
    <w:rsid w:val="005E1B7D"/>
    <w:rsid w:val="005E24FB"/>
    <w:rsid w:val="005E50EC"/>
    <w:rsid w:val="005F2661"/>
    <w:rsid w:val="005F5AF5"/>
    <w:rsid w:val="0060105E"/>
    <w:rsid w:val="0060398F"/>
    <w:rsid w:val="0061026F"/>
    <w:rsid w:val="0061261C"/>
    <w:rsid w:val="00623B25"/>
    <w:rsid w:val="0062589E"/>
    <w:rsid w:val="00625A3C"/>
    <w:rsid w:val="00633F98"/>
    <w:rsid w:val="00634932"/>
    <w:rsid w:val="006447D8"/>
    <w:rsid w:val="00644F28"/>
    <w:rsid w:val="00646785"/>
    <w:rsid w:val="0065187E"/>
    <w:rsid w:val="00651BBB"/>
    <w:rsid w:val="00655684"/>
    <w:rsid w:val="00661A1D"/>
    <w:rsid w:val="00667BBF"/>
    <w:rsid w:val="006731F3"/>
    <w:rsid w:val="00676B85"/>
    <w:rsid w:val="006849A3"/>
    <w:rsid w:val="00685EA7"/>
    <w:rsid w:val="00687F77"/>
    <w:rsid w:val="00693FBE"/>
    <w:rsid w:val="006A16C7"/>
    <w:rsid w:val="006A233C"/>
    <w:rsid w:val="006A7DC3"/>
    <w:rsid w:val="006B1075"/>
    <w:rsid w:val="006B242A"/>
    <w:rsid w:val="006B366F"/>
    <w:rsid w:val="006B51C2"/>
    <w:rsid w:val="006C10F3"/>
    <w:rsid w:val="006C2E76"/>
    <w:rsid w:val="006C54C9"/>
    <w:rsid w:val="006C5B8A"/>
    <w:rsid w:val="006C635A"/>
    <w:rsid w:val="006C66D0"/>
    <w:rsid w:val="006C79DB"/>
    <w:rsid w:val="006E413B"/>
    <w:rsid w:val="006E6670"/>
    <w:rsid w:val="006E78B0"/>
    <w:rsid w:val="006F08C1"/>
    <w:rsid w:val="006F1837"/>
    <w:rsid w:val="006F3CD1"/>
    <w:rsid w:val="006F6E84"/>
    <w:rsid w:val="006F7671"/>
    <w:rsid w:val="0070272D"/>
    <w:rsid w:val="00703A9A"/>
    <w:rsid w:val="00704C25"/>
    <w:rsid w:val="00705F1D"/>
    <w:rsid w:val="00706AC7"/>
    <w:rsid w:val="00711248"/>
    <w:rsid w:val="00713217"/>
    <w:rsid w:val="00720A9E"/>
    <w:rsid w:val="007218B1"/>
    <w:rsid w:val="007239AC"/>
    <w:rsid w:val="00723E95"/>
    <w:rsid w:val="00733953"/>
    <w:rsid w:val="00736364"/>
    <w:rsid w:val="0073642B"/>
    <w:rsid w:val="00740AB1"/>
    <w:rsid w:val="00746B5D"/>
    <w:rsid w:val="007507AF"/>
    <w:rsid w:val="00750F2F"/>
    <w:rsid w:val="00754496"/>
    <w:rsid w:val="0076684E"/>
    <w:rsid w:val="00766A58"/>
    <w:rsid w:val="007764F4"/>
    <w:rsid w:val="007765DA"/>
    <w:rsid w:val="00776AB8"/>
    <w:rsid w:val="00781550"/>
    <w:rsid w:val="007822A3"/>
    <w:rsid w:val="00787DB8"/>
    <w:rsid w:val="00790119"/>
    <w:rsid w:val="00792606"/>
    <w:rsid w:val="00793616"/>
    <w:rsid w:val="00795A41"/>
    <w:rsid w:val="007969DC"/>
    <w:rsid w:val="00797AF9"/>
    <w:rsid w:val="007A1193"/>
    <w:rsid w:val="007A31DC"/>
    <w:rsid w:val="007A4629"/>
    <w:rsid w:val="007B29E4"/>
    <w:rsid w:val="007B3A5C"/>
    <w:rsid w:val="007C10DB"/>
    <w:rsid w:val="007C1F01"/>
    <w:rsid w:val="007C428F"/>
    <w:rsid w:val="007D0B0F"/>
    <w:rsid w:val="007D39B9"/>
    <w:rsid w:val="007D5015"/>
    <w:rsid w:val="007D7D94"/>
    <w:rsid w:val="007E3985"/>
    <w:rsid w:val="007E5773"/>
    <w:rsid w:val="007F4090"/>
    <w:rsid w:val="007F4183"/>
    <w:rsid w:val="0080063F"/>
    <w:rsid w:val="008022F1"/>
    <w:rsid w:val="00802EEF"/>
    <w:rsid w:val="008074A2"/>
    <w:rsid w:val="008108DD"/>
    <w:rsid w:val="00810AE7"/>
    <w:rsid w:val="00815D5A"/>
    <w:rsid w:val="008173B3"/>
    <w:rsid w:val="00817C7F"/>
    <w:rsid w:val="00817E2A"/>
    <w:rsid w:val="00831B04"/>
    <w:rsid w:val="00840269"/>
    <w:rsid w:val="00846A41"/>
    <w:rsid w:val="00854E14"/>
    <w:rsid w:val="008577CA"/>
    <w:rsid w:val="0086333D"/>
    <w:rsid w:val="00864758"/>
    <w:rsid w:val="00864B2B"/>
    <w:rsid w:val="008806D9"/>
    <w:rsid w:val="0088301D"/>
    <w:rsid w:val="00883E09"/>
    <w:rsid w:val="00884C42"/>
    <w:rsid w:val="008856AB"/>
    <w:rsid w:val="00886510"/>
    <w:rsid w:val="00894F92"/>
    <w:rsid w:val="00895F57"/>
    <w:rsid w:val="008A01EC"/>
    <w:rsid w:val="008A09DC"/>
    <w:rsid w:val="008A2025"/>
    <w:rsid w:val="008A3C31"/>
    <w:rsid w:val="008A5676"/>
    <w:rsid w:val="008A69EA"/>
    <w:rsid w:val="008A7D25"/>
    <w:rsid w:val="008B0F36"/>
    <w:rsid w:val="008B563E"/>
    <w:rsid w:val="008B5953"/>
    <w:rsid w:val="008B5CA5"/>
    <w:rsid w:val="008C140C"/>
    <w:rsid w:val="008C2AA8"/>
    <w:rsid w:val="008C6138"/>
    <w:rsid w:val="008D1B67"/>
    <w:rsid w:val="008D1C47"/>
    <w:rsid w:val="008D333E"/>
    <w:rsid w:val="008D50EA"/>
    <w:rsid w:val="008D5F2C"/>
    <w:rsid w:val="008E18C4"/>
    <w:rsid w:val="008E1DF8"/>
    <w:rsid w:val="008E3A29"/>
    <w:rsid w:val="008E7947"/>
    <w:rsid w:val="008F48D0"/>
    <w:rsid w:val="0090102E"/>
    <w:rsid w:val="00902644"/>
    <w:rsid w:val="00911D75"/>
    <w:rsid w:val="0091315E"/>
    <w:rsid w:val="009139AE"/>
    <w:rsid w:val="0091579E"/>
    <w:rsid w:val="00916122"/>
    <w:rsid w:val="00917C97"/>
    <w:rsid w:val="00920354"/>
    <w:rsid w:val="00922314"/>
    <w:rsid w:val="00930A75"/>
    <w:rsid w:val="009352FB"/>
    <w:rsid w:val="0093756B"/>
    <w:rsid w:val="00937A35"/>
    <w:rsid w:val="009400C2"/>
    <w:rsid w:val="0094367F"/>
    <w:rsid w:val="009462FA"/>
    <w:rsid w:val="009505DD"/>
    <w:rsid w:val="00954973"/>
    <w:rsid w:val="00955905"/>
    <w:rsid w:val="00955E14"/>
    <w:rsid w:val="00956806"/>
    <w:rsid w:val="00962E14"/>
    <w:rsid w:val="00963D02"/>
    <w:rsid w:val="00964790"/>
    <w:rsid w:val="0096761A"/>
    <w:rsid w:val="009705B3"/>
    <w:rsid w:val="00971016"/>
    <w:rsid w:val="0098132D"/>
    <w:rsid w:val="009813A6"/>
    <w:rsid w:val="00983AC0"/>
    <w:rsid w:val="00986693"/>
    <w:rsid w:val="009A1384"/>
    <w:rsid w:val="009B595E"/>
    <w:rsid w:val="009B7B1F"/>
    <w:rsid w:val="009B7DC9"/>
    <w:rsid w:val="009C2244"/>
    <w:rsid w:val="009C3C7B"/>
    <w:rsid w:val="009C3CD5"/>
    <w:rsid w:val="009C699E"/>
    <w:rsid w:val="009D1D31"/>
    <w:rsid w:val="009D3949"/>
    <w:rsid w:val="009D5B9E"/>
    <w:rsid w:val="009E023E"/>
    <w:rsid w:val="009E0A58"/>
    <w:rsid w:val="009E0EB7"/>
    <w:rsid w:val="009E12D0"/>
    <w:rsid w:val="009E40F2"/>
    <w:rsid w:val="009E4604"/>
    <w:rsid w:val="009F1183"/>
    <w:rsid w:val="009F1514"/>
    <w:rsid w:val="009F2F7B"/>
    <w:rsid w:val="009F44B4"/>
    <w:rsid w:val="009F589F"/>
    <w:rsid w:val="009F7119"/>
    <w:rsid w:val="00A00401"/>
    <w:rsid w:val="00A043DE"/>
    <w:rsid w:val="00A05BAE"/>
    <w:rsid w:val="00A07F9B"/>
    <w:rsid w:val="00A111F7"/>
    <w:rsid w:val="00A11618"/>
    <w:rsid w:val="00A14CF4"/>
    <w:rsid w:val="00A150CE"/>
    <w:rsid w:val="00A1570C"/>
    <w:rsid w:val="00A15C4F"/>
    <w:rsid w:val="00A16E60"/>
    <w:rsid w:val="00A22639"/>
    <w:rsid w:val="00A22FE8"/>
    <w:rsid w:val="00A23560"/>
    <w:rsid w:val="00A2724A"/>
    <w:rsid w:val="00A37539"/>
    <w:rsid w:val="00A40B4C"/>
    <w:rsid w:val="00A505A7"/>
    <w:rsid w:val="00A51842"/>
    <w:rsid w:val="00A55040"/>
    <w:rsid w:val="00A60347"/>
    <w:rsid w:val="00A62487"/>
    <w:rsid w:val="00A63AF0"/>
    <w:rsid w:val="00A67E70"/>
    <w:rsid w:val="00A70534"/>
    <w:rsid w:val="00A73A46"/>
    <w:rsid w:val="00A74A2B"/>
    <w:rsid w:val="00A7525C"/>
    <w:rsid w:val="00A75511"/>
    <w:rsid w:val="00A77B25"/>
    <w:rsid w:val="00A83153"/>
    <w:rsid w:val="00A86BA9"/>
    <w:rsid w:val="00A8785A"/>
    <w:rsid w:val="00A90432"/>
    <w:rsid w:val="00A92BD3"/>
    <w:rsid w:val="00AA0EAC"/>
    <w:rsid w:val="00AA690F"/>
    <w:rsid w:val="00AB01F6"/>
    <w:rsid w:val="00AB0DB7"/>
    <w:rsid w:val="00AB0E27"/>
    <w:rsid w:val="00AB632A"/>
    <w:rsid w:val="00AC0B1A"/>
    <w:rsid w:val="00AC24D4"/>
    <w:rsid w:val="00AC28E3"/>
    <w:rsid w:val="00AC46F5"/>
    <w:rsid w:val="00AC4F32"/>
    <w:rsid w:val="00AD101F"/>
    <w:rsid w:val="00AD191A"/>
    <w:rsid w:val="00AD5135"/>
    <w:rsid w:val="00AD5DDB"/>
    <w:rsid w:val="00AD721B"/>
    <w:rsid w:val="00AD783C"/>
    <w:rsid w:val="00AE3A7F"/>
    <w:rsid w:val="00AE6B9C"/>
    <w:rsid w:val="00AF0B1F"/>
    <w:rsid w:val="00AF62C2"/>
    <w:rsid w:val="00AF65B5"/>
    <w:rsid w:val="00AF72FB"/>
    <w:rsid w:val="00B00D76"/>
    <w:rsid w:val="00B035A4"/>
    <w:rsid w:val="00B03D10"/>
    <w:rsid w:val="00B04BB8"/>
    <w:rsid w:val="00B05FDA"/>
    <w:rsid w:val="00B13ACD"/>
    <w:rsid w:val="00B146C0"/>
    <w:rsid w:val="00B21BCF"/>
    <w:rsid w:val="00B220D0"/>
    <w:rsid w:val="00B32E4E"/>
    <w:rsid w:val="00B404C9"/>
    <w:rsid w:val="00B43F32"/>
    <w:rsid w:val="00B443F1"/>
    <w:rsid w:val="00B4456F"/>
    <w:rsid w:val="00B57877"/>
    <w:rsid w:val="00B61F61"/>
    <w:rsid w:val="00B62BCE"/>
    <w:rsid w:val="00B63BBC"/>
    <w:rsid w:val="00B76A26"/>
    <w:rsid w:val="00B802A8"/>
    <w:rsid w:val="00B80C26"/>
    <w:rsid w:val="00B90CF8"/>
    <w:rsid w:val="00B91986"/>
    <w:rsid w:val="00B91EF8"/>
    <w:rsid w:val="00B9671C"/>
    <w:rsid w:val="00B96E4F"/>
    <w:rsid w:val="00BA28F5"/>
    <w:rsid w:val="00BA3A7D"/>
    <w:rsid w:val="00BA688E"/>
    <w:rsid w:val="00BB3408"/>
    <w:rsid w:val="00BB4052"/>
    <w:rsid w:val="00BB46BB"/>
    <w:rsid w:val="00BB5DCC"/>
    <w:rsid w:val="00BB7396"/>
    <w:rsid w:val="00BC002D"/>
    <w:rsid w:val="00BC7341"/>
    <w:rsid w:val="00BC78DA"/>
    <w:rsid w:val="00BD17E4"/>
    <w:rsid w:val="00BD4333"/>
    <w:rsid w:val="00BE07E2"/>
    <w:rsid w:val="00BE2447"/>
    <w:rsid w:val="00BE2AD6"/>
    <w:rsid w:val="00BE609B"/>
    <w:rsid w:val="00BF00BC"/>
    <w:rsid w:val="00BF10E4"/>
    <w:rsid w:val="00BF20DB"/>
    <w:rsid w:val="00BF2A76"/>
    <w:rsid w:val="00BF4225"/>
    <w:rsid w:val="00BF5F38"/>
    <w:rsid w:val="00C01408"/>
    <w:rsid w:val="00C04BD8"/>
    <w:rsid w:val="00C11026"/>
    <w:rsid w:val="00C1168C"/>
    <w:rsid w:val="00C1324B"/>
    <w:rsid w:val="00C144E4"/>
    <w:rsid w:val="00C2122A"/>
    <w:rsid w:val="00C2376A"/>
    <w:rsid w:val="00C339B3"/>
    <w:rsid w:val="00C34D41"/>
    <w:rsid w:val="00C35EB8"/>
    <w:rsid w:val="00C35FAB"/>
    <w:rsid w:val="00C41CBC"/>
    <w:rsid w:val="00C42D54"/>
    <w:rsid w:val="00C44E75"/>
    <w:rsid w:val="00C45804"/>
    <w:rsid w:val="00C472D8"/>
    <w:rsid w:val="00C476E1"/>
    <w:rsid w:val="00C56B6D"/>
    <w:rsid w:val="00C573F0"/>
    <w:rsid w:val="00C57504"/>
    <w:rsid w:val="00C61182"/>
    <w:rsid w:val="00C62DC1"/>
    <w:rsid w:val="00C70BF8"/>
    <w:rsid w:val="00C74AAF"/>
    <w:rsid w:val="00C76706"/>
    <w:rsid w:val="00C845B4"/>
    <w:rsid w:val="00C87AB5"/>
    <w:rsid w:val="00C923DD"/>
    <w:rsid w:val="00C93ED6"/>
    <w:rsid w:val="00C93FA9"/>
    <w:rsid w:val="00CA1B14"/>
    <w:rsid w:val="00CA5200"/>
    <w:rsid w:val="00CB0A76"/>
    <w:rsid w:val="00CB0E67"/>
    <w:rsid w:val="00CB58DD"/>
    <w:rsid w:val="00CC2551"/>
    <w:rsid w:val="00CC365B"/>
    <w:rsid w:val="00CC3C32"/>
    <w:rsid w:val="00CD0B5D"/>
    <w:rsid w:val="00CD4A29"/>
    <w:rsid w:val="00CD67C0"/>
    <w:rsid w:val="00CE13A5"/>
    <w:rsid w:val="00CE39F0"/>
    <w:rsid w:val="00CE45FE"/>
    <w:rsid w:val="00CF09B7"/>
    <w:rsid w:val="00CF1D2D"/>
    <w:rsid w:val="00CF38E8"/>
    <w:rsid w:val="00CF5110"/>
    <w:rsid w:val="00D0035F"/>
    <w:rsid w:val="00D00D91"/>
    <w:rsid w:val="00D012B5"/>
    <w:rsid w:val="00D01A67"/>
    <w:rsid w:val="00D046CC"/>
    <w:rsid w:val="00D05340"/>
    <w:rsid w:val="00D05EDF"/>
    <w:rsid w:val="00D1286C"/>
    <w:rsid w:val="00D12E66"/>
    <w:rsid w:val="00D169B9"/>
    <w:rsid w:val="00D20E96"/>
    <w:rsid w:val="00D235C5"/>
    <w:rsid w:val="00D23CA7"/>
    <w:rsid w:val="00D24D0D"/>
    <w:rsid w:val="00D31D7E"/>
    <w:rsid w:val="00D43A96"/>
    <w:rsid w:val="00D43F87"/>
    <w:rsid w:val="00D44E61"/>
    <w:rsid w:val="00D47F4C"/>
    <w:rsid w:val="00D52E3E"/>
    <w:rsid w:val="00D651EB"/>
    <w:rsid w:val="00D66F8C"/>
    <w:rsid w:val="00D70734"/>
    <w:rsid w:val="00D70797"/>
    <w:rsid w:val="00D73409"/>
    <w:rsid w:val="00D73F64"/>
    <w:rsid w:val="00D85C3B"/>
    <w:rsid w:val="00D9144F"/>
    <w:rsid w:val="00D933C2"/>
    <w:rsid w:val="00DA5FAE"/>
    <w:rsid w:val="00DA6668"/>
    <w:rsid w:val="00DB67ED"/>
    <w:rsid w:val="00DC034B"/>
    <w:rsid w:val="00DC7903"/>
    <w:rsid w:val="00DD394F"/>
    <w:rsid w:val="00DD4E9D"/>
    <w:rsid w:val="00DD771C"/>
    <w:rsid w:val="00DE4849"/>
    <w:rsid w:val="00DE6946"/>
    <w:rsid w:val="00DF30DF"/>
    <w:rsid w:val="00DF34EC"/>
    <w:rsid w:val="00DF6DD4"/>
    <w:rsid w:val="00E01563"/>
    <w:rsid w:val="00E031FB"/>
    <w:rsid w:val="00E05255"/>
    <w:rsid w:val="00E10780"/>
    <w:rsid w:val="00E11EF3"/>
    <w:rsid w:val="00E3299D"/>
    <w:rsid w:val="00E34F6D"/>
    <w:rsid w:val="00E3576C"/>
    <w:rsid w:val="00E36535"/>
    <w:rsid w:val="00E415CF"/>
    <w:rsid w:val="00E41727"/>
    <w:rsid w:val="00E45FD8"/>
    <w:rsid w:val="00E501DC"/>
    <w:rsid w:val="00E50CF4"/>
    <w:rsid w:val="00E55D49"/>
    <w:rsid w:val="00E57E7F"/>
    <w:rsid w:val="00E6253A"/>
    <w:rsid w:val="00E638A6"/>
    <w:rsid w:val="00E667FB"/>
    <w:rsid w:val="00E70A28"/>
    <w:rsid w:val="00E70E4C"/>
    <w:rsid w:val="00E7392A"/>
    <w:rsid w:val="00E87B99"/>
    <w:rsid w:val="00E9009E"/>
    <w:rsid w:val="00E96185"/>
    <w:rsid w:val="00EA0044"/>
    <w:rsid w:val="00EA0D56"/>
    <w:rsid w:val="00EA25DE"/>
    <w:rsid w:val="00EA2C08"/>
    <w:rsid w:val="00EA4081"/>
    <w:rsid w:val="00EA69AC"/>
    <w:rsid w:val="00EB02F3"/>
    <w:rsid w:val="00EB2049"/>
    <w:rsid w:val="00EB684E"/>
    <w:rsid w:val="00EC23C3"/>
    <w:rsid w:val="00EC25CF"/>
    <w:rsid w:val="00EC39A6"/>
    <w:rsid w:val="00EC4694"/>
    <w:rsid w:val="00ED192D"/>
    <w:rsid w:val="00EE709E"/>
    <w:rsid w:val="00EE7D55"/>
    <w:rsid w:val="00EF040F"/>
    <w:rsid w:val="00EF161C"/>
    <w:rsid w:val="00EF1678"/>
    <w:rsid w:val="00EF40E0"/>
    <w:rsid w:val="00F00A7B"/>
    <w:rsid w:val="00F021D6"/>
    <w:rsid w:val="00F05002"/>
    <w:rsid w:val="00F1554E"/>
    <w:rsid w:val="00F17A30"/>
    <w:rsid w:val="00F20D35"/>
    <w:rsid w:val="00F221E3"/>
    <w:rsid w:val="00F262C5"/>
    <w:rsid w:val="00F26711"/>
    <w:rsid w:val="00F27EBE"/>
    <w:rsid w:val="00F41960"/>
    <w:rsid w:val="00F43BA7"/>
    <w:rsid w:val="00F44638"/>
    <w:rsid w:val="00F44DE9"/>
    <w:rsid w:val="00F4536C"/>
    <w:rsid w:val="00F5136E"/>
    <w:rsid w:val="00F55531"/>
    <w:rsid w:val="00F5595F"/>
    <w:rsid w:val="00F55B8F"/>
    <w:rsid w:val="00F5781A"/>
    <w:rsid w:val="00F57FE3"/>
    <w:rsid w:val="00F601F6"/>
    <w:rsid w:val="00F61C5B"/>
    <w:rsid w:val="00F628F0"/>
    <w:rsid w:val="00F71C4B"/>
    <w:rsid w:val="00F73EE4"/>
    <w:rsid w:val="00F74068"/>
    <w:rsid w:val="00F77CC4"/>
    <w:rsid w:val="00F806C3"/>
    <w:rsid w:val="00F820AD"/>
    <w:rsid w:val="00F83F70"/>
    <w:rsid w:val="00F909EF"/>
    <w:rsid w:val="00F91D1B"/>
    <w:rsid w:val="00F92126"/>
    <w:rsid w:val="00F92EA4"/>
    <w:rsid w:val="00FA28F4"/>
    <w:rsid w:val="00FA4160"/>
    <w:rsid w:val="00FB40CE"/>
    <w:rsid w:val="00FB4EC1"/>
    <w:rsid w:val="00FB5943"/>
    <w:rsid w:val="00FB599B"/>
    <w:rsid w:val="00FB67F2"/>
    <w:rsid w:val="00FB7B59"/>
    <w:rsid w:val="00FC1208"/>
    <w:rsid w:val="00FC3BCE"/>
    <w:rsid w:val="00FC4679"/>
    <w:rsid w:val="00FC739F"/>
    <w:rsid w:val="00FD131E"/>
    <w:rsid w:val="00FD65D4"/>
    <w:rsid w:val="00FE6577"/>
    <w:rsid w:val="00FF2D1F"/>
    <w:rsid w:val="00FF60A1"/>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4FC4CB8B-6F11-4AB8-BC7A-3C4ABF29E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0F1A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4172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E41727"/>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0F1A5E"/>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42549A"/>
    <w:rPr>
      <w:color w:val="0000FF" w:themeColor="hyperlink"/>
      <w:u w:val="single"/>
    </w:rPr>
  </w:style>
  <w:style w:type="character" w:customStyle="1" w:styleId="10">
    <w:name w:val="إشارة لم يتم حلها1"/>
    <w:basedOn w:val="a0"/>
    <w:uiPriority w:val="99"/>
    <w:semiHidden/>
    <w:unhideWhenUsed/>
    <w:rsid w:val="0042549A"/>
    <w:rPr>
      <w:color w:val="605E5C"/>
      <w:shd w:val="clear" w:color="auto" w:fill="E1DFDD"/>
    </w:rPr>
  </w:style>
  <w:style w:type="character" w:styleId="ab">
    <w:name w:val="FollowedHyperlink"/>
    <w:basedOn w:val="a0"/>
    <w:uiPriority w:val="99"/>
    <w:semiHidden/>
    <w:unhideWhenUsed/>
    <w:rsid w:val="00D169B9"/>
    <w:rPr>
      <w:color w:val="800080" w:themeColor="followedHyperlink"/>
      <w:u w:val="single"/>
    </w:rPr>
  </w:style>
  <w:style w:type="character" w:customStyle="1" w:styleId="relative">
    <w:name w:val="relative"/>
    <w:basedOn w:val="a0"/>
    <w:rsid w:val="008B5CA5"/>
  </w:style>
  <w:style w:type="character" w:styleId="ac">
    <w:name w:val="Emphasis"/>
    <w:basedOn w:val="a0"/>
    <w:uiPriority w:val="20"/>
    <w:qFormat/>
    <w:rsid w:val="008B5CA5"/>
    <w:rPr>
      <w:i/>
      <w:iCs/>
    </w:rPr>
  </w:style>
  <w:style w:type="character" w:customStyle="1" w:styleId="ms-1">
    <w:name w:val="ms-1"/>
    <w:basedOn w:val="a0"/>
    <w:rsid w:val="008B5CA5"/>
  </w:style>
  <w:style w:type="character" w:customStyle="1" w:styleId="max-w-full">
    <w:name w:val="max-w-full"/>
    <w:basedOn w:val="a0"/>
    <w:rsid w:val="008B5CA5"/>
  </w:style>
  <w:style w:type="character" w:customStyle="1" w:styleId="-me-1">
    <w:name w:val="-me-1"/>
    <w:basedOn w:val="a0"/>
    <w:rsid w:val="008B5C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00104">
      <w:bodyDiv w:val="1"/>
      <w:marLeft w:val="0"/>
      <w:marRight w:val="0"/>
      <w:marTop w:val="0"/>
      <w:marBottom w:val="0"/>
      <w:divBdr>
        <w:top w:val="none" w:sz="0" w:space="0" w:color="auto"/>
        <w:left w:val="none" w:sz="0" w:space="0" w:color="auto"/>
        <w:bottom w:val="none" w:sz="0" w:space="0" w:color="auto"/>
        <w:right w:val="none" w:sz="0" w:space="0" w:color="auto"/>
      </w:divBdr>
      <w:divsChild>
        <w:div w:id="1340155259">
          <w:marLeft w:val="0"/>
          <w:marRight w:val="0"/>
          <w:marTop w:val="0"/>
          <w:marBottom w:val="0"/>
          <w:divBdr>
            <w:top w:val="none" w:sz="0" w:space="0" w:color="auto"/>
            <w:left w:val="none" w:sz="0" w:space="0" w:color="auto"/>
            <w:bottom w:val="none" w:sz="0" w:space="0" w:color="auto"/>
            <w:right w:val="none" w:sz="0" w:space="0" w:color="auto"/>
          </w:divBdr>
          <w:divsChild>
            <w:div w:id="287709061">
              <w:marLeft w:val="0"/>
              <w:marRight w:val="0"/>
              <w:marTop w:val="0"/>
              <w:marBottom w:val="0"/>
              <w:divBdr>
                <w:top w:val="none" w:sz="0" w:space="0" w:color="auto"/>
                <w:left w:val="none" w:sz="0" w:space="0" w:color="auto"/>
                <w:bottom w:val="none" w:sz="0" w:space="0" w:color="auto"/>
                <w:right w:val="none" w:sz="0" w:space="0" w:color="auto"/>
              </w:divBdr>
              <w:divsChild>
                <w:div w:id="357200681">
                  <w:marLeft w:val="0"/>
                  <w:marRight w:val="0"/>
                  <w:marTop w:val="0"/>
                  <w:marBottom w:val="0"/>
                  <w:divBdr>
                    <w:top w:val="none" w:sz="0" w:space="0" w:color="auto"/>
                    <w:left w:val="none" w:sz="0" w:space="0" w:color="auto"/>
                    <w:bottom w:val="none" w:sz="0" w:space="0" w:color="auto"/>
                    <w:right w:val="none" w:sz="0" w:space="0" w:color="auto"/>
                  </w:divBdr>
                  <w:divsChild>
                    <w:div w:id="1665619190">
                      <w:marLeft w:val="0"/>
                      <w:marRight w:val="0"/>
                      <w:marTop w:val="0"/>
                      <w:marBottom w:val="0"/>
                      <w:divBdr>
                        <w:top w:val="none" w:sz="0" w:space="0" w:color="auto"/>
                        <w:left w:val="none" w:sz="0" w:space="0" w:color="auto"/>
                        <w:bottom w:val="none" w:sz="0" w:space="0" w:color="auto"/>
                        <w:right w:val="none" w:sz="0" w:space="0" w:color="auto"/>
                      </w:divBdr>
                      <w:divsChild>
                        <w:div w:id="449250457">
                          <w:marLeft w:val="0"/>
                          <w:marRight w:val="0"/>
                          <w:marTop w:val="0"/>
                          <w:marBottom w:val="0"/>
                          <w:divBdr>
                            <w:top w:val="none" w:sz="0" w:space="0" w:color="auto"/>
                            <w:left w:val="none" w:sz="0" w:space="0" w:color="auto"/>
                            <w:bottom w:val="none" w:sz="0" w:space="0" w:color="auto"/>
                            <w:right w:val="none" w:sz="0" w:space="0" w:color="auto"/>
                          </w:divBdr>
                          <w:divsChild>
                            <w:div w:id="70806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254780">
                  <w:marLeft w:val="0"/>
                  <w:marRight w:val="0"/>
                  <w:marTop w:val="0"/>
                  <w:marBottom w:val="0"/>
                  <w:divBdr>
                    <w:top w:val="none" w:sz="0" w:space="0" w:color="auto"/>
                    <w:left w:val="none" w:sz="0" w:space="0" w:color="auto"/>
                    <w:bottom w:val="none" w:sz="0" w:space="0" w:color="auto"/>
                    <w:right w:val="none" w:sz="0" w:space="0" w:color="auto"/>
                  </w:divBdr>
                  <w:divsChild>
                    <w:div w:id="438795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93495">
      <w:bodyDiv w:val="1"/>
      <w:marLeft w:val="0"/>
      <w:marRight w:val="0"/>
      <w:marTop w:val="0"/>
      <w:marBottom w:val="0"/>
      <w:divBdr>
        <w:top w:val="none" w:sz="0" w:space="0" w:color="auto"/>
        <w:left w:val="none" w:sz="0" w:space="0" w:color="auto"/>
        <w:bottom w:val="none" w:sz="0" w:space="0" w:color="auto"/>
        <w:right w:val="none" w:sz="0" w:space="0" w:color="auto"/>
      </w:divBdr>
    </w:div>
    <w:div w:id="31611503">
      <w:bodyDiv w:val="1"/>
      <w:marLeft w:val="0"/>
      <w:marRight w:val="0"/>
      <w:marTop w:val="0"/>
      <w:marBottom w:val="0"/>
      <w:divBdr>
        <w:top w:val="none" w:sz="0" w:space="0" w:color="auto"/>
        <w:left w:val="none" w:sz="0" w:space="0" w:color="auto"/>
        <w:bottom w:val="none" w:sz="0" w:space="0" w:color="auto"/>
        <w:right w:val="none" w:sz="0" w:space="0" w:color="auto"/>
      </w:divBdr>
      <w:divsChild>
        <w:div w:id="1120221618">
          <w:marLeft w:val="0"/>
          <w:marRight w:val="0"/>
          <w:marTop w:val="0"/>
          <w:marBottom w:val="0"/>
          <w:divBdr>
            <w:top w:val="none" w:sz="0" w:space="0" w:color="auto"/>
            <w:left w:val="none" w:sz="0" w:space="0" w:color="auto"/>
            <w:bottom w:val="none" w:sz="0" w:space="0" w:color="auto"/>
            <w:right w:val="none" w:sz="0" w:space="0" w:color="auto"/>
          </w:divBdr>
          <w:divsChild>
            <w:div w:id="1014570535">
              <w:marLeft w:val="0"/>
              <w:marRight w:val="0"/>
              <w:marTop w:val="0"/>
              <w:marBottom w:val="0"/>
              <w:divBdr>
                <w:top w:val="none" w:sz="0" w:space="0" w:color="auto"/>
                <w:left w:val="none" w:sz="0" w:space="0" w:color="auto"/>
                <w:bottom w:val="none" w:sz="0" w:space="0" w:color="auto"/>
                <w:right w:val="none" w:sz="0" w:space="0" w:color="auto"/>
              </w:divBdr>
              <w:divsChild>
                <w:div w:id="135874496">
                  <w:marLeft w:val="0"/>
                  <w:marRight w:val="0"/>
                  <w:marTop w:val="0"/>
                  <w:marBottom w:val="0"/>
                  <w:divBdr>
                    <w:top w:val="none" w:sz="0" w:space="0" w:color="auto"/>
                    <w:left w:val="none" w:sz="0" w:space="0" w:color="auto"/>
                    <w:bottom w:val="none" w:sz="0" w:space="0" w:color="auto"/>
                    <w:right w:val="none" w:sz="0" w:space="0" w:color="auto"/>
                  </w:divBdr>
                  <w:divsChild>
                    <w:div w:id="1767381568">
                      <w:marLeft w:val="0"/>
                      <w:marRight w:val="0"/>
                      <w:marTop w:val="0"/>
                      <w:marBottom w:val="0"/>
                      <w:divBdr>
                        <w:top w:val="none" w:sz="0" w:space="0" w:color="auto"/>
                        <w:left w:val="none" w:sz="0" w:space="0" w:color="auto"/>
                        <w:bottom w:val="none" w:sz="0" w:space="0" w:color="auto"/>
                        <w:right w:val="none" w:sz="0" w:space="0" w:color="auto"/>
                      </w:divBdr>
                      <w:divsChild>
                        <w:div w:id="914049712">
                          <w:marLeft w:val="0"/>
                          <w:marRight w:val="0"/>
                          <w:marTop w:val="0"/>
                          <w:marBottom w:val="0"/>
                          <w:divBdr>
                            <w:top w:val="none" w:sz="0" w:space="0" w:color="auto"/>
                            <w:left w:val="none" w:sz="0" w:space="0" w:color="auto"/>
                            <w:bottom w:val="none" w:sz="0" w:space="0" w:color="auto"/>
                            <w:right w:val="none" w:sz="0" w:space="0" w:color="auto"/>
                          </w:divBdr>
                          <w:divsChild>
                            <w:div w:id="12959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631399">
                  <w:marLeft w:val="0"/>
                  <w:marRight w:val="0"/>
                  <w:marTop w:val="0"/>
                  <w:marBottom w:val="0"/>
                  <w:divBdr>
                    <w:top w:val="none" w:sz="0" w:space="0" w:color="auto"/>
                    <w:left w:val="none" w:sz="0" w:space="0" w:color="auto"/>
                    <w:bottom w:val="none" w:sz="0" w:space="0" w:color="auto"/>
                    <w:right w:val="none" w:sz="0" w:space="0" w:color="auto"/>
                  </w:divBdr>
                  <w:divsChild>
                    <w:div w:id="52332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67233">
      <w:bodyDiv w:val="1"/>
      <w:marLeft w:val="0"/>
      <w:marRight w:val="0"/>
      <w:marTop w:val="0"/>
      <w:marBottom w:val="0"/>
      <w:divBdr>
        <w:top w:val="none" w:sz="0" w:space="0" w:color="auto"/>
        <w:left w:val="none" w:sz="0" w:space="0" w:color="auto"/>
        <w:bottom w:val="none" w:sz="0" w:space="0" w:color="auto"/>
        <w:right w:val="none" w:sz="0" w:space="0" w:color="auto"/>
      </w:divBdr>
    </w:div>
    <w:div w:id="39600010">
      <w:bodyDiv w:val="1"/>
      <w:marLeft w:val="0"/>
      <w:marRight w:val="0"/>
      <w:marTop w:val="0"/>
      <w:marBottom w:val="0"/>
      <w:divBdr>
        <w:top w:val="none" w:sz="0" w:space="0" w:color="auto"/>
        <w:left w:val="none" w:sz="0" w:space="0" w:color="auto"/>
        <w:bottom w:val="none" w:sz="0" w:space="0" w:color="auto"/>
        <w:right w:val="none" w:sz="0" w:space="0" w:color="auto"/>
      </w:divBdr>
      <w:divsChild>
        <w:div w:id="11379126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717344">
      <w:bodyDiv w:val="1"/>
      <w:marLeft w:val="0"/>
      <w:marRight w:val="0"/>
      <w:marTop w:val="0"/>
      <w:marBottom w:val="0"/>
      <w:divBdr>
        <w:top w:val="none" w:sz="0" w:space="0" w:color="auto"/>
        <w:left w:val="none" w:sz="0" w:space="0" w:color="auto"/>
        <w:bottom w:val="none" w:sz="0" w:space="0" w:color="auto"/>
        <w:right w:val="none" w:sz="0" w:space="0" w:color="auto"/>
      </w:divBdr>
      <w:divsChild>
        <w:div w:id="643967036">
          <w:marLeft w:val="0"/>
          <w:marRight w:val="0"/>
          <w:marTop w:val="0"/>
          <w:marBottom w:val="0"/>
          <w:divBdr>
            <w:top w:val="none" w:sz="0" w:space="0" w:color="auto"/>
            <w:left w:val="none" w:sz="0" w:space="0" w:color="auto"/>
            <w:bottom w:val="none" w:sz="0" w:space="0" w:color="auto"/>
            <w:right w:val="none" w:sz="0" w:space="0" w:color="auto"/>
          </w:divBdr>
          <w:divsChild>
            <w:div w:id="6063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81140">
      <w:bodyDiv w:val="1"/>
      <w:marLeft w:val="0"/>
      <w:marRight w:val="0"/>
      <w:marTop w:val="0"/>
      <w:marBottom w:val="0"/>
      <w:divBdr>
        <w:top w:val="none" w:sz="0" w:space="0" w:color="auto"/>
        <w:left w:val="none" w:sz="0" w:space="0" w:color="auto"/>
        <w:bottom w:val="none" w:sz="0" w:space="0" w:color="auto"/>
        <w:right w:val="none" w:sz="0" w:space="0" w:color="auto"/>
      </w:divBdr>
    </w:div>
    <w:div w:id="62025086">
      <w:bodyDiv w:val="1"/>
      <w:marLeft w:val="0"/>
      <w:marRight w:val="0"/>
      <w:marTop w:val="0"/>
      <w:marBottom w:val="0"/>
      <w:divBdr>
        <w:top w:val="none" w:sz="0" w:space="0" w:color="auto"/>
        <w:left w:val="none" w:sz="0" w:space="0" w:color="auto"/>
        <w:bottom w:val="none" w:sz="0" w:space="0" w:color="auto"/>
        <w:right w:val="none" w:sz="0" w:space="0" w:color="auto"/>
      </w:divBdr>
    </w:div>
    <w:div w:id="68620637">
      <w:bodyDiv w:val="1"/>
      <w:marLeft w:val="0"/>
      <w:marRight w:val="0"/>
      <w:marTop w:val="0"/>
      <w:marBottom w:val="0"/>
      <w:divBdr>
        <w:top w:val="none" w:sz="0" w:space="0" w:color="auto"/>
        <w:left w:val="none" w:sz="0" w:space="0" w:color="auto"/>
        <w:bottom w:val="none" w:sz="0" w:space="0" w:color="auto"/>
        <w:right w:val="none" w:sz="0" w:space="0" w:color="auto"/>
      </w:divBdr>
    </w:div>
    <w:div w:id="75370692">
      <w:bodyDiv w:val="1"/>
      <w:marLeft w:val="0"/>
      <w:marRight w:val="0"/>
      <w:marTop w:val="0"/>
      <w:marBottom w:val="0"/>
      <w:divBdr>
        <w:top w:val="none" w:sz="0" w:space="0" w:color="auto"/>
        <w:left w:val="none" w:sz="0" w:space="0" w:color="auto"/>
        <w:bottom w:val="none" w:sz="0" w:space="0" w:color="auto"/>
        <w:right w:val="none" w:sz="0" w:space="0" w:color="auto"/>
      </w:divBdr>
    </w:div>
    <w:div w:id="79059236">
      <w:bodyDiv w:val="1"/>
      <w:marLeft w:val="0"/>
      <w:marRight w:val="0"/>
      <w:marTop w:val="0"/>
      <w:marBottom w:val="0"/>
      <w:divBdr>
        <w:top w:val="none" w:sz="0" w:space="0" w:color="auto"/>
        <w:left w:val="none" w:sz="0" w:space="0" w:color="auto"/>
        <w:bottom w:val="none" w:sz="0" w:space="0" w:color="auto"/>
        <w:right w:val="none" w:sz="0" w:space="0" w:color="auto"/>
      </w:divBdr>
    </w:div>
    <w:div w:id="84687548">
      <w:bodyDiv w:val="1"/>
      <w:marLeft w:val="0"/>
      <w:marRight w:val="0"/>
      <w:marTop w:val="0"/>
      <w:marBottom w:val="0"/>
      <w:divBdr>
        <w:top w:val="none" w:sz="0" w:space="0" w:color="auto"/>
        <w:left w:val="none" w:sz="0" w:space="0" w:color="auto"/>
        <w:bottom w:val="none" w:sz="0" w:space="0" w:color="auto"/>
        <w:right w:val="none" w:sz="0" w:space="0" w:color="auto"/>
      </w:divBdr>
    </w:div>
    <w:div w:id="107697449">
      <w:bodyDiv w:val="1"/>
      <w:marLeft w:val="0"/>
      <w:marRight w:val="0"/>
      <w:marTop w:val="0"/>
      <w:marBottom w:val="0"/>
      <w:divBdr>
        <w:top w:val="none" w:sz="0" w:space="0" w:color="auto"/>
        <w:left w:val="none" w:sz="0" w:space="0" w:color="auto"/>
        <w:bottom w:val="none" w:sz="0" w:space="0" w:color="auto"/>
        <w:right w:val="none" w:sz="0" w:space="0" w:color="auto"/>
      </w:divBdr>
    </w:div>
    <w:div w:id="122383463">
      <w:bodyDiv w:val="1"/>
      <w:marLeft w:val="0"/>
      <w:marRight w:val="0"/>
      <w:marTop w:val="0"/>
      <w:marBottom w:val="0"/>
      <w:divBdr>
        <w:top w:val="none" w:sz="0" w:space="0" w:color="auto"/>
        <w:left w:val="none" w:sz="0" w:space="0" w:color="auto"/>
        <w:bottom w:val="none" w:sz="0" w:space="0" w:color="auto"/>
        <w:right w:val="none" w:sz="0" w:space="0" w:color="auto"/>
      </w:divBdr>
      <w:divsChild>
        <w:div w:id="99759171">
          <w:marLeft w:val="0"/>
          <w:marRight w:val="0"/>
          <w:marTop w:val="0"/>
          <w:marBottom w:val="0"/>
          <w:divBdr>
            <w:top w:val="none" w:sz="0" w:space="0" w:color="auto"/>
            <w:left w:val="none" w:sz="0" w:space="0" w:color="auto"/>
            <w:bottom w:val="none" w:sz="0" w:space="0" w:color="auto"/>
            <w:right w:val="none" w:sz="0" w:space="0" w:color="auto"/>
          </w:divBdr>
          <w:divsChild>
            <w:div w:id="1562449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40537">
      <w:bodyDiv w:val="1"/>
      <w:marLeft w:val="0"/>
      <w:marRight w:val="0"/>
      <w:marTop w:val="0"/>
      <w:marBottom w:val="0"/>
      <w:divBdr>
        <w:top w:val="none" w:sz="0" w:space="0" w:color="auto"/>
        <w:left w:val="none" w:sz="0" w:space="0" w:color="auto"/>
        <w:bottom w:val="none" w:sz="0" w:space="0" w:color="auto"/>
        <w:right w:val="none" w:sz="0" w:space="0" w:color="auto"/>
      </w:divBdr>
    </w:div>
    <w:div w:id="140076954">
      <w:bodyDiv w:val="1"/>
      <w:marLeft w:val="0"/>
      <w:marRight w:val="0"/>
      <w:marTop w:val="0"/>
      <w:marBottom w:val="0"/>
      <w:divBdr>
        <w:top w:val="none" w:sz="0" w:space="0" w:color="auto"/>
        <w:left w:val="none" w:sz="0" w:space="0" w:color="auto"/>
        <w:bottom w:val="none" w:sz="0" w:space="0" w:color="auto"/>
        <w:right w:val="none" w:sz="0" w:space="0" w:color="auto"/>
      </w:divBdr>
    </w:div>
    <w:div w:id="145976943">
      <w:bodyDiv w:val="1"/>
      <w:marLeft w:val="0"/>
      <w:marRight w:val="0"/>
      <w:marTop w:val="0"/>
      <w:marBottom w:val="0"/>
      <w:divBdr>
        <w:top w:val="none" w:sz="0" w:space="0" w:color="auto"/>
        <w:left w:val="none" w:sz="0" w:space="0" w:color="auto"/>
        <w:bottom w:val="none" w:sz="0" w:space="0" w:color="auto"/>
        <w:right w:val="none" w:sz="0" w:space="0" w:color="auto"/>
      </w:divBdr>
    </w:div>
    <w:div w:id="149759540">
      <w:bodyDiv w:val="1"/>
      <w:marLeft w:val="0"/>
      <w:marRight w:val="0"/>
      <w:marTop w:val="0"/>
      <w:marBottom w:val="0"/>
      <w:divBdr>
        <w:top w:val="none" w:sz="0" w:space="0" w:color="auto"/>
        <w:left w:val="none" w:sz="0" w:space="0" w:color="auto"/>
        <w:bottom w:val="none" w:sz="0" w:space="0" w:color="auto"/>
        <w:right w:val="none" w:sz="0" w:space="0" w:color="auto"/>
      </w:divBdr>
    </w:div>
    <w:div w:id="160781940">
      <w:bodyDiv w:val="1"/>
      <w:marLeft w:val="0"/>
      <w:marRight w:val="0"/>
      <w:marTop w:val="0"/>
      <w:marBottom w:val="0"/>
      <w:divBdr>
        <w:top w:val="none" w:sz="0" w:space="0" w:color="auto"/>
        <w:left w:val="none" w:sz="0" w:space="0" w:color="auto"/>
        <w:bottom w:val="none" w:sz="0" w:space="0" w:color="auto"/>
        <w:right w:val="none" w:sz="0" w:space="0" w:color="auto"/>
      </w:divBdr>
    </w:div>
    <w:div w:id="164591791">
      <w:bodyDiv w:val="1"/>
      <w:marLeft w:val="0"/>
      <w:marRight w:val="0"/>
      <w:marTop w:val="0"/>
      <w:marBottom w:val="0"/>
      <w:divBdr>
        <w:top w:val="none" w:sz="0" w:space="0" w:color="auto"/>
        <w:left w:val="none" w:sz="0" w:space="0" w:color="auto"/>
        <w:bottom w:val="none" w:sz="0" w:space="0" w:color="auto"/>
        <w:right w:val="none" w:sz="0" w:space="0" w:color="auto"/>
      </w:divBdr>
    </w:div>
    <w:div w:id="166672360">
      <w:bodyDiv w:val="1"/>
      <w:marLeft w:val="0"/>
      <w:marRight w:val="0"/>
      <w:marTop w:val="0"/>
      <w:marBottom w:val="0"/>
      <w:divBdr>
        <w:top w:val="none" w:sz="0" w:space="0" w:color="auto"/>
        <w:left w:val="none" w:sz="0" w:space="0" w:color="auto"/>
        <w:bottom w:val="none" w:sz="0" w:space="0" w:color="auto"/>
        <w:right w:val="none" w:sz="0" w:space="0" w:color="auto"/>
      </w:divBdr>
    </w:div>
    <w:div w:id="172763442">
      <w:bodyDiv w:val="1"/>
      <w:marLeft w:val="0"/>
      <w:marRight w:val="0"/>
      <w:marTop w:val="0"/>
      <w:marBottom w:val="0"/>
      <w:divBdr>
        <w:top w:val="none" w:sz="0" w:space="0" w:color="auto"/>
        <w:left w:val="none" w:sz="0" w:space="0" w:color="auto"/>
        <w:bottom w:val="none" w:sz="0" w:space="0" w:color="auto"/>
        <w:right w:val="none" w:sz="0" w:space="0" w:color="auto"/>
      </w:divBdr>
    </w:div>
    <w:div w:id="195431395">
      <w:bodyDiv w:val="1"/>
      <w:marLeft w:val="0"/>
      <w:marRight w:val="0"/>
      <w:marTop w:val="0"/>
      <w:marBottom w:val="0"/>
      <w:divBdr>
        <w:top w:val="none" w:sz="0" w:space="0" w:color="auto"/>
        <w:left w:val="none" w:sz="0" w:space="0" w:color="auto"/>
        <w:bottom w:val="none" w:sz="0" w:space="0" w:color="auto"/>
        <w:right w:val="none" w:sz="0" w:space="0" w:color="auto"/>
      </w:divBdr>
    </w:div>
    <w:div w:id="198856627">
      <w:bodyDiv w:val="1"/>
      <w:marLeft w:val="0"/>
      <w:marRight w:val="0"/>
      <w:marTop w:val="0"/>
      <w:marBottom w:val="0"/>
      <w:divBdr>
        <w:top w:val="none" w:sz="0" w:space="0" w:color="auto"/>
        <w:left w:val="none" w:sz="0" w:space="0" w:color="auto"/>
        <w:bottom w:val="none" w:sz="0" w:space="0" w:color="auto"/>
        <w:right w:val="none" w:sz="0" w:space="0" w:color="auto"/>
      </w:divBdr>
    </w:div>
    <w:div w:id="206836682">
      <w:bodyDiv w:val="1"/>
      <w:marLeft w:val="0"/>
      <w:marRight w:val="0"/>
      <w:marTop w:val="0"/>
      <w:marBottom w:val="0"/>
      <w:divBdr>
        <w:top w:val="none" w:sz="0" w:space="0" w:color="auto"/>
        <w:left w:val="none" w:sz="0" w:space="0" w:color="auto"/>
        <w:bottom w:val="none" w:sz="0" w:space="0" w:color="auto"/>
        <w:right w:val="none" w:sz="0" w:space="0" w:color="auto"/>
      </w:divBdr>
    </w:div>
    <w:div w:id="241448036">
      <w:bodyDiv w:val="1"/>
      <w:marLeft w:val="0"/>
      <w:marRight w:val="0"/>
      <w:marTop w:val="0"/>
      <w:marBottom w:val="0"/>
      <w:divBdr>
        <w:top w:val="none" w:sz="0" w:space="0" w:color="auto"/>
        <w:left w:val="none" w:sz="0" w:space="0" w:color="auto"/>
        <w:bottom w:val="none" w:sz="0" w:space="0" w:color="auto"/>
        <w:right w:val="none" w:sz="0" w:space="0" w:color="auto"/>
      </w:divBdr>
      <w:divsChild>
        <w:div w:id="11515633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5694962">
      <w:bodyDiv w:val="1"/>
      <w:marLeft w:val="0"/>
      <w:marRight w:val="0"/>
      <w:marTop w:val="0"/>
      <w:marBottom w:val="0"/>
      <w:divBdr>
        <w:top w:val="none" w:sz="0" w:space="0" w:color="auto"/>
        <w:left w:val="none" w:sz="0" w:space="0" w:color="auto"/>
        <w:bottom w:val="none" w:sz="0" w:space="0" w:color="auto"/>
        <w:right w:val="none" w:sz="0" w:space="0" w:color="auto"/>
      </w:divBdr>
    </w:div>
    <w:div w:id="246496965">
      <w:bodyDiv w:val="1"/>
      <w:marLeft w:val="0"/>
      <w:marRight w:val="0"/>
      <w:marTop w:val="0"/>
      <w:marBottom w:val="0"/>
      <w:divBdr>
        <w:top w:val="none" w:sz="0" w:space="0" w:color="auto"/>
        <w:left w:val="none" w:sz="0" w:space="0" w:color="auto"/>
        <w:bottom w:val="none" w:sz="0" w:space="0" w:color="auto"/>
        <w:right w:val="none" w:sz="0" w:space="0" w:color="auto"/>
      </w:divBdr>
    </w:div>
    <w:div w:id="266692641">
      <w:bodyDiv w:val="1"/>
      <w:marLeft w:val="0"/>
      <w:marRight w:val="0"/>
      <w:marTop w:val="0"/>
      <w:marBottom w:val="0"/>
      <w:divBdr>
        <w:top w:val="none" w:sz="0" w:space="0" w:color="auto"/>
        <w:left w:val="none" w:sz="0" w:space="0" w:color="auto"/>
        <w:bottom w:val="none" w:sz="0" w:space="0" w:color="auto"/>
        <w:right w:val="none" w:sz="0" w:space="0" w:color="auto"/>
      </w:divBdr>
    </w:div>
    <w:div w:id="283927294">
      <w:bodyDiv w:val="1"/>
      <w:marLeft w:val="0"/>
      <w:marRight w:val="0"/>
      <w:marTop w:val="0"/>
      <w:marBottom w:val="0"/>
      <w:divBdr>
        <w:top w:val="none" w:sz="0" w:space="0" w:color="auto"/>
        <w:left w:val="none" w:sz="0" w:space="0" w:color="auto"/>
        <w:bottom w:val="none" w:sz="0" w:space="0" w:color="auto"/>
        <w:right w:val="none" w:sz="0" w:space="0" w:color="auto"/>
      </w:divBdr>
    </w:div>
    <w:div w:id="287586641">
      <w:bodyDiv w:val="1"/>
      <w:marLeft w:val="0"/>
      <w:marRight w:val="0"/>
      <w:marTop w:val="0"/>
      <w:marBottom w:val="0"/>
      <w:divBdr>
        <w:top w:val="none" w:sz="0" w:space="0" w:color="auto"/>
        <w:left w:val="none" w:sz="0" w:space="0" w:color="auto"/>
        <w:bottom w:val="none" w:sz="0" w:space="0" w:color="auto"/>
        <w:right w:val="none" w:sz="0" w:space="0" w:color="auto"/>
      </w:divBdr>
    </w:div>
    <w:div w:id="289629661">
      <w:bodyDiv w:val="1"/>
      <w:marLeft w:val="0"/>
      <w:marRight w:val="0"/>
      <w:marTop w:val="0"/>
      <w:marBottom w:val="0"/>
      <w:divBdr>
        <w:top w:val="none" w:sz="0" w:space="0" w:color="auto"/>
        <w:left w:val="none" w:sz="0" w:space="0" w:color="auto"/>
        <w:bottom w:val="none" w:sz="0" w:space="0" w:color="auto"/>
        <w:right w:val="none" w:sz="0" w:space="0" w:color="auto"/>
      </w:divBdr>
    </w:div>
    <w:div w:id="294026947">
      <w:bodyDiv w:val="1"/>
      <w:marLeft w:val="0"/>
      <w:marRight w:val="0"/>
      <w:marTop w:val="0"/>
      <w:marBottom w:val="0"/>
      <w:divBdr>
        <w:top w:val="none" w:sz="0" w:space="0" w:color="auto"/>
        <w:left w:val="none" w:sz="0" w:space="0" w:color="auto"/>
        <w:bottom w:val="none" w:sz="0" w:space="0" w:color="auto"/>
        <w:right w:val="none" w:sz="0" w:space="0" w:color="auto"/>
      </w:divBdr>
    </w:div>
    <w:div w:id="306937730">
      <w:bodyDiv w:val="1"/>
      <w:marLeft w:val="0"/>
      <w:marRight w:val="0"/>
      <w:marTop w:val="0"/>
      <w:marBottom w:val="0"/>
      <w:divBdr>
        <w:top w:val="none" w:sz="0" w:space="0" w:color="auto"/>
        <w:left w:val="none" w:sz="0" w:space="0" w:color="auto"/>
        <w:bottom w:val="none" w:sz="0" w:space="0" w:color="auto"/>
        <w:right w:val="none" w:sz="0" w:space="0" w:color="auto"/>
      </w:divBdr>
      <w:divsChild>
        <w:div w:id="1848399208">
          <w:marLeft w:val="0"/>
          <w:marRight w:val="0"/>
          <w:marTop w:val="0"/>
          <w:marBottom w:val="0"/>
          <w:divBdr>
            <w:top w:val="none" w:sz="0" w:space="0" w:color="auto"/>
            <w:left w:val="none" w:sz="0" w:space="0" w:color="auto"/>
            <w:bottom w:val="none" w:sz="0" w:space="0" w:color="auto"/>
            <w:right w:val="none" w:sz="0" w:space="0" w:color="auto"/>
          </w:divBdr>
          <w:divsChild>
            <w:div w:id="491023651">
              <w:marLeft w:val="0"/>
              <w:marRight w:val="0"/>
              <w:marTop w:val="0"/>
              <w:marBottom w:val="0"/>
              <w:divBdr>
                <w:top w:val="none" w:sz="0" w:space="0" w:color="auto"/>
                <w:left w:val="none" w:sz="0" w:space="0" w:color="auto"/>
                <w:bottom w:val="none" w:sz="0" w:space="0" w:color="auto"/>
                <w:right w:val="none" w:sz="0" w:space="0" w:color="auto"/>
              </w:divBdr>
              <w:divsChild>
                <w:div w:id="34235009">
                  <w:marLeft w:val="0"/>
                  <w:marRight w:val="0"/>
                  <w:marTop w:val="0"/>
                  <w:marBottom w:val="0"/>
                  <w:divBdr>
                    <w:top w:val="none" w:sz="0" w:space="0" w:color="auto"/>
                    <w:left w:val="none" w:sz="0" w:space="0" w:color="auto"/>
                    <w:bottom w:val="none" w:sz="0" w:space="0" w:color="auto"/>
                    <w:right w:val="none" w:sz="0" w:space="0" w:color="auto"/>
                  </w:divBdr>
                  <w:divsChild>
                    <w:div w:id="1817182802">
                      <w:marLeft w:val="0"/>
                      <w:marRight w:val="0"/>
                      <w:marTop w:val="0"/>
                      <w:marBottom w:val="0"/>
                      <w:divBdr>
                        <w:top w:val="none" w:sz="0" w:space="0" w:color="auto"/>
                        <w:left w:val="none" w:sz="0" w:space="0" w:color="auto"/>
                        <w:bottom w:val="none" w:sz="0" w:space="0" w:color="auto"/>
                        <w:right w:val="none" w:sz="0" w:space="0" w:color="auto"/>
                      </w:divBdr>
                    </w:div>
                  </w:divsChild>
                </w:div>
                <w:div w:id="1657417053">
                  <w:marLeft w:val="0"/>
                  <w:marRight w:val="0"/>
                  <w:marTop w:val="0"/>
                  <w:marBottom w:val="0"/>
                  <w:divBdr>
                    <w:top w:val="none" w:sz="0" w:space="0" w:color="auto"/>
                    <w:left w:val="none" w:sz="0" w:space="0" w:color="auto"/>
                    <w:bottom w:val="none" w:sz="0" w:space="0" w:color="auto"/>
                    <w:right w:val="none" w:sz="0" w:space="0" w:color="auto"/>
                  </w:divBdr>
                  <w:divsChild>
                    <w:div w:id="692418167">
                      <w:marLeft w:val="0"/>
                      <w:marRight w:val="0"/>
                      <w:marTop w:val="0"/>
                      <w:marBottom w:val="0"/>
                      <w:divBdr>
                        <w:top w:val="none" w:sz="0" w:space="0" w:color="auto"/>
                        <w:left w:val="none" w:sz="0" w:space="0" w:color="auto"/>
                        <w:bottom w:val="none" w:sz="0" w:space="0" w:color="auto"/>
                        <w:right w:val="none" w:sz="0" w:space="0" w:color="auto"/>
                      </w:divBdr>
                      <w:divsChild>
                        <w:div w:id="510729556">
                          <w:marLeft w:val="0"/>
                          <w:marRight w:val="0"/>
                          <w:marTop w:val="0"/>
                          <w:marBottom w:val="0"/>
                          <w:divBdr>
                            <w:top w:val="none" w:sz="0" w:space="0" w:color="auto"/>
                            <w:left w:val="none" w:sz="0" w:space="0" w:color="auto"/>
                            <w:bottom w:val="none" w:sz="0" w:space="0" w:color="auto"/>
                            <w:right w:val="none" w:sz="0" w:space="0" w:color="auto"/>
                          </w:divBdr>
                          <w:divsChild>
                            <w:div w:id="198426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7320416">
      <w:bodyDiv w:val="1"/>
      <w:marLeft w:val="0"/>
      <w:marRight w:val="0"/>
      <w:marTop w:val="0"/>
      <w:marBottom w:val="0"/>
      <w:divBdr>
        <w:top w:val="none" w:sz="0" w:space="0" w:color="auto"/>
        <w:left w:val="none" w:sz="0" w:space="0" w:color="auto"/>
        <w:bottom w:val="none" w:sz="0" w:space="0" w:color="auto"/>
        <w:right w:val="none" w:sz="0" w:space="0" w:color="auto"/>
      </w:divBdr>
    </w:div>
    <w:div w:id="323360609">
      <w:bodyDiv w:val="1"/>
      <w:marLeft w:val="0"/>
      <w:marRight w:val="0"/>
      <w:marTop w:val="0"/>
      <w:marBottom w:val="0"/>
      <w:divBdr>
        <w:top w:val="none" w:sz="0" w:space="0" w:color="auto"/>
        <w:left w:val="none" w:sz="0" w:space="0" w:color="auto"/>
        <w:bottom w:val="none" w:sz="0" w:space="0" w:color="auto"/>
        <w:right w:val="none" w:sz="0" w:space="0" w:color="auto"/>
      </w:divBdr>
    </w:div>
    <w:div w:id="323780541">
      <w:bodyDiv w:val="1"/>
      <w:marLeft w:val="0"/>
      <w:marRight w:val="0"/>
      <w:marTop w:val="0"/>
      <w:marBottom w:val="0"/>
      <w:divBdr>
        <w:top w:val="none" w:sz="0" w:space="0" w:color="auto"/>
        <w:left w:val="none" w:sz="0" w:space="0" w:color="auto"/>
        <w:bottom w:val="none" w:sz="0" w:space="0" w:color="auto"/>
        <w:right w:val="none" w:sz="0" w:space="0" w:color="auto"/>
      </w:divBdr>
    </w:div>
    <w:div w:id="366369119">
      <w:bodyDiv w:val="1"/>
      <w:marLeft w:val="0"/>
      <w:marRight w:val="0"/>
      <w:marTop w:val="0"/>
      <w:marBottom w:val="0"/>
      <w:divBdr>
        <w:top w:val="none" w:sz="0" w:space="0" w:color="auto"/>
        <w:left w:val="none" w:sz="0" w:space="0" w:color="auto"/>
        <w:bottom w:val="none" w:sz="0" w:space="0" w:color="auto"/>
        <w:right w:val="none" w:sz="0" w:space="0" w:color="auto"/>
      </w:divBdr>
    </w:div>
    <w:div w:id="378552472">
      <w:bodyDiv w:val="1"/>
      <w:marLeft w:val="0"/>
      <w:marRight w:val="0"/>
      <w:marTop w:val="0"/>
      <w:marBottom w:val="0"/>
      <w:divBdr>
        <w:top w:val="none" w:sz="0" w:space="0" w:color="auto"/>
        <w:left w:val="none" w:sz="0" w:space="0" w:color="auto"/>
        <w:bottom w:val="none" w:sz="0" w:space="0" w:color="auto"/>
        <w:right w:val="none" w:sz="0" w:space="0" w:color="auto"/>
      </w:divBdr>
    </w:div>
    <w:div w:id="384720437">
      <w:bodyDiv w:val="1"/>
      <w:marLeft w:val="0"/>
      <w:marRight w:val="0"/>
      <w:marTop w:val="0"/>
      <w:marBottom w:val="0"/>
      <w:divBdr>
        <w:top w:val="none" w:sz="0" w:space="0" w:color="auto"/>
        <w:left w:val="none" w:sz="0" w:space="0" w:color="auto"/>
        <w:bottom w:val="none" w:sz="0" w:space="0" w:color="auto"/>
        <w:right w:val="none" w:sz="0" w:space="0" w:color="auto"/>
      </w:divBdr>
    </w:div>
    <w:div w:id="386296583">
      <w:bodyDiv w:val="1"/>
      <w:marLeft w:val="0"/>
      <w:marRight w:val="0"/>
      <w:marTop w:val="0"/>
      <w:marBottom w:val="0"/>
      <w:divBdr>
        <w:top w:val="none" w:sz="0" w:space="0" w:color="auto"/>
        <w:left w:val="none" w:sz="0" w:space="0" w:color="auto"/>
        <w:bottom w:val="none" w:sz="0" w:space="0" w:color="auto"/>
        <w:right w:val="none" w:sz="0" w:space="0" w:color="auto"/>
      </w:divBdr>
    </w:div>
    <w:div w:id="386803451">
      <w:bodyDiv w:val="1"/>
      <w:marLeft w:val="0"/>
      <w:marRight w:val="0"/>
      <w:marTop w:val="0"/>
      <w:marBottom w:val="0"/>
      <w:divBdr>
        <w:top w:val="none" w:sz="0" w:space="0" w:color="auto"/>
        <w:left w:val="none" w:sz="0" w:space="0" w:color="auto"/>
        <w:bottom w:val="none" w:sz="0" w:space="0" w:color="auto"/>
        <w:right w:val="none" w:sz="0" w:space="0" w:color="auto"/>
      </w:divBdr>
    </w:div>
    <w:div w:id="390202137">
      <w:bodyDiv w:val="1"/>
      <w:marLeft w:val="0"/>
      <w:marRight w:val="0"/>
      <w:marTop w:val="0"/>
      <w:marBottom w:val="0"/>
      <w:divBdr>
        <w:top w:val="none" w:sz="0" w:space="0" w:color="auto"/>
        <w:left w:val="none" w:sz="0" w:space="0" w:color="auto"/>
        <w:bottom w:val="none" w:sz="0" w:space="0" w:color="auto"/>
        <w:right w:val="none" w:sz="0" w:space="0" w:color="auto"/>
      </w:divBdr>
    </w:div>
    <w:div w:id="392895683">
      <w:bodyDiv w:val="1"/>
      <w:marLeft w:val="0"/>
      <w:marRight w:val="0"/>
      <w:marTop w:val="0"/>
      <w:marBottom w:val="0"/>
      <w:divBdr>
        <w:top w:val="none" w:sz="0" w:space="0" w:color="auto"/>
        <w:left w:val="none" w:sz="0" w:space="0" w:color="auto"/>
        <w:bottom w:val="none" w:sz="0" w:space="0" w:color="auto"/>
        <w:right w:val="none" w:sz="0" w:space="0" w:color="auto"/>
      </w:divBdr>
    </w:div>
    <w:div w:id="394662579">
      <w:bodyDiv w:val="1"/>
      <w:marLeft w:val="0"/>
      <w:marRight w:val="0"/>
      <w:marTop w:val="0"/>
      <w:marBottom w:val="0"/>
      <w:divBdr>
        <w:top w:val="none" w:sz="0" w:space="0" w:color="auto"/>
        <w:left w:val="none" w:sz="0" w:space="0" w:color="auto"/>
        <w:bottom w:val="none" w:sz="0" w:space="0" w:color="auto"/>
        <w:right w:val="none" w:sz="0" w:space="0" w:color="auto"/>
      </w:divBdr>
    </w:div>
    <w:div w:id="395789117">
      <w:bodyDiv w:val="1"/>
      <w:marLeft w:val="0"/>
      <w:marRight w:val="0"/>
      <w:marTop w:val="0"/>
      <w:marBottom w:val="0"/>
      <w:divBdr>
        <w:top w:val="none" w:sz="0" w:space="0" w:color="auto"/>
        <w:left w:val="none" w:sz="0" w:space="0" w:color="auto"/>
        <w:bottom w:val="none" w:sz="0" w:space="0" w:color="auto"/>
        <w:right w:val="none" w:sz="0" w:space="0" w:color="auto"/>
      </w:divBdr>
    </w:div>
    <w:div w:id="413282105">
      <w:bodyDiv w:val="1"/>
      <w:marLeft w:val="0"/>
      <w:marRight w:val="0"/>
      <w:marTop w:val="0"/>
      <w:marBottom w:val="0"/>
      <w:divBdr>
        <w:top w:val="none" w:sz="0" w:space="0" w:color="auto"/>
        <w:left w:val="none" w:sz="0" w:space="0" w:color="auto"/>
        <w:bottom w:val="none" w:sz="0" w:space="0" w:color="auto"/>
        <w:right w:val="none" w:sz="0" w:space="0" w:color="auto"/>
      </w:divBdr>
    </w:div>
    <w:div w:id="426967124">
      <w:bodyDiv w:val="1"/>
      <w:marLeft w:val="0"/>
      <w:marRight w:val="0"/>
      <w:marTop w:val="0"/>
      <w:marBottom w:val="0"/>
      <w:divBdr>
        <w:top w:val="none" w:sz="0" w:space="0" w:color="auto"/>
        <w:left w:val="none" w:sz="0" w:space="0" w:color="auto"/>
        <w:bottom w:val="none" w:sz="0" w:space="0" w:color="auto"/>
        <w:right w:val="none" w:sz="0" w:space="0" w:color="auto"/>
      </w:divBdr>
    </w:div>
    <w:div w:id="427891144">
      <w:bodyDiv w:val="1"/>
      <w:marLeft w:val="0"/>
      <w:marRight w:val="0"/>
      <w:marTop w:val="0"/>
      <w:marBottom w:val="0"/>
      <w:divBdr>
        <w:top w:val="none" w:sz="0" w:space="0" w:color="auto"/>
        <w:left w:val="none" w:sz="0" w:space="0" w:color="auto"/>
        <w:bottom w:val="none" w:sz="0" w:space="0" w:color="auto"/>
        <w:right w:val="none" w:sz="0" w:space="0" w:color="auto"/>
      </w:divBdr>
    </w:div>
    <w:div w:id="431976047">
      <w:bodyDiv w:val="1"/>
      <w:marLeft w:val="0"/>
      <w:marRight w:val="0"/>
      <w:marTop w:val="0"/>
      <w:marBottom w:val="0"/>
      <w:divBdr>
        <w:top w:val="none" w:sz="0" w:space="0" w:color="auto"/>
        <w:left w:val="none" w:sz="0" w:space="0" w:color="auto"/>
        <w:bottom w:val="none" w:sz="0" w:space="0" w:color="auto"/>
        <w:right w:val="none" w:sz="0" w:space="0" w:color="auto"/>
      </w:divBdr>
    </w:div>
    <w:div w:id="442194958">
      <w:bodyDiv w:val="1"/>
      <w:marLeft w:val="0"/>
      <w:marRight w:val="0"/>
      <w:marTop w:val="0"/>
      <w:marBottom w:val="0"/>
      <w:divBdr>
        <w:top w:val="none" w:sz="0" w:space="0" w:color="auto"/>
        <w:left w:val="none" w:sz="0" w:space="0" w:color="auto"/>
        <w:bottom w:val="none" w:sz="0" w:space="0" w:color="auto"/>
        <w:right w:val="none" w:sz="0" w:space="0" w:color="auto"/>
      </w:divBdr>
    </w:div>
    <w:div w:id="447700398">
      <w:bodyDiv w:val="1"/>
      <w:marLeft w:val="0"/>
      <w:marRight w:val="0"/>
      <w:marTop w:val="0"/>
      <w:marBottom w:val="0"/>
      <w:divBdr>
        <w:top w:val="none" w:sz="0" w:space="0" w:color="auto"/>
        <w:left w:val="none" w:sz="0" w:space="0" w:color="auto"/>
        <w:bottom w:val="none" w:sz="0" w:space="0" w:color="auto"/>
        <w:right w:val="none" w:sz="0" w:space="0" w:color="auto"/>
      </w:divBdr>
    </w:div>
    <w:div w:id="462042198">
      <w:bodyDiv w:val="1"/>
      <w:marLeft w:val="0"/>
      <w:marRight w:val="0"/>
      <w:marTop w:val="0"/>
      <w:marBottom w:val="0"/>
      <w:divBdr>
        <w:top w:val="none" w:sz="0" w:space="0" w:color="auto"/>
        <w:left w:val="none" w:sz="0" w:space="0" w:color="auto"/>
        <w:bottom w:val="none" w:sz="0" w:space="0" w:color="auto"/>
        <w:right w:val="none" w:sz="0" w:space="0" w:color="auto"/>
      </w:divBdr>
    </w:div>
    <w:div w:id="462190962">
      <w:bodyDiv w:val="1"/>
      <w:marLeft w:val="0"/>
      <w:marRight w:val="0"/>
      <w:marTop w:val="0"/>
      <w:marBottom w:val="0"/>
      <w:divBdr>
        <w:top w:val="none" w:sz="0" w:space="0" w:color="auto"/>
        <w:left w:val="none" w:sz="0" w:space="0" w:color="auto"/>
        <w:bottom w:val="none" w:sz="0" w:space="0" w:color="auto"/>
        <w:right w:val="none" w:sz="0" w:space="0" w:color="auto"/>
      </w:divBdr>
    </w:div>
    <w:div w:id="464084539">
      <w:bodyDiv w:val="1"/>
      <w:marLeft w:val="0"/>
      <w:marRight w:val="0"/>
      <w:marTop w:val="0"/>
      <w:marBottom w:val="0"/>
      <w:divBdr>
        <w:top w:val="none" w:sz="0" w:space="0" w:color="auto"/>
        <w:left w:val="none" w:sz="0" w:space="0" w:color="auto"/>
        <w:bottom w:val="none" w:sz="0" w:space="0" w:color="auto"/>
        <w:right w:val="none" w:sz="0" w:space="0" w:color="auto"/>
      </w:divBdr>
    </w:div>
    <w:div w:id="477921028">
      <w:bodyDiv w:val="1"/>
      <w:marLeft w:val="0"/>
      <w:marRight w:val="0"/>
      <w:marTop w:val="0"/>
      <w:marBottom w:val="0"/>
      <w:divBdr>
        <w:top w:val="none" w:sz="0" w:space="0" w:color="auto"/>
        <w:left w:val="none" w:sz="0" w:space="0" w:color="auto"/>
        <w:bottom w:val="none" w:sz="0" w:space="0" w:color="auto"/>
        <w:right w:val="none" w:sz="0" w:space="0" w:color="auto"/>
      </w:divBdr>
    </w:div>
    <w:div w:id="483591452">
      <w:bodyDiv w:val="1"/>
      <w:marLeft w:val="0"/>
      <w:marRight w:val="0"/>
      <w:marTop w:val="0"/>
      <w:marBottom w:val="0"/>
      <w:divBdr>
        <w:top w:val="none" w:sz="0" w:space="0" w:color="auto"/>
        <w:left w:val="none" w:sz="0" w:space="0" w:color="auto"/>
        <w:bottom w:val="none" w:sz="0" w:space="0" w:color="auto"/>
        <w:right w:val="none" w:sz="0" w:space="0" w:color="auto"/>
      </w:divBdr>
      <w:divsChild>
        <w:div w:id="890923693">
          <w:marLeft w:val="0"/>
          <w:marRight w:val="0"/>
          <w:marTop w:val="0"/>
          <w:marBottom w:val="0"/>
          <w:divBdr>
            <w:top w:val="none" w:sz="0" w:space="0" w:color="auto"/>
            <w:left w:val="none" w:sz="0" w:space="0" w:color="auto"/>
            <w:bottom w:val="none" w:sz="0" w:space="0" w:color="auto"/>
            <w:right w:val="none" w:sz="0" w:space="0" w:color="auto"/>
          </w:divBdr>
          <w:divsChild>
            <w:div w:id="1103768614">
              <w:marLeft w:val="0"/>
              <w:marRight w:val="0"/>
              <w:marTop w:val="0"/>
              <w:marBottom w:val="0"/>
              <w:divBdr>
                <w:top w:val="none" w:sz="0" w:space="0" w:color="auto"/>
                <w:left w:val="none" w:sz="0" w:space="0" w:color="auto"/>
                <w:bottom w:val="none" w:sz="0" w:space="0" w:color="auto"/>
                <w:right w:val="none" w:sz="0" w:space="0" w:color="auto"/>
              </w:divBdr>
              <w:divsChild>
                <w:div w:id="232357051">
                  <w:marLeft w:val="0"/>
                  <w:marRight w:val="0"/>
                  <w:marTop w:val="0"/>
                  <w:marBottom w:val="0"/>
                  <w:divBdr>
                    <w:top w:val="none" w:sz="0" w:space="0" w:color="auto"/>
                    <w:left w:val="none" w:sz="0" w:space="0" w:color="auto"/>
                    <w:bottom w:val="none" w:sz="0" w:space="0" w:color="auto"/>
                    <w:right w:val="none" w:sz="0" w:space="0" w:color="auto"/>
                  </w:divBdr>
                  <w:divsChild>
                    <w:div w:id="1374958055">
                      <w:marLeft w:val="0"/>
                      <w:marRight w:val="0"/>
                      <w:marTop w:val="0"/>
                      <w:marBottom w:val="0"/>
                      <w:divBdr>
                        <w:top w:val="none" w:sz="0" w:space="0" w:color="auto"/>
                        <w:left w:val="none" w:sz="0" w:space="0" w:color="auto"/>
                        <w:bottom w:val="none" w:sz="0" w:space="0" w:color="auto"/>
                        <w:right w:val="none" w:sz="0" w:space="0" w:color="auto"/>
                      </w:divBdr>
                    </w:div>
                  </w:divsChild>
                </w:div>
                <w:div w:id="1560284016">
                  <w:marLeft w:val="0"/>
                  <w:marRight w:val="0"/>
                  <w:marTop w:val="0"/>
                  <w:marBottom w:val="0"/>
                  <w:divBdr>
                    <w:top w:val="none" w:sz="0" w:space="0" w:color="auto"/>
                    <w:left w:val="none" w:sz="0" w:space="0" w:color="auto"/>
                    <w:bottom w:val="none" w:sz="0" w:space="0" w:color="auto"/>
                    <w:right w:val="none" w:sz="0" w:space="0" w:color="auto"/>
                  </w:divBdr>
                  <w:divsChild>
                    <w:div w:id="1539009206">
                      <w:marLeft w:val="0"/>
                      <w:marRight w:val="0"/>
                      <w:marTop w:val="0"/>
                      <w:marBottom w:val="0"/>
                      <w:divBdr>
                        <w:top w:val="none" w:sz="0" w:space="0" w:color="auto"/>
                        <w:left w:val="none" w:sz="0" w:space="0" w:color="auto"/>
                        <w:bottom w:val="none" w:sz="0" w:space="0" w:color="auto"/>
                        <w:right w:val="none" w:sz="0" w:space="0" w:color="auto"/>
                      </w:divBdr>
                      <w:divsChild>
                        <w:div w:id="898857298">
                          <w:marLeft w:val="0"/>
                          <w:marRight w:val="0"/>
                          <w:marTop w:val="0"/>
                          <w:marBottom w:val="0"/>
                          <w:divBdr>
                            <w:top w:val="none" w:sz="0" w:space="0" w:color="auto"/>
                            <w:left w:val="none" w:sz="0" w:space="0" w:color="auto"/>
                            <w:bottom w:val="none" w:sz="0" w:space="0" w:color="auto"/>
                            <w:right w:val="none" w:sz="0" w:space="0" w:color="auto"/>
                          </w:divBdr>
                          <w:divsChild>
                            <w:div w:id="183672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2454091">
      <w:bodyDiv w:val="1"/>
      <w:marLeft w:val="0"/>
      <w:marRight w:val="0"/>
      <w:marTop w:val="0"/>
      <w:marBottom w:val="0"/>
      <w:divBdr>
        <w:top w:val="none" w:sz="0" w:space="0" w:color="auto"/>
        <w:left w:val="none" w:sz="0" w:space="0" w:color="auto"/>
        <w:bottom w:val="none" w:sz="0" w:space="0" w:color="auto"/>
        <w:right w:val="none" w:sz="0" w:space="0" w:color="auto"/>
      </w:divBdr>
    </w:div>
    <w:div w:id="502549359">
      <w:bodyDiv w:val="1"/>
      <w:marLeft w:val="0"/>
      <w:marRight w:val="0"/>
      <w:marTop w:val="0"/>
      <w:marBottom w:val="0"/>
      <w:divBdr>
        <w:top w:val="none" w:sz="0" w:space="0" w:color="auto"/>
        <w:left w:val="none" w:sz="0" w:space="0" w:color="auto"/>
        <w:bottom w:val="none" w:sz="0" w:space="0" w:color="auto"/>
        <w:right w:val="none" w:sz="0" w:space="0" w:color="auto"/>
      </w:divBdr>
    </w:div>
    <w:div w:id="507794395">
      <w:bodyDiv w:val="1"/>
      <w:marLeft w:val="0"/>
      <w:marRight w:val="0"/>
      <w:marTop w:val="0"/>
      <w:marBottom w:val="0"/>
      <w:divBdr>
        <w:top w:val="none" w:sz="0" w:space="0" w:color="auto"/>
        <w:left w:val="none" w:sz="0" w:space="0" w:color="auto"/>
        <w:bottom w:val="none" w:sz="0" w:space="0" w:color="auto"/>
        <w:right w:val="none" w:sz="0" w:space="0" w:color="auto"/>
      </w:divBdr>
    </w:div>
    <w:div w:id="509103044">
      <w:bodyDiv w:val="1"/>
      <w:marLeft w:val="0"/>
      <w:marRight w:val="0"/>
      <w:marTop w:val="0"/>
      <w:marBottom w:val="0"/>
      <w:divBdr>
        <w:top w:val="none" w:sz="0" w:space="0" w:color="auto"/>
        <w:left w:val="none" w:sz="0" w:space="0" w:color="auto"/>
        <w:bottom w:val="none" w:sz="0" w:space="0" w:color="auto"/>
        <w:right w:val="none" w:sz="0" w:space="0" w:color="auto"/>
      </w:divBdr>
    </w:div>
    <w:div w:id="512107692">
      <w:bodyDiv w:val="1"/>
      <w:marLeft w:val="0"/>
      <w:marRight w:val="0"/>
      <w:marTop w:val="0"/>
      <w:marBottom w:val="0"/>
      <w:divBdr>
        <w:top w:val="none" w:sz="0" w:space="0" w:color="auto"/>
        <w:left w:val="none" w:sz="0" w:space="0" w:color="auto"/>
        <w:bottom w:val="none" w:sz="0" w:space="0" w:color="auto"/>
        <w:right w:val="none" w:sz="0" w:space="0" w:color="auto"/>
      </w:divBdr>
    </w:div>
    <w:div w:id="517699797">
      <w:bodyDiv w:val="1"/>
      <w:marLeft w:val="0"/>
      <w:marRight w:val="0"/>
      <w:marTop w:val="0"/>
      <w:marBottom w:val="0"/>
      <w:divBdr>
        <w:top w:val="none" w:sz="0" w:space="0" w:color="auto"/>
        <w:left w:val="none" w:sz="0" w:space="0" w:color="auto"/>
        <w:bottom w:val="none" w:sz="0" w:space="0" w:color="auto"/>
        <w:right w:val="none" w:sz="0" w:space="0" w:color="auto"/>
      </w:divBdr>
    </w:div>
    <w:div w:id="527066677">
      <w:bodyDiv w:val="1"/>
      <w:marLeft w:val="0"/>
      <w:marRight w:val="0"/>
      <w:marTop w:val="0"/>
      <w:marBottom w:val="0"/>
      <w:divBdr>
        <w:top w:val="none" w:sz="0" w:space="0" w:color="auto"/>
        <w:left w:val="none" w:sz="0" w:space="0" w:color="auto"/>
        <w:bottom w:val="none" w:sz="0" w:space="0" w:color="auto"/>
        <w:right w:val="none" w:sz="0" w:space="0" w:color="auto"/>
      </w:divBdr>
    </w:div>
    <w:div w:id="530536294">
      <w:bodyDiv w:val="1"/>
      <w:marLeft w:val="0"/>
      <w:marRight w:val="0"/>
      <w:marTop w:val="0"/>
      <w:marBottom w:val="0"/>
      <w:divBdr>
        <w:top w:val="none" w:sz="0" w:space="0" w:color="auto"/>
        <w:left w:val="none" w:sz="0" w:space="0" w:color="auto"/>
        <w:bottom w:val="none" w:sz="0" w:space="0" w:color="auto"/>
        <w:right w:val="none" w:sz="0" w:space="0" w:color="auto"/>
      </w:divBdr>
    </w:div>
    <w:div w:id="536359512">
      <w:bodyDiv w:val="1"/>
      <w:marLeft w:val="0"/>
      <w:marRight w:val="0"/>
      <w:marTop w:val="0"/>
      <w:marBottom w:val="0"/>
      <w:divBdr>
        <w:top w:val="none" w:sz="0" w:space="0" w:color="auto"/>
        <w:left w:val="none" w:sz="0" w:space="0" w:color="auto"/>
        <w:bottom w:val="none" w:sz="0" w:space="0" w:color="auto"/>
        <w:right w:val="none" w:sz="0" w:space="0" w:color="auto"/>
      </w:divBdr>
      <w:divsChild>
        <w:div w:id="1820658047">
          <w:marLeft w:val="0"/>
          <w:marRight w:val="0"/>
          <w:marTop w:val="0"/>
          <w:marBottom w:val="0"/>
          <w:divBdr>
            <w:top w:val="none" w:sz="0" w:space="0" w:color="auto"/>
            <w:left w:val="none" w:sz="0" w:space="0" w:color="auto"/>
            <w:bottom w:val="none" w:sz="0" w:space="0" w:color="auto"/>
            <w:right w:val="none" w:sz="0" w:space="0" w:color="auto"/>
          </w:divBdr>
          <w:divsChild>
            <w:div w:id="162597952">
              <w:marLeft w:val="0"/>
              <w:marRight w:val="0"/>
              <w:marTop w:val="0"/>
              <w:marBottom w:val="0"/>
              <w:divBdr>
                <w:top w:val="none" w:sz="0" w:space="0" w:color="auto"/>
                <w:left w:val="none" w:sz="0" w:space="0" w:color="auto"/>
                <w:bottom w:val="none" w:sz="0" w:space="0" w:color="auto"/>
                <w:right w:val="none" w:sz="0" w:space="0" w:color="auto"/>
              </w:divBdr>
            </w:div>
          </w:divsChild>
        </w:div>
        <w:div w:id="16386780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1594737">
      <w:bodyDiv w:val="1"/>
      <w:marLeft w:val="0"/>
      <w:marRight w:val="0"/>
      <w:marTop w:val="0"/>
      <w:marBottom w:val="0"/>
      <w:divBdr>
        <w:top w:val="none" w:sz="0" w:space="0" w:color="auto"/>
        <w:left w:val="none" w:sz="0" w:space="0" w:color="auto"/>
        <w:bottom w:val="none" w:sz="0" w:space="0" w:color="auto"/>
        <w:right w:val="none" w:sz="0" w:space="0" w:color="auto"/>
      </w:divBdr>
    </w:div>
    <w:div w:id="554899351">
      <w:bodyDiv w:val="1"/>
      <w:marLeft w:val="0"/>
      <w:marRight w:val="0"/>
      <w:marTop w:val="0"/>
      <w:marBottom w:val="0"/>
      <w:divBdr>
        <w:top w:val="none" w:sz="0" w:space="0" w:color="auto"/>
        <w:left w:val="none" w:sz="0" w:space="0" w:color="auto"/>
        <w:bottom w:val="none" w:sz="0" w:space="0" w:color="auto"/>
        <w:right w:val="none" w:sz="0" w:space="0" w:color="auto"/>
      </w:divBdr>
    </w:div>
    <w:div w:id="564025705">
      <w:bodyDiv w:val="1"/>
      <w:marLeft w:val="0"/>
      <w:marRight w:val="0"/>
      <w:marTop w:val="0"/>
      <w:marBottom w:val="0"/>
      <w:divBdr>
        <w:top w:val="none" w:sz="0" w:space="0" w:color="auto"/>
        <w:left w:val="none" w:sz="0" w:space="0" w:color="auto"/>
        <w:bottom w:val="none" w:sz="0" w:space="0" w:color="auto"/>
        <w:right w:val="none" w:sz="0" w:space="0" w:color="auto"/>
      </w:divBdr>
    </w:div>
    <w:div w:id="569120286">
      <w:bodyDiv w:val="1"/>
      <w:marLeft w:val="0"/>
      <w:marRight w:val="0"/>
      <w:marTop w:val="0"/>
      <w:marBottom w:val="0"/>
      <w:divBdr>
        <w:top w:val="none" w:sz="0" w:space="0" w:color="auto"/>
        <w:left w:val="none" w:sz="0" w:space="0" w:color="auto"/>
        <w:bottom w:val="none" w:sz="0" w:space="0" w:color="auto"/>
        <w:right w:val="none" w:sz="0" w:space="0" w:color="auto"/>
      </w:divBdr>
    </w:div>
    <w:div w:id="570698473">
      <w:bodyDiv w:val="1"/>
      <w:marLeft w:val="0"/>
      <w:marRight w:val="0"/>
      <w:marTop w:val="0"/>
      <w:marBottom w:val="0"/>
      <w:divBdr>
        <w:top w:val="none" w:sz="0" w:space="0" w:color="auto"/>
        <w:left w:val="none" w:sz="0" w:space="0" w:color="auto"/>
        <w:bottom w:val="none" w:sz="0" w:space="0" w:color="auto"/>
        <w:right w:val="none" w:sz="0" w:space="0" w:color="auto"/>
      </w:divBdr>
    </w:div>
    <w:div w:id="579487356">
      <w:bodyDiv w:val="1"/>
      <w:marLeft w:val="0"/>
      <w:marRight w:val="0"/>
      <w:marTop w:val="0"/>
      <w:marBottom w:val="0"/>
      <w:divBdr>
        <w:top w:val="none" w:sz="0" w:space="0" w:color="auto"/>
        <w:left w:val="none" w:sz="0" w:space="0" w:color="auto"/>
        <w:bottom w:val="none" w:sz="0" w:space="0" w:color="auto"/>
        <w:right w:val="none" w:sz="0" w:space="0" w:color="auto"/>
      </w:divBdr>
    </w:div>
    <w:div w:id="586232032">
      <w:bodyDiv w:val="1"/>
      <w:marLeft w:val="0"/>
      <w:marRight w:val="0"/>
      <w:marTop w:val="0"/>
      <w:marBottom w:val="0"/>
      <w:divBdr>
        <w:top w:val="none" w:sz="0" w:space="0" w:color="auto"/>
        <w:left w:val="none" w:sz="0" w:space="0" w:color="auto"/>
        <w:bottom w:val="none" w:sz="0" w:space="0" w:color="auto"/>
        <w:right w:val="none" w:sz="0" w:space="0" w:color="auto"/>
      </w:divBdr>
    </w:div>
    <w:div w:id="587471264">
      <w:bodyDiv w:val="1"/>
      <w:marLeft w:val="0"/>
      <w:marRight w:val="0"/>
      <w:marTop w:val="0"/>
      <w:marBottom w:val="0"/>
      <w:divBdr>
        <w:top w:val="none" w:sz="0" w:space="0" w:color="auto"/>
        <w:left w:val="none" w:sz="0" w:space="0" w:color="auto"/>
        <w:bottom w:val="none" w:sz="0" w:space="0" w:color="auto"/>
        <w:right w:val="none" w:sz="0" w:space="0" w:color="auto"/>
      </w:divBdr>
      <w:divsChild>
        <w:div w:id="1461336734">
          <w:marLeft w:val="0"/>
          <w:marRight w:val="0"/>
          <w:marTop w:val="0"/>
          <w:marBottom w:val="0"/>
          <w:divBdr>
            <w:top w:val="none" w:sz="0" w:space="0" w:color="auto"/>
            <w:left w:val="none" w:sz="0" w:space="0" w:color="auto"/>
            <w:bottom w:val="none" w:sz="0" w:space="0" w:color="auto"/>
            <w:right w:val="none" w:sz="0" w:space="0" w:color="auto"/>
          </w:divBdr>
          <w:divsChild>
            <w:div w:id="2076393192">
              <w:marLeft w:val="0"/>
              <w:marRight w:val="0"/>
              <w:marTop w:val="0"/>
              <w:marBottom w:val="0"/>
              <w:divBdr>
                <w:top w:val="none" w:sz="0" w:space="0" w:color="auto"/>
                <w:left w:val="none" w:sz="0" w:space="0" w:color="auto"/>
                <w:bottom w:val="none" w:sz="0" w:space="0" w:color="auto"/>
                <w:right w:val="none" w:sz="0" w:space="0" w:color="auto"/>
              </w:divBdr>
            </w:div>
          </w:divsChild>
        </w:div>
        <w:div w:id="16870943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7662350">
      <w:bodyDiv w:val="1"/>
      <w:marLeft w:val="0"/>
      <w:marRight w:val="0"/>
      <w:marTop w:val="0"/>
      <w:marBottom w:val="0"/>
      <w:divBdr>
        <w:top w:val="none" w:sz="0" w:space="0" w:color="auto"/>
        <w:left w:val="none" w:sz="0" w:space="0" w:color="auto"/>
        <w:bottom w:val="none" w:sz="0" w:space="0" w:color="auto"/>
        <w:right w:val="none" w:sz="0" w:space="0" w:color="auto"/>
      </w:divBdr>
      <w:divsChild>
        <w:div w:id="6890681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9508958">
      <w:bodyDiv w:val="1"/>
      <w:marLeft w:val="0"/>
      <w:marRight w:val="0"/>
      <w:marTop w:val="0"/>
      <w:marBottom w:val="0"/>
      <w:divBdr>
        <w:top w:val="none" w:sz="0" w:space="0" w:color="auto"/>
        <w:left w:val="none" w:sz="0" w:space="0" w:color="auto"/>
        <w:bottom w:val="none" w:sz="0" w:space="0" w:color="auto"/>
        <w:right w:val="none" w:sz="0" w:space="0" w:color="auto"/>
      </w:divBdr>
    </w:div>
    <w:div w:id="592082815">
      <w:bodyDiv w:val="1"/>
      <w:marLeft w:val="0"/>
      <w:marRight w:val="0"/>
      <w:marTop w:val="0"/>
      <w:marBottom w:val="0"/>
      <w:divBdr>
        <w:top w:val="none" w:sz="0" w:space="0" w:color="auto"/>
        <w:left w:val="none" w:sz="0" w:space="0" w:color="auto"/>
        <w:bottom w:val="none" w:sz="0" w:space="0" w:color="auto"/>
        <w:right w:val="none" w:sz="0" w:space="0" w:color="auto"/>
      </w:divBdr>
    </w:div>
    <w:div w:id="597521580">
      <w:bodyDiv w:val="1"/>
      <w:marLeft w:val="0"/>
      <w:marRight w:val="0"/>
      <w:marTop w:val="0"/>
      <w:marBottom w:val="0"/>
      <w:divBdr>
        <w:top w:val="none" w:sz="0" w:space="0" w:color="auto"/>
        <w:left w:val="none" w:sz="0" w:space="0" w:color="auto"/>
        <w:bottom w:val="none" w:sz="0" w:space="0" w:color="auto"/>
        <w:right w:val="none" w:sz="0" w:space="0" w:color="auto"/>
      </w:divBdr>
    </w:div>
    <w:div w:id="601647028">
      <w:bodyDiv w:val="1"/>
      <w:marLeft w:val="0"/>
      <w:marRight w:val="0"/>
      <w:marTop w:val="0"/>
      <w:marBottom w:val="0"/>
      <w:divBdr>
        <w:top w:val="none" w:sz="0" w:space="0" w:color="auto"/>
        <w:left w:val="none" w:sz="0" w:space="0" w:color="auto"/>
        <w:bottom w:val="none" w:sz="0" w:space="0" w:color="auto"/>
        <w:right w:val="none" w:sz="0" w:space="0" w:color="auto"/>
      </w:divBdr>
    </w:div>
    <w:div w:id="607198883">
      <w:bodyDiv w:val="1"/>
      <w:marLeft w:val="0"/>
      <w:marRight w:val="0"/>
      <w:marTop w:val="0"/>
      <w:marBottom w:val="0"/>
      <w:divBdr>
        <w:top w:val="none" w:sz="0" w:space="0" w:color="auto"/>
        <w:left w:val="none" w:sz="0" w:space="0" w:color="auto"/>
        <w:bottom w:val="none" w:sz="0" w:space="0" w:color="auto"/>
        <w:right w:val="none" w:sz="0" w:space="0" w:color="auto"/>
      </w:divBdr>
      <w:divsChild>
        <w:div w:id="562718862">
          <w:marLeft w:val="0"/>
          <w:marRight w:val="0"/>
          <w:marTop w:val="0"/>
          <w:marBottom w:val="0"/>
          <w:divBdr>
            <w:top w:val="none" w:sz="0" w:space="0" w:color="auto"/>
            <w:left w:val="none" w:sz="0" w:space="0" w:color="auto"/>
            <w:bottom w:val="none" w:sz="0" w:space="0" w:color="auto"/>
            <w:right w:val="none" w:sz="0" w:space="0" w:color="auto"/>
          </w:divBdr>
          <w:divsChild>
            <w:div w:id="1663007436">
              <w:marLeft w:val="0"/>
              <w:marRight w:val="0"/>
              <w:marTop w:val="0"/>
              <w:marBottom w:val="0"/>
              <w:divBdr>
                <w:top w:val="none" w:sz="0" w:space="0" w:color="auto"/>
                <w:left w:val="none" w:sz="0" w:space="0" w:color="auto"/>
                <w:bottom w:val="none" w:sz="0" w:space="0" w:color="auto"/>
                <w:right w:val="none" w:sz="0" w:space="0" w:color="auto"/>
              </w:divBdr>
              <w:divsChild>
                <w:div w:id="444270450">
                  <w:marLeft w:val="0"/>
                  <w:marRight w:val="0"/>
                  <w:marTop w:val="0"/>
                  <w:marBottom w:val="0"/>
                  <w:divBdr>
                    <w:top w:val="none" w:sz="0" w:space="0" w:color="auto"/>
                    <w:left w:val="none" w:sz="0" w:space="0" w:color="auto"/>
                    <w:bottom w:val="none" w:sz="0" w:space="0" w:color="auto"/>
                    <w:right w:val="none" w:sz="0" w:space="0" w:color="auto"/>
                  </w:divBdr>
                  <w:divsChild>
                    <w:div w:id="438179378">
                      <w:marLeft w:val="0"/>
                      <w:marRight w:val="0"/>
                      <w:marTop w:val="0"/>
                      <w:marBottom w:val="0"/>
                      <w:divBdr>
                        <w:top w:val="none" w:sz="0" w:space="0" w:color="auto"/>
                        <w:left w:val="none" w:sz="0" w:space="0" w:color="auto"/>
                        <w:bottom w:val="none" w:sz="0" w:space="0" w:color="auto"/>
                        <w:right w:val="none" w:sz="0" w:space="0" w:color="auto"/>
                      </w:divBdr>
                      <w:divsChild>
                        <w:div w:id="1271277825">
                          <w:marLeft w:val="0"/>
                          <w:marRight w:val="0"/>
                          <w:marTop w:val="0"/>
                          <w:marBottom w:val="0"/>
                          <w:divBdr>
                            <w:top w:val="none" w:sz="0" w:space="0" w:color="auto"/>
                            <w:left w:val="none" w:sz="0" w:space="0" w:color="auto"/>
                            <w:bottom w:val="none" w:sz="0" w:space="0" w:color="auto"/>
                            <w:right w:val="none" w:sz="0" w:space="0" w:color="auto"/>
                          </w:divBdr>
                          <w:divsChild>
                            <w:div w:id="204277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391419">
                  <w:marLeft w:val="0"/>
                  <w:marRight w:val="0"/>
                  <w:marTop w:val="0"/>
                  <w:marBottom w:val="0"/>
                  <w:divBdr>
                    <w:top w:val="none" w:sz="0" w:space="0" w:color="auto"/>
                    <w:left w:val="none" w:sz="0" w:space="0" w:color="auto"/>
                    <w:bottom w:val="none" w:sz="0" w:space="0" w:color="auto"/>
                    <w:right w:val="none" w:sz="0" w:space="0" w:color="auto"/>
                  </w:divBdr>
                  <w:divsChild>
                    <w:div w:id="61402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2685659">
      <w:bodyDiv w:val="1"/>
      <w:marLeft w:val="0"/>
      <w:marRight w:val="0"/>
      <w:marTop w:val="0"/>
      <w:marBottom w:val="0"/>
      <w:divBdr>
        <w:top w:val="none" w:sz="0" w:space="0" w:color="auto"/>
        <w:left w:val="none" w:sz="0" w:space="0" w:color="auto"/>
        <w:bottom w:val="none" w:sz="0" w:space="0" w:color="auto"/>
        <w:right w:val="none" w:sz="0" w:space="0" w:color="auto"/>
      </w:divBdr>
    </w:div>
    <w:div w:id="652759335">
      <w:bodyDiv w:val="1"/>
      <w:marLeft w:val="0"/>
      <w:marRight w:val="0"/>
      <w:marTop w:val="0"/>
      <w:marBottom w:val="0"/>
      <w:divBdr>
        <w:top w:val="none" w:sz="0" w:space="0" w:color="auto"/>
        <w:left w:val="none" w:sz="0" w:space="0" w:color="auto"/>
        <w:bottom w:val="none" w:sz="0" w:space="0" w:color="auto"/>
        <w:right w:val="none" w:sz="0" w:space="0" w:color="auto"/>
      </w:divBdr>
    </w:div>
    <w:div w:id="657222246">
      <w:bodyDiv w:val="1"/>
      <w:marLeft w:val="0"/>
      <w:marRight w:val="0"/>
      <w:marTop w:val="0"/>
      <w:marBottom w:val="0"/>
      <w:divBdr>
        <w:top w:val="none" w:sz="0" w:space="0" w:color="auto"/>
        <w:left w:val="none" w:sz="0" w:space="0" w:color="auto"/>
        <w:bottom w:val="none" w:sz="0" w:space="0" w:color="auto"/>
        <w:right w:val="none" w:sz="0" w:space="0" w:color="auto"/>
      </w:divBdr>
    </w:div>
    <w:div w:id="662777163">
      <w:bodyDiv w:val="1"/>
      <w:marLeft w:val="0"/>
      <w:marRight w:val="0"/>
      <w:marTop w:val="0"/>
      <w:marBottom w:val="0"/>
      <w:divBdr>
        <w:top w:val="none" w:sz="0" w:space="0" w:color="auto"/>
        <w:left w:val="none" w:sz="0" w:space="0" w:color="auto"/>
        <w:bottom w:val="none" w:sz="0" w:space="0" w:color="auto"/>
        <w:right w:val="none" w:sz="0" w:space="0" w:color="auto"/>
      </w:divBdr>
    </w:div>
    <w:div w:id="669870523">
      <w:bodyDiv w:val="1"/>
      <w:marLeft w:val="0"/>
      <w:marRight w:val="0"/>
      <w:marTop w:val="0"/>
      <w:marBottom w:val="0"/>
      <w:divBdr>
        <w:top w:val="none" w:sz="0" w:space="0" w:color="auto"/>
        <w:left w:val="none" w:sz="0" w:space="0" w:color="auto"/>
        <w:bottom w:val="none" w:sz="0" w:space="0" w:color="auto"/>
        <w:right w:val="none" w:sz="0" w:space="0" w:color="auto"/>
      </w:divBdr>
    </w:div>
    <w:div w:id="687100997">
      <w:bodyDiv w:val="1"/>
      <w:marLeft w:val="0"/>
      <w:marRight w:val="0"/>
      <w:marTop w:val="0"/>
      <w:marBottom w:val="0"/>
      <w:divBdr>
        <w:top w:val="none" w:sz="0" w:space="0" w:color="auto"/>
        <w:left w:val="none" w:sz="0" w:space="0" w:color="auto"/>
        <w:bottom w:val="none" w:sz="0" w:space="0" w:color="auto"/>
        <w:right w:val="none" w:sz="0" w:space="0" w:color="auto"/>
      </w:divBdr>
    </w:div>
    <w:div w:id="696465944">
      <w:bodyDiv w:val="1"/>
      <w:marLeft w:val="0"/>
      <w:marRight w:val="0"/>
      <w:marTop w:val="0"/>
      <w:marBottom w:val="0"/>
      <w:divBdr>
        <w:top w:val="none" w:sz="0" w:space="0" w:color="auto"/>
        <w:left w:val="none" w:sz="0" w:space="0" w:color="auto"/>
        <w:bottom w:val="none" w:sz="0" w:space="0" w:color="auto"/>
        <w:right w:val="none" w:sz="0" w:space="0" w:color="auto"/>
      </w:divBdr>
    </w:div>
    <w:div w:id="710032892">
      <w:bodyDiv w:val="1"/>
      <w:marLeft w:val="0"/>
      <w:marRight w:val="0"/>
      <w:marTop w:val="0"/>
      <w:marBottom w:val="0"/>
      <w:divBdr>
        <w:top w:val="none" w:sz="0" w:space="0" w:color="auto"/>
        <w:left w:val="none" w:sz="0" w:space="0" w:color="auto"/>
        <w:bottom w:val="none" w:sz="0" w:space="0" w:color="auto"/>
        <w:right w:val="none" w:sz="0" w:space="0" w:color="auto"/>
      </w:divBdr>
    </w:div>
    <w:div w:id="734546094">
      <w:bodyDiv w:val="1"/>
      <w:marLeft w:val="0"/>
      <w:marRight w:val="0"/>
      <w:marTop w:val="0"/>
      <w:marBottom w:val="0"/>
      <w:divBdr>
        <w:top w:val="none" w:sz="0" w:space="0" w:color="auto"/>
        <w:left w:val="none" w:sz="0" w:space="0" w:color="auto"/>
        <w:bottom w:val="none" w:sz="0" w:space="0" w:color="auto"/>
        <w:right w:val="none" w:sz="0" w:space="0" w:color="auto"/>
      </w:divBdr>
    </w:div>
    <w:div w:id="735935259">
      <w:bodyDiv w:val="1"/>
      <w:marLeft w:val="0"/>
      <w:marRight w:val="0"/>
      <w:marTop w:val="0"/>
      <w:marBottom w:val="0"/>
      <w:divBdr>
        <w:top w:val="none" w:sz="0" w:space="0" w:color="auto"/>
        <w:left w:val="none" w:sz="0" w:space="0" w:color="auto"/>
        <w:bottom w:val="none" w:sz="0" w:space="0" w:color="auto"/>
        <w:right w:val="none" w:sz="0" w:space="0" w:color="auto"/>
      </w:divBdr>
    </w:div>
    <w:div w:id="753169224">
      <w:bodyDiv w:val="1"/>
      <w:marLeft w:val="0"/>
      <w:marRight w:val="0"/>
      <w:marTop w:val="0"/>
      <w:marBottom w:val="0"/>
      <w:divBdr>
        <w:top w:val="none" w:sz="0" w:space="0" w:color="auto"/>
        <w:left w:val="none" w:sz="0" w:space="0" w:color="auto"/>
        <w:bottom w:val="none" w:sz="0" w:space="0" w:color="auto"/>
        <w:right w:val="none" w:sz="0" w:space="0" w:color="auto"/>
      </w:divBdr>
    </w:div>
    <w:div w:id="757100147">
      <w:bodyDiv w:val="1"/>
      <w:marLeft w:val="0"/>
      <w:marRight w:val="0"/>
      <w:marTop w:val="0"/>
      <w:marBottom w:val="0"/>
      <w:divBdr>
        <w:top w:val="none" w:sz="0" w:space="0" w:color="auto"/>
        <w:left w:val="none" w:sz="0" w:space="0" w:color="auto"/>
        <w:bottom w:val="none" w:sz="0" w:space="0" w:color="auto"/>
        <w:right w:val="none" w:sz="0" w:space="0" w:color="auto"/>
      </w:divBdr>
    </w:div>
    <w:div w:id="774636142">
      <w:bodyDiv w:val="1"/>
      <w:marLeft w:val="0"/>
      <w:marRight w:val="0"/>
      <w:marTop w:val="0"/>
      <w:marBottom w:val="0"/>
      <w:divBdr>
        <w:top w:val="none" w:sz="0" w:space="0" w:color="auto"/>
        <w:left w:val="none" w:sz="0" w:space="0" w:color="auto"/>
        <w:bottom w:val="none" w:sz="0" w:space="0" w:color="auto"/>
        <w:right w:val="none" w:sz="0" w:space="0" w:color="auto"/>
      </w:divBdr>
    </w:div>
    <w:div w:id="782964281">
      <w:bodyDiv w:val="1"/>
      <w:marLeft w:val="0"/>
      <w:marRight w:val="0"/>
      <w:marTop w:val="0"/>
      <w:marBottom w:val="0"/>
      <w:divBdr>
        <w:top w:val="none" w:sz="0" w:space="0" w:color="auto"/>
        <w:left w:val="none" w:sz="0" w:space="0" w:color="auto"/>
        <w:bottom w:val="none" w:sz="0" w:space="0" w:color="auto"/>
        <w:right w:val="none" w:sz="0" w:space="0" w:color="auto"/>
      </w:divBdr>
      <w:divsChild>
        <w:div w:id="502280337">
          <w:marLeft w:val="0"/>
          <w:marRight w:val="0"/>
          <w:marTop w:val="0"/>
          <w:marBottom w:val="0"/>
          <w:divBdr>
            <w:top w:val="none" w:sz="0" w:space="0" w:color="auto"/>
            <w:left w:val="none" w:sz="0" w:space="0" w:color="auto"/>
            <w:bottom w:val="none" w:sz="0" w:space="0" w:color="auto"/>
            <w:right w:val="none" w:sz="0" w:space="0" w:color="auto"/>
          </w:divBdr>
          <w:divsChild>
            <w:div w:id="1295404078">
              <w:marLeft w:val="0"/>
              <w:marRight w:val="0"/>
              <w:marTop w:val="0"/>
              <w:marBottom w:val="0"/>
              <w:divBdr>
                <w:top w:val="none" w:sz="0" w:space="0" w:color="auto"/>
                <w:left w:val="none" w:sz="0" w:space="0" w:color="auto"/>
                <w:bottom w:val="none" w:sz="0" w:space="0" w:color="auto"/>
                <w:right w:val="none" w:sz="0" w:space="0" w:color="auto"/>
              </w:divBdr>
              <w:divsChild>
                <w:div w:id="445587483">
                  <w:marLeft w:val="0"/>
                  <w:marRight w:val="0"/>
                  <w:marTop w:val="0"/>
                  <w:marBottom w:val="0"/>
                  <w:divBdr>
                    <w:top w:val="none" w:sz="0" w:space="0" w:color="auto"/>
                    <w:left w:val="none" w:sz="0" w:space="0" w:color="auto"/>
                    <w:bottom w:val="none" w:sz="0" w:space="0" w:color="auto"/>
                    <w:right w:val="none" w:sz="0" w:space="0" w:color="auto"/>
                  </w:divBdr>
                  <w:divsChild>
                    <w:div w:id="1155806426">
                      <w:marLeft w:val="0"/>
                      <w:marRight w:val="0"/>
                      <w:marTop w:val="0"/>
                      <w:marBottom w:val="0"/>
                      <w:divBdr>
                        <w:top w:val="none" w:sz="0" w:space="0" w:color="auto"/>
                        <w:left w:val="none" w:sz="0" w:space="0" w:color="auto"/>
                        <w:bottom w:val="none" w:sz="0" w:space="0" w:color="auto"/>
                        <w:right w:val="none" w:sz="0" w:space="0" w:color="auto"/>
                      </w:divBdr>
                    </w:div>
                  </w:divsChild>
                </w:div>
                <w:div w:id="880243185">
                  <w:marLeft w:val="0"/>
                  <w:marRight w:val="0"/>
                  <w:marTop w:val="0"/>
                  <w:marBottom w:val="0"/>
                  <w:divBdr>
                    <w:top w:val="none" w:sz="0" w:space="0" w:color="auto"/>
                    <w:left w:val="none" w:sz="0" w:space="0" w:color="auto"/>
                    <w:bottom w:val="none" w:sz="0" w:space="0" w:color="auto"/>
                    <w:right w:val="none" w:sz="0" w:space="0" w:color="auto"/>
                  </w:divBdr>
                  <w:divsChild>
                    <w:div w:id="377513309">
                      <w:marLeft w:val="0"/>
                      <w:marRight w:val="0"/>
                      <w:marTop w:val="0"/>
                      <w:marBottom w:val="0"/>
                      <w:divBdr>
                        <w:top w:val="none" w:sz="0" w:space="0" w:color="auto"/>
                        <w:left w:val="none" w:sz="0" w:space="0" w:color="auto"/>
                        <w:bottom w:val="none" w:sz="0" w:space="0" w:color="auto"/>
                        <w:right w:val="none" w:sz="0" w:space="0" w:color="auto"/>
                      </w:divBdr>
                      <w:divsChild>
                        <w:div w:id="182594567">
                          <w:marLeft w:val="0"/>
                          <w:marRight w:val="0"/>
                          <w:marTop w:val="0"/>
                          <w:marBottom w:val="0"/>
                          <w:divBdr>
                            <w:top w:val="none" w:sz="0" w:space="0" w:color="auto"/>
                            <w:left w:val="none" w:sz="0" w:space="0" w:color="auto"/>
                            <w:bottom w:val="none" w:sz="0" w:space="0" w:color="auto"/>
                            <w:right w:val="none" w:sz="0" w:space="0" w:color="auto"/>
                          </w:divBdr>
                          <w:divsChild>
                            <w:div w:id="75582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3109187">
      <w:bodyDiv w:val="1"/>
      <w:marLeft w:val="0"/>
      <w:marRight w:val="0"/>
      <w:marTop w:val="0"/>
      <w:marBottom w:val="0"/>
      <w:divBdr>
        <w:top w:val="none" w:sz="0" w:space="0" w:color="auto"/>
        <w:left w:val="none" w:sz="0" w:space="0" w:color="auto"/>
        <w:bottom w:val="none" w:sz="0" w:space="0" w:color="auto"/>
        <w:right w:val="none" w:sz="0" w:space="0" w:color="auto"/>
      </w:divBdr>
    </w:div>
    <w:div w:id="783159289">
      <w:bodyDiv w:val="1"/>
      <w:marLeft w:val="0"/>
      <w:marRight w:val="0"/>
      <w:marTop w:val="0"/>
      <w:marBottom w:val="0"/>
      <w:divBdr>
        <w:top w:val="none" w:sz="0" w:space="0" w:color="auto"/>
        <w:left w:val="none" w:sz="0" w:space="0" w:color="auto"/>
        <w:bottom w:val="none" w:sz="0" w:space="0" w:color="auto"/>
        <w:right w:val="none" w:sz="0" w:space="0" w:color="auto"/>
      </w:divBdr>
      <w:divsChild>
        <w:div w:id="1899554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498414">
      <w:bodyDiv w:val="1"/>
      <w:marLeft w:val="0"/>
      <w:marRight w:val="0"/>
      <w:marTop w:val="0"/>
      <w:marBottom w:val="0"/>
      <w:divBdr>
        <w:top w:val="none" w:sz="0" w:space="0" w:color="auto"/>
        <w:left w:val="none" w:sz="0" w:space="0" w:color="auto"/>
        <w:bottom w:val="none" w:sz="0" w:space="0" w:color="auto"/>
        <w:right w:val="none" w:sz="0" w:space="0" w:color="auto"/>
      </w:divBdr>
      <w:divsChild>
        <w:div w:id="308363736">
          <w:blockQuote w:val="1"/>
          <w:marLeft w:val="720"/>
          <w:marRight w:val="720"/>
          <w:marTop w:val="100"/>
          <w:marBottom w:val="100"/>
          <w:divBdr>
            <w:top w:val="none" w:sz="0" w:space="0" w:color="auto"/>
            <w:left w:val="none" w:sz="0" w:space="0" w:color="auto"/>
            <w:bottom w:val="none" w:sz="0" w:space="0" w:color="auto"/>
            <w:right w:val="none" w:sz="0" w:space="0" w:color="auto"/>
          </w:divBdr>
        </w:div>
        <w:div w:id="349259785">
          <w:blockQuote w:val="1"/>
          <w:marLeft w:val="720"/>
          <w:marRight w:val="720"/>
          <w:marTop w:val="100"/>
          <w:marBottom w:val="100"/>
          <w:divBdr>
            <w:top w:val="none" w:sz="0" w:space="0" w:color="auto"/>
            <w:left w:val="none" w:sz="0" w:space="0" w:color="auto"/>
            <w:bottom w:val="none" w:sz="0" w:space="0" w:color="auto"/>
            <w:right w:val="none" w:sz="0" w:space="0" w:color="auto"/>
          </w:divBdr>
        </w:div>
        <w:div w:id="366874053">
          <w:blockQuote w:val="1"/>
          <w:marLeft w:val="720"/>
          <w:marRight w:val="720"/>
          <w:marTop w:val="100"/>
          <w:marBottom w:val="100"/>
          <w:divBdr>
            <w:top w:val="none" w:sz="0" w:space="0" w:color="auto"/>
            <w:left w:val="none" w:sz="0" w:space="0" w:color="auto"/>
            <w:bottom w:val="none" w:sz="0" w:space="0" w:color="auto"/>
            <w:right w:val="none" w:sz="0" w:space="0" w:color="auto"/>
          </w:divBdr>
        </w:div>
        <w:div w:id="388193080">
          <w:blockQuote w:val="1"/>
          <w:marLeft w:val="720"/>
          <w:marRight w:val="720"/>
          <w:marTop w:val="100"/>
          <w:marBottom w:val="100"/>
          <w:divBdr>
            <w:top w:val="none" w:sz="0" w:space="0" w:color="auto"/>
            <w:left w:val="none" w:sz="0" w:space="0" w:color="auto"/>
            <w:bottom w:val="none" w:sz="0" w:space="0" w:color="auto"/>
            <w:right w:val="none" w:sz="0" w:space="0" w:color="auto"/>
          </w:divBdr>
        </w:div>
        <w:div w:id="595789178">
          <w:blockQuote w:val="1"/>
          <w:marLeft w:val="720"/>
          <w:marRight w:val="720"/>
          <w:marTop w:val="100"/>
          <w:marBottom w:val="100"/>
          <w:divBdr>
            <w:top w:val="none" w:sz="0" w:space="0" w:color="auto"/>
            <w:left w:val="none" w:sz="0" w:space="0" w:color="auto"/>
            <w:bottom w:val="none" w:sz="0" w:space="0" w:color="auto"/>
            <w:right w:val="none" w:sz="0" w:space="0" w:color="auto"/>
          </w:divBdr>
        </w:div>
        <w:div w:id="986934036">
          <w:blockQuote w:val="1"/>
          <w:marLeft w:val="720"/>
          <w:marRight w:val="720"/>
          <w:marTop w:val="100"/>
          <w:marBottom w:val="100"/>
          <w:divBdr>
            <w:top w:val="none" w:sz="0" w:space="0" w:color="auto"/>
            <w:left w:val="none" w:sz="0" w:space="0" w:color="auto"/>
            <w:bottom w:val="none" w:sz="0" w:space="0" w:color="auto"/>
            <w:right w:val="none" w:sz="0" w:space="0" w:color="auto"/>
          </w:divBdr>
        </w:div>
        <w:div w:id="19151222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621838">
      <w:bodyDiv w:val="1"/>
      <w:marLeft w:val="0"/>
      <w:marRight w:val="0"/>
      <w:marTop w:val="0"/>
      <w:marBottom w:val="0"/>
      <w:divBdr>
        <w:top w:val="none" w:sz="0" w:space="0" w:color="auto"/>
        <w:left w:val="none" w:sz="0" w:space="0" w:color="auto"/>
        <w:bottom w:val="none" w:sz="0" w:space="0" w:color="auto"/>
        <w:right w:val="none" w:sz="0" w:space="0" w:color="auto"/>
      </w:divBdr>
    </w:div>
    <w:div w:id="796417507">
      <w:bodyDiv w:val="1"/>
      <w:marLeft w:val="0"/>
      <w:marRight w:val="0"/>
      <w:marTop w:val="0"/>
      <w:marBottom w:val="0"/>
      <w:divBdr>
        <w:top w:val="none" w:sz="0" w:space="0" w:color="auto"/>
        <w:left w:val="none" w:sz="0" w:space="0" w:color="auto"/>
        <w:bottom w:val="none" w:sz="0" w:space="0" w:color="auto"/>
        <w:right w:val="none" w:sz="0" w:space="0" w:color="auto"/>
      </w:divBdr>
    </w:div>
    <w:div w:id="796485089">
      <w:bodyDiv w:val="1"/>
      <w:marLeft w:val="0"/>
      <w:marRight w:val="0"/>
      <w:marTop w:val="0"/>
      <w:marBottom w:val="0"/>
      <w:divBdr>
        <w:top w:val="none" w:sz="0" w:space="0" w:color="auto"/>
        <w:left w:val="none" w:sz="0" w:space="0" w:color="auto"/>
        <w:bottom w:val="none" w:sz="0" w:space="0" w:color="auto"/>
        <w:right w:val="none" w:sz="0" w:space="0" w:color="auto"/>
      </w:divBdr>
      <w:divsChild>
        <w:div w:id="547689748">
          <w:marLeft w:val="0"/>
          <w:marRight w:val="0"/>
          <w:marTop w:val="0"/>
          <w:marBottom w:val="0"/>
          <w:divBdr>
            <w:top w:val="none" w:sz="0" w:space="0" w:color="auto"/>
            <w:left w:val="none" w:sz="0" w:space="0" w:color="auto"/>
            <w:bottom w:val="none" w:sz="0" w:space="0" w:color="auto"/>
            <w:right w:val="none" w:sz="0" w:space="0" w:color="auto"/>
          </w:divBdr>
          <w:divsChild>
            <w:div w:id="1391074554">
              <w:marLeft w:val="0"/>
              <w:marRight w:val="0"/>
              <w:marTop w:val="0"/>
              <w:marBottom w:val="0"/>
              <w:divBdr>
                <w:top w:val="none" w:sz="0" w:space="0" w:color="auto"/>
                <w:left w:val="none" w:sz="0" w:space="0" w:color="auto"/>
                <w:bottom w:val="none" w:sz="0" w:space="0" w:color="auto"/>
                <w:right w:val="none" w:sz="0" w:space="0" w:color="auto"/>
              </w:divBdr>
              <w:divsChild>
                <w:div w:id="2018801384">
                  <w:marLeft w:val="0"/>
                  <w:marRight w:val="0"/>
                  <w:marTop w:val="0"/>
                  <w:marBottom w:val="0"/>
                  <w:divBdr>
                    <w:top w:val="none" w:sz="0" w:space="0" w:color="auto"/>
                    <w:left w:val="none" w:sz="0" w:space="0" w:color="auto"/>
                    <w:bottom w:val="none" w:sz="0" w:space="0" w:color="auto"/>
                    <w:right w:val="none" w:sz="0" w:space="0" w:color="auto"/>
                  </w:divBdr>
                  <w:divsChild>
                    <w:div w:id="8219051">
                      <w:marLeft w:val="0"/>
                      <w:marRight w:val="0"/>
                      <w:marTop w:val="0"/>
                      <w:marBottom w:val="0"/>
                      <w:divBdr>
                        <w:top w:val="none" w:sz="0" w:space="0" w:color="auto"/>
                        <w:left w:val="none" w:sz="0" w:space="0" w:color="auto"/>
                        <w:bottom w:val="none" w:sz="0" w:space="0" w:color="auto"/>
                        <w:right w:val="none" w:sz="0" w:space="0" w:color="auto"/>
                      </w:divBdr>
                    </w:div>
                  </w:divsChild>
                </w:div>
                <w:div w:id="2122259328">
                  <w:marLeft w:val="0"/>
                  <w:marRight w:val="0"/>
                  <w:marTop w:val="0"/>
                  <w:marBottom w:val="0"/>
                  <w:divBdr>
                    <w:top w:val="none" w:sz="0" w:space="0" w:color="auto"/>
                    <w:left w:val="none" w:sz="0" w:space="0" w:color="auto"/>
                    <w:bottom w:val="none" w:sz="0" w:space="0" w:color="auto"/>
                    <w:right w:val="none" w:sz="0" w:space="0" w:color="auto"/>
                  </w:divBdr>
                  <w:divsChild>
                    <w:div w:id="1992901964">
                      <w:marLeft w:val="0"/>
                      <w:marRight w:val="0"/>
                      <w:marTop w:val="0"/>
                      <w:marBottom w:val="0"/>
                      <w:divBdr>
                        <w:top w:val="none" w:sz="0" w:space="0" w:color="auto"/>
                        <w:left w:val="none" w:sz="0" w:space="0" w:color="auto"/>
                        <w:bottom w:val="none" w:sz="0" w:space="0" w:color="auto"/>
                        <w:right w:val="none" w:sz="0" w:space="0" w:color="auto"/>
                      </w:divBdr>
                      <w:divsChild>
                        <w:div w:id="351029920">
                          <w:marLeft w:val="0"/>
                          <w:marRight w:val="0"/>
                          <w:marTop w:val="0"/>
                          <w:marBottom w:val="0"/>
                          <w:divBdr>
                            <w:top w:val="none" w:sz="0" w:space="0" w:color="auto"/>
                            <w:left w:val="none" w:sz="0" w:space="0" w:color="auto"/>
                            <w:bottom w:val="none" w:sz="0" w:space="0" w:color="auto"/>
                            <w:right w:val="none" w:sz="0" w:space="0" w:color="auto"/>
                          </w:divBdr>
                          <w:divsChild>
                            <w:div w:id="140661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3348642">
      <w:bodyDiv w:val="1"/>
      <w:marLeft w:val="0"/>
      <w:marRight w:val="0"/>
      <w:marTop w:val="0"/>
      <w:marBottom w:val="0"/>
      <w:divBdr>
        <w:top w:val="none" w:sz="0" w:space="0" w:color="auto"/>
        <w:left w:val="none" w:sz="0" w:space="0" w:color="auto"/>
        <w:bottom w:val="none" w:sz="0" w:space="0" w:color="auto"/>
        <w:right w:val="none" w:sz="0" w:space="0" w:color="auto"/>
      </w:divBdr>
    </w:div>
    <w:div w:id="804931735">
      <w:bodyDiv w:val="1"/>
      <w:marLeft w:val="0"/>
      <w:marRight w:val="0"/>
      <w:marTop w:val="0"/>
      <w:marBottom w:val="0"/>
      <w:divBdr>
        <w:top w:val="none" w:sz="0" w:space="0" w:color="auto"/>
        <w:left w:val="none" w:sz="0" w:space="0" w:color="auto"/>
        <w:bottom w:val="none" w:sz="0" w:space="0" w:color="auto"/>
        <w:right w:val="none" w:sz="0" w:space="0" w:color="auto"/>
      </w:divBdr>
    </w:div>
    <w:div w:id="837888295">
      <w:bodyDiv w:val="1"/>
      <w:marLeft w:val="0"/>
      <w:marRight w:val="0"/>
      <w:marTop w:val="0"/>
      <w:marBottom w:val="0"/>
      <w:divBdr>
        <w:top w:val="none" w:sz="0" w:space="0" w:color="auto"/>
        <w:left w:val="none" w:sz="0" w:space="0" w:color="auto"/>
        <w:bottom w:val="none" w:sz="0" w:space="0" w:color="auto"/>
        <w:right w:val="none" w:sz="0" w:space="0" w:color="auto"/>
      </w:divBdr>
    </w:div>
    <w:div w:id="849027745">
      <w:bodyDiv w:val="1"/>
      <w:marLeft w:val="0"/>
      <w:marRight w:val="0"/>
      <w:marTop w:val="0"/>
      <w:marBottom w:val="0"/>
      <w:divBdr>
        <w:top w:val="none" w:sz="0" w:space="0" w:color="auto"/>
        <w:left w:val="none" w:sz="0" w:space="0" w:color="auto"/>
        <w:bottom w:val="none" w:sz="0" w:space="0" w:color="auto"/>
        <w:right w:val="none" w:sz="0" w:space="0" w:color="auto"/>
      </w:divBdr>
    </w:div>
    <w:div w:id="857811572">
      <w:bodyDiv w:val="1"/>
      <w:marLeft w:val="0"/>
      <w:marRight w:val="0"/>
      <w:marTop w:val="0"/>
      <w:marBottom w:val="0"/>
      <w:divBdr>
        <w:top w:val="none" w:sz="0" w:space="0" w:color="auto"/>
        <w:left w:val="none" w:sz="0" w:space="0" w:color="auto"/>
        <w:bottom w:val="none" w:sz="0" w:space="0" w:color="auto"/>
        <w:right w:val="none" w:sz="0" w:space="0" w:color="auto"/>
      </w:divBdr>
    </w:div>
    <w:div w:id="862060681">
      <w:bodyDiv w:val="1"/>
      <w:marLeft w:val="0"/>
      <w:marRight w:val="0"/>
      <w:marTop w:val="0"/>
      <w:marBottom w:val="0"/>
      <w:divBdr>
        <w:top w:val="none" w:sz="0" w:space="0" w:color="auto"/>
        <w:left w:val="none" w:sz="0" w:space="0" w:color="auto"/>
        <w:bottom w:val="none" w:sz="0" w:space="0" w:color="auto"/>
        <w:right w:val="none" w:sz="0" w:space="0" w:color="auto"/>
      </w:divBdr>
    </w:div>
    <w:div w:id="862785045">
      <w:bodyDiv w:val="1"/>
      <w:marLeft w:val="0"/>
      <w:marRight w:val="0"/>
      <w:marTop w:val="0"/>
      <w:marBottom w:val="0"/>
      <w:divBdr>
        <w:top w:val="none" w:sz="0" w:space="0" w:color="auto"/>
        <w:left w:val="none" w:sz="0" w:space="0" w:color="auto"/>
        <w:bottom w:val="none" w:sz="0" w:space="0" w:color="auto"/>
        <w:right w:val="none" w:sz="0" w:space="0" w:color="auto"/>
      </w:divBdr>
    </w:div>
    <w:div w:id="864363581">
      <w:bodyDiv w:val="1"/>
      <w:marLeft w:val="0"/>
      <w:marRight w:val="0"/>
      <w:marTop w:val="0"/>
      <w:marBottom w:val="0"/>
      <w:divBdr>
        <w:top w:val="none" w:sz="0" w:space="0" w:color="auto"/>
        <w:left w:val="none" w:sz="0" w:space="0" w:color="auto"/>
        <w:bottom w:val="none" w:sz="0" w:space="0" w:color="auto"/>
        <w:right w:val="none" w:sz="0" w:space="0" w:color="auto"/>
      </w:divBdr>
    </w:div>
    <w:div w:id="880282836">
      <w:bodyDiv w:val="1"/>
      <w:marLeft w:val="0"/>
      <w:marRight w:val="0"/>
      <w:marTop w:val="0"/>
      <w:marBottom w:val="0"/>
      <w:divBdr>
        <w:top w:val="none" w:sz="0" w:space="0" w:color="auto"/>
        <w:left w:val="none" w:sz="0" w:space="0" w:color="auto"/>
        <w:bottom w:val="none" w:sz="0" w:space="0" w:color="auto"/>
        <w:right w:val="none" w:sz="0" w:space="0" w:color="auto"/>
      </w:divBdr>
    </w:div>
    <w:div w:id="904070547">
      <w:bodyDiv w:val="1"/>
      <w:marLeft w:val="0"/>
      <w:marRight w:val="0"/>
      <w:marTop w:val="0"/>
      <w:marBottom w:val="0"/>
      <w:divBdr>
        <w:top w:val="none" w:sz="0" w:space="0" w:color="auto"/>
        <w:left w:val="none" w:sz="0" w:space="0" w:color="auto"/>
        <w:bottom w:val="none" w:sz="0" w:space="0" w:color="auto"/>
        <w:right w:val="none" w:sz="0" w:space="0" w:color="auto"/>
      </w:divBdr>
      <w:divsChild>
        <w:div w:id="1257061522">
          <w:marLeft w:val="0"/>
          <w:marRight w:val="0"/>
          <w:marTop w:val="0"/>
          <w:marBottom w:val="0"/>
          <w:divBdr>
            <w:top w:val="none" w:sz="0" w:space="0" w:color="auto"/>
            <w:left w:val="none" w:sz="0" w:space="0" w:color="auto"/>
            <w:bottom w:val="none" w:sz="0" w:space="0" w:color="auto"/>
            <w:right w:val="none" w:sz="0" w:space="0" w:color="auto"/>
          </w:divBdr>
          <w:divsChild>
            <w:div w:id="761419347">
              <w:marLeft w:val="0"/>
              <w:marRight w:val="0"/>
              <w:marTop w:val="0"/>
              <w:marBottom w:val="0"/>
              <w:divBdr>
                <w:top w:val="none" w:sz="0" w:space="0" w:color="auto"/>
                <w:left w:val="none" w:sz="0" w:space="0" w:color="auto"/>
                <w:bottom w:val="none" w:sz="0" w:space="0" w:color="auto"/>
                <w:right w:val="none" w:sz="0" w:space="0" w:color="auto"/>
              </w:divBdr>
              <w:divsChild>
                <w:div w:id="1849169758">
                  <w:marLeft w:val="0"/>
                  <w:marRight w:val="0"/>
                  <w:marTop w:val="0"/>
                  <w:marBottom w:val="0"/>
                  <w:divBdr>
                    <w:top w:val="none" w:sz="0" w:space="0" w:color="auto"/>
                    <w:left w:val="none" w:sz="0" w:space="0" w:color="auto"/>
                    <w:bottom w:val="none" w:sz="0" w:space="0" w:color="auto"/>
                    <w:right w:val="none" w:sz="0" w:space="0" w:color="auto"/>
                  </w:divBdr>
                  <w:divsChild>
                    <w:div w:id="1742563672">
                      <w:marLeft w:val="0"/>
                      <w:marRight w:val="0"/>
                      <w:marTop w:val="0"/>
                      <w:marBottom w:val="0"/>
                      <w:divBdr>
                        <w:top w:val="none" w:sz="0" w:space="0" w:color="auto"/>
                        <w:left w:val="none" w:sz="0" w:space="0" w:color="auto"/>
                        <w:bottom w:val="none" w:sz="0" w:space="0" w:color="auto"/>
                        <w:right w:val="none" w:sz="0" w:space="0" w:color="auto"/>
                      </w:divBdr>
                      <w:divsChild>
                        <w:div w:id="556938530">
                          <w:marLeft w:val="0"/>
                          <w:marRight w:val="0"/>
                          <w:marTop w:val="0"/>
                          <w:marBottom w:val="0"/>
                          <w:divBdr>
                            <w:top w:val="none" w:sz="0" w:space="0" w:color="auto"/>
                            <w:left w:val="none" w:sz="0" w:space="0" w:color="auto"/>
                            <w:bottom w:val="none" w:sz="0" w:space="0" w:color="auto"/>
                            <w:right w:val="none" w:sz="0" w:space="0" w:color="auto"/>
                          </w:divBdr>
                          <w:divsChild>
                            <w:div w:id="138918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749536">
                  <w:marLeft w:val="0"/>
                  <w:marRight w:val="0"/>
                  <w:marTop w:val="0"/>
                  <w:marBottom w:val="0"/>
                  <w:divBdr>
                    <w:top w:val="none" w:sz="0" w:space="0" w:color="auto"/>
                    <w:left w:val="none" w:sz="0" w:space="0" w:color="auto"/>
                    <w:bottom w:val="none" w:sz="0" w:space="0" w:color="auto"/>
                    <w:right w:val="none" w:sz="0" w:space="0" w:color="auto"/>
                  </w:divBdr>
                  <w:divsChild>
                    <w:div w:id="2042053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197972">
      <w:bodyDiv w:val="1"/>
      <w:marLeft w:val="0"/>
      <w:marRight w:val="0"/>
      <w:marTop w:val="0"/>
      <w:marBottom w:val="0"/>
      <w:divBdr>
        <w:top w:val="none" w:sz="0" w:space="0" w:color="auto"/>
        <w:left w:val="none" w:sz="0" w:space="0" w:color="auto"/>
        <w:bottom w:val="none" w:sz="0" w:space="0" w:color="auto"/>
        <w:right w:val="none" w:sz="0" w:space="0" w:color="auto"/>
      </w:divBdr>
    </w:div>
    <w:div w:id="925727695">
      <w:bodyDiv w:val="1"/>
      <w:marLeft w:val="0"/>
      <w:marRight w:val="0"/>
      <w:marTop w:val="0"/>
      <w:marBottom w:val="0"/>
      <w:divBdr>
        <w:top w:val="none" w:sz="0" w:space="0" w:color="auto"/>
        <w:left w:val="none" w:sz="0" w:space="0" w:color="auto"/>
        <w:bottom w:val="none" w:sz="0" w:space="0" w:color="auto"/>
        <w:right w:val="none" w:sz="0" w:space="0" w:color="auto"/>
      </w:divBdr>
      <w:divsChild>
        <w:div w:id="9477362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2150041">
      <w:bodyDiv w:val="1"/>
      <w:marLeft w:val="0"/>
      <w:marRight w:val="0"/>
      <w:marTop w:val="0"/>
      <w:marBottom w:val="0"/>
      <w:divBdr>
        <w:top w:val="none" w:sz="0" w:space="0" w:color="auto"/>
        <w:left w:val="none" w:sz="0" w:space="0" w:color="auto"/>
        <w:bottom w:val="none" w:sz="0" w:space="0" w:color="auto"/>
        <w:right w:val="none" w:sz="0" w:space="0" w:color="auto"/>
      </w:divBdr>
    </w:div>
    <w:div w:id="942349212">
      <w:bodyDiv w:val="1"/>
      <w:marLeft w:val="0"/>
      <w:marRight w:val="0"/>
      <w:marTop w:val="0"/>
      <w:marBottom w:val="0"/>
      <w:divBdr>
        <w:top w:val="none" w:sz="0" w:space="0" w:color="auto"/>
        <w:left w:val="none" w:sz="0" w:space="0" w:color="auto"/>
        <w:bottom w:val="none" w:sz="0" w:space="0" w:color="auto"/>
        <w:right w:val="none" w:sz="0" w:space="0" w:color="auto"/>
      </w:divBdr>
    </w:div>
    <w:div w:id="944731752">
      <w:bodyDiv w:val="1"/>
      <w:marLeft w:val="0"/>
      <w:marRight w:val="0"/>
      <w:marTop w:val="0"/>
      <w:marBottom w:val="0"/>
      <w:divBdr>
        <w:top w:val="none" w:sz="0" w:space="0" w:color="auto"/>
        <w:left w:val="none" w:sz="0" w:space="0" w:color="auto"/>
        <w:bottom w:val="none" w:sz="0" w:space="0" w:color="auto"/>
        <w:right w:val="none" w:sz="0" w:space="0" w:color="auto"/>
      </w:divBdr>
    </w:div>
    <w:div w:id="951398638">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5338106">
      <w:bodyDiv w:val="1"/>
      <w:marLeft w:val="0"/>
      <w:marRight w:val="0"/>
      <w:marTop w:val="0"/>
      <w:marBottom w:val="0"/>
      <w:divBdr>
        <w:top w:val="none" w:sz="0" w:space="0" w:color="auto"/>
        <w:left w:val="none" w:sz="0" w:space="0" w:color="auto"/>
        <w:bottom w:val="none" w:sz="0" w:space="0" w:color="auto"/>
        <w:right w:val="none" w:sz="0" w:space="0" w:color="auto"/>
      </w:divBdr>
    </w:div>
    <w:div w:id="981808291">
      <w:bodyDiv w:val="1"/>
      <w:marLeft w:val="0"/>
      <w:marRight w:val="0"/>
      <w:marTop w:val="0"/>
      <w:marBottom w:val="0"/>
      <w:divBdr>
        <w:top w:val="none" w:sz="0" w:space="0" w:color="auto"/>
        <w:left w:val="none" w:sz="0" w:space="0" w:color="auto"/>
        <w:bottom w:val="none" w:sz="0" w:space="0" w:color="auto"/>
        <w:right w:val="none" w:sz="0" w:space="0" w:color="auto"/>
      </w:divBdr>
    </w:div>
    <w:div w:id="985666116">
      <w:bodyDiv w:val="1"/>
      <w:marLeft w:val="0"/>
      <w:marRight w:val="0"/>
      <w:marTop w:val="0"/>
      <w:marBottom w:val="0"/>
      <w:divBdr>
        <w:top w:val="none" w:sz="0" w:space="0" w:color="auto"/>
        <w:left w:val="none" w:sz="0" w:space="0" w:color="auto"/>
        <w:bottom w:val="none" w:sz="0" w:space="0" w:color="auto"/>
        <w:right w:val="none" w:sz="0" w:space="0" w:color="auto"/>
      </w:divBdr>
    </w:div>
    <w:div w:id="986591521">
      <w:bodyDiv w:val="1"/>
      <w:marLeft w:val="0"/>
      <w:marRight w:val="0"/>
      <w:marTop w:val="0"/>
      <w:marBottom w:val="0"/>
      <w:divBdr>
        <w:top w:val="none" w:sz="0" w:space="0" w:color="auto"/>
        <w:left w:val="none" w:sz="0" w:space="0" w:color="auto"/>
        <w:bottom w:val="none" w:sz="0" w:space="0" w:color="auto"/>
        <w:right w:val="none" w:sz="0" w:space="0" w:color="auto"/>
      </w:divBdr>
    </w:div>
    <w:div w:id="995887489">
      <w:bodyDiv w:val="1"/>
      <w:marLeft w:val="0"/>
      <w:marRight w:val="0"/>
      <w:marTop w:val="0"/>
      <w:marBottom w:val="0"/>
      <w:divBdr>
        <w:top w:val="none" w:sz="0" w:space="0" w:color="auto"/>
        <w:left w:val="none" w:sz="0" w:space="0" w:color="auto"/>
        <w:bottom w:val="none" w:sz="0" w:space="0" w:color="auto"/>
        <w:right w:val="none" w:sz="0" w:space="0" w:color="auto"/>
      </w:divBdr>
    </w:div>
    <w:div w:id="1009022392">
      <w:bodyDiv w:val="1"/>
      <w:marLeft w:val="0"/>
      <w:marRight w:val="0"/>
      <w:marTop w:val="0"/>
      <w:marBottom w:val="0"/>
      <w:divBdr>
        <w:top w:val="none" w:sz="0" w:space="0" w:color="auto"/>
        <w:left w:val="none" w:sz="0" w:space="0" w:color="auto"/>
        <w:bottom w:val="none" w:sz="0" w:space="0" w:color="auto"/>
        <w:right w:val="none" w:sz="0" w:space="0" w:color="auto"/>
      </w:divBdr>
    </w:div>
    <w:div w:id="1015570168">
      <w:bodyDiv w:val="1"/>
      <w:marLeft w:val="0"/>
      <w:marRight w:val="0"/>
      <w:marTop w:val="0"/>
      <w:marBottom w:val="0"/>
      <w:divBdr>
        <w:top w:val="none" w:sz="0" w:space="0" w:color="auto"/>
        <w:left w:val="none" w:sz="0" w:space="0" w:color="auto"/>
        <w:bottom w:val="none" w:sz="0" w:space="0" w:color="auto"/>
        <w:right w:val="none" w:sz="0" w:space="0" w:color="auto"/>
      </w:divBdr>
    </w:div>
    <w:div w:id="1016006407">
      <w:bodyDiv w:val="1"/>
      <w:marLeft w:val="0"/>
      <w:marRight w:val="0"/>
      <w:marTop w:val="0"/>
      <w:marBottom w:val="0"/>
      <w:divBdr>
        <w:top w:val="none" w:sz="0" w:space="0" w:color="auto"/>
        <w:left w:val="none" w:sz="0" w:space="0" w:color="auto"/>
        <w:bottom w:val="none" w:sz="0" w:space="0" w:color="auto"/>
        <w:right w:val="none" w:sz="0" w:space="0" w:color="auto"/>
      </w:divBdr>
      <w:divsChild>
        <w:div w:id="2145735874">
          <w:marLeft w:val="0"/>
          <w:marRight w:val="0"/>
          <w:marTop w:val="0"/>
          <w:marBottom w:val="0"/>
          <w:divBdr>
            <w:top w:val="none" w:sz="0" w:space="0" w:color="auto"/>
            <w:left w:val="none" w:sz="0" w:space="0" w:color="auto"/>
            <w:bottom w:val="none" w:sz="0" w:space="0" w:color="auto"/>
            <w:right w:val="none" w:sz="0" w:space="0" w:color="auto"/>
          </w:divBdr>
          <w:divsChild>
            <w:div w:id="738751346">
              <w:marLeft w:val="0"/>
              <w:marRight w:val="0"/>
              <w:marTop w:val="0"/>
              <w:marBottom w:val="0"/>
              <w:divBdr>
                <w:top w:val="none" w:sz="0" w:space="0" w:color="auto"/>
                <w:left w:val="none" w:sz="0" w:space="0" w:color="auto"/>
                <w:bottom w:val="none" w:sz="0" w:space="0" w:color="auto"/>
                <w:right w:val="none" w:sz="0" w:space="0" w:color="auto"/>
              </w:divBdr>
              <w:divsChild>
                <w:div w:id="234897063">
                  <w:marLeft w:val="0"/>
                  <w:marRight w:val="0"/>
                  <w:marTop w:val="0"/>
                  <w:marBottom w:val="0"/>
                  <w:divBdr>
                    <w:top w:val="none" w:sz="0" w:space="0" w:color="auto"/>
                    <w:left w:val="none" w:sz="0" w:space="0" w:color="auto"/>
                    <w:bottom w:val="none" w:sz="0" w:space="0" w:color="auto"/>
                    <w:right w:val="none" w:sz="0" w:space="0" w:color="auto"/>
                  </w:divBdr>
                  <w:divsChild>
                    <w:div w:id="581184192">
                      <w:marLeft w:val="0"/>
                      <w:marRight w:val="0"/>
                      <w:marTop w:val="0"/>
                      <w:marBottom w:val="0"/>
                      <w:divBdr>
                        <w:top w:val="none" w:sz="0" w:space="0" w:color="auto"/>
                        <w:left w:val="none" w:sz="0" w:space="0" w:color="auto"/>
                        <w:bottom w:val="none" w:sz="0" w:space="0" w:color="auto"/>
                        <w:right w:val="none" w:sz="0" w:space="0" w:color="auto"/>
                      </w:divBdr>
                      <w:divsChild>
                        <w:div w:id="1723747671">
                          <w:marLeft w:val="0"/>
                          <w:marRight w:val="0"/>
                          <w:marTop w:val="0"/>
                          <w:marBottom w:val="0"/>
                          <w:divBdr>
                            <w:top w:val="none" w:sz="0" w:space="0" w:color="auto"/>
                            <w:left w:val="none" w:sz="0" w:space="0" w:color="auto"/>
                            <w:bottom w:val="none" w:sz="0" w:space="0" w:color="auto"/>
                            <w:right w:val="none" w:sz="0" w:space="0" w:color="auto"/>
                          </w:divBdr>
                          <w:divsChild>
                            <w:div w:id="213328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182239">
                  <w:marLeft w:val="0"/>
                  <w:marRight w:val="0"/>
                  <w:marTop w:val="0"/>
                  <w:marBottom w:val="0"/>
                  <w:divBdr>
                    <w:top w:val="none" w:sz="0" w:space="0" w:color="auto"/>
                    <w:left w:val="none" w:sz="0" w:space="0" w:color="auto"/>
                    <w:bottom w:val="none" w:sz="0" w:space="0" w:color="auto"/>
                    <w:right w:val="none" w:sz="0" w:space="0" w:color="auto"/>
                  </w:divBdr>
                  <w:divsChild>
                    <w:div w:id="94045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718947">
      <w:bodyDiv w:val="1"/>
      <w:marLeft w:val="0"/>
      <w:marRight w:val="0"/>
      <w:marTop w:val="0"/>
      <w:marBottom w:val="0"/>
      <w:divBdr>
        <w:top w:val="none" w:sz="0" w:space="0" w:color="auto"/>
        <w:left w:val="none" w:sz="0" w:space="0" w:color="auto"/>
        <w:bottom w:val="none" w:sz="0" w:space="0" w:color="auto"/>
        <w:right w:val="none" w:sz="0" w:space="0" w:color="auto"/>
      </w:divBdr>
    </w:div>
    <w:div w:id="1045370734">
      <w:bodyDiv w:val="1"/>
      <w:marLeft w:val="0"/>
      <w:marRight w:val="0"/>
      <w:marTop w:val="0"/>
      <w:marBottom w:val="0"/>
      <w:divBdr>
        <w:top w:val="none" w:sz="0" w:space="0" w:color="auto"/>
        <w:left w:val="none" w:sz="0" w:space="0" w:color="auto"/>
        <w:bottom w:val="none" w:sz="0" w:space="0" w:color="auto"/>
        <w:right w:val="none" w:sz="0" w:space="0" w:color="auto"/>
      </w:divBdr>
    </w:div>
    <w:div w:id="1074736851">
      <w:bodyDiv w:val="1"/>
      <w:marLeft w:val="0"/>
      <w:marRight w:val="0"/>
      <w:marTop w:val="0"/>
      <w:marBottom w:val="0"/>
      <w:divBdr>
        <w:top w:val="none" w:sz="0" w:space="0" w:color="auto"/>
        <w:left w:val="none" w:sz="0" w:space="0" w:color="auto"/>
        <w:bottom w:val="none" w:sz="0" w:space="0" w:color="auto"/>
        <w:right w:val="none" w:sz="0" w:space="0" w:color="auto"/>
      </w:divBdr>
    </w:div>
    <w:div w:id="1085809304">
      <w:bodyDiv w:val="1"/>
      <w:marLeft w:val="0"/>
      <w:marRight w:val="0"/>
      <w:marTop w:val="0"/>
      <w:marBottom w:val="0"/>
      <w:divBdr>
        <w:top w:val="none" w:sz="0" w:space="0" w:color="auto"/>
        <w:left w:val="none" w:sz="0" w:space="0" w:color="auto"/>
        <w:bottom w:val="none" w:sz="0" w:space="0" w:color="auto"/>
        <w:right w:val="none" w:sz="0" w:space="0" w:color="auto"/>
      </w:divBdr>
    </w:div>
    <w:div w:id="1097558751">
      <w:bodyDiv w:val="1"/>
      <w:marLeft w:val="0"/>
      <w:marRight w:val="0"/>
      <w:marTop w:val="0"/>
      <w:marBottom w:val="0"/>
      <w:divBdr>
        <w:top w:val="none" w:sz="0" w:space="0" w:color="auto"/>
        <w:left w:val="none" w:sz="0" w:space="0" w:color="auto"/>
        <w:bottom w:val="none" w:sz="0" w:space="0" w:color="auto"/>
        <w:right w:val="none" w:sz="0" w:space="0" w:color="auto"/>
      </w:divBdr>
    </w:div>
    <w:div w:id="1099644062">
      <w:bodyDiv w:val="1"/>
      <w:marLeft w:val="0"/>
      <w:marRight w:val="0"/>
      <w:marTop w:val="0"/>
      <w:marBottom w:val="0"/>
      <w:divBdr>
        <w:top w:val="none" w:sz="0" w:space="0" w:color="auto"/>
        <w:left w:val="none" w:sz="0" w:space="0" w:color="auto"/>
        <w:bottom w:val="none" w:sz="0" w:space="0" w:color="auto"/>
        <w:right w:val="none" w:sz="0" w:space="0" w:color="auto"/>
      </w:divBdr>
    </w:div>
    <w:div w:id="1114179623">
      <w:bodyDiv w:val="1"/>
      <w:marLeft w:val="0"/>
      <w:marRight w:val="0"/>
      <w:marTop w:val="0"/>
      <w:marBottom w:val="0"/>
      <w:divBdr>
        <w:top w:val="none" w:sz="0" w:space="0" w:color="auto"/>
        <w:left w:val="none" w:sz="0" w:space="0" w:color="auto"/>
        <w:bottom w:val="none" w:sz="0" w:space="0" w:color="auto"/>
        <w:right w:val="none" w:sz="0" w:space="0" w:color="auto"/>
      </w:divBdr>
    </w:div>
    <w:div w:id="1154638275">
      <w:bodyDiv w:val="1"/>
      <w:marLeft w:val="0"/>
      <w:marRight w:val="0"/>
      <w:marTop w:val="0"/>
      <w:marBottom w:val="0"/>
      <w:divBdr>
        <w:top w:val="none" w:sz="0" w:space="0" w:color="auto"/>
        <w:left w:val="none" w:sz="0" w:space="0" w:color="auto"/>
        <w:bottom w:val="none" w:sz="0" w:space="0" w:color="auto"/>
        <w:right w:val="none" w:sz="0" w:space="0" w:color="auto"/>
      </w:divBdr>
    </w:div>
    <w:div w:id="1165247717">
      <w:bodyDiv w:val="1"/>
      <w:marLeft w:val="0"/>
      <w:marRight w:val="0"/>
      <w:marTop w:val="0"/>
      <w:marBottom w:val="0"/>
      <w:divBdr>
        <w:top w:val="none" w:sz="0" w:space="0" w:color="auto"/>
        <w:left w:val="none" w:sz="0" w:space="0" w:color="auto"/>
        <w:bottom w:val="none" w:sz="0" w:space="0" w:color="auto"/>
        <w:right w:val="none" w:sz="0" w:space="0" w:color="auto"/>
      </w:divBdr>
    </w:div>
    <w:div w:id="1176962497">
      <w:bodyDiv w:val="1"/>
      <w:marLeft w:val="0"/>
      <w:marRight w:val="0"/>
      <w:marTop w:val="0"/>
      <w:marBottom w:val="0"/>
      <w:divBdr>
        <w:top w:val="none" w:sz="0" w:space="0" w:color="auto"/>
        <w:left w:val="none" w:sz="0" w:space="0" w:color="auto"/>
        <w:bottom w:val="none" w:sz="0" w:space="0" w:color="auto"/>
        <w:right w:val="none" w:sz="0" w:space="0" w:color="auto"/>
      </w:divBdr>
    </w:div>
    <w:div w:id="1205752099">
      <w:bodyDiv w:val="1"/>
      <w:marLeft w:val="0"/>
      <w:marRight w:val="0"/>
      <w:marTop w:val="0"/>
      <w:marBottom w:val="0"/>
      <w:divBdr>
        <w:top w:val="none" w:sz="0" w:space="0" w:color="auto"/>
        <w:left w:val="none" w:sz="0" w:space="0" w:color="auto"/>
        <w:bottom w:val="none" w:sz="0" w:space="0" w:color="auto"/>
        <w:right w:val="none" w:sz="0" w:space="0" w:color="auto"/>
      </w:divBdr>
    </w:div>
    <w:div w:id="1228496348">
      <w:bodyDiv w:val="1"/>
      <w:marLeft w:val="0"/>
      <w:marRight w:val="0"/>
      <w:marTop w:val="0"/>
      <w:marBottom w:val="0"/>
      <w:divBdr>
        <w:top w:val="none" w:sz="0" w:space="0" w:color="auto"/>
        <w:left w:val="none" w:sz="0" w:space="0" w:color="auto"/>
        <w:bottom w:val="none" w:sz="0" w:space="0" w:color="auto"/>
        <w:right w:val="none" w:sz="0" w:space="0" w:color="auto"/>
      </w:divBdr>
    </w:div>
    <w:div w:id="1241519395">
      <w:bodyDiv w:val="1"/>
      <w:marLeft w:val="0"/>
      <w:marRight w:val="0"/>
      <w:marTop w:val="0"/>
      <w:marBottom w:val="0"/>
      <w:divBdr>
        <w:top w:val="none" w:sz="0" w:space="0" w:color="auto"/>
        <w:left w:val="none" w:sz="0" w:space="0" w:color="auto"/>
        <w:bottom w:val="none" w:sz="0" w:space="0" w:color="auto"/>
        <w:right w:val="none" w:sz="0" w:space="0" w:color="auto"/>
      </w:divBdr>
    </w:div>
    <w:div w:id="1260799352">
      <w:bodyDiv w:val="1"/>
      <w:marLeft w:val="0"/>
      <w:marRight w:val="0"/>
      <w:marTop w:val="0"/>
      <w:marBottom w:val="0"/>
      <w:divBdr>
        <w:top w:val="none" w:sz="0" w:space="0" w:color="auto"/>
        <w:left w:val="none" w:sz="0" w:space="0" w:color="auto"/>
        <w:bottom w:val="none" w:sz="0" w:space="0" w:color="auto"/>
        <w:right w:val="none" w:sz="0" w:space="0" w:color="auto"/>
      </w:divBdr>
      <w:divsChild>
        <w:div w:id="814294601">
          <w:marLeft w:val="0"/>
          <w:marRight w:val="0"/>
          <w:marTop w:val="0"/>
          <w:marBottom w:val="0"/>
          <w:divBdr>
            <w:top w:val="none" w:sz="0" w:space="0" w:color="auto"/>
            <w:left w:val="none" w:sz="0" w:space="0" w:color="auto"/>
            <w:bottom w:val="none" w:sz="0" w:space="0" w:color="auto"/>
            <w:right w:val="none" w:sz="0" w:space="0" w:color="auto"/>
          </w:divBdr>
          <w:divsChild>
            <w:div w:id="910316454">
              <w:marLeft w:val="0"/>
              <w:marRight w:val="0"/>
              <w:marTop w:val="0"/>
              <w:marBottom w:val="0"/>
              <w:divBdr>
                <w:top w:val="none" w:sz="0" w:space="0" w:color="auto"/>
                <w:left w:val="none" w:sz="0" w:space="0" w:color="auto"/>
                <w:bottom w:val="none" w:sz="0" w:space="0" w:color="auto"/>
                <w:right w:val="none" w:sz="0" w:space="0" w:color="auto"/>
              </w:divBdr>
              <w:divsChild>
                <w:div w:id="1674335853">
                  <w:marLeft w:val="0"/>
                  <w:marRight w:val="0"/>
                  <w:marTop w:val="0"/>
                  <w:marBottom w:val="0"/>
                  <w:divBdr>
                    <w:top w:val="none" w:sz="0" w:space="0" w:color="auto"/>
                    <w:left w:val="none" w:sz="0" w:space="0" w:color="auto"/>
                    <w:bottom w:val="none" w:sz="0" w:space="0" w:color="auto"/>
                    <w:right w:val="none" w:sz="0" w:space="0" w:color="auto"/>
                  </w:divBdr>
                  <w:divsChild>
                    <w:div w:id="1360159850">
                      <w:marLeft w:val="0"/>
                      <w:marRight w:val="0"/>
                      <w:marTop w:val="0"/>
                      <w:marBottom w:val="0"/>
                      <w:divBdr>
                        <w:top w:val="none" w:sz="0" w:space="0" w:color="auto"/>
                        <w:left w:val="none" w:sz="0" w:space="0" w:color="auto"/>
                        <w:bottom w:val="none" w:sz="0" w:space="0" w:color="auto"/>
                        <w:right w:val="none" w:sz="0" w:space="0" w:color="auto"/>
                      </w:divBdr>
                      <w:divsChild>
                        <w:div w:id="1879538729">
                          <w:marLeft w:val="0"/>
                          <w:marRight w:val="0"/>
                          <w:marTop w:val="0"/>
                          <w:marBottom w:val="0"/>
                          <w:divBdr>
                            <w:top w:val="none" w:sz="0" w:space="0" w:color="auto"/>
                            <w:left w:val="none" w:sz="0" w:space="0" w:color="auto"/>
                            <w:bottom w:val="none" w:sz="0" w:space="0" w:color="auto"/>
                            <w:right w:val="none" w:sz="0" w:space="0" w:color="auto"/>
                          </w:divBdr>
                          <w:divsChild>
                            <w:div w:id="174622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486141">
                  <w:marLeft w:val="0"/>
                  <w:marRight w:val="0"/>
                  <w:marTop w:val="0"/>
                  <w:marBottom w:val="0"/>
                  <w:divBdr>
                    <w:top w:val="none" w:sz="0" w:space="0" w:color="auto"/>
                    <w:left w:val="none" w:sz="0" w:space="0" w:color="auto"/>
                    <w:bottom w:val="none" w:sz="0" w:space="0" w:color="auto"/>
                    <w:right w:val="none" w:sz="0" w:space="0" w:color="auto"/>
                  </w:divBdr>
                  <w:divsChild>
                    <w:div w:id="81749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6841763">
      <w:bodyDiv w:val="1"/>
      <w:marLeft w:val="0"/>
      <w:marRight w:val="0"/>
      <w:marTop w:val="0"/>
      <w:marBottom w:val="0"/>
      <w:divBdr>
        <w:top w:val="none" w:sz="0" w:space="0" w:color="auto"/>
        <w:left w:val="none" w:sz="0" w:space="0" w:color="auto"/>
        <w:bottom w:val="none" w:sz="0" w:space="0" w:color="auto"/>
        <w:right w:val="none" w:sz="0" w:space="0" w:color="auto"/>
      </w:divBdr>
    </w:div>
    <w:div w:id="1284773642">
      <w:bodyDiv w:val="1"/>
      <w:marLeft w:val="0"/>
      <w:marRight w:val="0"/>
      <w:marTop w:val="0"/>
      <w:marBottom w:val="0"/>
      <w:divBdr>
        <w:top w:val="none" w:sz="0" w:space="0" w:color="auto"/>
        <w:left w:val="none" w:sz="0" w:space="0" w:color="auto"/>
        <w:bottom w:val="none" w:sz="0" w:space="0" w:color="auto"/>
        <w:right w:val="none" w:sz="0" w:space="0" w:color="auto"/>
      </w:divBdr>
      <w:divsChild>
        <w:div w:id="398862958">
          <w:marLeft w:val="0"/>
          <w:marRight w:val="0"/>
          <w:marTop w:val="0"/>
          <w:marBottom w:val="0"/>
          <w:divBdr>
            <w:top w:val="none" w:sz="0" w:space="0" w:color="auto"/>
            <w:left w:val="none" w:sz="0" w:space="0" w:color="auto"/>
            <w:bottom w:val="none" w:sz="0" w:space="0" w:color="auto"/>
            <w:right w:val="none" w:sz="0" w:space="0" w:color="auto"/>
          </w:divBdr>
          <w:divsChild>
            <w:div w:id="452788872">
              <w:marLeft w:val="0"/>
              <w:marRight w:val="0"/>
              <w:marTop w:val="0"/>
              <w:marBottom w:val="0"/>
              <w:divBdr>
                <w:top w:val="none" w:sz="0" w:space="0" w:color="auto"/>
                <w:left w:val="none" w:sz="0" w:space="0" w:color="auto"/>
                <w:bottom w:val="none" w:sz="0" w:space="0" w:color="auto"/>
                <w:right w:val="none" w:sz="0" w:space="0" w:color="auto"/>
              </w:divBdr>
              <w:divsChild>
                <w:div w:id="1860698295">
                  <w:marLeft w:val="0"/>
                  <w:marRight w:val="0"/>
                  <w:marTop w:val="0"/>
                  <w:marBottom w:val="0"/>
                  <w:divBdr>
                    <w:top w:val="none" w:sz="0" w:space="0" w:color="auto"/>
                    <w:left w:val="none" w:sz="0" w:space="0" w:color="auto"/>
                    <w:bottom w:val="none" w:sz="0" w:space="0" w:color="auto"/>
                    <w:right w:val="none" w:sz="0" w:space="0" w:color="auto"/>
                  </w:divBdr>
                  <w:divsChild>
                    <w:div w:id="956566134">
                      <w:marLeft w:val="0"/>
                      <w:marRight w:val="0"/>
                      <w:marTop w:val="0"/>
                      <w:marBottom w:val="0"/>
                      <w:divBdr>
                        <w:top w:val="none" w:sz="0" w:space="0" w:color="auto"/>
                        <w:left w:val="none" w:sz="0" w:space="0" w:color="auto"/>
                        <w:bottom w:val="none" w:sz="0" w:space="0" w:color="auto"/>
                        <w:right w:val="none" w:sz="0" w:space="0" w:color="auto"/>
                      </w:divBdr>
                      <w:divsChild>
                        <w:div w:id="1944537268">
                          <w:marLeft w:val="0"/>
                          <w:marRight w:val="0"/>
                          <w:marTop w:val="0"/>
                          <w:marBottom w:val="0"/>
                          <w:divBdr>
                            <w:top w:val="none" w:sz="0" w:space="0" w:color="auto"/>
                            <w:left w:val="none" w:sz="0" w:space="0" w:color="auto"/>
                            <w:bottom w:val="none" w:sz="0" w:space="0" w:color="auto"/>
                            <w:right w:val="none" w:sz="0" w:space="0" w:color="auto"/>
                          </w:divBdr>
                          <w:divsChild>
                            <w:div w:id="84810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976640">
                  <w:marLeft w:val="0"/>
                  <w:marRight w:val="0"/>
                  <w:marTop w:val="0"/>
                  <w:marBottom w:val="0"/>
                  <w:divBdr>
                    <w:top w:val="none" w:sz="0" w:space="0" w:color="auto"/>
                    <w:left w:val="none" w:sz="0" w:space="0" w:color="auto"/>
                    <w:bottom w:val="none" w:sz="0" w:space="0" w:color="auto"/>
                    <w:right w:val="none" w:sz="0" w:space="0" w:color="auto"/>
                  </w:divBdr>
                  <w:divsChild>
                    <w:div w:id="180697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104071">
      <w:bodyDiv w:val="1"/>
      <w:marLeft w:val="0"/>
      <w:marRight w:val="0"/>
      <w:marTop w:val="0"/>
      <w:marBottom w:val="0"/>
      <w:divBdr>
        <w:top w:val="none" w:sz="0" w:space="0" w:color="auto"/>
        <w:left w:val="none" w:sz="0" w:space="0" w:color="auto"/>
        <w:bottom w:val="none" w:sz="0" w:space="0" w:color="auto"/>
        <w:right w:val="none" w:sz="0" w:space="0" w:color="auto"/>
      </w:divBdr>
    </w:div>
    <w:div w:id="1307474728">
      <w:bodyDiv w:val="1"/>
      <w:marLeft w:val="0"/>
      <w:marRight w:val="0"/>
      <w:marTop w:val="0"/>
      <w:marBottom w:val="0"/>
      <w:divBdr>
        <w:top w:val="none" w:sz="0" w:space="0" w:color="auto"/>
        <w:left w:val="none" w:sz="0" w:space="0" w:color="auto"/>
        <w:bottom w:val="none" w:sz="0" w:space="0" w:color="auto"/>
        <w:right w:val="none" w:sz="0" w:space="0" w:color="auto"/>
      </w:divBdr>
    </w:div>
    <w:div w:id="1311790510">
      <w:bodyDiv w:val="1"/>
      <w:marLeft w:val="0"/>
      <w:marRight w:val="0"/>
      <w:marTop w:val="0"/>
      <w:marBottom w:val="0"/>
      <w:divBdr>
        <w:top w:val="none" w:sz="0" w:space="0" w:color="auto"/>
        <w:left w:val="none" w:sz="0" w:space="0" w:color="auto"/>
        <w:bottom w:val="none" w:sz="0" w:space="0" w:color="auto"/>
        <w:right w:val="none" w:sz="0" w:space="0" w:color="auto"/>
      </w:divBdr>
    </w:div>
    <w:div w:id="1313679669">
      <w:bodyDiv w:val="1"/>
      <w:marLeft w:val="0"/>
      <w:marRight w:val="0"/>
      <w:marTop w:val="0"/>
      <w:marBottom w:val="0"/>
      <w:divBdr>
        <w:top w:val="none" w:sz="0" w:space="0" w:color="auto"/>
        <w:left w:val="none" w:sz="0" w:space="0" w:color="auto"/>
        <w:bottom w:val="none" w:sz="0" w:space="0" w:color="auto"/>
        <w:right w:val="none" w:sz="0" w:space="0" w:color="auto"/>
      </w:divBdr>
    </w:div>
    <w:div w:id="1329135743">
      <w:bodyDiv w:val="1"/>
      <w:marLeft w:val="0"/>
      <w:marRight w:val="0"/>
      <w:marTop w:val="0"/>
      <w:marBottom w:val="0"/>
      <w:divBdr>
        <w:top w:val="none" w:sz="0" w:space="0" w:color="auto"/>
        <w:left w:val="none" w:sz="0" w:space="0" w:color="auto"/>
        <w:bottom w:val="none" w:sz="0" w:space="0" w:color="auto"/>
        <w:right w:val="none" w:sz="0" w:space="0" w:color="auto"/>
      </w:divBdr>
    </w:div>
    <w:div w:id="1331174780">
      <w:bodyDiv w:val="1"/>
      <w:marLeft w:val="0"/>
      <w:marRight w:val="0"/>
      <w:marTop w:val="0"/>
      <w:marBottom w:val="0"/>
      <w:divBdr>
        <w:top w:val="none" w:sz="0" w:space="0" w:color="auto"/>
        <w:left w:val="none" w:sz="0" w:space="0" w:color="auto"/>
        <w:bottom w:val="none" w:sz="0" w:space="0" w:color="auto"/>
        <w:right w:val="none" w:sz="0" w:space="0" w:color="auto"/>
      </w:divBdr>
      <w:divsChild>
        <w:div w:id="94060582">
          <w:blockQuote w:val="1"/>
          <w:marLeft w:val="720"/>
          <w:marRight w:val="720"/>
          <w:marTop w:val="100"/>
          <w:marBottom w:val="100"/>
          <w:divBdr>
            <w:top w:val="none" w:sz="0" w:space="0" w:color="auto"/>
            <w:left w:val="none" w:sz="0" w:space="0" w:color="auto"/>
            <w:bottom w:val="none" w:sz="0" w:space="0" w:color="auto"/>
            <w:right w:val="none" w:sz="0" w:space="0" w:color="auto"/>
          </w:divBdr>
        </w:div>
        <w:div w:id="371881096">
          <w:blockQuote w:val="1"/>
          <w:marLeft w:val="720"/>
          <w:marRight w:val="720"/>
          <w:marTop w:val="100"/>
          <w:marBottom w:val="100"/>
          <w:divBdr>
            <w:top w:val="none" w:sz="0" w:space="0" w:color="auto"/>
            <w:left w:val="none" w:sz="0" w:space="0" w:color="auto"/>
            <w:bottom w:val="none" w:sz="0" w:space="0" w:color="auto"/>
            <w:right w:val="none" w:sz="0" w:space="0" w:color="auto"/>
          </w:divBdr>
        </w:div>
        <w:div w:id="1002128101">
          <w:blockQuote w:val="1"/>
          <w:marLeft w:val="720"/>
          <w:marRight w:val="720"/>
          <w:marTop w:val="100"/>
          <w:marBottom w:val="100"/>
          <w:divBdr>
            <w:top w:val="none" w:sz="0" w:space="0" w:color="auto"/>
            <w:left w:val="none" w:sz="0" w:space="0" w:color="auto"/>
            <w:bottom w:val="none" w:sz="0" w:space="0" w:color="auto"/>
            <w:right w:val="none" w:sz="0" w:space="0" w:color="auto"/>
          </w:divBdr>
        </w:div>
        <w:div w:id="17462225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0792186">
      <w:bodyDiv w:val="1"/>
      <w:marLeft w:val="0"/>
      <w:marRight w:val="0"/>
      <w:marTop w:val="0"/>
      <w:marBottom w:val="0"/>
      <w:divBdr>
        <w:top w:val="none" w:sz="0" w:space="0" w:color="auto"/>
        <w:left w:val="none" w:sz="0" w:space="0" w:color="auto"/>
        <w:bottom w:val="none" w:sz="0" w:space="0" w:color="auto"/>
        <w:right w:val="none" w:sz="0" w:space="0" w:color="auto"/>
      </w:divBdr>
    </w:div>
    <w:div w:id="1373000471">
      <w:bodyDiv w:val="1"/>
      <w:marLeft w:val="0"/>
      <w:marRight w:val="0"/>
      <w:marTop w:val="0"/>
      <w:marBottom w:val="0"/>
      <w:divBdr>
        <w:top w:val="none" w:sz="0" w:space="0" w:color="auto"/>
        <w:left w:val="none" w:sz="0" w:space="0" w:color="auto"/>
        <w:bottom w:val="none" w:sz="0" w:space="0" w:color="auto"/>
        <w:right w:val="none" w:sz="0" w:space="0" w:color="auto"/>
      </w:divBdr>
    </w:div>
    <w:div w:id="1376153978">
      <w:bodyDiv w:val="1"/>
      <w:marLeft w:val="0"/>
      <w:marRight w:val="0"/>
      <w:marTop w:val="0"/>
      <w:marBottom w:val="0"/>
      <w:divBdr>
        <w:top w:val="none" w:sz="0" w:space="0" w:color="auto"/>
        <w:left w:val="none" w:sz="0" w:space="0" w:color="auto"/>
        <w:bottom w:val="none" w:sz="0" w:space="0" w:color="auto"/>
        <w:right w:val="none" w:sz="0" w:space="0" w:color="auto"/>
      </w:divBdr>
    </w:div>
    <w:div w:id="1378971128">
      <w:bodyDiv w:val="1"/>
      <w:marLeft w:val="0"/>
      <w:marRight w:val="0"/>
      <w:marTop w:val="0"/>
      <w:marBottom w:val="0"/>
      <w:divBdr>
        <w:top w:val="none" w:sz="0" w:space="0" w:color="auto"/>
        <w:left w:val="none" w:sz="0" w:space="0" w:color="auto"/>
        <w:bottom w:val="none" w:sz="0" w:space="0" w:color="auto"/>
        <w:right w:val="none" w:sz="0" w:space="0" w:color="auto"/>
      </w:divBdr>
    </w:div>
    <w:div w:id="1379819594">
      <w:bodyDiv w:val="1"/>
      <w:marLeft w:val="0"/>
      <w:marRight w:val="0"/>
      <w:marTop w:val="0"/>
      <w:marBottom w:val="0"/>
      <w:divBdr>
        <w:top w:val="none" w:sz="0" w:space="0" w:color="auto"/>
        <w:left w:val="none" w:sz="0" w:space="0" w:color="auto"/>
        <w:bottom w:val="none" w:sz="0" w:space="0" w:color="auto"/>
        <w:right w:val="none" w:sz="0" w:space="0" w:color="auto"/>
      </w:divBdr>
    </w:div>
    <w:div w:id="1385717732">
      <w:bodyDiv w:val="1"/>
      <w:marLeft w:val="0"/>
      <w:marRight w:val="0"/>
      <w:marTop w:val="0"/>
      <w:marBottom w:val="0"/>
      <w:divBdr>
        <w:top w:val="none" w:sz="0" w:space="0" w:color="auto"/>
        <w:left w:val="none" w:sz="0" w:space="0" w:color="auto"/>
        <w:bottom w:val="none" w:sz="0" w:space="0" w:color="auto"/>
        <w:right w:val="none" w:sz="0" w:space="0" w:color="auto"/>
      </w:divBdr>
    </w:div>
    <w:div w:id="1387073065">
      <w:bodyDiv w:val="1"/>
      <w:marLeft w:val="0"/>
      <w:marRight w:val="0"/>
      <w:marTop w:val="0"/>
      <w:marBottom w:val="0"/>
      <w:divBdr>
        <w:top w:val="none" w:sz="0" w:space="0" w:color="auto"/>
        <w:left w:val="none" w:sz="0" w:space="0" w:color="auto"/>
        <w:bottom w:val="none" w:sz="0" w:space="0" w:color="auto"/>
        <w:right w:val="none" w:sz="0" w:space="0" w:color="auto"/>
      </w:divBdr>
      <w:divsChild>
        <w:div w:id="484391662">
          <w:marLeft w:val="0"/>
          <w:marRight w:val="0"/>
          <w:marTop w:val="0"/>
          <w:marBottom w:val="0"/>
          <w:divBdr>
            <w:top w:val="none" w:sz="0" w:space="0" w:color="auto"/>
            <w:left w:val="none" w:sz="0" w:space="0" w:color="auto"/>
            <w:bottom w:val="none" w:sz="0" w:space="0" w:color="auto"/>
            <w:right w:val="none" w:sz="0" w:space="0" w:color="auto"/>
          </w:divBdr>
          <w:divsChild>
            <w:div w:id="591856547">
              <w:marLeft w:val="0"/>
              <w:marRight w:val="0"/>
              <w:marTop w:val="0"/>
              <w:marBottom w:val="0"/>
              <w:divBdr>
                <w:top w:val="none" w:sz="0" w:space="0" w:color="auto"/>
                <w:left w:val="none" w:sz="0" w:space="0" w:color="auto"/>
                <w:bottom w:val="none" w:sz="0" w:space="0" w:color="auto"/>
                <w:right w:val="none" w:sz="0" w:space="0" w:color="auto"/>
              </w:divBdr>
              <w:divsChild>
                <w:div w:id="26108242">
                  <w:marLeft w:val="0"/>
                  <w:marRight w:val="0"/>
                  <w:marTop w:val="0"/>
                  <w:marBottom w:val="0"/>
                  <w:divBdr>
                    <w:top w:val="none" w:sz="0" w:space="0" w:color="auto"/>
                    <w:left w:val="none" w:sz="0" w:space="0" w:color="auto"/>
                    <w:bottom w:val="none" w:sz="0" w:space="0" w:color="auto"/>
                    <w:right w:val="none" w:sz="0" w:space="0" w:color="auto"/>
                  </w:divBdr>
                  <w:divsChild>
                    <w:div w:id="872301176">
                      <w:marLeft w:val="0"/>
                      <w:marRight w:val="0"/>
                      <w:marTop w:val="0"/>
                      <w:marBottom w:val="0"/>
                      <w:divBdr>
                        <w:top w:val="none" w:sz="0" w:space="0" w:color="auto"/>
                        <w:left w:val="none" w:sz="0" w:space="0" w:color="auto"/>
                        <w:bottom w:val="none" w:sz="0" w:space="0" w:color="auto"/>
                        <w:right w:val="none" w:sz="0" w:space="0" w:color="auto"/>
                      </w:divBdr>
                      <w:divsChild>
                        <w:div w:id="785387492">
                          <w:marLeft w:val="0"/>
                          <w:marRight w:val="0"/>
                          <w:marTop w:val="0"/>
                          <w:marBottom w:val="0"/>
                          <w:divBdr>
                            <w:top w:val="none" w:sz="0" w:space="0" w:color="auto"/>
                            <w:left w:val="none" w:sz="0" w:space="0" w:color="auto"/>
                            <w:bottom w:val="none" w:sz="0" w:space="0" w:color="auto"/>
                            <w:right w:val="none" w:sz="0" w:space="0" w:color="auto"/>
                          </w:divBdr>
                          <w:divsChild>
                            <w:div w:id="169896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60866">
                  <w:marLeft w:val="0"/>
                  <w:marRight w:val="0"/>
                  <w:marTop w:val="0"/>
                  <w:marBottom w:val="0"/>
                  <w:divBdr>
                    <w:top w:val="none" w:sz="0" w:space="0" w:color="auto"/>
                    <w:left w:val="none" w:sz="0" w:space="0" w:color="auto"/>
                    <w:bottom w:val="none" w:sz="0" w:space="0" w:color="auto"/>
                    <w:right w:val="none" w:sz="0" w:space="0" w:color="auto"/>
                  </w:divBdr>
                  <w:divsChild>
                    <w:div w:id="48235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7683664">
      <w:bodyDiv w:val="1"/>
      <w:marLeft w:val="0"/>
      <w:marRight w:val="0"/>
      <w:marTop w:val="0"/>
      <w:marBottom w:val="0"/>
      <w:divBdr>
        <w:top w:val="none" w:sz="0" w:space="0" w:color="auto"/>
        <w:left w:val="none" w:sz="0" w:space="0" w:color="auto"/>
        <w:bottom w:val="none" w:sz="0" w:space="0" w:color="auto"/>
        <w:right w:val="none" w:sz="0" w:space="0" w:color="auto"/>
      </w:divBdr>
    </w:div>
    <w:div w:id="1389232417">
      <w:bodyDiv w:val="1"/>
      <w:marLeft w:val="0"/>
      <w:marRight w:val="0"/>
      <w:marTop w:val="0"/>
      <w:marBottom w:val="0"/>
      <w:divBdr>
        <w:top w:val="none" w:sz="0" w:space="0" w:color="auto"/>
        <w:left w:val="none" w:sz="0" w:space="0" w:color="auto"/>
        <w:bottom w:val="none" w:sz="0" w:space="0" w:color="auto"/>
        <w:right w:val="none" w:sz="0" w:space="0" w:color="auto"/>
      </w:divBdr>
    </w:div>
    <w:div w:id="1396393636">
      <w:bodyDiv w:val="1"/>
      <w:marLeft w:val="0"/>
      <w:marRight w:val="0"/>
      <w:marTop w:val="0"/>
      <w:marBottom w:val="0"/>
      <w:divBdr>
        <w:top w:val="none" w:sz="0" w:space="0" w:color="auto"/>
        <w:left w:val="none" w:sz="0" w:space="0" w:color="auto"/>
        <w:bottom w:val="none" w:sz="0" w:space="0" w:color="auto"/>
        <w:right w:val="none" w:sz="0" w:space="0" w:color="auto"/>
      </w:divBdr>
      <w:divsChild>
        <w:div w:id="6721493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2193311">
      <w:bodyDiv w:val="1"/>
      <w:marLeft w:val="0"/>
      <w:marRight w:val="0"/>
      <w:marTop w:val="0"/>
      <w:marBottom w:val="0"/>
      <w:divBdr>
        <w:top w:val="none" w:sz="0" w:space="0" w:color="auto"/>
        <w:left w:val="none" w:sz="0" w:space="0" w:color="auto"/>
        <w:bottom w:val="none" w:sz="0" w:space="0" w:color="auto"/>
        <w:right w:val="none" w:sz="0" w:space="0" w:color="auto"/>
      </w:divBdr>
    </w:div>
    <w:div w:id="1414741866">
      <w:bodyDiv w:val="1"/>
      <w:marLeft w:val="0"/>
      <w:marRight w:val="0"/>
      <w:marTop w:val="0"/>
      <w:marBottom w:val="0"/>
      <w:divBdr>
        <w:top w:val="none" w:sz="0" w:space="0" w:color="auto"/>
        <w:left w:val="none" w:sz="0" w:space="0" w:color="auto"/>
        <w:bottom w:val="none" w:sz="0" w:space="0" w:color="auto"/>
        <w:right w:val="none" w:sz="0" w:space="0" w:color="auto"/>
      </w:divBdr>
      <w:divsChild>
        <w:div w:id="206845054">
          <w:marLeft w:val="0"/>
          <w:marRight w:val="0"/>
          <w:marTop w:val="0"/>
          <w:marBottom w:val="0"/>
          <w:divBdr>
            <w:top w:val="none" w:sz="0" w:space="0" w:color="auto"/>
            <w:left w:val="none" w:sz="0" w:space="0" w:color="auto"/>
            <w:bottom w:val="none" w:sz="0" w:space="0" w:color="auto"/>
            <w:right w:val="none" w:sz="0" w:space="0" w:color="auto"/>
          </w:divBdr>
          <w:divsChild>
            <w:div w:id="2073774873">
              <w:marLeft w:val="0"/>
              <w:marRight w:val="0"/>
              <w:marTop w:val="0"/>
              <w:marBottom w:val="0"/>
              <w:divBdr>
                <w:top w:val="none" w:sz="0" w:space="0" w:color="auto"/>
                <w:left w:val="none" w:sz="0" w:space="0" w:color="auto"/>
                <w:bottom w:val="none" w:sz="0" w:space="0" w:color="auto"/>
                <w:right w:val="none" w:sz="0" w:space="0" w:color="auto"/>
              </w:divBdr>
              <w:divsChild>
                <w:div w:id="1103651632">
                  <w:marLeft w:val="0"/>
                  <w:marRight w:val="0"/>
                  <w:marTop w:val="0"/>
                  <w:marBottom w:val="0"/>
                  <w:divBdr>
                    <w:top w:val="none" w:sz="0" w:space="0" w:color="auto"/>
                    <w:left w:val="none" w:sz="0" w:space="0" w:color="auto"/>
                    <w:bottom w:val="none" w:sz="0" w:space="0" w:color="auto"/>
                    <w:right w:val="none" w:sz="0" w:space="0" w:color="auto"/>
                  </w:divBdr>
                  <w:divsChild>
                    <w:div w:id="1191921060">
                      <w:marLeft w:val="0"/>
                      <w:marRight w:val="0"/>
                      <w:marTop w:val="0"/>
                      <w:marBottom w:val="0"/>
                      <w:divBdr>
                        <w:top w:val="none" w:sz="0" w:space="0" w:color="auto"/>
                        <w:left w:val="none" w:sz="0" w:space="0" w:color="auto"/>
                        <w:bottom w:val="none" w:sz="0" w:space="0" w:color="auto"/>
                        <w:right w:val="none" w:sz="0" w:space="0" w:color="auto"/>
                      </w:divBdr>
                      <w:divsChild>
                        <w:div w:id="1977562831">
                          <w:marLeft w:val="0"/>
                          <w:marRight w:val="0"/>
                          <w:marTop w:val="0"/>
                          <w:marBottom w:val="0"/>
                          <w:divBdr>
                            <w:top w:val="none" w:sz="0" w:space="0" w:color="auto"/>
                            <w:left w:val="none" w:sz="0" w:space="0" w:color="auto"/>
                            <w:bottom w:val="none" w:sz="0" w:space="0" w:color="auto"/>
                            <w:right w:val="none" w:sz="0" w:space="0" w:color="auto"/>
                          </w:divBdr>
                          <w:divsChild>
                            <w:div w:id="115765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280295">
                  <w:marLeft w:val="0"/>
                  <w:marRight w:val="0"/>
                  <w:marTop w:val="0"/>
                  <w:marBottom w:val="0"/>
                  <w:divBdr>
                    <w:top w:val="none" w:sz="0" w:space="0" w:color="auto"/>
                    <w:left w:val="none" w:sz="0" w:space="0" w:color="auto"/>
                    <w:bottom w:val="none" w:sz="0" w:space="0" w:color="auto"/>
                    <w:right w:val="none" w:sz="0" w:space="0" w:color="auto"/>
                  </w:divBdr>
                  <w:divsChild>
                    <w:div w:id="1337070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3527792">
      <w:bodyDiv w:val="1"/>
      <w:marLeft w:val="0"/>
      <w:marRight w:val="0"/>
      <w:marTop w:val="0"/>
      <w:marBottom w:val="0"/>
      <w:divBdr>
        <w:top w:val="none" w:sz="0" w:space="0" w:color="auto"/>
        <w:left w:val="none" w:sz="0" w:space="0" w:color="auto"/>
        <w:bottom w:val="none" w:sz="0" w:space="0" w:color="auto"/>
        <w:right w:val="none" w:sz="0" w:space="0" w:color="auto"/>
      </w:divBdr>
    </w:div>
    <w:div w:id="1439450404">
      <w:bodyDiv w:val="1"/>
      <w:marLeft w:val="0"/>
      <w:marRight w:val="0"/>
      <w:marTop w:val="0"/>
      <w:marBottom w:val="0"/>
      <w:divBdr>
        <w:top w:val="none" w:sz="0" w:space="0" w:color="auto"/>
        <w:left w:val="none" w:sz="0" w:space="0" w:color="auto"/>
        <w:bottom w:val="none" w:sz="0" w:space="0" w:color="auto"/>
        <w:right w:val="none" w:sz="0" w:space="0" w:color="auto"/>
      </w:divBdr>
    </w:div>
    <w:div w:id="1467043767">
      <w:bodyDiv w:val="1"/>
      <w:marLeft w:val="0"/>
      <w:marRight w:val="0"/>
      <w:marTop w:val="0"/>
      <w:marBottom w:val="0"/>
      <w:divBdr>
        <w:top w:val="none" w:sz="0" w:space="0" w:color="auto"/>
        <w:left w:val="none" w:sz="0" w:space="0" w:color="auto"/>
        <w:bottom w:val="none" w:sz="0" w:space="0" w:color="auto"/>
        <w:right w:val="none" w:sz="0" w:space="0" w:color="auto"/>
      </w:divBdr>
    </w:div>
    <w:div w:id="1467704369">
      <w:bodyDiv w:val="1"/>
      <w:marLeft w:val="0"/>
      <w:marRight w:val="0"/>
      <w:marTop w:val="0"/>
      <w:marBottom w:val="0"/>
      <w:divBdr>
        <w:top w:val="none" w:sz="0" w:space="0" w:color="auto"/>
        <w:left w:val="none" w:sz="0" w:space="0" w:color="auto"/>
        <w:bottom w:val="none" w:sz="0" w:space="0" w:color="auto"/>
        <w:right w:val="none" w:sz="0" w:space="0" w:color="auto"/>
      </w:divBdr>
      <w:divsChild>
        <w:div w:id="1628048714">
          <w:marLeft w:val="0"/>
          <w:marRight w:val="0"/>
          <w:marTop w:val="0"/>
          <w:marBottom w:val="0"/>
          <w:divBdr>
            <w:top w:val="none" w:sz="0" w:space="0" w:color="auto"/>
            <w:left w:val="none" w:sz="0" w:space="0" w:color="auto"/>
            <w:bottom w:val="none" w:sz="0" w:space="0" w:color="auto"/>
            <w:right w:val="none" w:sz="0" w:space="0" w:color="auto"/>
          </w:divBdr>
          <w:divsChild>
            <w:div w:id="1400982359">
              <w:marLeft w:val="0"/>
              <w:marRight w:val="0"/>
              <w:marTop w:val="0"/>
              <w:marBottom w:val="0"/>
              <w:divBdr>
                <w:top w:val="none" w:sz="0" w:space="0" w:color="auto"/>
                <w:left w:val="none" w:sz="0" w:space="0" w:color="auto"/>
                <w:bottom w:val="none" w:sz="0" w:space="0" w:color="auto"/>
                <w:right w:val="none" w:sz="0" w:space="0" w:color="auto"/>
              </w:divBdr>
              <w:divsChild>
                <w:div w:id="403338547">
                  <w:marLeft w:val="0"/>
                  <w:marRight w:val="0"/>
                  <w:marTop w:val="0"/>
                  <w:marBottom w:val="0"/>
                  <w:divBdr>
                    <w:top w:val="none" w:sz="0" w:space="0" w:color="auto"/>
                    <w:left w:val="none" w:sz="0" w:space="0" w:color="auto"/>
                    <w:bottom w:val="none" w:sz="0" w:space="0" w:color="auto"/>
                    <w:right w:val="none" w:sz="0" w:space="0" w:color="auto"/>
                  </w:divBdr>
                  <w:divsChild>
                    <w:div w:id="610862454">
                      <w:marLeft w:val="0"/>
                      <w:marRight w:val="0"/>
                      <w:marTop w:val="0"/>
                      <w:marBottom w:val="0"/>
                      <w:divBdr>
                        <w:top w:val="none" w:sz="0" w:space="0" w:color="auto"/>
                        <w:left w:val="none" w:sz="0" w:space="0" w:color="auto"/>
                        <w:bottom w:val="none" w:sz="0" w:space="0" w:color="auto"/>
                        <w:right w:val="none" w:sz="0" w:space="0" w:color="auto"/>
                      </w:divBdr>
                    </w:div>
                  </w:divsChild>
                </w:div>
                <w:div w:id="1779257878">
                  <w:marLeft w:val="0"/>
                  <w:marRight w:val="0"/>
                  <w:marTop w:val="0"/>
                  <w:marBottom w:val="0"/>
                  <w:divBdr>
                    <w:top w:val="none" w:sz="0" w:space="0" w:color="auto"/>
                    <w:left w:val="none" w:sz="0" w:space="0" w:color="auto"/>
                    <w:bottom w:val="none" w:sz="0" w:space="0" w:color="auto"/>
                    <w:right w:val="none" w:sz="0" w:space="0" w:color="auto"/>
                  </w:divBdr>
                  <w:divsChild>
                    <w:div w:id="307057189">
                      <w:marLeft w:val="0"/>
                      <w:marRight w:val="0"/>
                      <w:marTop w:val="0"/>
                      <w:marBottom w:val="0"/>
                      <w:divBdr>
                        <w:top w:val="none" w:sz="0" w:space="0" w:color="auto"/>
                        <w:left w:val="none" w:sz="0" w:space="0" w:color="auto"/>
                        <w:bottom w:val="none" w:sz="0" w:space="0" w:color="auto"/>
                        <w:right w:val="none" w:sz="0" w:space="0" w:color="auto"/>
                      </w:divBdr>
                      <w:divsChild>
                        <w:div w:id="1719864271">
                          <w:marLeft w:val="0"/>
                          <w:marRight w:val="0"/>
                          <w:marTop w:val="0"/>
                          <w:marBottom w:val="0"/>
                          <w:divBdr>
                            <w:top w:val="none" w:sz="0" w:space="0" w:color="auto"/>
                            <w:left w:val="none" w:sz="0" w:space="0" w:color="auto"/>
                            <w:bottom w:val="none" w:sz="0" w:space="0" w:color="auto"/>
                            <w:right w:val="none" w:sz="0" w:space="0" w:color="auto"/>
                          </w:divBdr>
                          <w:divsChild>
                            <w:div w:id="2143187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3912664">
      <w:bodyDiv w:val="1"/>
      <w:marLeft w:val="0"/>
      <w:marRight w:val="0"/>
      <w:marTop w:val="0"/>
      <w:marBottom w:val="0"/>
      <w:divBdr>
        <w:top w:val="none" w:sz="0" w:space="0" w:color="auto"/>
        <w:left w:val="none" w:sz="0" w:space="0" w:color="auto"/>
        <w:bottom w:val="none" w:sz="0" w:space="0" w:color="auto"/>
        <w:right w:val="none" w:sz="0" w:space="0" w:color="auto"/>
      </w:divBdr>
    </w:div>
    <w:div w:id="1510295947">
      <w:bodyDiv w:val="1"/>
      <w:marLeft w:val="0"/>
      <w:marRight w:val="0"/>
      <w:marTop w:val="0"/>
      <w:marBottom w:val="0"/>
      <w:divBdr>
        <w:top w:val="none" w:sz="0" w:space="0" w:color="auto"/>
        <w:left w:val="none" w:sz="0" w:space="0" w:color="auto"/>
        <w:bottom w:val="none" w:sz="0" w:space="0" w:color="auto"/>
        <w:right w:val="none" w:sz="0" w:space="0" w:color="auto"/>
      </w:divBdr>
    </w:div>
    <w:div w:id="1525166563">
      <w:bodyDiv w:val="1"/>
      <w:marLeft w:val="0"/>
      <w:marRight w:val="0"/>
      <w:marTop w:val="0"/>
      <w:marBottom w:val="0"/>
      <w:divBdr>
        <w:top w:val="none" w:sz="0" w:space="0" w:color="auto"/>
        <w:left w:val="none" w:sz="0" w:space="0" w:color="auto"/>
        <w:bottom w:val="none" w:sz="0" w:space="0" w:color="auto"/>
        <w:right w:val="none" w:sz="0" w:space="0" w:color="auto"/>
      </w:divBdr>
    </w:div>
    <w:div w:id="1529105164">
      <w:bodyDiv w:val="1"/>
      <w:marLeft w:val="0"/>
      <w:marRight w:val="0"/>
      <w:marTop w:val="0"/>
      <w:marBottom w:val="0"/>
      <w:divBdr>
        <w:top w:val="none" w:sz="0" w:space="0" w:color="auto"/>
        <w:left w:val="none" w:sz="0" w:space="0" w:color="auto"/>
        <w:bottom w:val="none" w:sz="0" w:space="0" w:color="auto"/>
        <w:right w:val="none" w:sz="0" w:space="0" w:color="auto"/>
      </w:divBdr>
    </w:div>
    <w:div w:id="1543401330">
      <w:bodyDiv w:val="1"/>
      <w:marLeft w:val="0"/>
      <w:marRight w:val="0"/>
      <w:marTop w:val="0"/>
      <w:marBottom w:val="0"/>
      <w:divBdr>
        <w:top w:val="none" w:sz="0" w:space="0" w:color="auto"/>
        <w:left w:val="none" w:sz="0" w:space="0" w:color="auto"/>
        <w:bottom w:val="none" w:sz="0" w:space="0" w:color="auto"/>
        <w:right w:val="none" w:sz="0" w:space="0" w:color="auto"/>
      </w:divBdr>
      <w:divsChild>
        <w:div w:id="4149094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3054534">
      <w:bodyDiv w:val="1"/>
      <w:marLeft w:val="0"/>
      <w:marRight w:val="0"/>
      <w:marTop w:val="0"/>
      <w:marBottom w:val="0"/>
      <w:divBdr>
        <w:top w:val="none" w:sz="0" w:space="0" w:color="auto"/>
        <w:left w:val="none" w:sz="0" w:space="0" w:color="auto"/>
        <w:bottom w:val="none" w:sz="0" w:space="0" w:color="auto"/>
        <w:right w:val="none" w:sz="0" w:space="0" w:color="auto"/>
      </w:divBdr>
    </w:div>
    <w:div w:id="1567371432">
      <w:bodyDiv w:val="1"/>
      <w:marLeft w:val="0"/>
      <w:marRight w:val="0"/>
      <w:marTop w:val="0"/>
      <w:marBottom w:val="0"/>
      <w:divBdr>
        <w:top w:val="none" w:sz="0" w:space="0" w:color="auto"/>
        <w:left w:val="none" w:sz="0" w:space="0" w:color="auto"/>
        <w:bottom w:val="none" w:sz="0" w:space="0" w:color="auto"/>
        <w:right w:val="none" w:sz="0" w:space="0" w:color="auto"/>
      </w:divBdr>
    </w:div>
    <w:div w:id="1576161769">
      <w:bodyDiv w:val="1"/>
      <w:marLeft w:val="0"/>
      <w:marRight w:val="0"/>
      <w:marTop w:val="0"/>
      <w:marBottom w:val="0"/>
      <w:divBdr>
        <w:top w:val="none" w:sz="0" w:space="0" w:color="auto"/>
        <w:left w:val="none" w:sz="0" w:space="0" w:color="auto"/>
        <w:bottom w:val="none" w:sz="0" w:space="0" w:color="auto"/>
        <w:right w:val="none" w:sz="0" w:space="0" w:color="auto"/>
      </w:divBdr>
      <w:divsChild>
        <w:div w:id="3740901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8533857">
      <w:bodyDiv w:val="1"/>
      <w:marLeft w:val="0"/>
      <w:marRight w:val="0"/>
      <w:marTop w:val="0"/>
      <w:marBottom w:val="0"/>
      <w:divBdr>
        <w:top w:val="none" w:sz="0" w:space="0" w:color="auto"/>
        <w:left w:val="none" w:sz="0" w:space="0" w:color="auto"/>
        <w:bottom w:val="none" w:sz="0" w:space="0" w:color="auto"/>
        <w:right w:val="none" w:sz="0" w:space="0" w:color="auto"/>
      </w:divBdr>
    </w:div>
    <w:div w:id="1595506562">
      <w:bodyDiv w:val="1"/>
      <w:marLeft w:val="0"/>
      <w:marRight w:val="0"/>
      <w:marTop w:val="0"/>
      <w:marBottom w:val="0"/>
      <w:divBdr>
        <w:top w:val="none" w:sz="0" w:space="0" w:color="auto"/>
        <w:left w:val="none" w:sz="0" w:space="0" w:color="auto"/>
        <w:bottom w:val="none" w:sz="0" w:space="0" w:color="auto"/>
        <w:right w:val="none" w:sz="0" w:space="0" w:color="auto"/>
      </w:divBdr>
    </w:div>
    <w:div w:id="1599170312">
      <w:bodyDiv w:val="1"/>
      <w:marLeft w:val="0"/>
      <w:marRight w:val="0"/>
      <w:marTop w:val="0"/>
      <w:marBottom w:val="0"/>
      <w:divBdr>
        <w:top w:val="none" w:sz="0" w:space="0" w:color="auto"/>
        <w:left w:val="none" w:sz="0" w:space="0" w:color="auto"/>
        <w:bottom w:val="none" w:sz="0" w:space="0" w:color="auto"/>
        <w:right w:val="none" w:sz="0" w:space="0" w:color="auto"/>
      </w:divBdr>
      <w:divsChild>
        <w:div w:id="670373999">
          <w:marLeft w:val="0"/>
          <w:marRight w:val="0"/>
          <w:marTop w:val="0"/>
          <w:marBottom w:val="0"/>
          <w:divBdr>
            <w:top w:val="none" w:sz="0" w:space="0" w:color="auto"/>
            <w:left w:val="none" w:sz="0" w:space="0" w:color="auto"/>
            <w:bottom w:val="none" w:sz="0" w:space="0" w:color="auto"/>
            <w:right w:val="none" w:sz="0" w:space="0" w:color="auto"/>
          </w:divBdr>
          <w:divsChild>
            <w:div w:id="1558472992">
              <w:marLeft w:val="0"/>
              <w:marRight w:val="0"/>
              <w:marTop w:val="0"/>
              <w:marBottom w:val="0"/>
              <w:divBdr>
                <w:top w:val="none" w:sz="0" w:space="0" w:color="auto"/>
                <w:left w:val="none" w:sz="0" w:space="0" w:color="auto"/>
                <w:bottom w:val="none" w:sz="0" w:space="0" w:color="auto"/>
                <w:right w:val="none" w:sz="0" w:space="0" w:color="auto"/>
              </w:divBdr>
              <w:divsChild>
                <w:div w:id="99955709">
                  <w:marLeft w:val="0"/>
                  <w:marRight w:val="0"/>
                  <w:marTop w:val="0"/>
                  <w:marBottom w:val="0"/>
                  <w:divBdr>
                    <w:top w:val="none" w:sz="0" w:space="0" w:color="auto"/>
                    <w:left w:val="none" w:sz="0" w:space="0" w:color="auto"/>
                    <w:bottom w:val="none" w:sz="0" w:space="0" w:color="auto"/>
                    <w:right w:val="none" w:sz="0" w:space="0" w:color="auto"/>
                  </w:divBdr>
                  <w:divsChild>
                    <w:div w:id="1282027967">
                      <w:marLeft w:val="0"/>
                      <w:marRight w:val="0"/>
                      <w:marTop w:val="0"/>
                      <w:marBottom w:val="0"/>
                      <w:divBdr>
                        <w:top w:val="none" w:sz="0" w:space="0" w:color="auto"/>
                        <w:left w:val="none" w:sz="0" w:space="0" w:color="auto"/>
                        <w:bottom w:val="none" w:sz="0" w:space="0" w:color="auto"/>
                        <w:right w:val="none" w:sz="0" w:space="0" w:color="auto"/>
                      </w:divBdr>
                      <w:divsChild>
                        <w:div w:id="1881933860">
                          <w:marLeft w:val="0"/>
                          <w:marRight w:val="0"/>
                          <w:marTop w:val="0"/>
                          <w:marBottom w:val="0"/>
                          <w:divBdr>
                            <w:top w:val="none" w:sz="0" w:space="0" w:color="auto"/>
                            <w:left w:val="none" w:sz="0" w:space="0" w:color="auto"/>
                            <w:bottom w:val="none" w:sz="0" w:space="0" w:color="auto"/>
                            <w:right w:val="none" w:sz="0" w:space="0" w:color="auto"/>
                          </w:divBdr>
                          <w:divsChild>
                            <w:div w:id="17461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13599">
                  <w:marLeft w:val="0"/>
                  <w:marRight w:val="0"/>
                  <w:marTop w:val="0"/>
                  <w:marBottom w:val="0"/>
                  <w:divBdr>
                    <w:top w:val="none" w:sz="0" w:space="0" w:color="auto"/>
                    <w:left w:val="none" w:sz="0" w:space="0" w:color="auto"/>
                    <w:bottom w:val="none" w:sz="0" w:space="0" w:color="auto"/>
                    <w:right w:val="none" w:sz="0" w:space="0" w:color="auto"/>
                  </w:divBdr>
                  <w:divsChild>
                    <w:div w:id="36360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802147">
      <w:bodyDiv w:val="1"/>
      <w:marLeft w:val="0"/>
      <w:marRight w:val="0"/>
      <w:marTop w:val="0"/>
      <w:marBottom w:val="0"/>
      <w:divBdr>
        <w:top w:val="none" w:sz="0" w:space="0" w:color="auto"/>
        <w:left w:val="none" w:sz="0" w:space="0" w:color="auto"/>
        <w:bottom w:val="none" w:sz="0" w:space="0" w:color="auto"/>
        <w:right w:val="none" w:sz="0" w:space="0" w:color="auto"/>
      </w:divBdr>
    </w:div>
    <w:div w:id="1610621386">
      <w:bodyDiv w:val="1"/>
      <w:marLeft w:val="0"/>
      <w:marRight w:val="0"/>
      <w:marTop w:val="0"/>
      <w:marBottom w:val="0"/>
      <w:divBdr>
        <w:top w:val="none" w:sz="0" w:space="0" w:color="auto"/>
        <w:left w:val="none" w:sz="0" w:space="0" w:color="auto"/>
        <w:bottom w:val="none" w:sz="0" w:space="0" w:color="auto"/>
        <w:right w:val="none" w:sz="0" w:space="0" w:color="auto"/>
      </w:divBdr>
    </w:div>
    <w:div w:id="1616981790">
      <w:bodyDiv w:val="1"/>
      <w:marLeft w:val="0"/>
      <w:marRight w:val="0"/>
      <w:marTop w:val="0"/>
      <w:marBottom w:val="0"/>
      <w:divBdr>
        <w:top w:val="none" w:sz="0" w:space="0" w:color="auto"/>
        <w:left w:val="none" w:sz="0" w:space="0" w:color="auto"/>
        <w:bottom w:val="none" w:sz="0" w:space="0" w:color="auto"/>
        <w:right w:val="none" w:sz="0" w:space="0" w:color="auto"/>
      </w:divBdr>
    </w:div>
    <w:div w:id="1666933759">
      <w:bodyDiv w:val="1"/>
      <w:marLeft w:val="0"/>
      <w:marRight w:val="0"/>
      <w:marTop w:val="0"/>
      <w:marBottom w:val="0"/>
      <w:divBdr>
        <w:top w:val="none" w:sz="0" w:space="0" w:color="auto"/>
        <w:left w:val="none" w:sz="0" w:space="0" w:color="auto"/>
        <w:bottom w:val="none" w:sz="0" w:space="0" w:color="auto"/>
        <w:right w:val="none" w:sz="0" w:space="0" w:color="auto"/>
      </w:divBdr>
    </w:div>
    <w:div w:id="1670057234">
      <w:bodyDiv w:val="1"/>
      <w:marLeft w:val="0"/>
      <w:marRight w:val="0"/>
      <w:marTop w:val="0"/>
      <w:marBottom w:val="0"/>
      <w:divBdr>
        <w:top w:val="none" w:sz="0" w:space="0" w:color="auto"/>
        <w:left w:val="none" w:sz="0" w:space="0" w:color="auto"/>
        <w:bottom w:val="none" w:sz="0" w:space="0" w:color="auto"/>
        <w:right w:val="none" w:sz="0" w:space="0" w:color="auto"/>
      </w:divBdr>
    </w:div>
    <w:div w:id="1676415628">
      <w:bodyDiv w:val="1"/>
      <w:marLeft w:val="0"/>
      <w:marRight w:val="0"/>
      <w:marTop w:val="0"/>
      <w:marBottom w:val="0"/>
      <w:divBdr>
        <w:top w:val="none" w:sz="0" w:space="0" w:color="auto"/>
        <w:left w:val="none" w:sz="0" w:space="0" w:color="auto"/>
        <w:bottom w:val="none" w:sz="0" w:space="0" w:color="auto"/>
        <w:right w:val="none" w:sz="0" w:space="0" w:color="auto"/>
      </w:divBdr>
      <w:divsChild>
        <w:div w:id="547031714">
          <w:marLeft w:val="0"/>
          <w:marRight w:val="0"/>
          <w:marTop w:val="0"/>
          <w:marBottom w:val="0"/>
          <w:divBdr>
            <w:top w:val="none" w:sz="0" w:space="0" w:color="auto"/>
            <w:left w:val="none" w:sz="0" w:space="0" w:color="auto"/>
            <w:bottom w:val="none" w:sz="0" w:space="0" w:color="auto"/>
            <w:right w:val="none" w:sz="0" w:space="0" w:color="auto"/>
          </w:divBdr>
          <w:divsChild>
            <w:div w:id="1794056485">
              <w:marLeft w:val="0"/>
              <w:marRight w:val="0"/>
              <w:marTop w:val="0"/>
              <w:marBottom w:val="0"/>
              <w:divBdr>
                <w:top w:val="none" w:sz="0" w:space="0" w:color="auto"/>
                <w:left w:val="none" w:sz="0" w:space="0" w:color="auto"/>
                <w:bottom w:val="none" w:sz="0" w:space="0" w:color="auto"/>
                <w:right w:val="none" w:sz="0" w:space="0" w:color="auto"/>
              </w:divBdr>
              <w:divsChild>
                <w:div w:id="918565175">
                  <w:marLeft w:val="0"/>
                  <w:marRight w:val="0"/>
                  <w:marTop w:val="0"/>
                  <w:marBottom w:val="0"/>
                  <w:divBdr>
                    <w:top w:val="none" w:sz="0" w:space="0" w:color="auto"/>
                    <w:left w:val="none" w:sz="0" w:space="0" w:color="auto"/>
                    <w:bottom w:val="none" w:sz="0" w:space="0" w:color="auto"/>
                    <w:right w:val="none" w:sz="0" w:space="0" w:color="auto"/>
                  </w:divBdr>
                  <w:divsChild>
                    <w:div w:id="445739744">
                      <w:marLeft w:val="0"/>
                      <w:marRight w:val="0"/>
                      <w:marTop w:val="0"/>
                      <w:marBottom w:val="0"/>
                      <w:divBdr>
                        <w:top w:val="none" w:sz="0" w:space="0" w:color="auto"/>
                        <w:left w:val="none" w:sz="0" w:space="0" w:color="auto"/>
                        <w:bottom w:val="none" w:sz="0" w:space="0" w:color="auto"/>
                        <w:right w:val="none" w:sz="0" w:space="0" w:color="auto"/>
                      </w:divBdr>
                      <w:divsChild>
                        <w:div w:id="1020399571">
                          <w:marLeft w:val="0"/>
                          <w:marRight w:val="0"/>
                          <w:marTop w:val="0"/>
                          <w:marBottom w:val="0"/>
                          <w:divBdr>
                            <w:top w:val="none" w:sz="0" w:space="0" w:color="auto"/>
                            <w:left w:val="none" w:sz="0" w:space="0" w:color="auto"/>
                            <w:bottom w:val="none" w:sz="0" w:space="0" w:color="auto"/>
                            <w:right w:val="none" w:sz="0" w:space="0" w:color="auto"/>
                          </w:divBdr>
                          <w:divsChild>
                            <w:div w:id="49966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464598">
                  <w:marLeft w:val="0"/>
                  <w:marRight w:val="0"/>
                  <w:marTop w:val="0"/>
                  <w:marBottom w:val="0"/>
                  <w:divBdr>
                    <w:top w:val="none" w:sz="0" w:space="0" w:color="auto"/>
                    <w:left w:val="none" w:sz="0" w:space="0" w:color="auto"/>
                    <w:bottom w:val="none" w:sz="0" w:space="0" w:color="auto"/>
                    <w:right w:val="none" w:sz="0" w:space="0" w:color="auto"/>
                  </w:divBdr>
                  <w:divsChild>
                    <w:div w:id="54698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743749">
      <w:bodyDiv w:val="1"/>
      <w:marLeft w:val="0"/>
      <w:marRight w:val="0"/>
      <w:marTop w:val="0"/>
      <w:marBottom w:val="0"/>
      <w:divBdr>
        <w:top w:val="none" w:sz="0" w:space="0" w:color="auto"/>
        <w:left w:val="none" w:sz="0" w:space="0" w:color="auto"/>
        <w:bottom w:val="none" w:sz="0" w:space="0" w:color="auto"/>
        <w:right w:val="none" w:sz="0" w:space="0" w:color="auto"/>
      </w:divBdr>
    </w:div>
    <w:div w:id="1688018306">
      <w:bodyDiv w:val="1"/>
      <w:marLeft w:val="0"/>
      <w:marRight w:val="0"/>
      <w:marTop w:val="0"/>
      <w:marBottom w:val="0"/>
      <w:divBdr>
        <w:top w:val="none" w:sz="0" w:space="0" w:color="auto"/>
        <w:left w:val="none" w:sz="0" w:space="0" w:color="auto"/>
        <w:bottom w:val="none" w:sz="0" w:space="0" w:color="auto"/>
        <w:right w:val="none" w:sz="0" w:space="0" w:color="auto"/>
      </w:divBdr>
      <w:divsChild>
        <w:div w:id="3010343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1687641">
      <w:bodyDiv w:val="1"/>
      <w:marLeft w:val="0"/>
      <w:marRight w:val="0"/>
      <w:marTop w:val="0"/>
      <w:marBottom w:val="0"/>
      <w:divBdr>
        <w:top w:val="none" w:sz="0" w:space="0" w:color="auto"/>
        <w:left w:val="none" w:sz="0" w:space="0" w:color="auto"/>
        <w:bottom w:val="none" w:sz="0" w:space="0" w:color="auto"/>
        <w:right w:val="none" w:sz="0" w:space="0" w:color="auto"/>
      </w:divBdr>
    </w:div>
    <w:div w:id="1707557820">
      <w:bodyDiv w:val="1"/>
      <w:marLeft w:val="0"/>
      <w:marRight w:val="0"/>
      <w:marTop w:val="0"/>
      <w:marBottom w:val="0"/>
      <w:divBdr>
        <w:top w:val="none" w:sz="0" w:space="0" w:color="auto"/>
        <w:left w:val="none" w:sz="0" w:space="0" w:color="auto"/>
        <w:bottom w:val="none" w:sz="0" w:space="0" w:color="auto"/>
        <w:right w:val="none" w:sz="0" w:space="0" w:color="auto"/>
      </w:divBdr>
      <w:divsChild>
        <w:div w:id="1833912451">
          <w:marLeft w:val="0"/>
          <w:marRight w:val="0"/>
          <w:marTop w:val="0"/>
          <w:marBottom w:val="0"/>
          <w:divBdr>
            <w:top w:val="none" w:sz="0" w:space="0" w:color="auto"/>
            <w:left w:val="none" w:sz="0" w:space="0" w:color="auto"/>
            <w:bottom w:val="none" w:sz="0" w:space="0" w:color="auto"/>
            <w:right w:val="none" w:sz="0" w:space="0" w:color="auto"/>
          </w:divBdr>
          <w:divsChild>
            <w:div w:id="567544542">
              <w:marLeft w:val="0"/>
              <w:marRight w:val="0"/>
              <w:marTop w:val="0"/>
              <w:marBottom w:val="0"/>
              <w:divBdr>
                <w:top w:val="none" w:sz="0" w:space="0" w:color="auto"/>
                <w:left w:val="none" w:sz="0" w:space="0" w:color="auto"/>
                <w:bottom w:val="none" w:sz="0" w:space="0" w:color="auto"/>
                <w:right w:val="none" w:sz="0" w:space="0" w:color="auto"/>
              </w:divBdr>
              <w:divsChild>
                <w:div w:id="1680694090">
                  <w:marLeft w:val="0"/>
                  <w:marRight w:val="0"/>
                  <w:marTop w:val="0"/>
                  <w:marBottom w:val="0"/>
                  <w:divBdr>
                    <w:top w:val="none" w:sz="0" w:space="0" w:color="auto"/>
                    <w:left w:val="none" w:sz="0" w:space="0" w:color="auto"/>
                    <w:bottom w:val="none" w:sz="0" w:space="0" w:color="auto"/>
                    <w:right w:val="none" w:sz="0" w:space="0" w:color="auto"/>
                  </w:divBdr>
                  <w:divsChild>
                    <w:div w:id="530261064">
                      <w:marLeft w:val="0"/>
                      <w:marRight w:val="0"/>
                      <w:marTop w:val="0"/>
                      <w:marBottom w:val="0"/>
                      <w:divBdr>
                        <w:top w:val="none" w:sz="0" w:space="0" w:color="auto"/>
                        <w:left w:val="none" w:sz="0" w:space="0" w:color="auto"/>
                        <w:bottom w:val="none" w:sz="0" w:space="0" w:color="auto"/>
                        <w:right w:val="none" w:sz="0" w:space="0" w:color="auto"/>
                      </w:divBdr>
                      <w:divsChild>
                        <w:div w:id="1750157094">
                          <w:marLeft w:val="0"/>
                          <w:marRight w:val="0"/>
                          <w:marTop w:val="0"/>
                          <w:marBottom w:val="0"/>
                          <w:divBdr>
                            <w:top w:val="none" w:sz="0" w:space="0" w:color="auto"/>
                            <w:left w:val="none" w:sz="0" w:space="0" w:color="auto"/>
                            <w:bottom w:val="none" w:sz="0" w:space="0" w:color="auto"/>
                            <w:right w:val="none" w:sz="0" w:space="0" w:color="auto"/>
                          </w:divBdr>
                          <w:divsChild>
                            <w:div w:id="184944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315884">
                  <w:marLeft w:val="0"/>
                  <w:marRight w:val="0"/>
                  <w:marTop w:val="0"/>
                  <w:marBottom w:val="0"/>
                  <w:divBdr>
                    <w:top w:val="none" w:sz="0" w:space="0" w:color="auto"/>
                    <w:left w:val="none" w:sz="0" w:space="0" w:color="auto"/>
                    <w:bottom w:val="none" w:sz="0" w:space="0" w:color="auto"/>
                    <w:right w:val="none" w:sz="0" w:space="0" w:color="auto"/>
                  </w:divBdr>
                  <w:divsChild>
                    <w:div w:id="96516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914960">
      <w:bodyDiv w:val="1"/>
      <w:marLeft w:val="0"/>
      <w:marRight w:val="0"/>
      <w:marTop w:val="0"/>
      <w:marBottom w:val="0"/>
      <w:divBdr>
        <w:top w:val="none" w:sz="0" w:space="0" w:color="auto"/>
        <w:left w:val="none" w:sz="0" w:space="0" w:color="auto"/>
        <w:bottom w:val="none" w:sz="0" w:space="0" w:color="auto"/>
        <w:right w:val="none" w:sz="0" w:space="0" w:color="auto"/>
      </w:divBdr>
    </w:div>
    <w:div w:id="1730301921">
      <w:bodyDiv w:val="1"/>
      <w:marLeft w:val="0"/>
      <w:marRight w:val="0"/>
      <w:marTop w:val="0"/>
      <w:marBottom w:val="0"/>
      <w:divBdr>
        <w:top w:val="none" w:sz="0" w:space="0" w:color="auto"/>
        <w:left w:val="none" w:sz="0" w:space="0" w:color="auto"/>
        <w:bottom w:val="none" w:sz="0" w:space="0" w:color="auto"/>
        <w:right w:val="none" w:sz="0" w:space="0" w:color="auto"/>
      </w:divBdr>
    </w:div>
    <w:div w:id="1743333311">
      <w:bodyDiv w:val="1"/>
      <w:marLeft w:val="0"/>
      <w:marRight w:val="0"/>
      <w:marTop w:val="0"/>
      <w:marBottom w:val="0"/>
      <w:divBdr>
        <w:top w:val="none" w:sz="0" w:space="0" w:color="auto"/>
        <w:left w:val="none" w:sz="0" w:space="0" w:color="auto"/>
        <w:bottom w:val="none" w:sz="0" w:space="0" w:color="auto"/>
        <w:right w:val="none" w:sz="0" w:space="0" w:color="auto"/>
      </w:divBdr>
    </w:div>
    <w:div w:id="1757749552">
      <w:bodyDiv w:val="1"/>
      <w:marLeft w:val="0"/>
      <w:marRight w:val="0"/>
      <w:marTop w:val="0"/>
      <w:marBottom w:val="0"/>
      <w:divBdr>
        <w:top w:val="none" w:sz="0" w:space="0" w:color="auto"/>
        <w:left w:val="none" w:sz="0" w:space="0" w:color="auto"/>
        <w:bottom w:val="none" w:sz="0" w:space="0" w:color="auto"/>
        <w:right w:val="none" w:sz="0" w:space="0" w:color="auto"/>
      </w:divBdr>
    </w:div>
    <w:div w:id="1762992418">
      <w:bodyDiv w:val="1"/>
      <w:marLeft w:val="0"/>
      <w:marRight w:val="0"/>
      <w:marTop w:val="0"/>
      <w:marBottom w:val="0"/>
      <w:divBdr>
        <w:top w:val="none" w:sz="0" w:space="0" w:color="auto"/>
        <w:left w:val="none" w:sz="0" w:space="0" w:color="auto"/>
        <w:bottom w:val="none" w:sz="0" w:space="0" w:color="auto"/>
        <w:right w:val="none" w:sz="0" w:space="0" w:color="auto"/>
      </w:divBdr>
    </w:div>
    <w:div w:id="1770155123">
      <w:bodyDiv w:val="1"/>
      <w:marLeft w:val="0"/>
      <w:marRight w:val="0"/>
      <w:marTop w:val="0"/>
      <w:marBottom w:val="0"/>
      <w:divBdr>
        <w:top w:val="none" w:sz="0" w:space="0" w:color="auto"/>
        <w:left w:val="none" w:sz="0" w:space="0" w:color="auto"/>
        <w:bottom w:val="none" w:sz="0" w:space="0" w:color="auto"/>
        <w:right w:val="none" w:sz="0" w:space="0" w:color="auto"/>
      </w:divBdr>
    </w:div>
    <w:div w:id="1780492883">
      <w:bodyDiv w:val="1"/>
      <w:marLeft w:val="0"/>
      <w:marRight w:val="0"/>
      <w:marTop w:val="0"/>
      <w:marBottom w:val="0"/>
      <w:divBdr>
        <w:top w:val="none" w:sz="0" w:space="0" w:color="auto"/>
        <w:left w:val="none" w:sz="0" w:space="0" w:color="auto"/>
        <w:bottom w:val="none" w:sz="0" w:space="0" w:color="auto"/>
        <w:right w:val="none" w:sz="0" w:space="0" w:color="auto"/>
      </w:divBdr>
    </w:div>
    <w:div w:id="1783837415">
      <w:bodyDiv w:val="1"/>
      <w:marLeft w:val="0"/>
      <w:marRight w:val="0"/>
      <w:marTop w:val="0"/>
      <w:marBottom w:val="0"/>
      <w:divBdr>
        <w:top w:val="none" w:sz="0" w:space="0" w:color="auto"/>
        <w:left w:val="none" w:sz="0" w:space="0" w:color="auto"/>
        <w:bottom w:val="none" w:sz="0" w:space="0" w:color="auto"/>
        <w:right w:val="none" w:sz="0" w:space="0" w:color="auto"/>
      </w:divBdr>
    </w:div>
    <w:div w:id="1785995459">
      <w:bodyDiv w:val="1"/>
      <w:marLeft w:val="0"/>
      <w:marRight w:val="0"/>
      <w:marTop w:val="0"/>
      <w:marBottom w:val="0"/>
      <w:divBdr>
        <w:top w:val="none" w:sz="0" w:space="0" w:color="auto"/>
        <w:left w:val="none" w:sz="0" w:space="0" w:color="auto"/>
        <w:bottom w:val="none" w:sz="0" w:space="0" w:color="auto"/>
        <w:right w:val="none" w:sz="0" w:space="0" w:color="auto"/>
      </w:divBdr>
    </w:div>
    <w:div w:id="1801024378">
      <w:bodyDiv w:val="1"/>
      <w:marLeft w:val="0"/>
      <w:marRight w:val="0"/>
      <w:marTop w:val="0"/>
      <w:marBottom w:val="0"/>
      <w:divBdr>
        <w:top w:val="none" w:sz="0" w:space="0" w:color="auto"/>
        <w:left w:val="none" w:sz="0" w:space="0" w:color="auto"/>
        <w:bottom w:val="none" w:sz="0" w:space="0" w:color="auto"/>
        <w:right w:val="none" w:sz="0" w:space="0" w:color="auto"/>
      </w:divBdr>
    </w:div>
    <w:div w:id="1817454988">
      <w:bodyDiv w:val="1"/>
      <w:marLeft w:val="0"/>
      <w:marRight w:val="0"/>
      <w:marTop w:val="0"/>
      <w:marBottom w:val="0"/>
      <w:divBdr>
        <w:top w:val="none" w:sz="0" w:space="0" w:color="auto"/>
        <w:left w:val="none" w:sz="0" w:space="0" w:color="auto"/>
        <w:bottom w:val="none" w:sz="0" w:space="0" w:color="auto"/>
        <w:right w:val="none" w:sz="0" w:space="0" w:color="auto"/>
      </w:divBdr>
    </w:div>
    <w:div w:id="1822966534">
      <w:bodyDiv w:val="1"/>
      <w:marLeft w:val="0"/>
      <w:marRight w:val="0"/>
      <w:marTop w:val="0"/>
      <w:marBottom w:val="0"/>
      <w:divBdr>
        <w:top w:val="none" w:sz="0" w:space="0" w:color="auto"/>
        <w:left w:val="none" w:sz="0" w:space="0" w:color="auto"/>
        <w:bottom w:val="none" w:sz="0" w:space="0" w:color="auto"/>
        <w:right w:val="none" w:sz="0" w:space="0" w:color="auto"/>
      </w:divBdr>
    </w:div>
    <w:div w:id="1841698193">
      <w:bodyDiv w:val="1"/>
      <w:marLeft w:val="0"/>
      <w:marRight w:val="0"/>
      <w:marTop w:val="0"/>
      <w:marBottom w:val="0"/>
      <w:divBdr>
        <w:top w:val="none" w:sz="0" w:space="0" w:color="auto"/>
        <w:left w:val="none" w:sz="0" w:space="0" w:color="auto"/>
        <w:bottom w:val="none" w:sz="0" w:space="0" w:color="auto"/>
        <w:right w:val="none" w:sz="0" w:space="0" w:color="auto"/>
      </w:divBdr>
    </w:div>
    <w:div w:id="1868906843">
      <w:bodyDiv w:val="1"/>
      <w:marLeft w:val="0"/>
      <w:marRight w:val="0"/>
      <w:marTop w:val="0"/>
      <w:marBottom w:val="0"/>
      <w:divBdr>
        <w:top w:val="none" w:sz="0" w:space="0" w:color="auto"/>
        <w:left w:val="none" w:sz="0" w:space="0" w:color="auto"/>
        <w:bottom w:val="none" w:sz="0" w:space="0" w:color="auto"/>
        <w:right w:val="none" w:sz="0" w:space="0" w:color="auto"/>
      </w:divBdr>
    </w:div>
    <w:div w:id="1872573749">
      <w:bodyDiv w:val="1"/>
      <w:marLeft w:val="0"/>
      <w:marRight w:val="0"/>
      <w:marTop w:val="0"/>
      <w:marBottom w:val="0"/>
      <w:divBdr>
        <w:top w:val="none" w:sz="0" w:space="0" w:color="auto"/>
        <w:left w:val="none" w:sz="0" w:space="0" w:color="auto"/>
        <w:bottom w:val="none" w:sz="0" w:space="0" w:color="auto"/>
        <w:right w:val="none" w:sz="0" w:space="0" w:color="auto"/>
      </w:divBdr>
    </w:div>
    <w:div w:id="1896699011">
      <w:bodyDiv w:val="1"/>
      <w:marLeft w:val="0"/>
      <w:marRight w:val="0"/>
      <w:marTop w:val="0"/>
      <w:marBottom w:val="0"/>
      <w:divBdr>
        <w:top w:val="none" w:sz="0" w:space="0" w:color="auto"/>
        <w:left w:val="none" w:sz="0" w:space="0" w:color="auto"/>
        <w:bottom w:val="none" w:sz="0" w:space="0" w:color="auto"/>
        <w:right w:val="none" w:sz="0" w:space="0" w:color="auto"/>
      </w:divBdr>
    </w:div>
    <w:div w:id="1918635895">
      <w:bodyDiv w:val="1"/>
      <w:marLeft w:val="0"/>
      <w:marRight w:val="0"/>
      <w:marTop w:val="0"/>
      <w:marBottom w:val="0"/>
      <w:divBdr>
        <w:top w:val="none" w:sz="0" w:space="0" w:color="auto"/>
        <w:left w:val="none" w:sz="0" w:space="0" w:color="auto"/>
        <w:bottom w:val="none" w:sz="0" w:space="0" w:color="auto"/>
        <w:right w:val="none" w:sz="0" w:space="0" w:color="auto"/>
      </w:divBdr>
    </w:div>
    <w:div w:id="1945992282">
      <w:bodyDiv w:val="1"/>
      <w:marLeft w:val="0"/>
      <w:marRight w:val="0"/>
      <w:marTop w:val="0"/>
      <w:marBottom w:val="0"/>
      <w:divBdr>
        <w:top w:val="none" w:sz="0" w:space="0" w:color="auto"/>
        <w:left w:val="none" w:sz="0" w:space="0" w:color="auto"/>
        <w:bottom w:val="none" w:sz="0" w:space="0" w:color="auto"/>
        <w:right w:val="none" w:sz="0" w:space="0" w:color="auto"/>
      </w:divBdr>
    </w:div>
    <w:div w:id="1948154765">
      <w:bodyDiv w:val="1"/>
      <w:marLeft w:val="0"/>
      <w:marRight w:val="0"/>
      <w:marTop w:val="0"/>
      <w:marBottom w:val="0"/>
      <w:divBdr>
        <w:top w:val="none" w:sz="0" w:space="0" w:color="auto"/>
        <w:left w:val="none" w:sz="0" w:space="0" w:color="auto"/>
        <w:bottom w:val="none" w:sz="0" w:space="0" w:color="auto"/>
        <w:right w:val="none" w:sz="0" w:space="0" w:color="auto"/>
      </w:divBdr>
      <w:divsChild>
        <w:div w:id="1867058437">
          <w:marLeft w:val="0"/>
          <w:marRight w:val="0"/>
          <w:marTop w:val="0"/>
          <w:marBottom w:val="0"/>
          <w:divBdr>
            <w:top w:val="none" w:sz="0" w:space="0" w:color="auto"/>
            <w:left w:val="none" w:sz="0" w:space="0" w:color="auto"/>
            <w:bottom w:val="none" w:sz="0" w:space="0" w:color="auto"/>
            <w:right w:val="none" w:sz="0" w:space="0" w:color="auto"/>
          </w:divBdr>
          <w:divsChild>
            <w:div w:id="2095779133">
              <w:marLeft w:val="0"/>
              <w:marRight w:val="0"/>
              <w:marTop w:val="0"/>
              <w:marBottom w:val="0"/>
              <w:divBdr>
                <w:top w:val="none" w:sz="0" w:space="0" w:color="auto"/>
                <w:left w:val="none" w:sz="0" w:space="0" w:color="auto"/>
                <w:bottom w:val="none" w:sz="0" w:space="0" w:color="auto"/>
                <w:right w:val="none" w:sz="0" w:space="0" w:color="auto"/>
              </w:divBdr>
              <w:divsChild>
                <w:div w:id="873616340">
                  <w:marLeft w:val="0"/>
                  <w:marRight w:val="0"/>
                  <w:marTop w:val="0"/>
                  <w:marBottom w:val="0"/>
                  <w:divBdr>
                    <w:top w:val="none" w:sz="0" w:space="0" w:color="auto"/>
                    <w:left w:val="none" w:sz="0" w:space="0" w:color="auto"/>
                    <w:bottom w:val="none" w:sz="0" w:space="0" w:color="auto"/>
                    <w:right w:val="none" w:sz="0" w:space="0" w:color="auto"/>
                  </w:divBdr>
                  <w:divsChild>
                    <w:div w:id="1475103387">
                      <w:marLeft w:val="0"/>
                      <w:marRight w:val="0"/>
                      <w:marTop w:val="0"/>
                      <w:marBottom w:val="0"/>
                      <w:divBdr>
                        <w:top w:val="none" w:sz="0" w:space="0" w:color="auto"/>
                        <w:left w:val="none" w:sz="0" w:space="0" w:color="auto"/>
                        <w:bottom w:val="none" w:sz="0" w:space="0" w:color="auto"/>
                        <w:right w:val="none" w:sz="0" w:space="0" w:color="auto"/>
                      </w:divBdr>
                    </w:div>
                  </w:divsChild>
                </w:div>
                <w:div w:id="975600814">
                  <w:marLeft w:val="0"/>
                  <w:marRight w:val="0"/>
                  <w:marTop w:val="0"/>
                  <w:marBottom w:val="0"/>
                  <w:divBdr>
                    <w:top w:val="none" w:sz="0" w:space="0" w:color="auto"/>
                    <w:left w:val="none" w:sz="0" w:space="0" w:color="auto"/>
                    <w:bottom w:val="none" w:sz="0" w:space="0" w:color="auto"/>
                    <w:right w:val="none" w:sz="0" w:space="0" w:color="auto"/>
                  </w:divBdr>
                  <w:divsChild>
                    <w:div w:id="2108622720">
                      <w:marLeft w:val="0"/>
                      <w:marRight w:val="0"/>
                      <w:marTop w:val="0"/>
                      <w:marBottom w:val="0"/>
                      <w:divBdr>
                        <w:top w:val="none" w:sz="0" w:space="0" w:color="auto"/>
                        <w:left w:val="none" w:sz="0" w:space="0" w:color="auto"/>
                        <w:bottom w:val="none" w:sz="0" w:space="0" w:color="auto"/>
                        <w:right w:val="none" w:sz="0" w:space="0" w:color="auto"/>
                      </w:divBdr>
                      <w:divsChild>
                        <w:div w:id="682822223">
                          <w:marLeft w:val="0"/>
                          <w:marRight w:val="0"/>
                          <w:marTop w:val="0"/>
                          <w:marBottom w:val="0"/>
                          <w:divBdr>
                            <w:top w:val="none" w:sz="0" w:space="0" w:color="auto"/>
                            <w:left w:val="none" w:sz="0" w:space="0" w:color="auto"/>
                            <w:bottom w:val="none" w:sz="0" w:space="0" w:color="auto"/>
                            <w:right w:val="none" w:sz="0" w:space="0" w:color="auto"/>
                          </w:divBdr>
                          <w:divsChild>
                            <w:div w:id="64620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957400">
      <w:bodyDiv w:val="1"/>
      <w:marLeft w:val="0"/>
      <w:marRight w:val="0"/>
      <w:marTop w:val="0"/>
      <w:marBottom w:val="0"/>
      <w:divBdr>
        <w:top w:val="none" w:sz="0" w:space="0" w:color="auto"/>
        <w:left w:val="none" w:sz="0" w:space="0" w:color="auto"/>
        <w:bottom w:val="none" w:sz="0" w:space="0" w:color="auto"/>
        <w:right w:val="none" w:sz="0" w:space="0" w:color="auto"/>
      </w:divBdr>
    </w:div>
    <w:div w:id="1970865076">
      <w:bodyDiv w:val="1"/>
      <w:marLeft w:val="0"/>
      <w:marRight w:val="0"/>
      <w:marTop w:val="0"/>
      <w:marBottom w:val="0"/>
      <w:divBdr>
        <w:top w:val="none" w:sz="0" w:space="0" w:color="auto"/>
        <w:left w:val="none" w:sz="0" w:space="0" w:color="auto"/>
        <w:bottom w:val="none" w:sz="0" w:space="0" w:color="auto"/>
        <w:right w:val="none" w:sz="0" w:space="0" w:color="auto"/>
      </w:divBdr>
    </w:div>
    <w:div w:id="1976182868">
      <w:bodyDiv w:val="1"/>
      <w:marLeft w:val="0"/>
      <w:marRight w:val="0"/>
      <w:marTop w:val="0"/>
      <w:marBottom w:val="0"/>
      <w:divBdr>
        <w:top w:val="none" w:sz="0" w:space="0" w:color="auto"/>
        <w:left w:val="none" w:sz="0" w:space="0" w:color="auto"/>
        <w:bottom w:val="none" w:sz="0" w:space="0" w:color="auto"/>
        <w:right w:val="none" w:sz="0" w:space="0" w:color="auto"/>
      </w:divBdr>
      <w:divsChild>
        <w:div w:id="828325859">
          <w:marLeft w:val="0"/>
          <w:marRight w:val="0"/>
          <w:marTop w:val="0"/>
          <w:marBottom w:val="0"/>
          <w:divBdr>
            <w:top w:val="none" w:sz="0" w:space="0" w:color="auto"/>
            <w:left w:val="none" w:sz="0" w:space="0" w:color="auto"/>
            <w:bottom w:val="none" w:sz="0" w:space="0" w:color="auto"/>
            <w:right w:val="none" w:sz="0" w:space="0" w:color="auto"/>
          </w:divBdr>
          <w:divsChild>
            <w:div w:id="1247768135">
              <w:marLeft w:val="0"/>
              <w:marRight w:val="0"/>
              <w:marTop w:val="0"/>
              <w:marBottom w:val="0"/>
              <w:divBdr>
                <w:top w:val="none" w:sz="0" w:space="0" w:color="auto"/>
                <w:left w:val="none" w:sz="0" w:space="0" w:color="auto"/>
                <w:bottom w:val="none" w:sz="0" w:space="0" w:color="auto"/>
                <w:right w:val="none" w:sz="0" w:space="0" w:color="auto"/>
              </w:divBdr>
              <w:divsChild>
                <w:div w:id="777455049">
                  <w:marLeft w:val="0"/>
                  <w:marRight w:val="0"/>
                  <w:marTop w:val="0"/>
                  <w:marBottom w:val="0"/>
                  <w:divBdr>
                    <w:top w:val="none" w:sz="0" w:space="0" w:color="auto"/>
                    <w:left w:val="none" w:sz="0" w:space="0" w:color="auto"/>
                    <w:bottom w:val="none" w:sz="0" w:space="0" w:color="auto"/>
                    <w:right w:val="none" w:sz="0" w:space="0" w:color="auto"/>
                  </w:divBdr>
                  <w:divsChild>
                    <w:div w:id="577136708">
                      <w:marLeft w:val="0"/>
                      <w:marRight w:val="0"/>
                      <w:marTop w:val="0"/>
                      <w:marBottom w:val="0"/>
                      <w:divBdr>
                        <w:top w:val="none" w:sz="0" w:space="0" w:color="auto"/>
                        <w:left w:val="none" w:sz="0" w:space="0" w:color="auto"/>
                        <w:bottom w:val="none" w:sz="0" w:space="0" w:color="auto"/>
                        <w:right w:val="none" w:sz="0" w:space="0" w:color="auto"/>
                      </w:divBdr>
                      <w:divsChild>
                        <w:div w:id="205610508">
                          <w:marLeft w:val="0"/>
                          <w:marRight w:val="0"/>
                          <w:marTop w:val="0"/>
                          <w:marBottom w:val="0"/>
                          <w:divBdr>
                            <w:top w:val="none" w:sz="0" w:space="0" w:color="auto"/>
                            <w:left w:val="none" w:sz="0" w:space="0" w:color="auto"/>
                            <w:bottom w:val="none" w:sz="0" w:space="0" w:color="auto"/>
                            <w:right w:val="none" w:sz="0" w:space="0" w:color="auto"/>
                          </w:divBdr>
                          <w:divsChild>
                            <w:div w:id="937563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677423">
                  <w:marLeft w:val="0"/>
                  <w:marRight w:val="0"/>
                  <w:marTop w:val="0"/>
                  <w:marBottom w:val="0"/>
                  <w:divBdr>
                    <w:top w:val="none" w:sz="0" w:space="0" w:color="auto"/>
                    <w:left w:val="none" w:sz="0" w:space="0" w:color="auto"/>
                    <w:bottom w:val="none" w:sz="0" w:space="0" w:color="auto"/>
                    <w:right w:val="none" w:sz="0" w:space="0" w:color="auto"/>
                  </w:divBdr>
                  <w:divsChild>
                    <w:div w:id="172074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6832263">
      <w:bodyDiv w:val="1"/>
      <w:marLeft w:val="0"/>
      <w:marRight w:val="0"/>
      <w:marTop w:val="0"/>
      <w:marBottom w:val="0"/>
      <w:divBdr>
        <w:top w:val="none" w:sz="0" w:space="0" w:color="auto"/>
        <w:left w:val="none" w:sz="0" w:space="0" w:color="auto"/>
        <w:bottom w:val="none" w:sz="0" w:space="0" w:color="auto"/>
        <w:right w:val="none" w:sz="0" w:space="0" w:color="auto"/>
      </w:divBdr>
    </w:div>
    <w:div w:id="1977221684">
      <w:bodyDiv w:val="1"/>
      <w:marLeft w:val="0"/>
      <w:marRight w:val="0"/>
      <w:marTop w:val="0"/>
      <w:marBottom w:val="0"/>
      <w:divBdr>
        <w:top w:val="none" w:sz="0" w:space="0" w:color="auto"/>
        <w:left w:val="none" w:sz="0" w:space="0" w:color="auto"/>
        <w:bottom w:val="none" w:sz="0" w:space="0" w:color="auto"/>
        <w:right w:val="none" w:sz="0" w:space="0" w:color="auto"/>
      </w:divBdr>
    </w:div>
    <w:div w:id="1982541090">
      <w:bodyDiv w:val="1"/>
      <w:marLeft w:val="0"/>
      <w:marRight w:val="0"/>
      <w:marTop w:val="0"/>
      <w:marBottom w:val="0"/>
      <w:divBdr>
        <w:top w:val="none" w:sz="0" w:space="0" w:color="auto"/>
        <w:left w:val="none" w:sz="0" w:space="0" w:color="auto"/>
        <w:bottom w:val="none" w:sz="0" w:space="0" w:color="auto"/>
        <w:right w:val="none" w:sz="0" w:space="0" w:color="auto"/>
      </w:divBdr>
    </w:div>
    <w:div w:id="1989430808">
      <w:bodyDiv w:val="1"/>
      <w:marLeft w:val="0"/>
      <w:marRight w:val="0"/>
      <w:marTop w:val="0"/>
      <w:marBottom w:val="0"/>
      <w:divBdr>
        <w:top w:val="none" w:sz="0" w:space="0" w:color="auto"/>
        <w:left w:val="none" w:sz="0" w:space="0" w:color="auto"/>
        <w:bottom w:val="none" w:sz="0" w:space="0" w:color="auto"/>
        <w:right w:val="none" w:sz="0" w:space="0" w:color="auto"/>
      </w:divBdr>
    </w:div>
    <w:div w:id="1992367650">
      <w:bodyDiv w:val="1"/>
      <w:marLeft w:val="0"/>
      <w:marRight w:val="0"/>
      <w:marTop w:val="0"/>
      <w:marBottom w:val="0"/>
      <w:divBdr>
        <w:top w:val="none" w:sz="0" w:space="0" w:color="auto"/>
        <w:left w:val="none" w:sz="0" w:space="0" w:color="auto"/>
        <w:bottom w:val="none" w:sz="0" w:space="0" w:color="auto"/>
        <w:right w:val="none" w:sz="0" w:space="0" w:color="auto"/>
      </w:divBdr>
    </w:div>
    <w:div w:id="1993485543">
      <w:bodyDiv w:val="1"/>
      <w:marLeft w:val="0"/>
      <w:marRight w:val="0"/>
      <w:marTop w:val="0"/>
      <w:marBottom w:val="0"/>
      <w:divBdr>
        <w:top w:val="none" w:sz="0" w:space="0" w:color="auto"/>
        <w:left w:val="none" w:sz="0" w:space="0" w:color="auto"/>
        <w:bottom w:val="none" w:sz="0" w:space="0" w:color="auto"/>
        <w:right w:val="none" w:sz="0" w:space="0" w:color="auto"/>
      </w:divBdr>
    </w:div>
    <w:div w:id="2004964017">
      <w:bodyDiv w:val="1"/>
      <w:marLeft w:val="0"/>
      <w:marRight w:val="0"/>
      <w:marTop w:val="0"/>
      <w:marBottom w:val="0"/>
      <w:divBdr>
        <w:top w:val="none" w:sz="0" w:space="0" w:color="auto"/>
        <w:left w:val="none" w:sz="0" w:space="0" w:color="auto"/>
        <w:bottom w:val="none" w:sz="0" w:space="0" w:color="auto"/>
        <w:right w:val="none" w:sz="0" w:space="0" w:color="auto"/>
      </w:divBdr>
    </w:div>
    <w:div w:id="2006207897">
      <w:bodyDiv w:val="1"/>
      <w:marLeft w:val="0"/>
      <w:marRight w:val="0"/>
      <w:marTop w:val="0"/>
      <w:marBottom w:val="0"/>
      <w:divBdr>
        <w:top w:val="none" w:sz="0" w:space="0" w:color="auto"/>
        <w:left w:val="none" w:sz="0" w:space="0" w:color="auto"/>
        <w:bottom w:val="none" w:sz="0" w:space="0" w:color="auto"/>
        <w:right w:val="none" w:sz="0" w:space="0" w:color="auto"/>
      </w:divBdr>
      <w:divsChild>
        <w:div w:id="29452889">
          <w:marLeft w:val="0"/>
          <w:marRight w:val="0"/>
          <w:marTop w:val="0"/>
          <w:marBottom w:val="0"/>
          <w:divBdr>
            <w:top w:val="none" w:sz="0" w:space="0" w:color="auto"/>
            <w:left w:val="none" w:sz="0" w:space="0" w:color="auto"/>
            <w:bottom w:val="none" w:sz="0" w:space="0" w:color="auto"/>
            <w:right w:val="none" w:sz="0" w:space="0" w:color="auto"/>
          </w:divBdr>
          <w:divsChild>
            <w:div w:id="1550723355">
              <w:marLeft w:val="0"/>
              <w:marRight w:val="0"/>
              <w:marTop w:val="0"/>
              <w:marBottom w:val="0"/>
              <w:divBdr>
                <w:top w:val="none" w:sz="0" w:space="0" w:color="auto"/>
                <w:left w:val="none" w:sz="0" w:space="0" w:color="auto"/>
                <w:bottom w:val="none" w:sz="0" w:space="0" w:color="auto"/>
                <w:right w:val="none" w:sz="0" w:space="0" w:color="auto"/>
              </w:divBdr>
              <w:divsChild>
                <w:div w:id="1656374526">
                  <w:marLeft w:val="0"/>
                  <w:marRight w:val="0"/>
                  <w:marTop w:val="0"/>
                  <w:marBottom w:val="0"/>
                  <w:divBdr>
                    <w:top w:val="none" w:sz="0" w:space="0" w:color="auto"/>
                    <w:left w:val="none" w:sz="0" w:space="0" w:color="auto"/>
                    <w:bottom w:val="none" w:sz="0" w:space="0" w:color="auto"/>
                    <w:right w:val="none" w:sz="0" w:space="0" w:color="auto"/>
                  </w:divBdr>
                  <w:divsChild>
                    <w:div w:id="1030254455">
                      <w:marLeft w:val="0"/>
                      <w:marRight w:val="0"/>
                      <w:marTop w:val="0"/>
                      <w:marBottom w:val="0"/>
                      <w:divBdr>
                        <w:top w:val="none" w:sz="0" w:space="0" w:color="auto"/>
                        <w:left w:val="none" w:sz="0" w:space="0" w:color="auto"/>
                        <w:bottom w:val="none" w:sz="0" w:space="0" w:color="auto"/>
                        <w:right w:val="none" w:sz="0" w:space="0" w:color="auto"/>
                      </w:divBdr>
                      <w:divsChild>
                        <w:div w:id="1986275542">
                          <w:marLeft w:val="0"/>
                          <w:marRight w:val="0"/>
                          <w:marTop w:val="0"/>
                          <w:marBottom w:val="0"/>
                          <w:divBdr>
                            <w:top w:val="none" w:sz="0" w:space="0" w:color="auto"/>
                            <w:left w:val="none" w:sz="0" w:space="0" w:color="auto"/>
                            <w:bottom w:val="none" w:sz="0" w:space="0" w:color="auto"/>
                            <w:right w:val="none" w:sz="0" w:space="0" w:color="auto"/>
                          </w:divBdr>
                          <w:divsChild>
                            <w:div w:id="132139553">
                              <w:marLeft w:val="0"/>
                              <w:marRight w:val="0"/>
                              <w:marTop w:val="0"/>
                              <w:marBottom w:val="0"/>
                              <w:divBdr>
                                <w:top w:val="none" w:sz="0" w:space="0" w:color="auto"/>
                                <w:left w:val="none" w:sz="0" w:space="0" w:color="auto"/>
                                <w:bottom w:val="none" w:sz="0" w:space="0" w:color="auto"/>
                                <w:right w:val="none" w:sz="0" w:space="0" w:color="auto"/>
                              </w:divBdr>
                              <w:divsChild>
                                <w:div w:id="670721341">
                                  <w:marLeft w:val="0"/>
                                  <w:marRight w:val="0"/>
                                  <w:marTop w:val="0"/>
                                  <w:marBottom w:val="0"/>
                                  <w:divBdr>
                                    <w:top w:val="none" w:sz="0" w:space="0" w:color="auto"/>
                                    <w:left w:val="none" w:sz="0" w:space="0" w:color="auto"/>
                                    <w:bottom w:val="none" w:sz="0" w:space="0" w:color="auto"/>
                                    <w:right w:val="none" w:sz="0" w:space="0" w:color="auto"/>
                                  </w:divBdr>
                                  <w:divsChild>
                                    <w:div w:id="8323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6027474">
      <w:bodyDiv w:val="1"/>
      <w:marLeft w:val="0"/>
      <w:marRight w:val="0"/>
      <w:marTop w:val="0"/>
      <w:marBottom w:val="0"/>
      <w:divBdr>
        <w:top w:val="none" w:sz="0" w:space="0" w:color="auto"/>
        <w:left w:val="none" w:sz="0" w:space="0" w:color="auto"/>
        <w:bottom w:val="none" w:sz="0" w:space="0" w:color="auto"/>
        <w:right w:val="none" w:sz="0" w:space="0" w:color="auto"/>
      </w:divBdr>
    </w:div>
    <w:div w:id="2023626903">
      <w:bodyDiv w:val="1"/>
      <w:marLeft w:val="0"/>
      <w:marRight w:val="0"/>
      <w:marTop w:val="0"/>
      <w:marBottom w:val="0"/>
      <w:divBdr>
        <w:top w:val="none" w:sz="0" w:space="0" w:color="auto"/>
        <w:left w:val="none" w:sz="0" w:space="0" w:color="auto"/>
        <w:bottom w:val="none" w:sz="0" w:space="0" w:color="auto"/>
        <w:right w:val="none" w:sz="0" w:space="0" w:color="auto"/>
      </w:divBdr>
      <w:divsChild>
        <w:div w:id="19212553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1681874">
      <w:bodyDiv w:val="1"/>
      <w:marLeft w:val="0"/>
      <w:marRight w:val="0"/>
      <w:marTop w:val="0"/>
      <w:marBottom w:val="0"/>
      <w:divBdr>
        <w:top w:val="none" w:sz="0" w:space="0" w:color="auto"/>
        <w:left w:val="none" w:sz="0" w:space="0" w:color="auto"/>
        <w:bottom w:val="none" w:sz="0" w:space="0" w:color="auto"/>
        <w:right w:val="none" w:sz="0" w:space="0" w:color="auto"/>
      </w:divBdr>
    </w:div>
    <w:div w:id="2035105819">
      <w:bodyDiv w:val="1"/>
      <w:marLeft w:val="0"/>
      <w:marRight w:val="0"/>
      <w:marTop w:val="0"/>
      <w:marBottom w:val="0"/>
      <w:divBdr>
        <w:top w:val="none" w:sz="0" w:space="0" w:color="auto"/>
        <w:left w:val="none" w:sz="0" w:space="0" w:color="auto"/>
        <w:bottom w:val="none" w:sz="0" w:space="0" w:color="auto"/>
        <w:right w:val="none" w:sz="0" w:space="0" w:color="auto"/>
      </w:divBdr>
    </w:div>
    <w:div w:id="2037731906">
      <w:bodyDiv w:val="1"/>
      <w:marLeft w:val="0"/>
      <w:marRight w:val="0"/>
      <w:marTop w:val="0"/>
      <w:marBottom w:val="0"/>
      <w:divBdr>
        <w:top w:val="none" w:sz="0" w:space="0" w:color="auto"/>
        <w:left w:val="none" w:sz="0" w:space="0" w:color="auto"/>
        <w:bottom w:val="none" w:sz="0" w:space="0" w:color="auto"/>
        <w:right w:val="none" w:sz="0" w:space="0" w:color="auto"/>
      </w:divBdr>
    </w:div>
    <w:div w:id="2047485857">
      <w:bodyDiv w:val="1"/>
      <w:marLeft w:val="0"/>
      <w:marRight w:val="0"/>
      <w:marTop w:val="0"/>
      <w:marBottom w:val="0"/>
      <w:divBdr>
        <w:top w:val="none" w:sz="0" w:space="0" w:color="auto"/>
        <w:left w:val="none" w:sz="0" w:space="0" w:color="auto"/>
        <w:bottom w:val="none" w:sz="0" w:space="0" w:color="auto"/>
        <w:right w:val="none" w:sz="0" w:space="0" w:color="auto"/>
      </w:divBdr>
      <w:divsChild>
        <w:div w:id="1017534930">
          <w:marLeft w:val="0"/>
          <w:marRight w:val="0"/>
          <w:marTop w:val="0"/>
          <w:marBottom w:val="0"/>
          <w:divBdr>
            <w:top w:val="none" w:sz="0" w:space="0" w:color="auto"/>
            <w:left w:val="none" w:sz="0" w:space="0" w:color="auto"/>
            <w:bottom w:val="none" w:sz="0" w:space="0" w:color="auto"/>
            <w:right w:val="none" w:sz="0" w:space="0" w:color="auto"/>
          </w:divBdr>
          <w:divsChild>
            <w:div w:id="279150279">
              <w:marLeft w:val="0"/>
              <w:marRight w:val="0"/>
              <w:marTop w:val="0"/>
              <w:marBottom w:val="0"/>
              <w:divBdr>
                <w:top w:val="none" w:sz="0" w:space="0" w:color="auto"/>
                <w:left w:val="none" w:sz="0" w:space="0" w:color="auto"/>
                <w:bottom w:val="none" w:sz="0" w:space="0" w:color="auto"/>
                <w:right w:val="none" w:sz="0" w:space="0" w:color="auto"/>
              </w:divBdr>
              <w:divsChild>
                <w:div w:id="945424448">
                  <w:marLeft w:val="0"/>
                  <w:marRight w:val="0"/>
                  <w:marTop w:val="0"/>
                  <w:marBottom w:val="0"/>
                  <w:divBdr>
                    <w:top w:val="none" w:sz="0" w:space="0" w:color="auto"/>
                    <w:left w:val="none" w:sz="0" w:space="0" w:color="auto"/>
                    <w:bottom w:val="none" w:sz="0" w:space="0" w:color="auto"/>
                    <w:right w:val="none" w:sz="0" w:space="0" w:color="auto"/>
                  </w:divBdr>
                  <w:divsChild>
                    <w:div w:id="539048255">
                      <w:marLeft w:val="0"/>
                      <w:marRight w:val="0"/>
                      <w:marTop w:val="0"/>
                      <w:marBottom w:val="0"/>
                      <w:divBdr>
                        <w:top w:val="none" w:sz="0" w:space="0" w:color="auto"/>
                        <w:left w:val="none" w:sz="0" w:space="0" w:color="auto"/>
                        <w:bottom w:val="none" w:sz="0" w:space="0" w:color="auto"/>
                        <w:right w:val="none" w:sz="0" w:space="0" w:color="auto"/>
                      </w:divBdr>
                    </w:div>
                  </w:divsChild>
                </w:div>
                <w:div w:id="1373966525">
                  <w:marLeft w:val="0"/>
                  <w:marRight w:val="0"/>
                  <w:marTop w:val="0"/>
                  <w:marBottom w:val="0"/>
                  <w:divBdr>
                    <w:top w:val="none" w:sz="0" w:space="0" w:color="auto"/>
                    <w:left w:val="none" w:sz="0" w:space="0" w:color="auto"/>
                    <w:bottom w:val="none" w:sz="0" w:space="0" w:color="auto"/>
                    <w:right w:val="none" w:sz="0" w:space="0" w:color="auto"/>
                  </w:divBdr>
                  <w:divsChild>
                    <w:div w:id="1156842321">
                      <w:marLeft w:val="0"/>
                      <w:marRight w:val="0"/>
                      <w:marTop w:val="0"/>
                      <w:marBottom w:val="0"/>
                      <w:divBdr>
                        <w:top w:val="none" w:sz="0" w:space="0" w:color="auto"/>
                        <w:left w:val="none" w:sz="0" w:space="0" w:color="auto"/>
                        <w:bottom w:val="none" w:sz="0" w:space="0" w:color="auto"/>
                        <w:right w:val="none" w:sz="0" w:space="0" w:color="auto"/>
                      </w:divBdr>
                      <w:divsChild>
                        <w:div w:id="281499175">
                          <w:marLeft w:val="0"/>
                          <w:marRight w:val="0"/>
                          <w:marTop w:val="0"/>
                          <w:marBottom w:val="0"/>
                          <w:divBdr>
                            <w:top w:val="none" w:sz="0" w:space="0" w:color="auto"/>
                            <w:left w:val="none" w:sz="0" w:space="0" w:color="auto"/>
                            <w:bottom w:val="none" w:sz="0" w:space="0" w:color="auto"/>
                            <w:right w:val="none" w:sz="0" w:space="0" w:color="auto"/>
                          </w:divBdr>
                          <w:divsChild>
                            <w:div w:id="19434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3725712">
      <w:bodyDiv w:val="1"/>
      <w:marLeft w:val="0"/>
      <w:marRight w:val="0"/>
      <w:marTop w:val="0"/>
      <w:marBottom w:val="0"/>
      <w:divBdr>
        <w:top w:val="none" w:sz="0" w:space="0" w:color="auto"/>
        <w:left w:val="none" w:sz="0" w:space="0" w:color="auto"/>
        <w:bottom w:val="none" w:sz="0" w:space="0" w:color="auto"/>
        <w:right w:val="none" w:sz="0" w:space="0" w:color="auto"/>
      </w:divBdr>
    </w:div>
    <w:div w:id="2062895404">
      <w:bodyDiv w:val="1"/>
      <w:marLeft w:val="0"/>
      <w:marRight w:val="0"/>
      <w:marTop w:val="0"/>
      <w:marBottom w:val="0"/>
      <w:divBdr>
        <w:top w:val="none" w:sz="0" w:space="0" w:color="auto"/>
        <w:left w:val="none" w:sz="0" w:space="0" w:color="auto"/>
        <w:bottom w:val="none" w:sz="0" w:space="0" w:color="auto"/>
        <w:right w:val="none" w:sz="0" w:space="0" w:color="auto"/>
      </w:divBdr>
      <w:divsChild>
        <w:div w:id="613446594">
          <w:marLeft w:val="0"/>
          <w:marRight w:val="0"/>
          <w:marTop w:val="0"/>
          <w:marBottom w:val="0"/>
          <w:divBdr>
            <w:top w:val="none" w:sz="0" w:space="0" w:color="auto"/>
            <w:left w:val="none" w:sz="0" w:space="0" w:color="auto"/>
            <w:bottom w:val="none" w:sz="0" w:space="0" w:color="auto"/>
            <w:right w:val="none" w:sz="0" w:space="0" w:color="auto"/>
          </w:divBdr>
          <w:divsChild>
            <w:div w:id="1387409149">
              <w:marLeft w:val="0"/>
              <w:marRight w:val="0"/>
              <w:marTop w:val="0"/>
              <w:marBottom w:val="0"/>
              <w:divBdr>
                <w:top w:val="none" w:sz="0" w:space="0" w:color="auto"/>
                <w:left w:val="none" w:sz="0" w:space="0" w:color="auto"/>
                <w:bottom w:val="none" w:sz="0" w:space="0" w:color="auto"/>
                <w:right w:val="none" w:sz="0" w:space="0" w:color="auto"/>
              </w:divBdr>
              <w:divsChild>
                <w:div w:id="504250898">
                  <w:marLeft w:val="0"/>
                  <w:marRight w:val="0"/>
                  <w:marTop w:val="0"/>
                  <w:marBottom w:val="0"/>
                  <w:divBdr>
                    <w:top w:val="none" w:sz="0" w:space="0" w:color="auto"/>
                    <w:left w:val="none" w:sz="0" w:space="0" w:color="auto"/>
                    <w:bottom w:val="none" w:sz="0" w:space="0" w:color="auto"/>
                    <w:right w:val="none" w:sz="0" w:space="0" w:color="auto"/>
                  </w:divBdr>
                  <w:divsChild>
                    <w:div w:id="581529378">
                      <w:marLeft w:val="0"/>
                      <w:marRight w:val="0"/>
                      <w:marTop w:val="0"/>
                      <w:marBottom w:val="0"/>
                      <w:divBdr>
                        <w:top w:val="none" w:sz="0" w:space="0" w:color="auto"/>
                        <w:left w:val="none" w:sz="0" w:space="0" w:color="auto"/>
                        <w:bottom w:val="none" w:sz="0" w:space="0" w:color="auto"/>
                        <w:right w:val="none" w:sz="0" w:space="0" w:color="auto"/>
                      </w:divBdr>
                    </w:div>
                  </w:divsChild>
                </w:div>
                <w:div w:id="1524858659">
                  <w:marLeft w:val="0"/>
                  <w:marRight w:val="0"/>
                  <w:marTop w:val="0"/>
                  <w:marBottom w:val="0"/>
                  <w:divBdr>
                    <w:top w:val="none" w:sz="0" w:space="0" w:color="auto"/>
                    <w:left w:val="none" w:sz="0" w:space="0" w:color="auto"/>
                    <w:bottom w:val="none" w:sz="0" w:space="0" w:color="auto"/>
                    <w:right w:val="none" w:sz="0" w:space="0" w:color="auto"/>
                  </w:divBdr>
                  <w:divsChild>
                    <w:div w:id="544954276">
                      <w:marLeft w:val="0"/>
                      <w:marRight w:val="0"/>
                      <w:marTop w:val="0"/>
                      <w:marBottom w:val="0"/>
                      <w:divBdr>
                        <w:top w:val="none" w:sz="0" w:space="0" w:color="auto"/>
                        <w:left w:val="none" w:sz="0" w:space="0" w:color="auto"/>
                        <w:bottom w:val="none" w:sz="0" w:space="0" w:color="auto"/>
                        <w:right w:val="none" w:sz="0" w:space="0" w:color="auto"/>
                      </w:divBdr>
                      <w:divsChild>
                        <w:div w:id="819493283">
                          <w:marLeft w:val="0"/>
                          <w:marRight w:val="0"/>
                          <w:marTop w:val="0"/>
                          <w:marBottom w:val="0"/>
                          <w:divBdr>
                            <w:top w:val="none" w:sz="0" w:space="0" w:color="auto"/>
                            <w:left w:val="none" w:sz="0" w:space="0" w:color="auto"/>
                            <w:bottom w:val="none" w:sz="0" w:space="0" w:color="auto"/>
                            <w:right w:val="none" w:sz="0" w:space="0" w:color="auto"/>
                          </w:divBdr>
                          <w:divsChild>
                            <w:div w:id="6095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1245561">
      <w:bodyDiv w:val="1"/>
      <w:marLeft w:val="0"/>
      <w:marRight w:val="0"/>
      <w:marTop w:val="0"/>
      <w:marBottom w:val="0"/>
      <w:divBdr>
        <w:top w:val="none" w:sz="0" w:space="0" w:color="auto"/>
        <w:left w:val="none" w:sz="0" w:space="0" w:color="auto"/>
        <w:bottom w:val="none" w:sz="0" w:space="0" w:color="auto"/>
        <w:right w:val="none" w:sz="0" w:space="0" w:color="auto"/>
      </w:divBdr>
    </w:div>
    <w:div w:id="2084136966">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3528164">
      <w:bodyDiv w:val="1"/>
      <w:marLeft w:val="0"/>
      <w:marRight w:val="0"/>
      <w:marTop w:val="0"/>
      <w:marBottom w:val="0"/>
      <w:divBdr>
        <w:top w:val="none" w:sz="0" w:space="0" w:color="auto"/>
        <w:left w:val="none" w:sz="0" w:space="0" w:color="auto"/>
        <w:bottom w:val="none" w:sz="0" w:space="0" w:color="auto"/>
        <w:right w:val="none" w:sz="0" w:space="0" w:color="auto"/>
      </w:divBdr>
    </w:div>
    <w:div w:id="2117213989">
      <w:bodyDiv w:val="1"/>
      <w:marLeft w:val="0"/>
      <w:marRight w:val="0"/>
      <w:marTop w:val="0"/>
      <w:marBottom w:val="0"/>
      <w:divBdr>
        <w:top w:val="none" w:sz="0" w:space="0" w:color="auto"/>
        <w:left w:val="none" w:sz="0" w:space="0" w:color="auto"/>
        <w:bottom w:val="none" w:sz="0" w:space="0" w:color="auto"/>
        <w:right w:val="none" w:sz="0" w:space="0" w:color="auto"/>
      </w:divBdr>
    </w:div>
    <w:div w:id="2121146535">
      <w:bodyDiv w:val="1"/>
      <w:marLeft w:val="0"/>
      <w:marRight w:val="0"/>
      <w:marTop w:val="0"/>
      <w:marBottom w:val="0"/>
      <w:divBdr>
        <w:top w:val="none" w:sz="0" w:space="0" w:color="auto"/>
        <w:left w:val="none" w:sz="0" w:space="0" w:color="auto"/>
        <w:bottom w:val="none" w:sz="0" w:space="0" w:color="auto"/>
        <w:right w:val="none" w:sz="0" w:space="0" w:color="auto"/>
      </w:divBdr>
    </w:div>
    <w:div w:id="2124303189">
      <w:bodyDiv w:val="1"/>
      <w:marLeft w:val="0"/>
      <w:marRight w:val="0"/>
      <w:marTop w:val="0"/>
      <w:marBottom w:val="0"/>
      <w:divBdr>
        <w:top w:val="none" w:sz="0" w:space="0" w:color="auto"/>
        <w:left w:val="none" w:sz="0" w:space="0" w:color="auto"/>
        <w:bottom w:val="none" w:sz="0" w:space="0" w:color="auto"/>
        <w:right w:val="none" w:sz="0" w:space="0" w:color="auto"/>
      </w:divBdr>
    </w:div>
    <w:div w:id="2126659496">
      <w:bodyDiv w:val="1"/>
      <w:marLeft w:val="0"/>
      <w:marRight w:val="0"/>
      <w:marTop w:val="0"/>
      <w:marBottom w:val="0"/>
      <w:divBdr>
        <w:top w:val="none" w:sz="0" w:space="0" w:color="auto"/>
        <w:left w:val="none" w:sz="0" w:space="0" w:color="auto"/>
        <w:bottom w:val="none" w:sz="0" w:space="0" w:color="auto"/>
        <w:right w:val="none" w:sz="0" w:space="0" w:color="auto"/>
      </w:divBdr>
    </w:div>
    <w:div w:id="2132551051">
      <w:bodyDiv w:val="1"/>
      <w:marLeft w:val="0"/>
      <w:marRight w:val="0"/>
      <w:marTop w:val="0"/>
      <w:marBottom w:val="0"/>
      <w:divBdr>
        <w:top w:val="none" w:sz="0" w:space="0" w:color="auto"/>
        <w:left w:val="none" w:sz="0" w:space="0" w:color="auto"/>
        <w:bottom w:val="none" w:sz="0" w:space="0" w:color="auto"/>
        <w:right w:val="none" w:sz="0" w:space="0" w:color="auto"/>
      </w:divBdr>
    </w:div>
    <w:div w:id="2137022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F9C937-CE94-46F0-B56B-34A34A41F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8147</Words>
  <Characters>46444</Characters>
  <Application>Microsoft Office Word</Application>
  <DocSecurity>0</DocSecurity>
  <Lines>387</Lines>
  <Paragraphs>108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سامي معتوق بن سامي ولى</cp:lastModifiedBy>
  <cp:revision>2</cp:revision>
  <cp:lastPrinted>2025-11-13T15:38:00Z</cp:lastPrinted>
  <dcterms:created xsi:type="dcterms:W3CDTF">2026-08-18T19:39:00Z</dcterms:created>
  <dcterms:modified xsi:type="dcterms:W3CDTF">2026-08-18T19:39:00Z</dcterms:modified>
</cp:coreProperties>
</file>