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F3F411" w14:textId="77777777" w:rsidR="00A07BE6" w:rsidRDefault="00000000" w:rsidP="00184CE7">
      <w:pPr>
        <w:spacing w:after="200"/>
        <w:jc w:val="center"/>
      </w:pPr>
      <w:r>
        <w:rPr>
          <w:noProof/>
        </w:rPr>
        <w:drawing>
          <wp:inline distT="0" distB="0" distL="0" distR="0" wp14:anchorId="7CD5DEC1" wp14:editId="33CF9B4F">
            <wp:extent cx="2476500" cy="1123950"/>
            <wp:effectExtent l="0" t="0" r="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2476500" cy="1123950"/>
                    </a:xfrm>
                    <a:prstGeom prst="rect">
                      <a:avLst/>
                    </a:prstGeom>
                  </pic:spPr>
                </pic:pic>
              </a:graphicData>
            </a:graphic>
          </wp:inline>
        </w:drawing>
      </w:r>
    </w:p>
    <w:p w14:paraId="37E72836" w14:textId="77777777" w:rsidR="00A07BE6" w:rsidRDefault="00000000" w:rsidP="00184CE7">
      <w:pPr>
        <w:spacing w:after="40" w:line="360" w:lineRule="auto"/>
        <w:jc w:val="center"/>
      </w:pPr>
      <w:r>
        <w:rPr>
          <w:b/>
          <w:bCs/>
          <w:color w:val="1F4E79"/>
          <w:sz w:val="32"/>
          <w:szCs w:val="32"/>
          <w:rtl/>
        </w:rPr>
        <w:t xml:space="preserve">جامعة </w:t>
      </w:r>
      <w:proofErr w:type="spellStart"/>
      <w:r>
        <w:rPr>
          <w:b/>
          <w:bCs/>
          <w:color w:val="1F4E79"/>
          <w:sz w:val="32"/>
          <w:szCs w:val="32"/>
          <w:rtl/>
        </w:rPr>
        <w:t>ميدأوشن</w:t>
      </w:r>
      <w:proofErr w:type="spellEnd"/>
    </w:p>
    <w:p w14:paraId="39FE7902" w14:textId="77777777" w:rsidR="00A07BE6" w:rsidRDefault="00000000" w:rsidP="00184CE7">
      <w:pPr>
        <w:spacing w:after="40" w:line="360" w:lineRule="auto"/>
        <w:jc w:val="center"/>
      </w:pPr>
      <w:r>
        <w:rPr>
          <w:b/>
          <w:bCs/>
          <w:rtl/>
        </w:rPr>
        <w:t>كلية الريادة والابتكار</w:t>
      </w:r>
    </w:p>
    <w:p w14:paraId="72750FF3" w14:textId="77777777" w:rsidR="00A07BE6" w:rsidRDefault="00000000" w:rsidP="00184CE7">
      <w:pPr>
        <w:spacing w:after="40" w:line="360" w:lineRule="auto"/>
        <w:jc w:val="center"/>
      </w:pPr>
      <w:r>
        <w:rPr>
          <w:b/>
          <w:bCs/>
          <w:sz w:val="26"/>
          <w:szCs w:val="26"/>
          <w:rtl/>
        </w:rPr>
        <w:t>ماجستير ريادة الأعمال</w:t>
      </w:r>
    </w:p>
    <w:p w14:paraId="0FF1CF65" w14:textId="77777777" w:rsidR="00A07BE6" w:rsidRDefault="00000000" w:rsidP="00184CE7">
      <w:pPr>
        <w:spacing w:after="500" w:line="360" w:lineRule="auto"/>
        <w:jc w:val="center"/>
      </w:pPr>
      <w:r>
        <w:rPr>
          <w:sz w:val="24"/>
          <w:szCs w:val="24"/>
          <w:rtl/>
        </w:rPr>
        <w:t>مقرر: مشروع التخرج — الفصل الدراسي الثاني 2026</w:t>
      </w:r>
    </w:p>
    <w:p w14:paraId="4AAE21BE" w14:textId="77777777" w:rsidR="00A07BE6" w:rsidRDefault="00000000" w:rsidP="00184CE7">
      <w:pPr>
        <w:pBdr>
          <w:top w:val="single" w:sz="6" w:space="10" w:color="1F4E79"/>
          <w:bottom w:val="single" w:sz="6" w:space="10" w:color="1F4E79"/>
        </w:pBdr>
        <w:spacing w:after="120" w:line="360" w:lineRule="auto"/>
        <w:jc w:val="center"/>
      </w:pPr>
      <w:r>
        <w:rPr>
          <w:b/>
          <w:bCs/>
          <w:color w:val="1F4E79"/>
          <w:sz w:val="30"/>
          <w:szCs w:val="30"/>
          <w:rtl/>
        </w:rPr>
        <w:t>خطة البحث (</w:t>
      </w:r>
      <w:proofErr w:type="spellStart"/>
      <w:r>
        <w:rPr>
          <w:b/>
          <w:bCs/>
          <w:color w:val="1F4E79"/>
          <w:sz w:val="30"/>
          <w:szCs w:val="30"/>
          <w:rtl/>
        </w:rPr>
        <w:t>Proposal</w:t>
      </w:r>
      <w:proofErr w:type="spellEnd"/>
      <w:r>
        <w:rPr>
          <w:b/>
          <w:bCs/>
          <w:color w:val="1F4E79"/>
          <w:sz w:val="30"/>
          <w:szCs w:val="30"/>
          <w:rtl/>
        </w:rPr>
        <w:t>)</w:t>
      </w:r>
    </w:p>
    <w:p w14:paraId="15515DE1" w14:textId="77777777" w:rsidR="00A07BE6" w:rsidRDefault="00000000" w:rsidP="00184CE7">
      <w:pPr>
        <w:spacing w:before="200" w:after="120" w:line="360" w:lineRule="auto"/>
        <w:jc w:val="center"/>
      </w:pPr>
      <w:r>
        <w:rPr>
          <w:b/>
          <w:bCs/>
          <w:sz w:val="40"/>
          <w:szCs w:val="40"/>
          <w:rtl/>
        </w:rPr>
        <w:t>العوامل المؤثرة في نجاح الشركات الناشئة في بيئة الأعمال السعودية</w:t>
      </w:r>
    </w:p>
    <w:p w14:paraId="6D8B2AC5" w14:textId="77777777" w:rsidR="00A07BE6" w:rsidRDefault="00000000" w:rsidP="00184CE7">
      <w:pPr>
        <w:bidi w:val="0"/>
        <w:spacing w:after="600" w:line="360" w:lineRule="auto"/>
        <w:jc w:val="center"/>
      </w:pPr>
      <w:r>
        <w:rPr>
          <w:rFonts w:ascii="Times New Roman" w:eastAsia="Times New Roman" w:hAnsi="Times New Roman" w:cs="Times New Roman"/>
          <w:b/>
          <w:bCs/>
          <w:i/>
          <w:iCs/>
          <w:sz w:val="30"/>
          <w:szCs w:val="30"/>
        </w:rPr>
        <w:t>Factors Influencing Startup Success in the Saudi Business Environment</w:t>
      </w:r>
    </w:p>
    <w:p w14:paraId="0EF4C3F3" w14:textId="77777777" w:rsidR="00A07BE6" w:rsidRDefault="00000000" w:rsidP="00184CE7">
      <w:pPr>
        <w:spacing w:after="40" w:line="360" w:lineRule="auto"/>
        <w:jc w:val="center"/>
        <w:rPr>
          <w:rFonts w:hint="cs"/>
          <w:rtl/>
        </w:rPr>
      </w:pPr>
      <w:r>
        <w:rPr>
          <w:b/>
          <w:bCs/>
          <w:color w:val="555555"/>
          <w:sz w:val="26"/>
          <w:szCs w:val="26"/>
          <w:rtl/>
        </w:rPr>
        <w:t>إعداد الطالب</w:t>
      </w:r>
    </w:p>
    <w:p w14:paraId="5F0E08D5" w14:textId="77777777" w:rsidR="00A07BE6" w:rsidRDefault="00000000" w:rsidP="00184CE7">
      <w:pPr>
        <w:spacing w:after="30" w:line="360" w:lineRule="auto"/>
        <w:jc w:val="center"/>
      </w:pPr>
      <w:proofErr w:type="gramStart"/>
      <w:r>
        <w:rPr>
          <w:b/>
          <w:bCs/>
          <w:sz w:val="30"/>
          <w:szCs w:val="30"/>
          <w:rtl/>
        </w:rPr>
        <w:t>عبدالرحمن</w:t>
      </w:r>
      <w:proofErr w:type="gramEnd"/>
      <w:r>
        <w:rPr>
          <w:b/>
          <w:bCs/>
          <w:sz w:val="30"/>
          <w:szCs w:val="30"/>
          <w:rtl/>
        </w:rPr>
        <w:t xml:space="preserve"> يعقوب الدايل</w:t>
      </w:r>
    </w:p>
    <w:p w14:paraId="3875BF20" w14:textId="77777777" w:rsidR="00A07BE6" w:rsidRDefault="00000000" w:rsidP="00184CE7">
      <w:pPr>
        <w:bidi w:val="0"/>
        <w:spacing w:after="30" w:line="360" w:lineRule="auto"/>
        <w:jc w:val="center"/>
      </w:pPr>
      <w:r>
        <w:rPr>
          <w:rFonts w:ascii="Times New Roman" w:eastAsia="Times New Roman" w:hAnsi="Times New Roman" w:cs="Times New Roman"/>
          <w:sz w:val="24"/>
          <w:szCs w:val="24"/>
        </w:rPr>
        <w:t>ABDULRAHMAN YAQUOB ALDAYEL</w:t>
      </w:r>
    </w:p>
    <w:p w14:paraId="1832101C" w14:textId="77777777" w:rsidR="00A07BE6" w:rsidRDefault="00000000" w:rsidP="00184CE7">
      <w:pPr>
        <w:spacing w:after="400" w:line="360" w:lineRule="auto"/>
        <w:jc w:val="center"/>
      </w:pPr>
      <w:r>
        <w:rPr>
          <w:b/>
          <w:bCs/>
          <w:sz w:val="26"/>
          <w:szCs w:val="26"/>
          <w:rtl/>
        </w:rPr>
        <w:t>الرقم الأكاديمي: 253000955</w:t>
      </w:r>
    </w:p>
    <w:p w14:paraId="53A0C1B6" w14:textId="77777777" w:rsidR="00A07BE6" w:rsidRDefault="00000000" w:rsidP="00184CE7">
      <w:pPr>
        <w:spacing w:after="40" w:line="360" w:lineRule="auto"/>
        <w:jc w:val="center"/>
      </w:pPr>
      <w:r>
        <w:rPr>
          <w:b/>
          <w:bCs/>
          <w:color w:val="555555"/>
          <w:sz w:val="26"/>
          <w:szCs w:val="26"/>
          <w:rtl/>
        </w:rPr>
        <w:t>إشراف</w:t>
      </w:r>
    </w:p>
    <w:p w14:paraId="59343E27" w14:textId="77777777" w:rsidR="00A07BE6" w:rsidRDefault="00000000" w:rsidP="00184CE7">
      <w:pPr>
        <w:spacing w:after="400" w:line="360" w:lineRule="auto"/>
        <w:jc w:val="center"/>
      </w:pPr>
      <w:r>
        <w:rPr>
          <w:b/>
          <w:bCs/>
          <w:sz w:val="30"/>
          <w:szCs w:val="30"/>
          <w:rtl/>
        </w:rPr>
        <w:t>الدكتور / أحمد راجح</w:t>
      </w:r>
    </w:p>
    <w:p w14:paraId="4441529B" w14:textId="77777777" w:rsidR="00A07BE6" w:rsidRDefault="00000000" w:rsidP="00184CE7">
      <w:pPr>
        <w:spacing w:after="40" w:line="360" w:lineRule="auto"/>
        <w:jc w:val="center"/>
      </w:pPr>
      <w:r>
        <w:rPr>
          <w:b/>
          <w:bCs/>
          <w:sz w:val="26"/>
          <w:szCs w:val="26"/>
          <w:rtl/>
        </w:rPr>
        <w:t>العام الدراسي 2026</w:t>
      </w:r>
    </w:p>
    <w:p w14:paraId="5285D7A1" w14:textId="701B1B96" w:rsidR="00A07BE6" w:rsidRDefault="00000000" w:rsidP="00184CE7">
      <w:pPr>
        <w:rPr>
          <w:rFonts w:hint="cs"/>
          <w:rtl/>
        </w:rPr>
      </w:pPr>
      <w:r>
        <w:br w:type="page"/>
      </w:r>
      <w:r>
        <w:rPr>
          <w:b/>
          <w:bCs/>
          <w:color w:val="1F4E79"/>
          <w:sz w:val="36"/>
          <w:szCs w:val="36"/>
          <w:rtl/>
        </w:rPr>
        <w:lastRenderedPageBreak/>
        <w:t>المحتويات</w:t>
      </w:r>
    </w:p>
    <w:p w14:paraId="73AE1B9E" w14:textId="442E8133" w:rsidR="00A07BE6" w:rsidRDefault="00000000" w:rsidP="00184CE7">
      <w:pPr>
        <w:tabs>
          <w:tab w:val="left" w:leader="dot" w:pos="400"/>
        </w:tabs>
        <w:spacing w:after="60" w:line="360" w:lineRule="auto"/>
      </w:pPr>
      <w:r>
        <w:rPr>
          <w:sz w:val="26"/>
          <w:szCs w:val="26"/>
          <w:rtl/>
        </w:rPr>
        <w:t>المقدمة</w:t>
      </w:r>
      <w:r w:rsidR="00184CE7">
        <w:t xml:space="preserve">                                       </w:t>
      </w:r>
      <w:r>
        <w:tab/>
      </w:r>
      <w:r>
        <w:rPr>
          <w:sz w:val="26"/>
          <w:szCs w:val="26"/>
          <w:rtl/>
        </w:rPr>
        <w:t>3</w:t>
      </w:r>
    </w:p>
    <w:p w14:paraId="79667E52" w14:textId="18BA37D0" w:rsidR="00A07BE6" w:rsidRDefault="00000000" w:rsidP="00184CE7">
      <w:pPr>
        <w:tabs>
          <w:tab w:val="left" w:leader="dot" w:pos="400"/>
        </w:tabs>
        <w:spacing w:after="60" w:line="360" w:lineRule="auto"/>
      </w:pPr>
      <w:r>
        <w:rPr>
          <w:sz w:val="26"/>
          <w:szCs w:val="26"/>
          <w:rtl/>
        </w:rPr>
        <w:t>مشكلة الدراسة</w:t>
      </w:r>
      <w:r w:rsidR="00184CE7">
        <w:t xml:space="preserve">                          </w:t>
      </w:r>
      <w:r>
        <w:tab/>
      </w:r>
      <w:r>
        <w:rPr>
          <w:sz w:val="26"/>
          <w:szCs w:val="26"/>
          <w:rtl/>
        </w:rPr>
        <w:t>4</w:t>
      </w:r>
    </w:p>
    <w:p w14:paraId="6C090ECA" w14:textId="4B079BEC" w:rsidR="00A07BE6" w:rsidRDefault="00000000" w:rsidP="00184CE7">
      <w:pPr>
        <w:tabs>
          <w:tab w:val="left" w:leader="dot" w:pos="400"/>
        </w:tabs>
        <w:spacing w:after="60" w:line="360" w:lineRule="auto"/>
      </w:pPr>
      <w:r>
        <w:rPr>
          <w:sz w:val="26"/>
          <w:szCs w:val="26"/>
          <w:rtl/>
        </w:rPr>
        <w:t>أهمية الدراسة</w:t>
      </w:r>
      <w:r w:rsidR="00184CE7">
        <w:t xml:space="preserve">                            </w:t>
      </w:r>
      <w:r>
        <w:tab/>
      </w:r>
      <w:r>
        <w:rPr>
          <w:sz w:val="26"/>
          <w:szCs w:val="26"/>
          <w:rtl/>
        </w:rPr>
        <w:t>4</w:t>
      </w:r>
    </w:p>
    <w:p w14:paraId="32895717" w14:textId="42844E6B" w:rsidR="00A07BE6" w:rsidRDefault="00000000" w:rsidP="00184CE7">
      <w:pPr>
        <w:tabs>
          <w:tab w:val="left" w:leader="dot" w:pos="400"/>
        </w:tabs>
        <w:spacing w:after="60" w:line="360" w:lineRule="auto"/>
      </w:pPr>
      <w:r>
        <w:rPr>
          <w:sz w:val="26"/>
          <w:szCs w:val="26"/>
          <w:rtl/>
        </w:rPr>
        <w:t>أهداف الدراسة</w:t>
      </w:r>
      <w:r w:rsidR="00184CE7">
        <w:t xml:space="preserve">                             </w:t>
      </w:r>
      <w:r>
        <w:tab/>
      </w:r>
      <w:r>
        <w:rPr>
          <w:sz w:val="26"/>
          <w:szCs w:val="26"/>
          <w:rtl/>
        </w:rPr>
        <w:t>5</w:t>
      </w:r>
    </w:p>
    <w:p w14:paraId="59DEE2FF" w14:textId="5D1B04A2" w:rsidR="00A07BE6" w:rsidRDefault="00000000" w:rsidP="00184CE7">
      <w:pPr>
        <w:tabs>
          <w:tab w:val="left" w:leader="dot" w:pos="400"/>
        </w:tabs>
        <w:spacing w:after="60" w:line="360" w:lineRule="auto"/>
      </w:pPr>
      <w:r>
        <w:rPr>
          <w:sz w:val="26"/>
          <w:szCs w:val="26"/>
          <w:rtl/>
        </w:rPr>
        <w:t>أسئلة الدراسة</w:t>
      </w:r>
      <w:r w:rsidR="00184CE7">
        <w:t xml:space="preserve">                            </w:t>
      </w:r>
      <w:r>
        <w:tab/>
      </w:r>
      <w:r>
        <w:rPr>
          <w:sz w:val="26"/>
          <w:szCs w:val="26"/>
          <w:rtl/>
        </w:rPr>
        <w:t>5</w:t>
      </w:r>
    </w:p>
    <w:p w14:paraId="56B74214" w14:textId="77777777" w:rsidR="00A07BE6" w:rsidRDefault="00000000" w:rsidP="00184CE7">
      <w:pPr>
        <w:tabs>
          <w:tab w:val="left" w:leader="dot" w:pos="400"/>
        </w:tabs>
        <w:spacing w:after="60" w:line="360" w:lineRule="auto"/>
      </w:pPr>
      <w:r>
        <w:rPr>
          <w:sz w:val="26"/>
          <w:szCs w:val="26"/>
          <w:rtl/>
        </w:rPr>
        <w:t>الدراسات السابقة والإطار النظري</w:t>
      </w:r>
      <w:r>
        <w:tab/>
      </w:r>
      <w:r>
        <w:rPr>
          <w:sz w:val="26"/>
          <w:szCs w:val="26"/>
          <w:rtl/>
        </w:rPr>
        <w:t>6</w:t>
      </w:r>
    </w:p>
    <w:p w14:paraId="4F6ED341" w14:textId="7822D945" w:rsidR="00A07BE6" w:rsidRDefault="00000000" w:rsidP="00184CE7">
      <w:pPr>
        <w:tabs>
          <w:tab w:val="left" w:leader="dot" w:pos="400"/>
        </w:tabs>
        <w:spacing w:after="60" w:line="360" w:lineRule="auto"/>
        <w:rPr>
          <w:rFonts w:hint="cs"/>
          <w:rtl/>
        </w:rPr>
      </w:pPr>
      <w:r>
        <w:rPr>
          <w:sz w:val="26"/>
          <w:szCs w:val="26"/>
          <w:rtl/>
        </w:rPr>
        <w:t>فرضيات الدراسة</w:t>
      </w:r>
      <w:r w:rsidR="00184CE7">
        <w:t xml:space="preserve">                      </w:t>
      </w:r>
      <w:r>
        <w:tab/>
      </w:r>
      <w:r>
        <w:rPr>
          <w:sz w:val="26"/>
          <w:szCs w:val="26"/>
          <w:rtl/>
        </w:rPr>
        <w:t>8</w:t>
      </w:r>
    </w:p>
    <w:p w14:paraId="69AB4438" w14:textId="3A8AAC9A" w:rsidR="00A07BE6" w:rsidRDefault="00000000" w:rsidP="00184CE7">
      <w:pPr>
        <w:tabs>
          <w:tab w:val="left" w:leader="dot" w:pos="400"/>
        </w:tabs>
        <w:spacing w:after="60" w:line="360" w:lineRule="auto"/>
      </w:pPr>
      <w:r>
        <w:rPr>
          <w:sz w:val="26"/>
          <w:szCs w:val="26"/>
          <w:rtl/>
        </w:rPr>
        <w:t>منهجية وطرق البحث</w:t>
      </w:r>
      <w:r>
        <w:tab/>
      </w:r>
      <w:r w:rsidR="00184CE7">
        <w:t xml:space="preserve">                 </w:t>
      </w:r>
      <w:r>
        <w:rPr>
          <w:sz w:val="26"/>
          <w:szCs w:val="26"/>
          <w:rtl/>
        </w:rPr>
        <w:t>9</w:t>
      </w:r>
    </w:p>
    <w:p w14:paraId="6A650FDA" w14:textId="11D874A3" w:rsidR="00A07BE6" w:rsidRDefault="00000000" w:rsidP="00184CE7">
      <w:pPr>
        <w:tabs>
          <w:tab w:val="left" w:leader="dot" w:pos="400"/>
        </w:tabs>
        <w:spacing w:after="60" w:line="360" w:lineRule="auto"/>
        <w:rPr>
          <w:rFonts w:hint="cs"/>
        </w:rPr>
      </w:pPr>
      <w:r>
        <w:rPr>
          <w:sz w:val="26"/>
          <w:szCs w:val="26"/>
          <w:rtl/>
        </w:rPr>
        <w:t>أدوات جمع البيانات</w:t>
      </w:r>
      <w:r w:rsidR="00184CE7">
        <w:rPr>
          <w:rFonts w:hint="cs"/>
          <w:sz w:val="26"/>
          <w:szCs w:val="26"/>
          <w:rtl/>
        </w:rPr>
        <w:t xml:space="preserve">                   </w:t>
      </w:r>
      <w:r>
        <w:tab/>
      </w:r>
      <w:r>
        <w:rPr>
          <w:sz w:val="26"/>
          <w:szCs w:val="26"/>
          <w:rtl/>
        </w:rPr>
        <w:t>10</w:t>
      </w:r>
      <w:r w:rsidR="00184CE7">
        <w:rPr>
          <w:rFonts w:hint="cs"/>
          <w:sz w:val="26"/>
          <w:szCs w:val="26"/>
          <w:rtl/>
        </w:rPr>
        <w:t xml:space="preserve"> </w:t>
      </w:r>
    </w:p>
    <w:p w14:paraId="421E1389" w14:textId="35A72177" w:rsidR="00A07BE6" w:rsidRDefault="00000000" w:rsidP="00184CE7">
      <w:pPr>
        <w:tabs>
          <w:tab w:val="left" w:leader="dot" w:pos="400"/>
        </w:tabs>
        <w:spacing w:after="60" w:line="360" w:lineRule="auto"/>
        <w:rPr>
          <w:rFonts w:hint="cs"/>
          <w:rtl/>
        </w:rPr>
      </w:pPr>
      <w:r>
        <w:rPr>
          <w:sz w:val="26"/>
          <w:szCs w:val="26"/>
          <w:rtl/>
        </w:rPr>
        <w:t>عينة الدراسة</w:t>
      </w:r>
      <w:r w:rsidR="00184CE7">
        <w:t xml:space="preserve">                               </w:t>
      </w:r>
      <w:r>
        <w:tab/>
      </w:r>
      <w:r>
        <w:rPr>
          <w:sz w:val="26"/>
          <w:szCs w:val="26"/>
          <w:rtl/>
        </w:rPr>
        <w:t>10</w:t>
      </w:r>
    </w:p>
    <w:p w14:paraId="16E0337B" w14:textId="1A7B0704" w:rsidR="00A07BE6" w:rsidRDefault="00000000" w:rsidP="00184CE7">
      <w:pPr>
        <w:tabs>
          <w:tab w:val="left" w:leader="dot" w:pos="400"/>
        </w:tabs>
        <w:spacing w:after="60" w:line="360" w:lineRule="auto"/>
      </w:pPr>
      <w:r>
        <w:rPr>
          <w:sz w:val="26"/>
          <w:szCs w:val="26"/>
          <w:rtl/>
        </w:rPr>
        <w:t>قائمة المراجع والمصادر</w:t>
      </w:r>
      <w:r w:rsidR="00184CE7">
        <w:t xml:space="preserve">                     </w:t>
      </w:r>
      <w:r>
        <w:tab/>
      </w:r>
      <w:r>
        <w:rPr>
          <w:sz w:val="26"/>
          <w:szCs w:val="26"/>
          <w:rtl/>
        </w:rPr>
        <w:t>11</w:t>
      </w:r>
    </w:p>
    <w:p w14:paraId="3223BED1" w14:textId="77777777" w:rsidR="00A07BE6" w:rsidRDefault="00000000" w:rsidP="00184CE7">
      <w:r>
        <w:br w:type="page"/>
      </w:r>
    </w:p>
    <w:p w14:paraId="205C1632" w14:textId="77777777" w:rsidR="00A07BE6" w:rsidRDefault="00000000" w:rsidP="00184CE7">
      <w:pPr>
        <w:pStyle w:val="1"/>
        <w:bidi/>
        <w:spacing w:before="240" w:after="160" w:line="360" w:lineRule="auto"/>
      </w:pPr>
      <w:r>
        <w:rPr>
          <w:rtl/>
        </w:rPr>
        <w:lastRenderedPageBreak/>
        <w:t>المقدمة</w:t>
      </w:r>
    </w:p>
    <w:p w14:paraId="07CC2D78" w14:textId="77777777" w:rsidR="00A07BE6" w:rsidRDefault="00000000" w:rsidP="00184CE7">
      <w:pPr>
        <w:spacing w:after="140" w:line="360" w:lineRule="auto"/>
      </w:pPr>
      <w:r>
        <w:rPr>
          <w:rtl/>
        </w:rPr>
        <w:t>تُعدّ الشركات الناشئة (</w:t>
      </w:r>
      <w:proofErr w:type="spellStart"/>
      <w:r>
        <w:rPr>
          <w:rtl/>
        </w:rPr>
        <w:t>Startups</w:t>
      </w:r>
      <w:proofErr w:type="spellEnd"/>
      <w:r>
        <w:rPr>
          <w:rtl/>
        </w:rPr>
        <w:t>) أحد أهم محركات النمو الاقتصادي وتنويع مصادر الدخل، لما تقدمه من فرص عمل وابتكار وقيمة مضافة للاقتصاد. وقد أولت المملكة العربية السعودية ريادة الأعمال اهتمامًا استراتيجيًا ضمن رؤية 2030، التي تستهدف رفع مساهمة المنشآت الصغيرة والمتوسطة في الناتج المحلي الإجمالي من نحو 20% إلى 35%، وبناء منظومة داعمة تشمل هيئة المنشآت الصغيرة والمتوسطة (منشآت)، وصناديق التمويل الجريء، وحاضنات ومسرّعات الأعمال.</w:t>
      </w:r>
    </w:p>
    <w:p w14:paraId="3EF91C00" w14:textId="77777777" w:rsidR="00A07BE6" w:rsidRDefault="00000000" w:rsidP="00184CE7">
      <w:pPr>
        <w:spacing w:after="140" w:line="360" w:lineRule="auto"/>
      </w:pPr>
      <w:r>
        <w:rPr>
          <w:rtl/>
        </w:rPr>
        <w:t>وعلى الرغم من هذا الزخم الداعم، تشير تقارير المرصد العالمي لريادة الأعمال (GEM, 2023) إلى أن نسبة معتبرة من المشاريع الريادية تواجه تحديات في الاستمرارية وتتوقف خلال سنواتها الأولى، ما يجعل فهم العوامل المؤثرة في نجاحها ضرورةً بحثية وعملية. وتمتد الجذور النظرية لدراسة ريادة الأعمال إلى أعمال مؤسِّسة للحقل، أبرزها إطار «نظرية الموارد» (</w:t>
      </w:r>
      <w:proofErr w:type="spellStart"/>
      <w:r>
        <w:rPr>
          <w:rtl/>
        </w:rPr>
        <w:t>Resource-Based</w:t>
      </w:r>
      <w:proofErr w:type="spellEnd"/>
      <w:r>
        <w:rPr>
          <w:rtl/>
        </w:rPr>
        <w:t xml:space="preserve"> </w:t>
      </w:r>
      <w:proofErr w:type="spellStart"/>
      <w:r>
        <w:rPr>
          <w:rtl/>
        </w:rPr>
        <w:t>View</w:t>
      </w:r>
      <w:proofErr w:type="spellEnd"/>
      <w:r>
        <w:rPr>
          <w:rtl/>
        </w:rPr>
        <w:t>) لدى بارني (</w:t>
      </w:r>
      <w:proofErr w:type="spellStart"/>
      <w:r>
        <w:rPr>
          <w:rtl/>
        </w:rPr>
        <w:t>Barney</w:t>
      </w:r>
      <w:proofErr w:type="spellEnd"/>
      <w:r>
        <w:rPr>
          <w:rtl/>
        </w:rPr>
        <w:t xml:space="preserve">, 1991)، وتأصيل ريادة الأعمال حقلًا علميًا مستقلًا لدى شين </w:t>
      </w:r>
      <w:proofErr w:type="spellStart"/>
      <w:r>
        <w:rPr>
          <w:rtl/>
        </w:rPr>
        <w:t>وفينكاتارامان</w:t>
      </w:r>
      <w:proofErr w:type="spellEnd"/>
      <w:r>
        <w:rPr>
          <w:rtl/>
        </w:rPr>
        <w:t xml:space="preserve"> (</w:t>
      </w:r>
      <w:proofErr w:type="spellStart"/>
      <w:r>
        <w:rPr>
          <w:rtl/>
        </w:rPr>
        <w:t>Shane</w:t>
      </w:r>
      <w:proofErr w:type="spellEnd"/>
      <w:r>
        <w:rPr>
          <w:rtl/>
        </w:rPr>
        <w:t xml:space="preserve"> &amp; </w:t>
      </w:r>
      <w:proofErr w:type="spellStart"/>
      <w:r>
        <w:rPr>
          <w:rtl/>
        </w:rPr>
        <w:t>Venkataraman</w:t>
      </w:r>
      <w:proofErr w:type="spellEnd"/>
      <w:r>
        <w:rPr>
          <w:rtl/>
        </w:rPr>
        <w:t>, 2000). أما محليًا فقد شكّل إطلاق رؤية المملكة 2030 عام 2016 نقطة تحوّل في بيئة الأعمال السعودية وتحفيز المشاريع الريادية.</w:t>
      </w:r>
    </w:p>
    <w:p w14:paraId="75B409CF" w14:textId="77777777" w:rsidR="00A07BE6" w:rsidRDefault="00000000" w:rsidP="00184CE7">
      <w:pPr>
        <w:spacing w:after="140" w:line="360" w:lineRule="auto"/>
      </w:pPr>
      <w:r>
        <w:rPr>
          <w:rtl/>
        </w:rPr>
        <w:t>تنطلق هذه الدراسة من ملاحظة أن معظم النماذج العالمية لتفسير نجاح الشركات الناشئة طُوِّرت في سياقات غربية، في حين تظل الأدلة التطبيقية حول المحدِّدات الخاصة بالبيئة السعودية محدودة. ومن هنا تسعى الدراسة إلى فحص أثر مجموعة من العوامل المؤثرة — التمويل، والكفاءات الريادية والقيادية، والدعم الحكومي والبيئة التنظيمية، والابتكار والتبنّي التقني، والتوجّه السوقي والشبكات — على نجاح الشركات الناشئة في المملكة، بما يسهم في سدّ هذه الفجوة المعرفية ويقدّم رؤى قابلة للتطبيق لصنّاع القرار ورواد الأعمال.</w:t>
      </w:r>
    </w:p>
    <w:p w14:paraId="16E933ED" w14:textId="77777777" w:rsidR="00A07BE6" w:rsidRDefault="00000000" w:rsidP="00184CE7">
      <w:pPr>
        <w:pStyle w:val="1"/>
        <w:bidi/>
        <w:spacing w:before="240" w:after="160" w:line="360" w:lineRule="auto"/>
      </w:pPr>
      <w:r>
        <w:rPr>
          <w:rtl/>
        </w:rPr>
        <w:t>مشكلة الدراسة</w:t>
      </w:r>
    </w:p>
    <w:p w14:paraId="0B79C9F7" w14:textId="77777777" w:rsidR="00A07BE6" w:rsidRDefault="00000000" w:rsidP="00184CE7">
      <w:pPr>
        <w:spacing w:after="140" w:line="360" w:lineRule="auto"/>
      </w:pPr>
      <w:r>
        <w:rPr>
          <w:rtl/>
        </w:rPr>
        <w:t>تكمن مشكلة الدراسة في وجود فجوة بين حجم الدعم المؤسسي المتنامي للشركات الناشئة في المملكة من جهة، واستمرار ارتفاع معدلات التعثر والفشل في مراحلها المبكرة من جهة أخرى. فبينما توفّر المنظومة السعودية تمويلًا وتشريعات وبرامج احتضان، تبقى الدرجة النسبية لتأثير كل عامل من عوامل النجاح في السياق المحلي غير محدَّدة بدقة، وتفتقر إلى أدلة تطبيقية مبنية على بيانات ميدانية.</w:t>
      </w:r>
    </w:p>
    <w:p w14:paraId="5A45CB6A" w14:textId="77777777" w:rsidR="00A07BE6" w:rsidRDefault="00000000" w:rsidP="00184CE7">
      <w:pPr>
        <w:spacing w:after="140" w:line="360" w:lineRule="auto"/>
      </w:pPr>
      <w:r>
        <w:rPr>
          <w:rtl/>
        </w:rPr>
        <w:lastRenderedPageBreak/>
        <w:t>وبناءً على ما سبق، يمكن صياغة مشكلة الدراسة في التساؤل الرئيس الآتي:</w:t>
      </w:r>
    </w:p>
    <w:p w14:paraId="429994AC" w14:textId="77777777" w:rsidR="00A07BE6" w:rsidRDefault="00000000" w:rsidP="00184CE7">
      <w:pPr>
        <w:spacing w:after="160" w:line="360" w:lineRule="auto"/>
      </w:pPr>
      <w:r>
        <w:rPr>
          <w:b/>
          <w:bCs/>
          <w:sz w:val="30"/>
          <w:szCs w:val="30"/>
          <w:rtl/>
        </w:rPr>
        <w:t>«ما العوامل المؤثرة في نجاح الشركات الناشئة في بيئة الأعمال السعودية، وما درجة تأثير كلٍّ منها؟»</w:t>
      </w:r>
    </w:p>
    <w:p w14:paraId="18E96B4B" w14:textId="77777777" w:rsidR="00A07BE6" w:rsidRDefault="00000000" w:rsidP="00184CE7">
      <w:pPr>
        <w:pStyle w:val="1"/>
        <w:bidi/>
        <w:spacing w:before="240" w:after="160" w:line="360" w:lineRule="auto"/>
      </w:pPr>
      <w:r>
        <w:rPr>
          <w:rtl/>
        </w:rPr>
        <w:t>أهمية الدراسة</w:t>
      </w:r>
    </w:p>
    <w:p w14:paraId="4DC5E9CC" w14:textId="77777777" w:rsidR="00A07BE6" w:rsidRDefault="00000000" w:rsidP="00184CE7">
      <w:pPr>
        <w:pStyle w:val="2"/>
        <w:bidi/>
        <w:spacing w:before="180" w:after="100" w:line="360" w:lineRule="auto"/>
      </w:pPr>
      <w:r>
        <w:rPr>
          <w:rtl/>
        </w:rPr>
        <w:t>الأهمية النظرية (العلمية)</w:t>
      </w:r>
    </w:p>
    <w:p w14:paraId="3CA710E0" w14:textId="77777777" w:rsidR="00A07BE6" w:rsidRDefault="00000000" w:rsidP="00184CE7">
      <w:pPr>
        <w:pStyle w:val="a4"/>
        <w:numPr>
          <w:ilvl w:val="0"/>
          <w:numId w:val="2"/>
        </w:numPr>
        <w:bidi/>
        <w:spacing w:after="90" w:line="360" w:lineRule="auto"/>
      </w:pPr>
      <w:r>
        <w:rPr>
          <w:rtl/>
        </w:rPr>
        <w:t>إثراء المعرفة في مجال ريادة الأعمال ضمن السياق الخليجي والسعودي، الذي ما زال يفتقر إلى دراسات تطبيقية كافية.</w:t>
      </w:r>
    </w:p>
    <w:p w14:paraId="703F2C13" w14:textId="77777777" w:rsidR="00A07BE6" w:rsidRDefault="00000000" w:rsidP="00184CE7">
      <w:pPr>
        <w:pStyle w:val="a4"/>
        <w:numPr>
          <w:ilvl w:val="0"/>
          <w:numId w:val="2"/>
        </w:numPr>
        <w:bidi/>
        <w:spacing w:after="90" w:line="360" w:lineRule="auto"/>
      </w:pPr>
      <w:r>
        <w:rPr>
          <w:rtl/>
        </w:rPr>
        <w:t>اختبار مدى انطباق النماذج والنظريات العالمية لتفسير نجاح الشركات الناشئة — مثل نظرية الموارد — في البيئة السعودية.</w:t>
      </w:r>
    </w:p>
    <w:p w14:paraId="428AD8C7" w14:textId="77777777" w:rsidR="00A07BE6" w:rsidRDefault="00000000" w:rsidP="00184CE7">
      <w:pPr>
        <w:pStyle w:val="a4"/>
        <w:numPr>
          <w:ilvl w:val="0"/>
          <w:numId w:val="2"/>
        </w:numPr>
        <w:bidi/>
        <w:spacing w:after="90" w:line="360" w:lineRule="auto"/>
      </w:pPr>
      <w:r>
        <w:rPr>
          <w:rtl/>
        </w:rPr>
        <w:t>تقديم إطار مفاهيمي يربط بين مجموعة العوامل المؤثرة ومتغير نجاح الشركات الناشئة، قابل للبناء عليه في أبحاث لاحقة.</w:t>
      </w:r>
    </w:p>
    <w:p w14:paraId="63AB1824" w14:textId="77777777" w:rsidR="00A07BE6" w:rsidRDefault="00000000" w:rsidP="00184CE7">
      <w:pPr>
        <w:pStyle w:val="2"/>
        <w:bidi/>
        <w:spacing w:before="180" w:after="100" w:line="360" w:lineRule="auto"/>
      </w:pPr>
      <w:r>
        <w:rPr>
          <w:rtl/>
        </w:rPr>
        <w:t>الأهمية التطبيقية (العملية)</w:t>
      </w:r>
    </w:p>
    <w:p w14:paraId="35CA12B7" w14:textId="77777777" w:rsidR="00A07BE6" w:rsidRDefault="00000000" w:rsidP="00184CE7">
      <w:pPr>
        <w:pStyle w:val="a4"/>
        <w:numPr>
          <w:ilvl w:val="0"/>
          <w:numId w:val="2"/>
        </w:numPr>
        <w:bidi/>
        <w:spacing w:after="90" w:line="360" w:lineRule="auto"/>
      </w:pPr>
      <w:r>
        <w:rPr>
          <w:rtl/>
        </w:rPr>
        <w:t>مساعدة رواد الأعمال على ترتيب أولوياتهم عبر التركيز على العوامل الأكثر تأثيرًا في النجاح.</w:t>
      </w:r>
    </w:p>
    <w:p w14:paraId="243CD711" w14:textId="77777777" w:rsidR="00A07BE6" w:rsidRDefault="00000000" w:rsidP="00184CE7">
      <w:pPr>
        <w:pStyle w:val="a4"/>
        <w:numPr>
          <w:ilvl w:val="0"/>
          <w:numId w:val="2"/>
        </w:numPr>
        <w:bidi/>
        <w:spacing w:after="90" w:line="360" w:lineRule="auto"/>
      </w:pPr>
      <w:r>
        <w:rPr>
          <w:rtl/>
        </w:rPr>
        <w:t>تزويد الجهات الداعمة وصنّاع السياسات (مثل هيئة منشآت) بمؤشرات لتوجيه برامج الدعم والتمويل بفاعلية أكبر.</w:t>
      </w:r>
    </w:p>
    <w:p w14:paraId="4D135FD2" w14:textId="77777777" w:rsidR="00A07BE6" w:rsidRDefault="00000000" w:rsidP="00184CE7">
      <w:pPr>
        <w:pStyle w:val="a4"/>
        <w:numPr>
          <w:ilvl w:val="0"/>
          <w:numId w:val="2"/>
        </w:numPr>
        <w:bidi/>
        <w:spacing w:after="90" w:line="360" w:lineRule="auto"/>
      </w:pPr>
      <w:r>
        <w:rPr>
          <w:rtl/>
        </w:rPr>
        <w:t>إفادة المستثمرين وحاضنات الأعمال في تقييم فرص الشركات الناشئة وترشيد قرارات الاستثمار.</w:t>
      </w:r>
    </w:p>
    <w:p w14:paraId="7B4FE16A" w14:textId="77777777" w:rsidR="00A07BE6" w:rsidRDefault="00000000" w:rsidP="00184CE7">
      <w:pPr>
        <w:pStyle w:val="1"/>
        <w:bidi/>
        <w:spacing w:before="240" w:after="160" w:line="360" w:lineRule="auto"/>
      </w:pPr>
      <w:r>
        <w:rPr>
          <w:rtl/>
        </w:rPr>
        <w:t>أهداف الدراسة</w:t>
      </w:r>
    </w:p>
    <w:p w14:paraId="42878F73" w14:textId="77777777" w:rsidR="00A07BE6" w:rsidRDefault="00000000" w:rsidP="00184CE7">
      <w:pPr>
        <w:spacing w:after="140" w:line="360" w:lineRule="auto"/>
      </w:pPr>
      <w:r>
        <w:rPr>
          <w:rtl/>
        </w:rPr>
        <w:t>تهدف الدراسة إلى تحقيق الأهداف الآتية:</w:t>
      </w:r>
    </w:p>
    <w:p w14:paraId="65971700" w14:textId="77777777" w:rsidR="00A07BE6" w:rsidRDefault="00000000" w:rsidP="00184CE7">
      <w:pPr>
        <w:pStyle w:val="a4"/>
        <w:numPr>
          <w:ilvl w:val="0"/>
          <w:numId w:val="3"/>
        </w:numPr>
        <w:bidi/>
        <w:spacing w:after="90" w:line="360" w:lineRule="auto"/>
      </w:pPr>
      <w:r>
        <w:rPr>
          <w:rtl/>
        </w:rPr>
        <w:t>التعرف على مستوى نجاح الشركات الناشئة في بيئة الأعمال السعودية.</w:t>
      </w:r>
    </w:p>
    <w:p w14:paraId="705A4E3D" w14:textId="77777777" w:rsidR="00A07BE6" w:rsidRDefault="00000000" w:rsidP="00184CE7">
      <w:pPr>
        <w:pStyle w:val="a4"/>
        <w:numPr>
          <w:ilvl w:val="0"/>
          <w:numId w:val="3"/>
        </w:numPr>
        <w:bidi/>
        <w:spacing w:after="90" w:line="360" w:lineRule="auto"/>
      </w:pPr>
      <w:r>
        <w:rPr>
          <w:rtl/>
        </w:rPr>
        <w:t>قياس أثر إتاحة التمويل ومصادره في نجاح الشركات الناشئة.</w:t>
      </w:r>
    </w:p>
    <w:p w14:paraId="537861EF" w14:textId="77777777" w:rsidR="00A07BE6" w:rsidRDefault="00000000" w:rsidP="00184CE7">
      <w:pPr>
        <w:pStyle w:val="a4"/>
        <w:numPr>
          <w:ilvl w:val="0"/>
          <w:numId w:val="3"/>
        </w:numPr>
        <w:bidi/>
        <w:spacing w:after="90" w:line="360" w:lineRule="auto"/>
      </w:pPr>
      <w:r>
        <w:rPr>
          <w:rtl/>
        </w:rPr>
        <w:t>قياس أثر الكفاءات الريادية والقيادية لدى المؤسِّسين في نجاح الشركات الناشئة.</w:t>
      </w:r>
    </w:p>
    <w:p w14:paraId="4C51FDB1" w14:textId="77777777" w:rsidR="00A07BE6" w:rsidRDefault="00000000" w:rsidP="00184CE7">
      <w:pPr>
        <w:pStyle w:val="a4"/>
        <w:numPr>
          <w:ilvl w:val="0"/>
          <w:numId w:val="3"/>
        </w:numPr>
        <w:bidi/>
        <w:spacing w:after="90" w:line="360" w:lineRule="auto"/>
      </w:pPr>
      <w:r>
        <w:rPr>
          <w:rtl/>
        </w:rPr>
        <w:t>قياس أثر الدعم الحكومي والبيئة التنظيمية والتشريعية في نجاح الشركات الناشئة.</w:t>
      </w:r>
    </w:p>
    <w:p w14:paraId="007E5069" w14:textId="77777777" w:rsidR="00A07BE6" w:rsidRDefault="00000000" w:rsidP="00184CE7">
      <w:pPr>
        <w:pStyle w:val="a4"/>
        <w:numPr>
          <w:ilvl w:val="0"/>
          <w:numId w:val="3"/>
        </w:numPr>
        <w:bidi/>
        <w:spacing w:after="90" w:line="360" w:lineRule="auto"/>
      </w:pPr>
      <w:r>
        <w:rPr>
          <w:rtl/>
        </w:rPr>
        <w:lastRenderedPageBreak/>
        <w:t>قياس أثر الابتكار والتبنّي التقني في نجاح الشركات الناشئة.</w:t>
      </w:r>
    </w:p>
    <w:p w14:paraId="08DF8F36" w14:textId="77777777" w:rsidR="00A07BE6" w:rsidRDefault="00000000" w:rsidP="00184CE7">
      <w:pPr>
        <w:pStyle w:val="a4"/>
        <w:numPr>
          <w:ilvl w:val="0"/>
          <w:numId w:val="3"/>
        </w:numPr>
        <w:bidi/>
        <w:spacing w:after="90" w:line="360" w:lineRule="auto"/>
      </w:pPr>
      <w:r>
        <w:rPr>
          <w:rtl/>
        </w:rPr>
        <w:t>قياس أثر التوجّه السوقي والشبكات العلائقية في نجاح الشركات الناشئة.</w:t>
      </w:r>
    </w:p>
    <w:p w14:paraId="0385AD8A" w14:textId="77777777" w:rsidR="00A07BE6" w:rsidRDefault="00000000" w:rsidP="00184CE7">
      <w:pPr>
        <w:pStyle w:val="a4"/>
        <w:numPr>
          <w:ilvl w:val="0"/>
          <w:numId w:val="3"/>
        </w:numPr>
        <w:bidi/>
        <w:spacing w:after="90" w:line="360" w:lineRule="auto"/>
      </w:pPr>
      <w:r>
        <w:rPr>
          <w:rtl/>
        </w:rPr>
        <w:t>الخروج بتوصيات عملية تُسهم في رفع معدلات نجاح الشركات الناشئة في المملكة.</w:t>
      </w:r>
    </w:p>
    <w:p w14:paraId="3A5F3879" w14:textId="77777777" w:rsidR="00A07BE6" w:rsidRDefault="00000000" w:rsidP="00184CE7">
      <w:pPr>
        <w:pStyle w:val="1"/>
        <w:bidi/>
        <w:spacing w:before="240" w:after="160" w:line="360" w:lineRule="auto"/>
      </w:pPr>
      <w:r>
        <w:rPr>
          <w:rtl/>
        </w:rPr>
        <w:t>أسئلة الدراسة</w:t>
      </w:r>
    </w:p>
    <w:p w14:paraId="72065807" w14:textId="77777777" w:rsidR="00A07BE6" w:rsidRDefault="00000000" w:rsidP="00184CE7">
      <w:pPr>
        <w:spacing w:after="140" w:line="360" w:lineRule="auto"/>
      </w:pPr>
      <w:r>
        <w:rPr>
          <w:rtl/>
        </w:rPr>
        <w:t>انبثق عن التساؤل الرئيس للدراسة الأسئلة الفرعية الآتية:</w:t>
      </w:r>
    </w:p>
    <w:p w14:paraId="786BF36F" w14:textId="77777777" w:rsidR="00A07BE6" w:rsidRDefault="00000000" w:rsidP="00184CE7">
      <w:pPr>
        <w:pStyle w:val="a4"/>
        <w:numPr>
          <w:ilvl w:val="0"/>
          <w:numId w:val="4"/>
        </w:numPr>
        <w:bidi/>
        <w:spacing w:after="90" w:line="360" w:lineRule="auto"/>
      </w:pPr>
      <w:r>
        <w:rPr>
          <w:rtl/>
        </w:rPr>
        <w:t>ما مستوى نجاح الشركات الناشئة في بيئة الأعمال السعودية؟</w:t>
      </w:r>
    </w:p>
    <w:p w14:paraId="6066E2EE" w14:textId="77777777" w:rsidR="00A07BE6" w:rsidRDefault="00000000" w:rsidP="00184CE7">
      <w:pPr>
        <w:pStyle w:val="a4"/>
        <w:numPr>
          <w:ilvl w:val="0"/>
          <w:numId w:val="4"/>
        </w:numPr>
        <w:bidi/>
        <w:spacing w:after="90" w:line="360" w:lineRule="auto"/>
      </w:pPr>
      <w:r>
        <w:rPr>
          <w:rtl/>
        </w:rPr>
        <w:t>ما أثر إتاحة التمويل في نجاح الشركات الناشئة؟</w:t>
      </w:r>
    </w:p>
    <w:p w14:paraId="661CBD2B" w14:textId="77777777" w:rsidR="00A07BE6" w:rsidRDefault="00000000" w:rsidP="00184CE7">
      <w:pPr>
        <w:pStyle w:val="a4"/>
        <w:numPr>
          <w:ilvl w:val="0"/>
          <w:numId w:val="4"/>
        </w:numPr>
        <w:bidi/>
        <w:spacing w:after="90" w:line="360" w:lineRule="auto"/>
      </w:pPr>
      <w:r>
        <w:rPr>
          <w:rtl/>
        </w:rPr>
        <w:t>ما أثر الكفاءات الريادية والقيادية في نجاح الشركات الناشئة؟</w:t>
      </w:r>
    </w:p>
    <w:p w14:paraId="77920C5C" w14:textId="77777777" w:rsidR="00A07BE6" w:rsidRDefault="00000000" w:rsidP="00184CE7">
      <w:pPr>
        <w:pStyle w:val="a4"/>
        <w:numPr>
          <w:ilvl w:val="0"/>
          <w:numId w:val="4"/>
        </w:numPr>
        <w:bidi/>
        <w:spacing w:after="90" w:line="360" w:lineRule="auto"/>
      </w:pPr>
      <w:r>
        <w:rPr>
          <w:rtl/>
        </w:rPr>
        <w:t>ما أثر الدعم الحكومي والبيئة التنظيمية في نجاح الشركات الناشئة؟</w:t>
      </w:r>
    </w:p>
    <w:p w14:paraId="38F11B49" w14:textId="77777777" w:rsidR="00A07BE6" w:rsidRDefault="00000000" w:rsidP="00184CE7">
      <w:pPr>
        <w:pStyle w:val="a4"/>
        <w:numPr>
          <w:ilvl w:val="0"/>
          <w:numId w:val="4"/>
        </w:numPr>
        <w:bidi/>
        <w:spacing w:after="90" w:line="360" w:lineRule="auto"/>
      </w:pPr>
      <w:r>
        <w:rPr>
          <w:rtl/>
        </w:rPr>
        <w:t>ما أثر الابتكار والتبنّي التقني في نجاح الشركات الناشئة؟</w:t>
      </w:r>
    </w:p>
    <w:p w14:paraId="14B08EB9" w14:textId="77777777" w:rsidR="00A07BE6" w:rsidRDefault="00000000" w:rsidP="00184CE7">
      <w:pPr>
        <w:pStyle w:val="a4"/>
        <w:numPr>
          <w:ilvl w:val="0"/>
          <w:numId w:val="4"/>
        </w:numPr>
        <w:bidi/>
        <w:spacing w:after="90" w:line="360" w:lineRule="auto"/>
      </w:pPr>
      <w:r>
        <w:rPr>
          <w:rtl/>
        </w:rPr>
        <w:t>ما أثر التوجّه السوقي والشبكات في نجاح الشركات الناشئة؟</w:t>
      </w:r>
    </w:p>
    <w:p w14:paraId="54600275" w14:textId="77777777" w:rsidR="00A07BE6" w:rsidRDefault="00000000" w:rsidP="00184CE7">
      <w:pPr>
        <w:pStyle w:val="1"/>
        <w:bidi/>
        <w:spacing w:before="240" w:after="160" w:line="360" w:lineRule="auto"/>
      </w:pPr>
      <w:r>
        <w:rPr>
          <w:rtl/>
        </w:rPr>
        <w:t>الدراسات السابقة والإطار النظري</w:t>
      </w:r>
    </w:p>
    <w:p w14:paraId="024B25A3" w14:textId="77777777" w:rsidR="00A07BE6" w:rsidRDefault="00000000" w:rsidP="00184CE7">
      <w:pPr>
        <w:pStyle w:val="2"/>
        <w:bidi/>
        <w:spacing w:before="180" w:after="100" w:line="360" w:lineRule="auto"/>
      </w:pPr>
      <w:r>
        <w:rPr>
          <w:rtl/>
        </w:rPr>
        <w:t>الدراسات السابقة</w:t>
      </w:r>
    </w:p>
    <w:p w14:paraId="17EF9D9B" w14:textId="77777777" w:rsidR="00A07BE6" w:rsidRDefault="00000000" w:rsidP="00184CE7">
      <w:pPr>
        <w:spacing w:after="140" w:line="360" w:lineRule="auto"/>
      </w:pPr>
      <w:r>
        <w:rPr>
          <w:rtl/>
        </w:rPr>
        <w:t>يستعرض هذا القسم أبرز الدراسات ذات الصلة بموضوع البحث، مع بيان هدف كل دراسة ومنهجها وعينتها وأبرز نتائجها، وأوجه اختلاف الدراسة الحالية عنها، تمهيدًا لبناء الإطار النظري وفرضيات الدراسة:</w:t>
      </w:r>
    </w:p>
    <w:p w14:paraId="5E7E1069" w14:textId="77777777" w:rsidR="00A07BE6" w:rsidRDefault="00000000" w:rsidP="00184CE7">
      <w:pPr>
        <w:spacing w:after="160" w:line="360" w:lineRule="auto"/>
      </w:pPr>
      <w:r>
        <w:rPr>
          <w:b/>
          <w:bCs/>
          <w:rtl/>
        </w:rPr>
        <w:t xml:space="preserve">1. دراسة </w:t>
      </w:r>
      <w:proofErr w:type="spellStart"/>
      <w:r>
        <w:rPr>
          <w:b/>
          <w:bCs/>
          <w:rtl/>
        </w:rPr>
        <w:t>باراس</w:t>
      </w:r>
      <w:proofErr w:type="spellEnd"/>
      <w:r>
        <w:rPr>
          <w:b/>
          <w:bCs/>
          <w:rtl/>
        </w:rPr>
        <w:t xml:space="preserve"> (2024)</w:t>
      </w:r>
      <w:r>
        <w:rPr>
          <w:rtl/>
        </w:rPr>
        <w:t xml:space="preserve">، بعنوان «أثر توجهات رؤية المملكة 2030 في تعزيز ريادة أعمال المشاريع الصغيرة والمتوسطة». هدفت إلى التعرف على أثر توجهات رؤية 2030 في تعزيز ريادة أعمال المشاريع الصغيرة والمتوسطة، واعتمدت المنهج الوصفي التحليلي مستخدمةً الاستبانة أداةً لجمع البيانات من عينة عشوائية بلغت (150) مفردة من رواد ورائدات الأعمال في المملكة. وتوصلت إلى أن الإجراءات </w:t>
      </w:r>
      <w:r>
        <w:rPr>
          <w:rtl/>
        </w:rPr>
        <w:lastRenderedPageBreak/>
        <w:t>والاستراتيجيات المتخذة لتعزيز ريادة الأعمال في ظل الرؤية جاءت بدرجة مرتفعة. وتختلف الدراسة الحالية عنها في تركيزها على الشركات الناشئة تحديدًا وقياس الأثر النسبي لخمسة عوامل مجتمعة على النجاح.</w:t>
      </w:r>
    </w:p>
    <w:p w14:paraId="25487978" w14:textId="77777777" w:rsidR="00A07BE6" w:rsidRDefault="00000000" w:rsidP="00184CE7">
      <w:pPr>
        <w:spacing w:after="160" w:line="360" w:lineRule="auto"/>
      </w:pPr>
      <w:r>
        <w:rPr>
          <w:b/>
          <w:bCs/>
          <w:rtl/>
        </w:rPr>
        <w:t>2. دراسة الحربي (2024)</w:t>
      </w:r>
      <w:r>
        <w:rPr>
          <w:rtl/>
        </w:rPr>
        <w:t>، بعنوان «أثر ممارسات القيادة التحويلية في تحقيق ريادة الأعمال في جامعات المملكة العربية السعودية». هدفت إلى فهم تأثير ممارسات القيادة التحويلية على ريادة الأعمال في الجامعات السعودية، واعتمدت المنهج الوصفي التحليلي عبر استبانة طُبِّقت على عينة بلغت (107) مفردات من الموظفين والإداريين في الجامعات. وخلصت إلى وجود تأثير إيجابي لممارسات القيادة التحويلية على ريادة الأعمال. وتختلف الدراسة الحالية عنها في مجتمعها (الشركات الناشئة بدلًا من الجامعات) وفي تناول الكفاءات القيادية بوصفها أحد عوامل عدة لا عاملًا وحيدًا.</w:t>
      </w:r>
    </w:p>
    <w:p w14:paraId="6868A498" w14:textId="77777777" w:rsidR="00A07BE6" w:rsidRDefault="00000000" w:rsidP="00184CE7">
      <w:pPr>
        <w:spacing w:after="160" w:line="360" w:lineRule="auto"/>
      </w:pPr>
      <w:r>
        <w:rPr>
          <w:b/>
          <w:bCs/>
          <w:rtl/>
        </w:rPr>
        <w:t xml:space="preserve">3. دراسة </w:t>
      </w:r>
      <w:proofErr w:type="spellStart"/>
      <w:r>
        <w:rPr>
          <w:b/>
          <w:bCs/>
          <w:rtl/>
        </w:rPr>
        <w:t>غيش</w:t>
      </w:r>
      <w:proofErr w:type="spellEnd"/>
      <w:r>
        <w:rPr>
          <w:b/>
          <w:bCs/>
          <w:rtl/>
        </w:rPr>
        <w:t xml:space="preserve"> (2025)</w:t>
      </w:r>
      <w:r>
        <w:rPr>
          <w:rtl/>
        </w:rPr>
        <w:t>، بعنوان «تحليل التحديات والفرص في ريادة الأعمال النسائية بقطاع التجميل في المملكة العربية السعودية: دراسة ميدانية على رائدات الأعمال في مدينة الرياض». هدفت إلى تحليل التحديات والفرص بأبعاد (التمويل، والمهارات الإدارية، والدعم المؤسسي، والبيئة الاجتماعية)، واعتمدت الاستبانة أداةً لجمع البيانات وبلغ عدد الاستبانات الصالحة للتحليل (380) استبانة. وأظهرت النتائج وجود علاقة ارتباط طردية قوية ذات دلالة إحصائية بين التحديات والفرص بأبعادها عند مستوى معنوية (0.05)، وأوصت بتعزيز البرامج التمويلية المخصصة. وتختلف الدراسة الحالية عنها في شمولها قطاعات متعددة وعدم اقتصارها على ريادة الأعمال النسائية.</w:t>
      </w:r>
    </w:p>
    <w:p w14:paraId="117F374F" w14:textId="77777777" w:rsidR="00A07BE6" w:rsidRDefault="00000000" w:rsidP="00184CE7">
      <w:pPr>
        <w:spacing w:after="160" w:line="360" w:lineRule="auto"/>
      </w:pPr>
      <w:r>
        <w:rPr>
          <w:b/>
          <w:bCs/>
          <w:rtl/>
        </w:rPr>
        <w:t xml:space="preserve">4. الدراسات العالمية المؤسِّسة: </w:t>
      </w:r>
      <w:r>
        <w:rPr>
          <w:rtl/>
        </w:rPr>
        <w:t xml:space="preserve">أرست دراسة شين </w:t>
      </w:r>
      <w:proofErr w:type="spellStart"/>
      <w:r>
        <w:rPr>
          <w:rtl/>
        </w:rPr>
        <w:t>وفينكاتارامان</w:t>
      </w:r>
      <w:proofErr w:type="spellEnd"/>
      <w:r>
        <w:rPr>
          <w:rtl/>
        </w:rPr>
        <w:t xml:space="preserve"> (</w:t>
      </w:r>
      <w:proofErr w:type="spellStart"/>
      <w:r>
        <w:rPr>
          <w:rtl/>
        </w:rPr>
        <w:t>Shane</w:t>
      </w:r>
      <w:proofErr w:type="spellEnd"/>
      <w:r>
        <w:rPr>
          <w:rtl/>
        </w:rPr>
        <w:t xml:space="preserve"> &amp; </w:t>
      </w:r>
      <w:proofErr w:type="spellStart"/>
      <w:r>
        <w:rPr>
          <w:rtl/>
        </w:rPr>
        <w:t>Venkataraman</w:t>
      </w:r>
      <w:proofErr w:type="spellEnd"/>
      <w:r>
        <w:rPr>
          <w:rtl/>
        </w:rPr>
        <w:t>, 2000) الأساس المفاهيمي لدراسة الفرص الريادية بوصفها جوهر حقل ريادة الأعمال، بينما قدّم بارني (</w:t>
      </w:r>
      <w:proofErr w:type="spellStart"/>
      <w:r>
        <w:rPr>
          <w:rtl/>
        </w:rPr>
        <w:t>Barney</w:t>
      </w:r>
      <w:proofErr w:type="spellEnd"/>
      <w:r>
        <w:rPr>
          <w:rtl/>
        </w:rPr>
        <w:t>, 1991) نظرية الموارد تفسيرًا لتفاوت أداء المنشآت استنادًا إلى مواردها وقدراتها الداخلية.</w:t>
      </w:r>
    </w:p>
    <w:p w14:paraId="58798E3D" w14:textId="77777777" w:rsidR="00A07BE6" w:rsidRDefault="00000000" w:rsidP="00184CE7">
      <w:pPr>
        <w:spacing w:after="140" w:line="360" w:lineRule="auto"/>
      </w:pPr>
      <w:r>
        <w:rPr>
          <w:rtl/>
        </w:rPr>
        <w:t>ويُلاحَظ من المراجعة أن الدراسات المحلية السابقة تناولت جوانب منفردة (السياسات الحكومية، أو القيادة، أو قطاعًا واحدًا محددًا)، في حين تندر الدراسات التي تختبر الأثر النسبي لعدة عوامل مجتمعة على نجاح الشركات الناشئة في البيئة السعودية، وهي الفجوة التي تسعى هذه الدراسة إلى معالجتها.</w:t>
      </w:r>
    </w:p>
    <w:p w14:paraId="0E693F8E" w14:textId="77777777" w:rsidR="00184CE7" w:rsidRDefault="00184CE7" w:rsidP="00184CE7">
      <w:pPr>
        <w:pStyle w:val="2"/>
        <w:bidi/>
        <w:spacing w:before="180" w:after="100" w:line="360" w:lineRule="auto"/>
        <w:rPr>
          <w:rtl/>
        </w:rPr>
      </w:pPr>
    </w:p>
    <w:p w14:paraId="4A52B15F" w14:textId="5AF5451D" w:rsidR="00A07BE6" w:rsidRDefault="00000000" w:rsidP="00184CE7">
      <w:pPr>
        <w:pStyle w:val="2"/>
        <w:bidi/>
        <w:spacing w:before="180" w:after="100" w:line="360" w:lineRule="auto"/>
      </w:pPr>
      <w:r>
        <w:rPr>
          <w:rtl/>
        </w:rPr>
        <w:lastRenderedPageBreak/>
        <w:t>الإطار النظري</w:t>
      </w:r>
    </w:p>
    <w:p w14:paraId="616B62F9" w14:textId="77777777" w:rsidR="00A07BE6" w:rsidRDefault="00000000" w:rsidP="00184CE7">
      <w:pPr>
        <w:spacing w:after="140" w:line="360" w:lineRule="auto"/>
      </w:pPr>
      <w:r>
        <w:rPr>
          <w:rtl/>
        </w:rPr>
        <w:t>يستند الإطار النظري للدراسة إلى نظرية الموارد (</w:t>
      </w:r>
      <w:proofErr w:type="spellStart"/>
      <w:r>
        <w:rPr>
          <w:rtl/>
        </w:rPr>
        <w:t>Resource-Based</w:t>
      </w:r>
      <w:proofErr w:type="spellEnd"/>
      <w:r>
        <w:rPr>
          <w:rtl/>
        </w:rPr>
        <w:t xml:space="preserve"> </w:t>
      </w:r>
      <w:proofErr w:type="spellStart"/>
      <w:r>
        <w:rPr>
          <w:rtl/>
        </w:rPr>
        <w:t>View</w:t>
      </w:r>
      <w:proofErr w:type="spellEnd"/>
      <w:r>
        <w:rPr>
          <w:rtl/>
        </w:rPr>
        <w:t xml:space="preserve">)، التي تفسّر نجاح المنشأة بامتلاكها موارد وقدرات قيّمة ونادرة يصعب تقليدها (كرأس المال البشري الريادي، والتمويل، والقدرات الابتكارية). كما يستأنس بنموذج </w:t>
      </w:r>
      <w:proofErr w:type="spellStart"/>
      <w:r>
        <w:rPr>
          <w:rtl/>
        </w:rPr>
        <w:t>تيمونز</w:t>
      </w:r>
      <w:proofErr w:type="spellEnd"/>
      <w:r>
        <w:rPr>
          <w:rtl/>
        </w:rPr>
        <w:t xml:space="preserve"> (</w:t>
      </w:r>
      <w:proofErr w:type="spellStart"/>
      <w:r>
        <w:rPr>
          <w:rtl/>
        </w:rPr>
        <w:t>Timmons</w:t>
      </w:r>
      <w:proofErr w:type="spellEnd"/>
      <w:r>
        <w:rPr>
          <w:rtl/>
        </w:rPr>
        <w:t>) الذي يربط نجاح المشروع الريادي بالتفاعل بين الفرصة والموارد والفريق.</w:t>
      </w:r>
    </w:p>
    <w:p w14:paraId="6FC0E603" w14:textId="77777777" w:rsidR="00A07BE6" w:rsidRDefault="00000000" w:rsidP="00184CE7">
      <w:pPr>
        <w:spacing w:after="140" w:line="360" w:lineRule="auto"/>
      </w:pPr>
      <w:r>
        <w:rPr>
          <w:rtl/>
        </w:rPr>
        <w:t>وبناءً على ذلك، يتبنّى البحث نموذجًا مفاهيميًا يتضمن متغيرًا تابعًا واحدًا هو «نجاح الشركات الناشئة»، وخمسة متغيرات مستقلة تمثّل العوامل المؤثرة المفترضة:</w:t>
      </w:r>
    </w:p>
    <w:p w14:paraId="5644EF15" w14:textId="77777777" w:rsidR="00A07BE6" w:rsidRDefault="00000000" w:rsidP="00184CE7">
      <w:pPr>
        <w:pStyle w:val="a4"/>
        <w:numPr>
          <w:ilvl w:val="0"/>
          <w:numId w:val="5"/>
        </w:numPr>
        <w:bidi/>
        <w:spacing w:after="90" w:line="360" w:lineRule="auto"/>
      </w:pPr>
      <w:r>
        <w:rPr>
          <w:b/>
          <w:bCs/>
          <w:rtl/>
        </w:rPr>
        <w:t>التمويل وإتاحته</w:t>
      </w:r>
      <w:r>
        <w:rPr>
          <w:rtl/>
        </w:rPr>
        <w:t xml:space="preserve"> (المتغير المستقل الأول).</w:t>
      </w:r>
    </w:p>
    <w:p w14:paraId="2D94EB58" w14:textId="77777777" w:rsidR="00A07BE6" w:rsidRDefault="00000000" w:rsidP="00184CE7">
      <w:pPr>
        <w:pStyle w:val="a4"/>
        <w:numPr>
          <w:ilvl w:val="0"/>
          <w:numId w:val="5"/>
        </w:numPr>
        <w:bidi/>
        <w:spacing w:after="90" w:line="360" w:lineRule="auto"/>
      </w:pPr>
      <w:r>
        <w:rPr>
          <w:b/>
          <w:bCs/>
          <w:rtl/>
        </w:rPr>
        <w:t>الكفاءات الريادية والقيادية</w:t>
      </w:r>
      <w:r>
        <w:rPr>
          <w:rtl/>
        </w:rPr>
        <w:t xml:space="preserve"> (المتغير المستقل الثاني).</w:t>
      </w:r>
    </w:p>
    <w:p w14:paraId="45156C54" w14:textId="77777777" w:rsidR="00A07BE6" w:rsidRDefault="00000000" w:rsidP="00184CE7">
      <w:pPr>
        <w:pStyle w:val="a4"/>
        <w:numPr>
          <w:ilvl w:val="0"/>
          <w:numId w:val="5"/>
        </w:numPr>
        <w:bidi/>
        <w:spacing w:after="90" w:line="360" w:lineRule="auto"/>
      </w:pPr>
      <w:r>
        <w:rPr>
          <w:b/>
          <w:bCs/>
          <w:rtl/>
        </w:rPr>
        <w:t>الدعم الحكومي والبيئة التنظيمية</w:t>
      </w:r>
      <w:r>
        <w:rPr>
          <w:rtl/>
        </w:rPr>
        <w:t xml:space="preserve"> (المتغير المستقل الثالث).</w:t>
      </w:r>
    </w:p>
    <w:p w14:paraId="61E9B8CA" w14:textId="77777777" w:rsidR="00A07BE6" w:rsidRDefault="00000000" w:rsidP="00184CE7">
      <w:pPr>
        <w:pStyle w:val="a4"/>
        <w:numPr>
          <w:ilvl w:val="0"/>
          <w:numId w:val="5"/>
        </w:numPr>
        <w:bidi/>
        <w:spacing w:after="90" w:line="360" w:lineRule="auto"/>
      </w:pPr>
      <w:r>
        <w:rPr>
          <w:b/>
          <w:bCs/>
          <w:rtl/>
        </w:rPr>
        <w:t>الابتكار والتبنّي التقني</w:t>
      </w:r>
      <w:r>
        <w:rPr>
          <w:rtl/>
        </w:rPr>
        <w:t xml:space="preserve"> (المتغير المستقل الرابع).</w:t>
      </w:r>
    </w:p>
    <w:p w14:paraId="5E631B43" w14:textId="77777777" w:rsidR="00A07BE6" w:rsidRDefault="00000000" w:rsidP="00184CE7">
      <w:pPr>
        <w:pStyle w:val="a4"/>
        <w:numPr>
          <w:ilvl w:val="0"/>
          <w:numId w:val="5"/>
        </w:numPr>
        <w:bidi/>
        <w:spacing w:after="90" w:line="360" w:lineRule="auto"/>
      </w:pPr>
      <w:r>
        <w:rPr>
          <w:b/>
          <w:bCs/>
          <w:rtl/>
        </w:rPr>
        <w:t>التوجّه السوقي والشبكات</w:t>
      </w:r>
      <w:r>
        <w:rPr>
          <w:rtl/>
        </w:rPr>
        <w:t xml:space="preserve"> (المتغير المستقل الخامس).</w:t>
      </w:r>
    </w:p>
    <w:p w14:paraId="1B19B92D" w14:textId="77777777" w:rsidR="00A07BE6" w:rsidRDefault="00000000" w:rsidP="00184CE7">
      <w:pPr>
        <w:spacing w:after="140" w:line="360" w:lineRule="auto"/>
      </w:pPr>
      <w:r>
        <w:rPr>
          <w:rtl/>
        </w:rPr>
        <w:t>ويُفترض وجود علاقة تأثير موجبة بين كل متغير مستقل والمتغير التابع، على النحو الذي تختبره فرضيات الدراسة.</w:t>
      </w:r>
    </w:p>
    <w:p w14:paraId="44E1B309" w14:textId="77777777" w:rsidR="00A07BE6" w:rsidRDefault="00000000" w:rsidP="00184CE7">
      <w:pPr>
        <w:pStyle w:val="2"/>
        <w:bidi/>
        <w:spacing w:before="180" w:after="100" w:line="360" w:lineRule="auto"/>
      </w:pPr>
      <w:r>
        <w:rPr>
          <w:rtl/>
        </w:rPr>
        <w:t>التعريف الإجرائي للمتغير التابع</w:t>
      </w:r>
    </w:p>
    <w:p w14:paraId="219E493F" w14:textId="77777777" w:rsidR="00A07BE6" w:rsidRDefault="00000000" w:rsidP="00184CE7">
      <w:pPr>
        <w:spacing w:after="140" w:line="360" w:lineRule="auto"/>
      </w:pPr>
      <w:r>
        <w:rPr>
          <w:rtl/>
        </w:rPr>
        <w:t xml:space="preserve">يُعرَّف نجاح الشركة الناشئة إجرائيًا في هذه الدراسة بأنه: قدرة الشركة على الاستمرار في السوق، مقيسًا بمجموعة مؤشرات مُدرَكة يُقيّمها المؤسِّس/المالك عبر مقياس </w:t>
      </w:r>
      <w:proofErr w:type="spellStart"/>
      <w:r>
        <w:rPr>
          <w:rtl/>
        </w:rPr>
        <w:t>ليكرت</w:t>
      </w:r>
      <w:proofErr w:type="spellEnd"/>
      <w:r>
        <w:rPr>
          <w:rtl/>
        </w:rPr>
        <w:t>، تشمل: الاستمرارية والبقاء، ونمو الإيرادات، ونمو عدد الموظفين، وتحقيق الأهداف المخطط لها، والقدرة على الحصول على تمويل إضافي.</w:t>
      </w:r>
    </w:p>
    <w:p w14:paraId="506CBBB8" w14:textId="77777777" w:rsidR="00A07BE6" w:rsidRDefault="00000000" w:rsidP="00184CE7">
      <w:pPr>
        <w:pStyle w:val="2"/>
        <w:bidi/>
        <w:spacing w:before="180" w:after="100" w:line="360" w:lineRule="auto"/>
      </w:pPr>
      <w:r>
        <w:rPr>
          <w:rtl/>
        </w:rPr>
        <w:t>النموذج المفاهيمي للدراسة</w:t>
      </w:r>
    </w:p>
    <w:p w14:paraId="766A66C5" w14:textId="77777777" w:rsidR="00A07BE6" w:rsidRDefault="00000000" w:rsidP="00184CE7">
      <w:pPr>
        <w:spacing w:after="140" w:line="360" w:lineRule="auto"/>
      </w:pPr>
      <w:r>
        <w:rPr>
          <w:rtl/>
        </w:rPr>
        <w:t>يوضح الشكل الآتي النموذج المفاهيمي للدراسة، حيث تمثّل الأسهم (ف1–ف5) فرضيات التأثير المباشر للمتغيرات المستقلة الخمسة في المتغير التابع:</w:t>
      </w:r>
    </w:p>
    <w:p w14:paraId="6AF5871B" w14:textId="77777777" w:rsidR="00A07BE6" w:rsidRDefault="00000000" w:rsidP="00184CE7">
      <w:pPr>
        <w:spacing w:before="100" w:after="60"/>
      </w:pPr>
      <w:r>
        <w:rPr>
          <w:noProof/>
        </w:rPr>
        <w:lastRenderedPageBreak/>
        <w:drawing>
          <wp:inline distT="0" distB="0" distL="0" distR="0" wp14:anchorId="3E85EFA7" wp14:editId="3347BE39">
            <wp:extent cx="5334000" cy="3276600"/>
            <wp:effectExtent l="0" t="0" r="0" b="0"/>
            <wp:docPr id="1511105784" name="صورة 1511105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5334000" cy="3276600"/>
                    </a:xfrm>
                    <a:prstGeom prst="rect">
                      <a:avLst/>
                    </a:prstGeom>
                  </pic:spPr>
                </pic:pic>
              </a:graphicData>
            </a:graphic>
          </wp:inline>
        </w:drawing>
      </w:r>
    </w:p>
    <w:p w14:paraId="684CF43E" w14:textId="77777777" w:rsidR="00A07BE6" w:rsidRDefault="00000000" w:rsidP="00184CE7">
      <w:pPr>
        <w:spacing w:after="160" w:line="360" w:lineRule="auto"/>
      </w:pPr>
      <w:r>
        <w:rPr>
          <w:color w:val="555555"/>
          <w:sz w:val="24"/>
          <w:szCs w:val="24"/>
          <w:rtl/>
        </w:rPr>
        <w:t>شكل (1): النموذج المفاهيمي للدراسة (إعداد الباحث)</w:t>
      </w:r>
    </w:p>
    <w:p w14:paraId="6B42DBD7" w14:textId="77777777" w:rsidR="00A07BE6" w:rsidRDefault="00000000" w:rsidP="00184CE7">
      <w:pPr>
        <w:pStyle w:val="1"/>
        <w:bidi/>
        <w:spacing w:before="240" w:after="160" w:line="360" w:lineRule="auto"/>
      </w:pPr>
      <w:r>
        <w:rPr>
          <w:rtl/>
        </w:rPr>
        <w:t>فرضيات الدراسة</w:t>
      </w:r>
    </w:p>
    <w:p w14:paraId="7EF8C7D4" w14:textId="77777777" w:rsidR="00A07BE6" w:rsidRDefault="00000000" w:rsidP="00184CE7">
      <w:pPr>
        <w:spacing w:after="140" w:line="360" w:lineRule="auto"/>
      </w:pPr>
      <w:r>
        <w:rPr>
          <w:rtl/>
        </w:rPr>
        <w:t>في ضوء الإطار النظري والدراسات السابقة، تختبر الدراسة الفرضيات الآتية عند مستوى دلالة إحصائية (α = 0.05):</w:t>
      </w:r>
    </w:p>
    <w:p w14:paraId="2917129E" w14:textId="77777777" w:rsidR="00A07BE6" w:rsidRDefault="00000000" w:rsidP="00184CE7">
      <w:pPr>
        <w:pStyle w:val="a4"/>
        <w:numPr>
          <w:ilvl w:val="0"/>
          <w:numId w:val="6"/>
        </w:numPr>
        <w:bidi/>
        <w:spacing w:after="90" w:line="360" w:lineRule="auto"/>
      </w:pPr>
      <w:r>
        <w:rPr>
          <w:rtl/>
        </w:rPr>
        <w:t>توجد علاقة تأثير ذات دلالة إحصائية للتمويل وإتاحته في نجاح الشركات الناشئة.</w:t>
      </w:r>
    </w:p>
    <w:p w14:paraId="753201F3" w14:textId="77777777" w:rsidR="00A07BE6" w:rsidRDefault="00000000" w:rsidP="00184CE7">
      <w:pPr>
        <w:pStyle w:val="a4"/>
        <w:numPr>
          <w:ilvl w:val="0"/>
          <w:numId w:val="6"/>
        </w:numPr>
        <w:bidi/>
        <w:spacing w:after="90" w:line="360" w:lineRule="auto"/>
      </w:pPr>
      <w:r>
        <w:rPr>
          <w:rtl/>
        </w:rPr>
        <w:t>توجد علاقة تأثير ذات دلالة إحصائية للكفاءات الريادية والقيادية في نجاح الشركات الناشئة.</w:t>
      </w:r>
    </w:p>
    <w:p w14:paraId="1A81BD38" w14:textId="77777777" w:rsidR="00A07BE6" w:rsidRDefault="00000000" w:rsidP="00184CE7">
      <w:pPr>
        <w:pStyle w:val="a4"/>
        <w:numPr>
          <w:ilvl w:val="0"/>
          <w:numId w:val="6"/>
        </w:numPr>
        <w:bidi/>
        <w:spacing w:after="90" w:line="360" w:lineRule="auto"/>
      </w:pPr>
      <w:r>
        <w:rPr>
          <w:rtl/>
        </w:rPr>
        <w:t>توجد علاقة تأثير ذات دلالة إحصائية للدعم الحكومي والبيئة التنظيمية في نجاح الشركات الناشئة.</w:t>
      </w:r>
    </w:p>
    <w:p w14:paraId="7E44BD38" w14:textId="77777777" w:rsidR="00A07BE6" w:rsidRDefault="00000000" w:rsidP="00184CE7">
      <w:pPr>
        <w:pStyle w:val="a4"/>
        <w:numPr>
          <w:ilvl w:val="0"/>
          <w:numId w:val="6"/>
        </w:numPr>
        <w:bidi/>
        <w:spacing w:after="90" w:line="360" w:lineRule="auto"/>
      </w:pPr>
      <w:r>
        <w:rPr>
          <w:rtl/>
        </w:rPr>
        <w:t>توجد علاقة تأثير ذات دلالة إحصائية للابتكار والتبنّي التقني في نجاح الشركات الناشئة.</w:t>
      </w:r>
    </w:p>
    <w:p w14:paraId="2E1C102C" w14:textId="77777777" w:rsidR="00A07BE6" w:rsidRDefault="00000000" w:rsidP="00184CE7">
      <w:pPr>
        <w:pStyle w:val="a4"/>
        <w:numPr>
          <w:ilvl w:val="0"/>
          <w:numId w:val="6"/>
        </w:numPr>
        <w:bidi/>
        <w:spacing w:after="90" w:line="360" w:lineRule="auto"/>
      </w:pPr>
      <w:r>
        <w:rPr>
          <w:rtl/>
        </w:rPr>
        <w:t>توجد علاقة تأثير ذات دلالة إحصائية للتوجّه السوقي والشبكات في نجاح الشركات الناشئة.</w:t>
      </w:r>
    </w:p>
    <w:p w14:paraId="09D13AD4" w14:textId="77777777" w:rsidR="00184CE7" w:rsidRDefault="00184CE7" w:rsidP="00184CE7">
      <w:pPr>
        <w:pStyle w:val="1"/>
        <w:bidi/>
        <w:spacing w:before="240" w:after="160" w:line="360" w:lineRule="auto"/>
        <w:rPr>
          <w:rtl/>
        </w:rPr>
      </w:pPr>
    </w:p>
    <w:p w14:paraId="085AC800" w14:textId="77777777" w:rsidR="00184CE7" w:rsidRDefault="00184CE7" w:rsidP="00184CE7">
      <w:pPr>
        <w:pStyle w:val="1"/>
        <w:bidi/>
        <w:spacing w:before="240" w:after="160" w:line="360" w:lineRule="auto"/>
        <w:rPr>
          <w:rtl/>
        </w:rPr>
      </w:pPr>
    </w:p>
    <w:p w14:paraId="05A52129" w14:textId="3ACA9249" w:rsidR="00A07BE6" w:rsidRDefault="00000000" w:rsidP="00184CE7">
      <w:pPr>
        <w:pStyle w:val="1"/>
        <w:bidi/>
        <w:spacing w:before="240" w:after="160" w:line="360" w:lineRule="auto"/>
      </w:pPr>
      <w:r>
        <w:rPr>
          <w:rtl/>
        </w:rPr>
        <w:lastRenderedPageBreak/>
        <w:t>منهجية وطرق البحث</w:t>
      </w:r>
    </w:p>
    <w:p w14:paraId="2AF5C5B6" w14:textId="77777777" w:rsidR="00A07BE6" w:rsidRDefault="00000000" w:rsidP="00184CE7">
      <w:pPr>
        <w:spacing w:after="140" w:line="360" w:lineRule="auto"/>
      </w:pPr>
      <w:r>
        <w:rPr>
          <w:rtl/>
        </w:rPr>
        <w:t>تتبنّى الدراسة الفلسفة الوضعية (</w:t>
      </w:r>
      <w:proofErr w:type="spellStart"/>
      <w:r>
        <w:rPr>
          <w:rtl/>
        </w:rPr>
        <w:t>Positivism</w:t>
      </w:r>
      <w:proofErr w:type="spellEnd"/>
      <w:r>
        <w:rPr>
          <w:rtl/>
        </w:rPr>
        <w:t>) والمنهج الاستنباطي (</w:t>
      </w:r>
      <w:proofErr w:type="spellStart"/>
      <w:r>
        <w:rPr>
          <w:rtl/>
        </w:rPr>
        <w:t>Deductive</w:t>
      </w:r>
      <w:proofErr w:type="spellEnd"/>
      <w:r>
        <w:rPr>
          <w:rtl/>
        </w:rPr>
        <w:t>) المنسجمَين مع طبيعة الدراسة الكمية. ويُعتمد المنهج الوصفي التحليلي بوصفه الأنسب لوصف الظاهرة وقياس العلاقات بين المتغيرات.</w:t>
      </w:r>
    </w:p>
    <w:p w14:paraId="31AEAA37" w14:textId="77777777" w:rsidR="00A07BE6" w:rsidRDefault="00000000" w:rsidP="00184CE7">
      <w:pPr>
        <w:spacing w:after="140" w:line="360" w:lineRule="auto"/>
      </w:pPr>
      <w:r>
        <w:rPr>
          <w:rtl/>
        </w:rPr>
        <w:t>وتُجمع البيانات وفق تصميم مقطعي (</w:t>
      </w:r>
      <w:proofErr w:type="spellStart"/>
      <w:r>
        <w:rPr>
          <w:rtl/>
        </w:rPr>
        <w:t>Cross-sectional</w:t>
      </w:r>
      <w:proofErr w:type="spellEnd"/>
      <w:r>
        <w:rPr>
          <w:rtl/>
        </w:rPr>
        <w:t>) عبر استبانة إلكترونية موجهة إلى مؤسِّسي وملّاك الشركات الناشئة، ثم تُحلَّل إحصائيًا لاختبار الفرضيات واستخلاص النتائج القابلة للتعميم على مجتمع الدراسة.</w:t>
      </w:r>
    </w:p>
    <w:p w14:paraId="14C4C451" w14:textId="77777777" w:rsidR="00A07BE6" w:rsidRDefault="00000000" w:rsidP="00184CE7">
      <w:pPr>
        <w:spacing w:after="140" w:line="360" w:lineRule="auto"/>
      </w:pPr>
      <w:r>
        <w:rPr>
          <w:rtl/>
        </w:rPr>
        <w:t>وتُتّخذ إجراءات لضمان مصداقية البحث وثبات النتائج، تشمل التحقق من صدق الأداة (صدق المحكمين) واختبار ثباتها، ومقارنة النتائج بالأدبيات السابقة والنظريات القائمة.</w:t>
      </w:r>
    </w:p>
    <w:p w14:paraId="5BAC2413" w14:textId="77777777" w:rsidR="00A07BE6" w:rsidRDefault="00000000" w:rsidP="00184CE7">
      <w:pPr>
        <w:pStyle w:val="2"/>
        <w:bidi/>
        <w:spacing w:before="180" w:after="100" w:line="360" w:lineRule="auto"/>
      </w:pPr>
      <w:r>
        <w:rPr>
          <w:rtl/>
        </w:rPr>
        <w:t>حدود الدراسة</w:t>
      </w:r>
    </w:p>
    <w:p w14:paraId="75F0E622" w14:textId="77777777" w:rsidR="00A07BE6" w:rsidRDefault="00000000" w:rsidP="00184CE7">
      <w:pPr>
        <w:pStyle w:val="a4"/>
        <w:numPr>
          <w:ilvl w:val="0"/>
          <w:numId w:val="2"/>
        </w:numPr>
        <w:bidi/>
        <w:spacing w:after="90" w:line="360" w:lineRule="auto"/>
      </w:pPr>
      <w:r>
        <w:rPr>
          <w:b/>
          <w:bCs/>
          <w:rtl/>
        </w:rPr>
        <w:t xml:space="preserve">الحدود الموضوعية: </w:t>
      </w:r>
      <w:r>
        <w:rPr>
          <w:rtl/>
        </w:rPr>
        <w:t>العوامل الخمسة المحددة في النموذج المفاهيمي وأثرها في نجاح الشركات الناشئة.</w:t>
      </w:r>
    </w:p>
    <w:p w14:paraId="35B9A282" w14:textId="77777777" w:rsidR="00A07BE6" w:rsidRDefault="00000000" w:rsidP="00184CE7">
      <w:pPr>
        <w:pStyle w:val="a4"/>
        <w:numPr>
          <w:ilvl w:val="0"/>
          <w:numId w:val="2"/>
        </w:numPr>
        <w:bidi/>
        <w:spacing w:after="90" w:line="360" w:lineRule="auto"/>
      </w:pPr>
      <w:r>
        <w:rPr>
          <w:b/>
          <w:bCs/>
          <w:rtl/>
        </w:rPr>
        <w:t xml:space="preserve">الحدود المكانية: </w:t>
      </w:r>
      <w:r>
        <w:rPr>
          <w:rtl/>
        </w:rPr>
        <w:t>الشركات الناشئة العاملة في المملكة العربية السعودية.</w:t>
      </w:r>
    </w:p>
    <w:p w14:paraId="2D9C2E51" w14:textId="77777777" w:rsidR="00A07BE6" w:rsidRDefault="00000000" w:rsidP="00184CE7">
      <w:pPr>
        <w:pStyle w:val="a4"/>
        <w:numPr>
          <w:ilvl w:val="0"/>
          <w:numId w:val="2"/>
        </w:numPr>
        <w:bidi/>
        <w:spacing w:after="90" w:line="360" w:lineRule="auto"/>
      </w:pPr>
      <w:r>
        <w:rPr>
          <w:b/>
          <w:bCs/>
          <w:rtl/>
        </w:rPr>
        <w:t xml:space="preserve">الحدود الزمانية: </w:t>
      </w:r>
      <w:r>
        <w:rPr>
          <w:rtl/>
        </w:rPr>
        <w:t>الفصل الدراسي الثاني من العام 2026، وهي فترة جمع البيانات وإعداد الدراسة.</w:t>
      </w:r>
    </w:p>
    <w:p w14:paraId="5BA9B224" w14:textId="77777777" w:rsidR="00A07BE6" w:rsidRDefault="00000000" w:rsidP="00184CE7">
      <w:pPr>
        <w:pStyle w:val="2"/>
        <w:bidi/>
        <w:spacing w:before="180" w:after="100" w:line="360" w:lineRule="auto"/>
      </w:pPr>
      <w:r>
        <w:rPr>
          <w:rtl/>
        </w:rPr>
        <w:t>الاعتبارات الأخلاقية</w:t>
      </w:r>
    </w:p>
    <w:p w14:paraId="1823EB51" w14:textId="77777777" w:rsidR="00A07BE6" w:rsidRDefault="00000000" w:rsidP="00184CE7">
      <w:pPr>
        <w:spacing w:after="140" w:line="360" w:lineRule="auto"/>
      </w:pPr>
      <w:r>
        <w:rPr>
          <w:rtl/>
        </w:rPr>
        <w:t>تلتزم الدراسة بالحصول على الموافقة المستنيرة من المشاركين قبل تعبئة الاستبانة، مع توضيح هدف الدراسة وطبيعتها الأكاديمية، وضمان سرية البيانات واستخدامها لأغراض البحث العلمي حصرًا، وعدم جمع أي بيانات تعريفية غير لازمة (كالأسماء أو بيانات التواصل)، مع كفالة حق المشارك في الانسحاب في أي وقت.</w:t>
      </w:r>
    </w:p>
    <w:p w14:paraId="35074CE8" w14:textId="77777777" w:rsidR="00A07BE6" w:rsidRDefault="00000000" w:rsidP="00184CE7">
      <w:pPr>
        <w:pStyle w:val="1"/>
        <w:bidi/>
        <w:spacing w:before="240" w:after="160" w:line="360" w:lineRule="auto"/>
      </w:pPr>
      <w:r>
        <w:rPr>
          <w:rtl/>
        </w:rPr>
        <w:t>أدوات جمع البيانات</w:t>
      </w:r>
    </w:p>
    <w:p w14:paraId="741E28E2" w14:textId="77777777" w:rsidR="00A07BE6" w:rsidRDefault="00000000" w:rsidP="00184CE7">
      <w:pPr>
        <w:spacing w:after="140" w:line="360" w:lineRule="auto"/>
      </w:pPr>
      <w:r>
        <w:rPr>
          <w:rtl/>
        </w:rPr>
        <w:t>تعتمد الدراسة على الاستبانة أداةً رئيسة لجمع البيانات الأولية، وتُصمَّم على النحو الآتي:</w:t>
      </w:r>
    </w:p>
    <w:p w14:paraId="441366AE" w14:textId="77777777" w:rsidR="00A07BE6" w:rsidRDefault="00000000" w:rsidP="00184CE7">
      <w:pPr>
        <w:pStyle w:val="a4"/>
        <w:numPr>
          <w:ilvl w:val="0"/>
          <w:numId w:val="2"/>
        </w:numPr>
        <w:bidi/>
        <w:spacing w:after="90" w:line="360" w:lineRule="auto"/>
      </w:pPr>
      <w:r>
        <w:rPr>
          <w:rtl/>
        </w:rPr>
        <w:t>قسم أول للبيانات الديموغرافية والتعريفية بالشركة (القطاع، عمر الشركة، عدد الموظفين، مرحلة النمو).</w:t>
      </w:r>
    </w:p>
    <w:p w14:paraId="3756EF5D" w14:textId="77777777" w:rsidR="00A07BE6" w:rsidRDefault="00000000" w:rsidP="00184CE7">
      <w:pPr>
        <w:pStyle w:val="a4"/>
        <w:numPr>
          <w:ilvl w:val="0"/>
          <w:numId w:val="2"/>
        </w:numPr>
        <w:bidi/>
        <w:spacing w:after="90" w:line="360" w:lineRule="auto"/>
      </w:pPr>
      <w:r>
        <w:rPr>
          <w:rtl/>
        </w:rPr>
        <w:lastRenderedPageBreak/>
        <w:t xml:space="preserve">أقسام لقياس المتغيرات المستقلة الخمسة، إضافةً إلى قسم لقياس المتغير التابع (نجاح الشركة الناشئة)، باستخدام مقياس </w:t>
      </w:r>
      <w:proofErr w:type="spellStart"/>
      <w:r>
        <w:rPr>
          <w:rtl/>
        </w:rPr>
        <w:t>ليكرت</w:t>
      </w:r>
      <w:proofErr w:type="spellEnd"/>
      <w:r>
        <w:rPr>
          <w:rtl/>
        </w:rPr>
        <w:t xml:space="preserve"> الخماسي (من 1 = غير موافق بشدة إلى 5 = موافق بشدة).</w:t>
      </w:r>
    </w:p>
    <w:p w14:paraId="1D298792" w14:textId="77777777" w:rsidR="00A07BE6" w:rsidRDefault="00000000" w:rsidP="00184CE7">
      <w:pPr>
        <w:spacing w:after="140" w:line="360" w:lineRule="auto"/>
      </w:pPr>
      <w:r>
        <w:rPr>
          <w:rtl/>
        </w:rPr>
        <w:t xml:space="preserve">ويُتحقَّق من صدق الأداة عبر عرضها على مجموعة من المحكّمين المتخصصين، ومن ثباتها عبر حساب معامل ألفا </w:t>
      </w:r>
      <w:proofErr w:type="spellStart"/>
      <w:r>
        <w:rPr>
          <w:rtl/>
        </w:rPr>
        <w:t>كرونباخ</w:t>
      </w:r>
      <w:proofErr w:type="spellEnd"/>
      <w:r>
        <w:rPr>
          <w:rtl/>
        </w:rPr>
        <w:t xml:space="preserve"> (</w:t>
      </w:r>
      <w:proofErr w:type="spellStart"/>
      <w:r>
        <w:rPr>
          <w:rtl/>
        </w:rPr>
        <w:t>Cronbach's</w:t>
      </w:r>
      <w:proofErr w:type="spellEnd"/>
      <w:r>
        <w:rPr>
          <w:rtl/>
        </w:rPr>
        <w:t xml:space="preserve"> </w:t>
      </w:r>
      <w:proofErr w:type="spellStart"/>
      <w:r>
        <w:rPr>
          <w:rtl/>
        </w:rPr>
        <w:t>Alpha</w:t>
      </w:r>
      <w:proofErr w:type="spellEnd"/>
      <w:r>
        <w:rPr>
          <w:rtl/>
        </w:rPr>
        <w:t>). وتُحلَّل البيانات باستخدام برنامج (SPSS)، من خلال الإحصاء الوصفي (المتوسطات والانحرافات المعيارية)، ومعاملات الارتباط، وتحليل الانحدار المتعدد لاختبار أثر المتغيرات المستقلة في المتغير التابع.</w:t>
      </w:r>
    </w:p>
    <w:p w14:paraId="5D42BC23" w14:textId="77777777" w:rsidR="00A07BE6" w:rsidRDefault="00000000" w:rsidP="00184CE7">
      <w:pPr>
        <w:pStyle w:val="1"/>
        <w:bidi/>
        <w:spacing w:before="240" w:after="160" w:line="360" w:lineRule="auto"/>
      </w:pPr>
      <w:r>
        <w:rPr>
          <w:rtl/>
        </w:rPr>
        <w:t>عينة الدراسة</w:t>
      </w:r>
    </w:p>
    <w:p w14:paraId="64386B38" w14:textId="77777777" w:rsidR="00A07BE6" w:rsidRDefault="00000000" w:rsidP="00184CE7">
      <w:pPr>
        <w:spacing w:after="140" w:line="360" w:lineRule="auto"/>
      </w:pPr>
      <w:r>
        <w:rPr>
          <w:rtl/>
        </w:rPr>
        <w:t>يتكوّن مجتمع الدراسة من مؤسِّسي وملّاك الشركات الناشئة العاملة في المملكة العربية السعودية. ونظرًا لعدم توافر إطار معاينة شامل ودقيق لهذا المجتمع، تُعتمد عينة غير احتمالية هادفة (</w:t>
      </w:r>
      <w:proofErr w:type="spellStart"/>
      <w:r>
        <w:rPr>
          <w:rtl/>
        </w:rPr>
        <w:t>Purposive</w:t>
      </w:r>
      <w:proofErr w:type="spellEnd"/>
      <w:r>
        <w:rPr>
          <w:rtl/>
        </w:rPr>
        <w:t xml:space="preserve"> </w:t>
      </w:r>
      <w:proofErr w:type="spellStart"/>
      <w:r>
        <w:rPr>
          <w:rtl/>
        </w:rPr>
        <w:t>Sampling</w:t>
      </w:r>
      <w:proofErr w:type="spellEnd"/>
      <w:r>
        <w:rPr>
          <w:rtl/>
        </w:rPr>
        <w:t>)، مع مراعاة التنوع في القطاعات والمناطق ومراحل نمو الشركات قدر الإمكان لتحسين تمثيل العينة.</w:t>
      </w:r>
    </w:p>
    <w:p w14:paraId="637641BF" w14:textId="77777777" w:rsidR="00A07BE6" w:rsidRDefault="00000000" w:rsidP="00184CE7">
      <w:pPr>
        <w:pStyle w:val="2"/>
        <w:bidi/>
        <w:spacing w:before="180" w:after="100" w:line="360" w:lineRule="auto"/>
      </w:pPr>
      <w:r>
        <w:rPr>
          <w:rtl/>
        </w:rPr>
        <w:t>معايير إدراج الشركة ضمن العينة</w:t>
      </w:r>
    </w:p>
    <w:p w14:paraId="4AC526A2" w14:textId="77777777" w:rsidR="00A07BE6" w:rsidRDefault="00000000" w:rsidP="00184CE7">
      <w:pPr>
        <w:pStyle w:val="a4"/>
        <w:numPr>
          <w:ilvl w:val="0"/>
          <w:numId w:val="2"/>
        </w:numPr>
        <w:bidi/>
        <w:spacing w:after="90" w:line="360" w:lineRule="auto"/>
      </w:pPr>
      <w:r>
        <w:rPr>
          <w:rtl/>
        </w:rPr>
        <w:t>أن تكون الشركة مسجّلة رسميًا وتمارس نشاطها داخل المملكة العربية السعودية.</w:t>
      </w:r>
    </w:p>
    <w:p w14:paraId="0868046C" w14:textId="77777777" w:rsidR="00A07BE6" w:rsidRDefault="00000000" w:rsidP="00184CE7">
      <w:pPr>
        <w:pStyle w:val="a4"/>
        <w:numPr>
          <w:ilvl w:val="0"/>
          <w:numId w:val="2"/>
        </w:numPr>
        <w:bidi/>
        <w:spacing w:after="90" w:line="360" w:lineRule="auto"/>
      </w:pPr>
      <w:r>
        <w:rPr>
          <w:rtl/>
        </w:rPr>
        <w:t>ألا يتجاوز عمر الشركة سبع سنوات منذ التأسيس (بوصفها شركة ناشئة).</w:t>
      </w:r>
    </w:p>
    <w:p w14:paraId="197E6879" w14:textId="77777777" w:rsidR="00A07BE6" w:rsidRDefault="00000000" w:rsidP="00184CE7">
      <w:pPr>
        <w:pStyle w:val="a4"/>
        <w:numPr>
          <w:ilvl w:val="0"/>
          <w:numId w:val="2"/>
        </w:numPr>
        <w:bidi/>
        <w:spacing w:after="90" w:line="360" w:lineRule="auto"/>
      </w:pPr>
      <w:r>
        <w:rPr>
          <w:rtl/>
        </w:rPr>
        <w:t>أن يكون المستجيب مؤسِّسًا أو شريكًا مؤسِّسًا أو مالكًا مطّلعًا على أداء الشركة.</w:t>
      </w:r>
    </w:p>
    <w:p w14:paraId="217A9724" w14:textId="77777777" w:rsidR="00A07BE6" w:rsidRDefault="00000000" w:rsidP="00184CE7">
      <w:pPr>
        <w:pStyle w:val="2"/>
        <w:bidi/>
        <w:spacing w:before="180" w:after="100" w:line="360" w:lineRule="auto"/>
      </w:pPr>
      <w:r>
        <w:rPr>
          <w:rtl/>
        </w:rPr>
        <w:t>آلية الوصول إلى المشاركين</w:t>
      </w:r>
    </w:p>
    <w:p w14:paraId="770507DB" w14:textId="77777777" w:rsidR="00A07BE6" w:rsidRDefault="00000000" w:rsidP="00184CE7">
      <w:pPr>
        <w:spacing w:after="140" w:line="360" w:lineRule="auto"/>
      </w:pPr>
      <w:r>
        <w:rPr>
          <w:rtl/>
        </w:rPr>
        <w:t xml:space="preserve">تُوزَّع الاستبانة إلكترونيًا عبر قنوات منظومة ريادة الأعمال، مثل حاضنات ومسرّعات الأعمال، ومجتمعات رواد الأعمال والمنصات المهنية (مثل </w:t>
      </w:r>
      <w:proofErr w:type="spellStart"/>
      <w:r>
        <w:rPr>
          <w:rtl/>
        </w:rPr>
        <w:t>LinkedIn</w:t>
      </w:r>
      <w:proofErr w:type="spellEnd"/>
      <w:r>
        <w:rPr>
          <w:rtl/>
        </w:rPr>
        <w:t>)، وشبكات التواصل المتخصصة، مع متابعة دورية لرفع معدل الاستجابة.</w:t>
      </w:r>
    </w:p>
    <w:p w14:paraId="16D7EC7E" w14:textId="3E278105" w:rsidR="000B3CD8" w:rsidRDefault="00000000" w:rsidP="00184CE7">
      <w:pPr>
        <w:spacing w:after="140" w:line="360" w:lineRule="auto"/>
        <w:rPr>
          <w:rtl/>
        </w:rPr>
      </w:pPr>
      <w:r>
        <w:rPr>
          <w:rtl/>
        </w:rPr>
        <w:t>ويُستهدَف حجم عيّنة لا يقل عن (</w:t>
      </w:r>
      <w:r w:rsidR="000B3CD8">
        <w:rPr>
          <w:rFonts w:hint="cs"/>
          <w:rtl/>
        </w:rPr>
        <w:t>75</w:t>
      </w:r>
      <w:r>
        <w:rPr>
          <w:rtl/>
        </w:rPr>
        <w:t>) مفردة، وقد حُدِّد هذا الحجم استنادًا إلى متطلبات تحليل الانحدار المتعدد المستخدم في الدراسة؛ إذ توصي قاعدة جرين (</w:t>
      </w:r>
      <w:proofErr w:type="spellStart"/>
      <w:r>
        <w:rPr>
          <w:rtl/>
        </w:rPr>
        <w:t>Green</w:t>
      </w:r>
      <w:proofErr w:type="spellEnd"/>
      <w:r>
        <w:rPr>
          <w:rtl/>
        </w:rPr>
        <w:t xml:space="preserve">, 1991) بألا يقل حجم العينة عن (50 + 8م) حيث (م) عدد المتغيرات المستقلة، أي (90) مفردة كحد أدنى لخمسة متغيرات، كما تُوصي قاعدة شائعة أخرى بما لا يقل عن (15–20) مشاهدة لكل متغير مستقل، </w:t>
      </w:r>
    </w:p>
    <w:p w14:paraId="170B5D37" w14:textId="1EC58E29" w:rsidR="00A07BE6" w:rsidRDefault="00000000" w:rsidP="00184CE7">
      <w:pPr>
        <w:spacing w:after="140" w:line="360" w:lineRule="auto"/>
      </w:pPr>
      <w:r>
        <w:rPr>
          <w:rtl/>
        </w:rPr>
        <w:lastRenderedPageBreak/>
        <w:t>أي (75–100) مفردة. وبذلك الحجم المستهدف (</w:t>
      </w:r>
      <w:r w:rsidR="000B3CD8">
        <w:rPr>
          <w:rFonts w:hint="cs"/>
          <w:rtl/>
        </w:rPr>
        <w:t>75</w:t>
      </w:r>
      <w:r>
        <w:rPr>
          <w:rtl/>
        </w:rPr>
        <w:t>) هذه الحدود الدنيا، مع الموازنة بين متطلبات التحليل وواقعية الإمكانات الزمنية والميدانية المتاحة، على أن يُصار إلى توسيع العيّنة إن سمحت الظروف.</w:t>
      </w:r>
    </w:p>
    <w:p w14:paraId="2A03B5D0" w14:textId="77777777" w:rsidR="00A07BE6" w:rsidRDefault="00000000" w:rsidP="00184CE7">
      <w:pPr>
        <w:pStyle w:val="1"/>
        <w:bidi/>
        <w:spacing w:before="240" w:after="160" w:line="360" w:lineRule="auto"/>
        <w:rPr>
          <w:rFonts w:hint="cs"/>
          <w:rtl/>
        </w:rPr>
      </w:pPr>
      <w:r>
        <w:rPr>
          <w:rtl/>
        </w:rPr>
        <w:t>قائمة المراجع والمصادر</w:t>
      </w:r>
    </w:p>
    <w:p w14:paraId="6B62B431" w14:textId="77777777" w:rsidR="00A07BE6" w:rsidRDefault="00000000" w:rsidP="00184CE7">
      <w:pPr>
        <w:spacing w:after="140" w:line="360" w:lineRule="auto"/>
      </w:pPr>
      <w:r>
        <w:rPr>
          <w:rtl/>
        </w:rPr>
        <w:t>وُثِّقت المراجع وفق نظام (APA)، وقُسِّمت إلى مراجع عربية وأخرى أجنبية، وتشمل المرجع المقرَّر ومصادر منهجية ومؤسسية ذات صلة بموضوع الدراسة.</w:t>
      </w:r>
    </w:p>
    <w:p w14:paraId="44A7AE84" w14:textId="77777777" w:rsidR="00A07BE6" w:rsidRDefault="00000000" w:rsidP="00184CE7">
      <w:pPr>
        <w:pStyle w:val="2"/>
        <w:bidi/>
        <w:spacing w:before="180" w:after="100" w:line="360" w:lineRule="auto"/>
      </w:pPr>
      <w:r>
        <w:rPr>
          <w:rtl/>
        </w:rPr>
        <w:t>أولًا: المراجع العربية</w:t>
      </w:r>
    </w:p>
    <w:p w14:paraId="6FDEDB63" w14:textId="77777777" w:rsidR="00A07BE6" w:rsidRDefault="00000000" w:rsidP="00184CE7">
      <w:pPr>
        <w:spacing w:after="120" w:line="360" w:lineRule="auto"/>
        <w:ind w:right="480" w:hanging="480"/>
      </w:pPr>
      <w:r>
        <w:rPr>
          <w:sz w:val="24"/>
          <w:szCs w:val="24"/>
          <w:rtl/>
        </w:rPr>
        <w:t>المملكة العربية السعودية. (2016). رؤية المملكة العربية السعودية 2030. الرياض: الأمانة العامة لمجلس الشؤون الاقتصادية والتنمية.</w:t>
      </w:r>
    </w:p>
    <w:p w14:paraId="53935236" w14:textId="77777777" w:rsidR="00A07BE6" w:rsidRDefault="00000000" w:rsidP="00184CE7">
      <w:pPr>
        <w:spacing w:after="120" w:line="360" w:lineRule="auto"/>
        <w:ind w:right="480" w:hanging="480"/>
      </w:pPr>
      <w:r>
        <w:rPr>
          <w:sz w:val="24"/>
          <w:szCs w:val="24"/>
          <w:rtl/>
        </w:rPr>
        <w:t>الهيئة العامة للمنشآت الصغيرة والمتوسطة (منشآت). (2023). التقرير السنوي لقطاع المنشآت الصغيرة والمتوسطة وريادة الأعمال في المملكة العربية السعودية. الرياض.</w:t>
      </w:r>
    </w:p>
    <w:p w14:paraId="55C5B529" w14:textId="77777777" w:rsidR="00A07BE6" w:rsidRDefault="00000000" w:rsidP="00184CE7">
      <w:pPr>
        <w:spacing w:after="120" w:line="360" w:lineRule="auto"/>
        <w:ind w:right="480" w:hanging="480"/>
      </w:pPr>
      <w:r>
        <w:rPr>
          <w:sz w:val="24"/>
          <w:szCs w:val="24"/>
          <w:rtl/>
        </w:rPr>
        <w:t>المرصد العالمي لريادة الأعمال (GEM). (2023). تقرير المملكة العربية السعودية لريادة الأعمال. الرياض: مركز ريادة الأعمال.</w:t>
      </w:r>
    </w:p>
    <w:p w14:paraId="1CC3D40B" w14:textId="77777777" w:rsidR="00A07BE6" w:rsidRDefault="00000000" w:rsidP="00184CE7">
      <w:pPr>
        <w:spacing w:after="120" w:line="360" w:lineRule="auto"/>
        <w:ind w:right="480" w:hanging="480"/>
      </w:pPr>
      <w:proofErr w:type="spellStart"/>
      <w:r>
        <w:rPr>
          <w:sz w:val="24"/>
          <w:szCs w:val="24"/>
          <w:rtl/>
        </w:rPr>
        <w:t>باراس</w:t>
      </w:r>
      <w:proofErr w:type="spellEnd"/>
      <w:r>
        <w:rPr>
          <w:sz w:val="24"/>
          <w:szCs w:val="24"/>
          <w:rtl/>
        </w:rPr>
        <w:t xml:space="preserve">، شيخة محمد أبوبكر. (2024). أثر توجهات رؤية المملكة 2030 في تعزيز ريادة أعمال المشاريع الصغيرة والمتوسطة (رسالة ماجستير). جامعة </w:t>
      </w:r>
      <w:proofErr w:type="spellStart"/>
      <w:r>
        <w:rPr>
          <w:sz w:val="24"/>
          <w:szCs w:val="24"/>
          <w:rtl/>
        </w:rPr>
        <w:t>ميدأوشن</w:t>
      </w:r>
      <w:proofErr w:type="spellEnd"/>
      <w:r>
        <w:rPr>
          <w:sz w:val="24"/>
          <w:szCs w:val="24"/>
          <w:rtl/>
        </w:rPr>
        <w:t>، كلية الإدارة.</w:t>
      </w:r>
    </w:p>
    <w:p w14:paraId="1FAA5DEC" w14:textId="77777777" w:rsidR="00A07BE6" w:rsidRDefault="00000000" w:rsidP="00184CE7">
      <w:pPr>
        <w:spacing w:after="120" w:line="360" w:lineRule="auto"/>
        <w:ind w:right="480" w:hanging="480"/>
      </w:pPr>
      <w:r>
        <w:rPr>
          <w:sz w:val="24"/>
          <w:szCs w:val="24"/>
          <w:rtl/>
        </w:rPr>
        <w:t xml:space="preserve">الحربي، مها محمد. (2024). أثر ممارسات القيادة التحويلية في تحقيق ريادة الأعمال في جامعات المملكة العربية السعودية (رسالة ماجستير). جامعة </w:t>
      </w:r>
      <w:proofErr w:type="spellStart"/>
      <w:r>
        <w:rPr>
          <w:sz w:val="24"/>
          <w:szCs w:val="24"/>
          <w:rtl/>
        </w:rPr>
        <w:t>ميدأوشن</w:t>
      </w:r>
      <w:proofErr w:type="spellEnd"/>
      <w:r>
        <w:rPr>
          <w:sz w:val="24"/>
          <w:szCs w:val="24"/>
          <w:rtl/>
        </w:rPr>
        <w:t>، كلية ريادة الأعمال.</w:t>
      </w:r>
    </w:p>
    <w:p w14:paraId="65E1FBDA" w14:textId="77777777" w:rsidR="00A07BE6" w:rsidRDefault="00000000" w:rsidP="00184CE7">
      <w:pPr>
        <w:spacing w:after="120" w:line="360" w:lineRule="auto"/>
        <w:ind w:right="480" w:hanging="480"/>
      </w:pPr>
      <w:proofErr w:type="spellStart"/>
      <w:r>
        <w:rPr>
          <w:sz w:val="24"/>
          <w:szCs w:val="24"/>
          <w:rtl/>
        </w:rPr>
        <w:t>غيش</w:t>
      </w:r>
      <w:proofErr w:type="spellEnd"/>
      <w:r>
        <w:rPr>
          <w:sz w:val="24"/>
          <w:szCs w:val="24"/>
          <w:rtl/>
        </w:rPr>
        <w:t xml:space="preserve">، بيان سعود عثمان. (2025). تحليل التحديات والفرص في ريادة الأعمال النسائية بقطاع التجميل في المملكة العربية السعودية: دراسة ميدانية على رائدات الأعمال في مدينة الرياض (رسالة ماجستير). جامعة </w:t>
      </w:r>
      <w:proofErr w:type="spellStart"/>
      <w:r>
        <w:rPr>
          <w:sz w:val="24"/>
          <w:szCs w:val="24"/>
          <w:rtl/>
        </w:rPr>
        <w:t>ميدأوشن</w:t>
      </w:r>
      <w:proofErr w:type="spellEnd"/>
      <w:r>
        <w:rPr>
          <w:sz w:val="24"/>
          <w:szCs w:val="24"/>
          <w:rtl/>
        </w:rPr>
        <w:t>، كلية ريادة الأعمال.</w:t>
      </w:r>
    </w:p>
    <w:p w14:paraId="2987C139" w14:textId="77777777" w:rsidR="00A07BE6" w:rsidRDefault="00000000" w:rsidP="00184CE7">
      <w:pPr>
        <w:pStyle w:val="2"/>
        <w:numPr>
          <w:ilvl w:val="0"/>
          <w:numId w:val="7"/>
        </w:numPr>
        <w:bidi/>
        <w:spacing w:before="180" w:after="100" w:line="360" w:lineRule="auto"/>
        <w:jc w:val="right"/>
      </w:pPr>
      <w:r>
        <w:rPr>
          <w:rtl/>
        </w:rPr>
        <w:t>ثانيًا: المراجع الأجنبية</w:t>
      </w:r>
    </w:p>
    <w:p w14:paraId="580C782E"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Barney, J. (1991). Firm resources and sustained competitive advantage. Journal of Management, 17(1), 99–120.</w:t>
      </w:r>
    </w:p>
    <w:p w14:paraId="716B59B2"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Blumberg, B., Cooper, D., &amp; Schindler, P. (2014). Business research methods. McGraw Hill.</w:t>
      </w:r>
    </w:p>
    <w:p w14:paraId="3E5CEB77"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lastRenderedPageBreak/>
        <w:t>Bryman, A., &amp; Bell, E. (2015). Business research methods (4th ed.). Oxford University Press.</w:t>
      </w:r>
    </w:p>
    <w:p w14:paraId="0DC1F9FE"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Saunders, M., Lewis, P., &amp; Thornhill, A. (2009). Research methods for business students. Pearson Education.</w:t>
      </w:r>
    </w:p>
    <w:p w14:paraId="65A03CDE"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Green, S. B. (1991). How many subjects does it take to do a regression analysis? Multivariate Behavioral Research, 26(3), 499–510.</w:t>
      </w:r>
    </w:p>
    <w:p w14:paraId="4F4C084F"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Sekaran, U., &amp; Bougie, R. (2016). Research methods for business: A skill building approach. John Wiley &amp; Sons.</w:t>
      </w:r>
    </w:p>
    <w:p w14:paraId="32E79B9D"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Shane, S., &amp; Venkataraman, S. (2000). The promise of entrepreneurship as a field of research. Academy of Management Review, 25(1), 217–226.</w:t>
      </w:r>
    </w:p>
    <w:p w14:paraId="7A499280"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Timmons, J. A., &amp; Spinelli, S. (2007). New venture creation: Entrepreneurship for the 21st century (7th ed.). McGraw-Hill/Irwin.</w:t>
      </w:r>
    </w:p>
    <w:p w14:paraId="738628BD" w14:textId="77777777" w:rsidR="00A07BE6" w:rsidRDefault="00000000" w:rsidP="00184CE7">
      <w:pPr>
        <w:pStyle w:val="a4"/>
        <w:numPr>
          <w:ilvl w:val="0"/>
          <w:numId w:val="7"/>
        </w:numPr>
        <w:spacing w:after="120" w:line="360" w:lineRule="auto"/>
        <w:jc w:val="both"/>
      </w:pPr>
      <w:r w:rsidRPr="00184CE7">
        <w:rPr>
          <w:rFonts w:ascii="Times New Roman" w:eastAsia="Times New Roman" w:hAnsi="Times New Roman" w:cs="Times New Roman"/>
          <w:sz w:val="24"/>
          <w:szCs w:val="24"/>
        </w:rPr>
        <w:t>Zikmund, W. G., Babin, B. J., Carr, J. C., &amp; Griffin, M. (2013). Business research methods. Cengage Learning.</w:t>
      </w:r>
    </w:p>
    <w:sectPr w:rsidR="00A07BE6" w:rsidSect="00184CE7">
      <w:footerReference w:type="default" r:id="rId9"/>
      <w:pgSz w:w="12240" w:h="15840"/>
      <w:pgMar w:top="1440" w:right="1080" w:bottom="1440" w:left="1080" w:header="708" w:footer="708" w:gutter="0"/>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FBB7A5" w14:textId="77777777" w:rsidR="00AC6BD1" w:rsidRDefault="00AC6BD1">
      <w:r>
        <w:separator/>
      </w:r>
    </w:p>
  </w:endnote>
  <w:endnote w:type="continuationSeparator" w:id="0">
    <w:p w14:paraId="18C2F2F4" w14:textId="77777777" w:rsidR="00AC6BD1" w:rsidRDefault="00AC6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3C309B" w14:textId="77777777" w:rsidR="00A07BE6" w:rsidRDefault="00000000">
    <w:pPr>
      <w:jc w:val="center"/>
    </w:pPr>
    <w:r>
      <w:rPr>
        <w:sz w:val="22"/>
        <w:szCs w:val="22"/>
      </w:rPr>
      <w:fldChar w:fldCharType="begin"/>
    </w:r>
    <w:r>
      <w:rPr>
        <w:sz w:val="22"/>
        <w:szCs w:val="22"/>
      </w:rPr>
      <w:instrText>PAGE</w:instrText>
    </w:r>
    <w:r>
      <w:rPr>
        <w:sz w:val="22"/>
        <w:szCs w:val="22"/>
      </w:rPr>
      <w:fldChar w:fldCharType="separate"/>
    </w:r>
    <w:r w:rsidR="00184CE7">
      <w:rPr>
        <w:noProof/>
        <w:sz w:val="22"/>
        <w:szCs w:val="22"/>
        <w:rtl/>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FFF9BA" w14:textId="77777777" w:rsidR="00AC6BD1" w:rsidRDefault="00AC6BD1">
      <w:r>
        <w:separator/>
      </w:r>
    </w:p>
  </w:footnote>
  <w:footnote w:type="continuationSeparator" w:id="0">
    <w:p w14:paraId="39D659BB" w14:textId="77777777" w:rsidR="00AC6BD1" w:rsidRDefault="00AC6BD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136C03"/>
    <w:multiLevelType w:val="hybridMultilevel"/>
    <w:tmpl w:val="DF823956"/>
    <w:lvl w:ilvl="0" w:tplc="EC04F50E">
      <w:start w:val="1"/>
      <w:numFmt w:val="decimal"/>
      <w:lvlText w:val="%1."/>
      <w:lvlJc w:val="right"/>
      <w:pPr>
        <w:ind w:right="360" w:hanging="300"/>
      </w:pPr>
    </w:lvl>
    <w:lvl w:ilvl="1" w:tplc="E2A8D1BA">
      <w:numFmt w:val="decimal"/>
      <w:lvlText w:val=""/>
      <w:lvlJc w:val="left"/>
    </w:lvl>
    <w:lvl w:ilvl="2" w:tplc="628E8178">
      <w:numFmt w:val="decimal"/>
      <w:lvlText w:val=""/>
      <w:lvlJc w:val="left"/>
    </w:lvl>
    <w:lvl w:ilvl="3" w:tplc="3C2A8600">
      <w:numFmt w:val="decimal"/>
      <w:lvlText w:val=""/>
      <w:lvlJc w:val="left"/>
    </w:lvl>
    <w:lvl w:ilvl="4" w:tplc="4784054E">
      <w:numFmt w:val="decimal"/>
      <w:lvlText w:val=""/>
      <w:lvlJc w:val="left"/>
    </w:lvl>
    <w:lvl w:ilvl="5" w:tplc="01A0C264">
      <w:numFmt w:val="decimal"/>
      <w:lvlText w:val=""/>
      <w:lvlJc w:val="left"/>
    </w:lvl>
    <w:lvl w:ilvl="6" w:tplc="01FEDD46">
      <w:numFmt w:val="decimal"/>
      <w:lvlText w:val=""/>
      <w:lvlJc w:val="left"/>
    </w:lvl>
    <w:lvl w:ilvl="7" w:tplc="51B273E0">
      <w:numFmt w:val="decimal"/>
      <w:lvlText w:val=""/>
      <w:lvlJc w:val="left"/>
    </w:lvl>
    <w:lvl w:ilvl="8" w:tplc="DCCAF1A0">
      <w:numFmt w:val="decimal"/>
      <w:lvlText w:val=""/>
      <w:lvlJc w:val="left"/>
    </w:lvl>
  </w:abstractNum>
  <w:abstractNum w:abstractNumId="1" w15:restartNumberingAfterBreak="0">
    <w:nsid w:val="29FB393F"/>
    <w:multiLevelType w:val="hybridMultilevel"/>
    <w:tmpl w:val="CBA05F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F1C0D1D"/>
    <w:multiLevelType w:val="hybridMultilevel"/>
    <w:tmpl w:val="92AA0AE6"/>
    <w:lvl w:ilvl="0" w:tplc="5E404C58">
      <w:start w:val="1"/>
      <w:numFmt w:val="bullet"/>
      <w:lvlText w:val="●"/>
      <w:lvlJc w:val="left"/>
      <w:pPr>
        <w:ind w:left="720" w:hanging="360"/>
      </w:pPr>
    </w:lvl>
    <w:lvl w:ilvl="1" w:tplc="5E4047DA">
      <w:start w:val="1"/>
      <w:numFmt w:val="bullet"/>
      <w:lvlText w:val="○"/>
      <w:lvlJc w:val="left"/>
      <w:pPr>
        <w:ind w:left="1440" w:hanging="360"/>
      </w:pPr>
    </w:lvl>
    <w:lvl w:ilvl="2" w:tplc="07D6EADE">
      <w:start w:val="1"/>
      <w:numFmt w:val="bullet"/>
      <w:lvlText w:val="■"/>
      <w:lvlJc w:val="left"/>
      <w:pPr>
        <w:ind w:left="2160" w:hanging="360"/>
      </w:pPr>
    </w:lvl>
    <w:lvl w:ilvl="3" w:tplc="098A6D22">
      <w:start w:val="1"/>
      <w:numFmt w:val="bullet"/>
      <w:lvlText w:val="●"/>
      <w:lvlJc w:val="left"/>
      <w:pPr>
        <w:ind w:left="2880" w:hanging="360"/>
      </w:pPr>
    </w:lvl>
    <w:lvl w:ilvl="4" w:tplc="2E586090">
      <w:start w:val="1"/>
      <w:numFmt w:val="bullet"/>
      <w:lvlText w:val="○"/>
      <w:lvlJc w:val="left"/>
      <w:pPr>
        <w:ind w:left="3600" w:hanging="360"/>
      </w:pPr>
    </w:lvl>
    <w:lvl w:ilvl="5" w:tplc="D1F65A66">
      <w:start w:val="1"/>
      <w:numFmt w:val="bullet"/>
      <w:lvlText w:val="■"/>
      <w:lvlJc w:val="left"/>
      <w:pPr>
        <w:ind w:left="4320" w:hanging="360"/>
      </w:pPr>
    </w:lvl>
    <w:lvl w:ilvl="6" w:tplc="55B69F12">
      <w:start w:val="1"/>
      <w:numFmt w:val="bullet"/>
      <w:lvlText w:val="●"/>
      <w:lvlJc w:val="left"/>
      <w:pPr>
        <w:ind w:left="5040" w:hanging="360"/>
      </w:pPr>
    </w:lvl>
    <w:lvl w:ilvl="7" w:tplc="EAE03E86">
      <w:start w:val="1"/>
      <w:numFmt w:val="bullet"/>
      <w:lvlText w:val="●"/>
      <w:lvlJc w:val="left"/>
      <w:pPr>
        <w:ind w:left="5760" w:hanging="360"/>
      </w:pPr>
    </w:lvl>
    <w:lvl w:ilvl="8" w:tplc="28E89702">
      <w:start w:val="1"/>
      <w:numFmt w:val="bullet"/>
      <w:lvlText w:val="●"/>
      <w:lvlJc w:val="left"/>
      <w:pPr>
        <w:ind w:left="6480" w:hanging="360"/>
      </w:pPr>
    </w:lvl>
  </w:abstractNum>
  <w:abstractNum w:abstractNumId="3" w15:restartNumberingAfterBreak="0">
    <w:nsid w:val="38F303B5"/>
    <w:multiLevelType w:val="hybridMultilevel"/>
    <w:tmpl w:val="E1BEDA4A"/>
    <w:lvl w:ilvl="0" w:tplc="F56A9190">
      <w:start w:val="1"/>
      <w:numFmt w:val="bullet"/>
      <w:lvlText w:val="•"/>
      <w:lvlJc w:val="right"/>
      <w:pPr>
        <w:ind w:right="360" w:hanging="260"/>
      </w:pPr>
    </w:lvl>
    <w:lvl w:ilvl="1" w:tplc="EE7234D8">
      <w:numFmt w:val="decimal"/>
      <w:lvlText w:val=""/>
      <w:lvlJc w:val="left"/>
    </w:lvl>
    <w:lvl w:ilvl="2" w:tplc="B266661E">
      <w:numFmt w:val="decimal"/>
      <w:lvlText w:val=""/>
      <w:lvlJc w:val="left"/>
    </w:lvl>
    <w:lvl w:ilvl="3" w:tplc="09E6021E">
      <w:numFmt w:val="decimal"/>
      <w:lvlText w:val=""/>
      <w:lvlJc w:val="left"/>
    </w:lvl>
    <w:lvl w:ilvl="4" w:tplc="7740331E">
      <w:numFmt w:val="decimal"/>
      <w:lvlText w:val=""/>
      <w:lvlJc w:val="left"/>
    </w:lvl>
    <w:lvl w:ilvl="5" w:tplc="88B06DF8">
      <w:numFmt w:val="decimal"/>
      <w:lvlText w:val=""/>
      <w:lvlJc w:val="left"/>
    </w:lvl>
    <w:lvl w:ilvl="6" w:tplc="60C0116E">
      <w:numFmt w:val="decimal"/>
      <w:lvlText w:val=""/>
      <w:lvlJc w:val="left"/>
    </w:lvl>
    <w:lvl w:ilvl="7" w:tplc="15E20234">
      <w:numFmt w:val="decimal"/>
      <w:lvlText w:val=""/>
      <w:lvlJc w:val="left"/>
    </w:lvl>
    <w:lvl w:ilvl="8" w:tplc="F06CF54E">
      <w:numFmt w:val="decimal"/>
      <w:lvlText w:val=""/>
      <w:lvlJc w:val="left"/>
    </w:lvl>
  </w:abstractNum>
  <w:abstractNum w:abstractNumId="4" w15:restartNumberingAfterBreak="0">
    <w:nsid w:val="3F4F0C29"/>
    <w:multiLevelType w:val="hybridMultilevel"/>
    <w:tmpl w:val="53703FD4"/>
    <w:lvl w:ilvl="0" w:tplc="2482F81A">
      <w:start w:val="1"/>
      <w:numFmt w:val="decimal"/>
      <w:lvlText w:val="%1."/>
      <w:lvlJc w:val="right"/>
      <w:pPr>
        <w:ind w:right="360" w:hanging="300"/>
      </w:pPr>
    </w:lvl>
    <w:lvl w:ilvl="1" w:tplc="BA02858E">
      <w:numFmt w:val="decimal"/>
      <w:lvlText w:val=""/>
      <w:lvlJc w:val="left"/>
    </w:lvl>
    <w:lvl w:ilvl="2" w:tplc="2C6CA3E8">
      <w:numFmt w:val="decimal"/>
      <w:lvlText w:val=""/>
      <w:lvlJc w:val="left"/>
    </w:lvl>
    <w:lvl w:ilvl="3" w:tplc="7DFA70BA">
      <w:numFmt w:val="decimal"/>
      <w:lvlText w:val=""/>
      <w:lvlJc w:val="left"/>
    </w:lvl>
    <w:lvl w:ilvl="4" w:tplc="153AC7D0">
      <w:numFmt w:val="decimal"/>
      <w:lvlText w:val=""/>
      <w:lvlJc w:val="left"/>
    </w:lvl>
    <w:lvl w:ilvl="5" w:tplc="0C3E035C">
      <w:numFmt w:val="decimal"/>
      <w:lvlText w:val=""/>
      <w:lvlJc w:val="left"/>
    </w:lvl>
    <w:lvl w:ilvl="6" w:tplc="3FEE0C2E">
      <w:numFmt w:val="decimal"/>
      <w:lvlText w:val=""/>
      <w:lvlJc w:val="left"/>
    </w:lvl>
    <w:lvl w:ilvl="7" w:tplc="A33CBD82">
      <w:numFmt w:val="decimal"/>
      <w:lvlText w:val=""/>
      <w:lvlJc w:val="left"/>
    </w:lvl>
    <w:lvl w:ilvl="8" w:tplc="CD04CD86">
      <w:numFmt w:val="decimal"/>
      <w:lvlText w:val=""/>
      <w:lvlJc w:val="left"/>
    </w:lvl>
  </w:abstractNum>
  <w:abstractNum w:abstractNumId="5" w15:restartNumberingAfterBreak="0">
    <w:nsid w:val="71C202A2"/>
    <w:multiLevelType w:val="hybridMultilevel"/>
    <w:tmpl w:val="7E3E8A36"/>
    <w:lvl w:ilvl="0" w:tplc="BDDC48E6">
      <w:start w:val="1"/>
      <w:numFmt w:val="decimal"/>
      <w:lvlText w:val="%1."/>
      <w:lvlJc w:val="right"/>
      <w:pPr>
        <w:ind w:right="360" w:hanging="300"/>
      </w:pPr>
    </w:lvl>
    <w:lvl w:ilvl="1" w:tplc="FD9E47B6">
      <w:numFmt w:val="decimal"/>
      <w:lvlText w:val=""/>
      <w:lvlJc w:val="left"/>
    </w:lvl>
    <w:lvl w:ilvl="2" w:tplc="93F0DE54">
      <w:numFmt w:val="decimal"/>
      <w:lvlText w:val=""/>
      <w:lvlJc w:val="left"/>
    </w:lvl>
    <w:lvl w:ilvl="3" w:tplc="B970B15E">
      <w:numFmt w:val="decimal"/>
      <w:lvlText w:val=""/>
      <w:lvlJc w:val="left"/>
    </w:lvl>
    <w:lvl w:ilvl="4" w:tplc="171CF3D0">
      <w:numFmt w:val="decimal"/>
      <w:lvlText w:val=""/>
      <w:lvlJc w:val="left"/>
    </w:lvl>
    <w:lvl w:ilvl="5" w:tplc="3774E328">
      <w:numFmt w:val="decimal"/>
      <w:lvlText w:val=""/>
      <w:lvlJc w:val="left"/>
    </w:lvl>
    <w:lvl w:ilvl="6" w:tplc="2C088CC6">
      <w:numFmt w:val="decimal"/>
      <w:lvlText w:val=""/>
      <w:lvlJc w:val="left"/>
    </w:lvl>
    <w:lvl w:ilvl="7" w:tplc="ECE255E4">
      <w:numFmt w:val="decimal"/>
      <w:lvlText w:val=""/>
      <w:lvlJc w:val="left"/>
    </w:lvl>
    <w:lvl w:ilvl="8" w:tplc="89C6F4E6">
      <w:numFmt w:val="decimal"/>
      <w:lvlText w:val=""/>
      <w:lvlJc w:val="left"/>
    </w:lvl>
  </w:abstractNum>
  <w:abstractNum w:abstractNumId="6" w15:restartNumberingAfterBreak="0">
    <w:nsid w:val="7A4D2292"/>
    <w:multiLevelType w:val="hybridMultilevel"/>
    <w:tmpl w:val="C8389F68"/>
    <w:lvl w:ilvl="0" w:tplc="FC26F35E">
      <w:start w:val="1"/>
      <w:numFmt w:val="decimal"/>
      <w:lvlText w:val="%1."/>
      <w:lvlJc w:val="right"/>
      <w:pPr>
        <w:ind w:right="360" w:hanging="300"/>
      </w:pPr>
    </w:lvl>
    <w:lvl w:ilvl="1" w:tplc="F138AE7C">
      <w:numFmt w:val="decimal"/>
      <w:lvlText w:val=""/>
      <w:lvlJc w:val="left"/>
    </w:lvl>
    <w:lvl w:ilvl="2" w:tplc="652834FC">
      <w:numFmt w:val="decimal"/>
      <w:lvlText w:val=""/>
      <w:lvlJc w:val="left"/>
    </w:lvl>
    <w:lvl w:ilvl="3" w:tplc="F9642842">
      <w:numFmt w:val="decimal"/>
      <w:lvlText w:val=""/>
      <w:lvlJc w:val="left"/>
    </w:lvl>
    <w:lvl w:ilvl="4" w:tplc="C50289E8">
      <w:numFmt w:val="decimal"/>
      <w:lvlText w:val=""/>
      <w:lvlJc w:val="left"/>
    </w:lvl>
    <w:lvl w:ilvl="5" w:tplc="34E0CA48">
      <w:numFmt w:val="decimal"/>
      <w:lvlText w:val=""/>
      <w:lvlJc w:val="left"/>
    </w:lvl>
    <w:lvl w:ilvl="6" w:tplc="A950FB1C">
      <w:numFmt w:val="decimal"/>
      <w:lvlText w:val=""/>
      <w:lvlJc w:val="left"/>
    </w:lvl>
    <w:lvl w:ilvl="7" w:tplc="073E5772">
      <w:numFmt w:val="decimal"/>
      <w:lvlText w:val=""/>
      <w:lvlJc w:val="left"/>
    </w:lvl>
    <w:lvl w:ilvl="8" w:tplc="1BA62926">
      <w:numFmt w:val="decimal"/>
      <w:lvlText w:val=""/>
      <w:lvlJc w:val="left"/>
    </w:lvl>
  </w:abstractNum>
  <w:num w:numId="1" w16cid:durableId="1253511810">
    <w:abstractNumId w:val="2"/>
    <w:lvlOverride w:ilvl="0">
      <w:startOverride w:val="1"/>
    </w:lvlOverride>
  </w:num>
  <w:num w:numId="2" w16cid:durableId="1106536070">
    <w:abstractNumId w:val="3"/>
    <w:lvlOverride w:ilvl="0">
      <w:startOverride w:val="1"/>
    </w:lvlOverride>
  </w:num>
  <w:num w:numId="3" w16cid:durableId="751852665">
    <w:abstractNumId w:val="4"/>
    <w:lvlOverride w:ilvl="0">
      <w:startOverride w:val="1"/>
    </w:lvlOverride>
  </w:num>
  <w:num w:numId="4" w16cid:durableId="8875304">
    <w:abstractNumId w:val="6"/>
    <w:lvlOverride w:ilvl="0">
      <w:startOverride w:val="1"/>
    </w:lvlOverride>
  </w:num>
  <w:num w:numId="5" w16cid:durableId="970407256">
    <w:abstractNumId w:val="0"/>
    <w:lvlOverride w:ilvl="0">
      <w:startOverride w:val="1"/>
    </w:lvlOverride>
  </w:num>
  <w:num w:numId="6" w16cid:durableId="901714785">
    <w:abstractNumId w:val="5"/>
    <w:lvlOverride w:ilvl="0">
      <w:startOverride w:val="1"/>
    </w:lvlOverride>
  </w:num>
  <w:num w:numId="7" w16cid:durableId="12456469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7BE6"/>
    <w:rsid w:val="000B3CD8"/>
    <w:rsid w:val="00184CE7"/>
    <w:rsid w:val="00854DDA"/>
    <w:rsid w:val="00A07BE6"/>
    <w:rsid w:val="00AC6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5853F"/>
  <w15:docId w15:val="{5C0E4089-3FF7-4E62-ACA3-AF4F4AB3F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Sakkal Majalla" w:eastAsia="Sakkal Majalla" w:hAnsi="Sakkal Majalla" w:cs="Sakkal Majalla"/>
        <w:sz w:val="28"/>
        <w:szCs w:val="28"/>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uiPriority w:val="9"/>
    <w:qFormat/>
    <w:pPr>
      <w:outlineLvl w:val="0"/>
    </w:pPr>
    <w:rPr>
      <w:b/>
      <w:bCs/>
      <w:color w:val="1F4E79"/>
      <w:sz w:val="36"/>
      <w:szCs w:val="36"/>
    </w:rPr>
  </w:style>
  <w:style w:type="paragraph" w:styleId="2">
    <w:name w:val="heading 2"/>
    <w:uiPriority w:val="9"/>
    <w:unhideWhenUsed/>
    <w:qFormat/>
    <w:pPr>
      <w:outlineLvl w:val="1"/>
    </w:pPr>
    <w:rPr>
      <w:b/>
      <w:bCs/>
      <w:color w:val="203864"/>
      <w:sz w:val="32"/>
      <w:szCs w:val="32"/>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12</Pages>
  <Words>2140</Words>
  <Characters>12204</Characters>
  <Application>Microsoft Office Word</Application>
  <DocSecurity>0</DocSecurity>
  <Lines>101</Lines>
  <Paragraphs>28</Paragraphs>
  <ScaleCrop>false</ScaleCrop>
  <Company/>
  <LinksUpToDate>false</LinksUpToDate>
  <CharactersWithSpaces>14316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خطة البحث - العوامل المؤثرة في نجاح الشركات الناشئة</dc:title>
  <dc:creator>Abdulrahman Aldayel</dc:creator>
  <cp:lastModifiedBy>mftaah.com</cp:lastModifiedBy>
  <cp:revision>3</cp:revision>
  <dcterms:created xsi:type="dcterms:W3CDTF">2026-07-10T01:07:00Z</dcterms:created>
  <dcterms:modified xsi:type="dcterms:W3CDTF">2026-07-10T09:05:00Z</dcterms:modified>
</cp:coreProperties>
</file>