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BDF44C" w14:textId="7EAF85BC" w:rsidR="009B6B2C" w:rsidRDefault="006B1F61">
      <w:r>
        <w:t xml:space="preserve">University </w:t>
      </w:r>
      <w:r w:rsidR="00A30F2C">
        <w:t>Midocean</w:t>
      </w:r>
    </w:p>
    <w:p w14:paraId="7D51F587" w14:textId="5E49E17C" w:rsidR="009B6B2C" w:rsidRDefault="006B1F61">
      <w:r>
        <w:t>College</w:t>
      </w:r>
      <w:r w:rsidR="00546A51">
        <w:t>Management</w:t>
      </w:r>
    </w:p>
    <w:p w14:paraId="4C4527CA" w14:textId="408E87DB" w:rsidR="009B6B2C" w:rsidRDefault="006B1F61">
      <w:pPr>
        <w:spacing w:after="400"/>
      </w:pPr>
      <w:r>
        <w:t xml:space="preserve">Department / </w:t>
      </w:r>
      <w:r w:rsidR="002D6447">
        <w:t>Major: Risk</w:t>
      </w:r>
      <w:r w:rsidR="008039F8">
        <w:t xml:space="preserve"> </w:t>
      </w:r>
      <w:r w:rsidR="003B3850">
        <w:t>Managem</w:t>
      </w:r>
      <w:r w:rsidR="002D6447">
        <w:t>ent</w:t>
      </w:r>
    </w:p>
    <w:p w14:paraId="141451DE" w14:textId="77777777" w:rsidR="009B6B2C" w:rsidRDefault="006B1F61">
      <w:pPr>
        <w:spacing w:before="2000" w:after="2000"/>
        <w:jc w:val="center"/>
      </w:pPr>
      <w:r>
        <w:rPr>
          <w:b/>
          <w:bCs/>
          <w:sz w:val="32"/>
          <w:szCs w:val="32"/>
        </w:rPr>
        <w:t>The Energy Transition Paradox: Managing Stranded Asset Risks in the Middle Eastern Oil and Gas Sector</w:t>
      </w:r>
    </w:p>
    <w:p w14:paraId="6A95712F" w14:textId="70283E57" w:rsidR="009B6B2C" w:rsidRDefault="006B1F61">
      <w:pPr>
        <w:spacing w:after="200"/>
        <w:jc w:val="center"/>
      </w:pPr>
      <w:r>
        <w:t xml:space="preserve">Prepared by: </w:t>
      </w:r>
      <w:proofErr w:type="spellStart"/>
      <w:r w:rsidR="002D6447">
        <w:t>Afnan</w:t>
      </w:r>
      <w:proofErr w:type="spellEnd"/>
      <w:r w:rsidR="002D6447">
        <w:t xml:space="preserve"> </w:t>
      </w:r>
      <w:r w:rsidR="00343169">
        <w:t xml:space="preserve">Mohammed </w:t>
      </w:r>
      <w:proofErr w:type="spellStart"/>
      <w:r w:rsidR="00343169">
        <w:t>Badawi</w:t>
      </w:r>
      <w:proofErr w:type="spellEnd"/>
    </w:p>
    <w:p w14:paraId="0224197B" w14:textId="345FE3B8" w:rsidR="009B6B2C" w:rsidRDefault="006B1F61">
      <w:pPr>
        <w:spacing w:after="200"/>
        <w:jc w:val="center"/>
      </w:pPr>
      <w:r>
        <w:t xml:space="preserve">Supervised by: </w:t>
      </w:r>
      <w:proofErr w:type="spellStart"/>
      <w:r w:rsidR="00343169">
        <w:t>Nuor</w:t>
      </w:r>
      <w:proofErr w:type="spellEnd"/>
      <w:r w:rsidR="00343169">
        <w:t xml:space="preserve"> </w:t>
      </w:r>
      <w:proofErr w:type="spellStart"/>
      <w:r w:rsidR="00343169">
        <w:t>Affour</w:t>
      </w:r>
      <w:proofErr w:type="spellEnd"/>
    </w:p>
    <w:p w14:paraId="3DF22B65" w14:textId="6BBDB4C1" w:rsidR="009B6B2C" w:rsidRDefault="00CA792D">
      <w:pPr>
        <w:jc w:val="center"/>
      </w:pPr>
      <w:r>
        <w:t>2026</w:t>
      </w:r>
    </w:p>
    <w:p w14:paraId="0E77A5E0" w14:textId="77777777" w:rsidR="009B6B2C" w:rsidRDefault="006B1F61">
      <w:pPr>
        <w:pStyle w:val="1"/>
        <w:pageBreakBefore/>
        <w:spacing w:before="240" w:after="160"/>
      </w:pPr>
      <w:r>
        <w:lastRenderedPageBreak/>
        <w:t>Table of Contents</w:t>
      </w:r>
    </w:p>
    <w:p w14:paraId="1F23473D" w14:textId="77777777" w:rsidR="009B6B2C" w:rsidRDefault="006B1F61" w:rsidP="001E5C4B">
      <w:pPr>
        <w:spacing w:after="60"/>
        <w:jc w:val="right"/>
      </w:pPr>
      <w:r>
        <w:t>1. Introduction</w:t>
      </w:r>
    </w:p>
    <w:p w14:paraId="27709FDE" w14:textId="77777777" w:rsidR="009B6B2C" w:rsidRDefault="006B1F61" w:rsidP="001E5C4B">
      <w:pPr>
        <w:spacing w:after="60"/>
        <w:jc w:val="right"/>
      </w:pPr>
      <w:r>
        <w:t>2. Research Problem</w:t>
      </w:r>
    </w:p>
    <w:p w14:paraId="26B1BDAC" w14:textId="77777777" w:rsidR="009B6B2C" w:rsidRDefault="006B1F61" w:rsidP="001E5C4B">
      <w:pPr>
        <w:spacing w:after="60"/>
        <w:jc w:val="right"/>
      </w:pPr>
      <w:r>
        <w:t>3. Significance of the Study</w:t>
      </w:r>
    </w:p>
    <w:p w14:paraId="0BC647E7" w14:textId="77777777" w:rsidR="009B6B2C" w:rsidRDefault="006B1F61" w:rsidP="001E5C4B">
      <w:pPr>
        <w:spacing w:after="60"/>
        <w:jc w:val="right"/>
      </w:pPr>
      <w:r>
        <w:t>4. Objectives of the Study</w:t>
      </w:r>
    </w:p>
    <w:p w14:paraId="50C12948" w14:textId="77777777" w:rsidR="009B6B2C" w:rsidRDefault="006B1F61" w:rsidP="001E5C4B">
      <w:pPr>
        <w:spacing w:after="60"/>
        <w:jc w:val="right"/>
      </w:pPr>
      <w:r>
        <w:t>5. Research Questions</w:t>
      </w:r>
    </w:p>
    <w:p w14:paraId="1D598A1F" w14:textId="77777777" w:rsidR="009B6B2C" w:rsidRDefault="006B1F61" w:rsidP="001E5C4B">
      <w:pPr>
        <w:spacing w:after="60"/>
        <w:jc w:val="right"/>
      </w:pPr>
      <w:r>
        <w:t>6. Hypotheses</w:t>
      </w:r>
    </w:p>
    <w:p w14:paraId="0F148E5F" w14:textId="77777777" w:rsidR="009B6B2C" w:rsidRDefault="006B1F61" w:rsidP="001E5C4B">
      <w:pPr>
        <w:spacing w:after="60"/>
        <w:jc w:val="right"/>
      </w:pPr>
      <w:r>
        <w:t>7. Previous Studies (Literature Review: Global Trends)</w:t>
      </w:r>
    </w:p>
    <w:p w14:paraId="22A69473" w14:textId="77777777" w:rsidR="009B6B2C" w:rsidRDefault="006B1F61" w:rsidP="001E5C4B">
      <w:pPr>
        <w:pStyle w:val="a4"/>
        <w:numPr>
          <w:ilvl w:val="1"/>
          <w:numId w:val="1"/>
        </w:numPr>
        <w:spacing w:after="100"/>
        <w:jc w:val="both"/>
      </w:pPr>
      <w:r>
        <w:t>The IEA and the "Age of Electricity"</w:t>
      </w:r>
    </w:p>
    <w:p w14:paraId="6B99D39F" w14:textId="77777777" w:rsidR="009B6B2C" w:rsidRDefault="006B1F61" w:rsidP="001E5C4B">
      <w:pPr>
        <w:pStyle w:val="a4"/>
        <w:numPr>
          <w:ilvl w:val="1"/>
          <w:numId w:val="1"/>
        </w:numPr>
        <w:spacing w:after="100"/>
        <w:jc w:val="both"/>
      </w:pPr>
      <w:r>
        <w:t>The "Carbon Bubble" and Systemic Risk</w:t>
      </w:r>
    </w:p>
    <w:p w14:paraId="07585E6C" w14:textId="77777777" w:rsidR="009B6B2C" w:rsidRDefault="006B1F61" w:rsidP="001E5C4B">
      <w:pPr>
        <w:pStyle w:val="a4"/>
        <w:numPr>
          <w:ilvl w:val="1"/>
          <w:numId w:val="1"/>
        </w:numPr>
        <w:spacing w:after="100"/>
        <w:jc w:val="both"/>
      </w:pPr>
      <w:r>
        <w:t>The Paris Agreement vs. Geopolitical Reality</w:t>
      </w:r>
    </w:p>
    <w:p w14:paraId="642AF8AC" w14:textId="77777777" w:rsidR="009B6B2C" w:rsidRDefault="006B1F61" w:rsidP="001E5C4B">
      <w:pPr>
        <w:spacing w:after="60"/>
        <w:jc w:val="right"/>
      </w:pPr>
      <w:r>
        <w:t>8. Theoretical Framework</w:t>
      </w:r>
    </w:p>
    <w:p w14:paraId="5F92DB77" w14:textId="77777777" w:rsidR="009B6B2C" w:rsidRDefault="006B1F61" w:rsidP="001E5C4B">
      <w:pPr>
        <w:pStyle w:val="a4"/>
        <w:numPr>
          <w:ilvl w:val="1"/>
          <w:numId w:val="1"/>
        </w:numPr>
        <w:spacing w:after="100"/>
        <w:jc w:val="both"/>
      </w:pPr>
      <w:r>
        <w:t>The Resource-Based View (RBV) and the VRIN Challenge</w:t>
      </w:r>
    </w:p>
    <w:p w14:paraId="1FFA3D2C" w14:textId="77777777" w:rsidR="009B6B2C" w:rsidRDefault="006B1F61" w:rsidP="00B804BF">
      <w:pPr>
        <w:pStyle w:val="a4"/>
        <w:numPr>
          <w:ilvl w:val="1"/>
          <w:numId w:val="1"/>
        </w:numPr>
        <w:spacing w:after="100"/>
      </w:pPr>
      <w:r>
        <w:t>Transition Management and the Multi-Level Perspective (MLP)</w:t>
      </w:r>
    </w:p>
    <w:p w14:paraId="5E098BC3" w14:textId="77777777" w:rsidR="009B6B2C" w:rsidRDefault="006B1F61" w:rsidP="001E5C4B">
      <w:pPr>
        <w:pStyle w:val="a4"/>
        <w:numPr>
          <w:ilvl w:val="1"/>
          <w:numId w:val="1"/>
        </w:numPr>
        <w:spacing w:after="100"/>
        <w:jc w:val="both"/>
      </w:pPr>
      <w:r>
        <w:t>Institutional Theory and Strategic Isomorphism</w:t>
      </w:r>
    </w:p>
    <w:p w14:paraId="2F439C52" w14:textId="77777777" w:rsidR="009B6B2C" w:rsidRDefault="006B1F61" w:rsidP="001E5C4B">
      <w:pPr>
        <w:spacing w:after="60"/>
        <w:jc w:val="right"/>
      </w:pPr>
      <w:r>
        <w:t>9. Study Tools</w:t>
      </w:r>
    </w:p>
    <w:p w14:paraId="4FD0BF85" w14:textId="77777777" w:rsidR="009B6B2C" w:rsidRDefault="006B1F61" w:rsidP="001E5C4B">
      <w:pPr>
        <w:pStyle w:val="a4"/>
        <w:numPr>
          <w:ilvl w:val="1"/>
          <w:numId w:val="1"/>
        </w:numPr>
        <w:spacing w:after="100"/>
        <w:jc w:val="both"/>
      </w:pPr>
      <w:r>
        <w:t>Quantitative Analysis</w:t>
      </w:r>
    </w:p>
    <w:p w14:paraId="165020F8" w14:textId="77777777" w:rsidR="009B6B2C" w:rsidRDefault="006B1F61" w:rsidP="001E5C4B">
      <w:pPr>
        <w:pStyle w:val="a4"/>
        <w:numPr>
          <w:ilvl w:val="1"/>
          <w:numId w:val="1"/>
        </w:numPr>
        <w:spacing w:after="100"/>
        <w:jc w:val="both"/>
      </w:pPr>
      <w:r>
        <w:t>Qualitative Coding</w:t>
      </w:r>
    </w:p>
    <w:p w14:paraId="1B0D80CB" w14:textId="77777777" w:rsidR="009B6B2C" w:rsidRDefault="006B1F61" w:rsidP="001E5C4B">
      <w:pPr>
        <w:pStyle w:val="a4"/>
        <w:numPr>
          <w:ilvl w:val="1"/>
          <w:numId w:val="1"/>
        </w:numPr>
        <w:spacing w:after="100"/>
        <w:jc w:val="both"/>
      </w:pPr>
      <w:r>
        <w:t>Secondary Data Sources</w:t>
      </w:r>
    </w:p>
    <w:p w14:paraId="7012B626" w14:textId="77777777" w:rsidR="009B6B2C" w:rsidRDefault="006B1F61" w:rsidP="001E5C4B">
      <w:pPr>
        <w:pStyle w:val="a4"/>
        <w:numPr>
          <w:ilvl w:val="1"/>
          <w:numId w:val="1"/>
        </w:numPr>
        <w:spacing w:after="100"/>
        <w:jc w:val="both"/>
      </w:pPr>
      <w:r>
        <w:t>Reliability and Validity</w:t>
      </w:r>
    </w:p>
    <w:p w14:paraId="18E2B7CF" w14:textId="77777777" w:rsidR="009B6B2C" w:rsidRDefault="006B1F61" w:rsidP="001E5C4B">
      <w:pPr>
        <w:pStyle w:val="a4"/>
        <w:numPr>
          <w:ilvl w:val="1"/>
          <w:numId w:val="1"/>
        </w:numPr>
        <w:spacing w:after="100"/>
        <w:jc w:val="both"/>
      </w:pPr>
      <w:r>
        <w:t>Research Ethics</w:t>
      </w:r>
    </w:p>
    <w:p w14:paraId="4CB2382C" w14:textId="77777777" w:rsidR="009B6B2C" w:rsidRDefault="006B1F61" w:rsidP="001E5C4B">
      <w:pPr>
        <w:spacing w:after="60"/>
        <w:jc w:val="right"/>
      </w:pPr>
      <w:r>
        <w:t>10. Conclusion</w:t>
      </w:r>
    </w:p>
    <w:p w14:paraId="6C21BDC2" w14:textId="77777777" w:rsidR="009B6B2C" w:rsidRDefault="006B1F61" w:rsidP="001E5C4B">
      <w:pPr>
        <w:spacing w:after="60"/>
        <w:jc w:val="right"/>
      </w:pPr>
      <w:r>
        <w:t>11. References</w:t>
      </w:r>
    </w:p>
    <w:p w14:paraId="6579AA25" w14:textId="77777777" w:rsidR="009B6B2C" w:rsidRDefault="006B1F61">
      <w:pPr>
        <w:pStyle w:val="1"/>
        <w:pageBreakBefore/>
        <w:spacing w:before="240" w:after="160"/>
      </w:pPr>
      <w:r>
        <w:lastRenderedPageBreak/>
        <w:t>1. Introduction</w:t>
      </w:r>
    </w:p>
    <w:p w14:paraId="07813239" w14:textId="77777777" w:rsidR="009B6B2C" w:rsidRDefault="006B1F61">
      <w:pPr>
        <w:spacing w:after="200"/>
        <w:jc w:val="both"/>
      </w:pPr>
      <w:r>
        <w:t xml:space="preserve">The global energy sector is undergoing a structural shift that extends beyond market pricing into questions of fiscal and state stability. The Middle East sits at the center of that shift: for decades the region has been the primary supplier to the global energy market, and its economies are built around extracting and exporting hydrocarbons. That historical structural advantage is converting into a liability at a pace regional institutions have not fully priced in. This study defines that condition as the </w:t>
      </w:r>
      <w:r>
        <w:t>"Energy Transition Paradox": a conflict between the entrenched "Oil-for-Development" model and a global Net Zero mandate that leaves progressively less room for it.</w:t>
      </w:r>
    </w:p>
    <w:p w14:paraId="027073F3" w14:textId="77777777" w:rsidR="009B6B2C" w:rsidRDefault="006B1F61">
      <w:pPr>
        <w:spacing w:after="200"/>
        <w:jc w:val="both"/>
      </w:pPr>
      <w:r>
        <w:t xml:space="preserve">In energy economics the term "stranded asset" extends past its accounting definition to cover </w:t>
      </w:r>
      <w:proofErr w:type="spellStart"/>
      <w:r>
        <w:t>unburnable</w:t>
      </w:r>
      <w:proofErr w:type="spellEnd"/>
      <w:r>
        <w:t xml:space="preserve"> carbon: proven reserves and infrastructure worth billions that may never be extracted because demand has relocated to substitute sources. Should the world meet its Paris Agreement targets, a large share of the Middle East's hydrocarbon wealth would lose most of its value. For states funding public healthcare and education alongside large infrastructure programs from hydrocarbon rents, the exposure is sovereign rather than corporate, since the impairment transmits directly to the fiscal base.</w:t>
      </w:r>
    </w:p>
    <w:p w14:paraId="2F1CF071" w14:textId="77777777" w:rsidR="009B6B2C" w:rsidRDefault="006B1F61">
      <w:pPr>
        <w:spacing w:after="200"/>
        <w:jc w:val="both"/>
      </w:pPr>
      <w:r>
        <w:t>This connects to what is sometimes called the "last man standing" theory. Middle Eastern producers hold a structural cost advantage: their crude is among the cheapest to extract worldwide and carries comparatively low carbon intensity. As the world shifts toward renewables, the region is positioned to sustain profitable output longer than most competitors, which creates an incentive to prioritize extraction over diversification while the current model remains viable. Financing a post-carbon transition requi</w:t>
      </w:r>
      <w:r>
        <w:t>res maximizing revenue from the existing hydrocarbon base, a form of concurrent capital allocation in which today's oil revenue funds the hydrogen and solar infrastructure intended to replace it.</w:t>
      </w:r>
    </w:p>
    <w:p w14:paraId="0440FD9E" w14:textId="77777777" w:rsidR="009B6B2C" w:rsidRDefault="006B1F61">
      <w:pPr>
        <w:spacing w:after="200"/>
        <w:jc w:val="both"/>
      </w:pPr>
      <w:r>
        <w:t>The central question this research asks is how executive management in the regional oil and gas sector can navigate that position. The binding constraints are managerial rather than technical. They include hedging against a carbon bubble, retraining a workforce whose expertise was built around drilling operations, and disclosing a change in capital strategy to investors already reducing fossil fuel exposure.</w:t>
      </w:r>
    </w:p>
    <w:p w14:paraId="4C4E435B" w14:textId="77777777" w:rsidR="009B6B2C" w:rsidRDefault="006B1F61">
      <w:pPr>
        <w:spacing w:after="200"/>
        <w:jc w:val="both"/>
      </w:pPr>
      <w:r>
        <w:t>Regional energy firms that manage the financial and operational risk of stranded assets successfully would establish a reference case for other resource-dependent economies. Failure would transmit economic effects beyond the Gulf, given the region's share of global supply and the concentration of sovereign wealth exposed to hydrocarbon valuations.</w:t>
      </w:r>
    </w:p>
    <w:p w14:paraId="717AD34C" w14:textId="77777777" w:rsidR="009B6B2C" w:rsidRDefault="006B1F61">
      <w:pPr>
        <w:spacing w:after="200"/>
        <w:jc w:val="both"/>
      </w:pPr>
      <w:r>
        <w:t>The available planning window is compressed relative to prior transitions: past energy shifts unfolded over a century or more, while this one, driven by falling battery costs and progress in green hydrogen, is likely to be substantially resolved within twenty years. The research question is framed around that horizon and around the pace of capital reallocation: the rate at which Middle Eastern oil and gas producers redirect hydrocarbon revenue into non-hydrocarbon infrastructure, measured against the twenty</w:t>
      </w:r>
      <w:r>
        <w:t>-year demand window established above. Near-term production and disclosure profiles do not distinguish a reallocation strategy from continued extraction-led investment; the reinvestment rate, tracked over successive capital expenditure cycles, does.</w:t>
      </w:r>
    </w:p>
    <w:p w14:paraId="1008F144" w14:textId="77777777" w:rsidR="009B6B2C" w:rsidRDefault="006B1F61">
      <w:pPr>
        <w:pStyle w:val="1"/>
        <w:pageBreakBefore/>
        <w:spacing w:before="240" w:after="160"/>
      </w:pPr>
      <w:r>
        <w:lastRenderedPageBreak/>
        <w:t>2. Research Problem</w:t>
      </w:r>
    </w:p>
    <w:p w14:paraId="421C6B56" w14:textId="77777777" w:rsidR="009B6B2C" w:rsidRDefault="006B1F61">
      <w:pPr>
        <w:spacing w:after="200"/>
        <w:jc w:val="both"/>
      </w:pPr>
      <w:r>
        <w:t>The Middle Eastern energy sector faces a structural shift that decades of prior management experience did not prepare it for. For over fifty years the operating model relied on sustained upstream extraction volumes financed against continuous capacity expansion. That model is now misaligned with the regulatory timeline it operates under: refineries, pipelines, and comparable fixed installations are built with forty- to fifty-year capital recovery periods, while policy under "Net Zero by 2050" targets is com</w:t>
      </w:r>
      <w:r>
        <w:t>pressing demand for their output within roughly half that horizon. A fifty-year asset impairment horizon set against a twenty-year demand window produces a stranded asset: infrastructure that shifts from a balance-sheet strength into a liability, potentially worth trillions of dollars in aggregate.</w:t>
      </w:r>
    </w:p>
    <w:p w14:paraId="574E8D78" w14:textId="77777777" w:rsidR="009B6B2C" w:rsidRDefault="006B1F61">
      <w:pPr>
        <w:spacing w:after="200"/>
        <w:jc w:val="both"/>
      </w:pPr>
      <w:r>
        <w:t>The risk goes beyond direct financial loss. Much of the region's energy leadership still operates with a business-as-usual mindset that underestimates how fast global capital is moving away from fossil fuels. There is no established, region-specific framework that helps Middle Eastern executives identify which assets carry the highest exposure, and no clear plan for redirecting that capital into new energy investments before the transition window closes. The problem this research addresses is how the Middle</w:t>
      </w:r>
      <w:r>
        <w:t xml:space="preserve"> Eastern oil and gas sector can limit its exposure to a carbon bubble correction while sustaining the revenue required to capitalize replacement infrastructure, a question the existing literature has not answered with much specificity.</w:t>
      </w:r>
    </w:p>
    <w:p w14:paraId="7B961C84" w14:textId="77777777" w:rsidR="009B6B2C" w:rsidRDefault="006B1F61">
      <w:pPr>
        <w:pStyle w:val="1"/>
        <w:pageBreakBefore/>
        <w:spacing w:before="240" w:after="160"/>
      </w:pPr>
      <w:r>
        <w:lastRenderedPageBreak/>
        <w:t>3. Significance of the Study</w:t>
      </w:r>
    </w:p>
    <w:p w14:paraId="48D0F1AF" w14:textId="77777777" w:rsidR="009B6B2C" w:rsidRDefault="006B1F61">
      <w:pPr>
        <w:spacing w:after="200"/>
        <w:jc w:val="both"/>
      </w:pPr>
      <w:r>
        <w:t>Identifying the management strategies that reduce stranded-asset risk protects more than the margins of individual state-owned oil companies; it protects the fiscal base of entire economies. The Gulf's social contract, covering public healthcare and education alongside large infrastructure programs, runs on the assumption that hydrocarbon assets will retain their book value. A sudden rather than gradual failure of that assumption would transmit fiscal disruption well beyond the energy sector, and regional p</w:t>
      </w:r>
      <w:r>
        <w:t>olicy currently has no early-warning mechanism calibrated to detect it.</w:t>
      </w:r>
    </w:p>
    <w:p w14:paraId="12D49879" w14:textId="77777777" w:rsidR="009B6B2C" w:rsidRDefault="006B1F61">
      <w:pPr>
        <w:spacing w:after="200"/>
        <w:jc w:val="both"/>
      </w:pPr>
      <w:r>
        <w:t xml:space="preserve">There is also a real gap in the academic literature. Most existing research on stranded assets focuses on Western, high-break-even producers, such as American shale or the Canadian oil sands. The Middle East operates under different conditions: extraction costs are among the lowest in the world, and state-owned enterprise structures mean the mechanics of stranding follow a different logic (Mesa </w:t>
      </w:r>
      <w:proofErr w:type="spellStart"/>
      <w:r>
        <w:t>Puyo</w:t>
      </w:r>
      <w:proofErr w:type="spellEnd"/>
      <w:r>
        <w:t xml:space="preserve"> et al., 2024). By focusing specifically on the Gulf's economic and geopolitical position, this research addresses a gap that global energy economists have noted for years.</w:t>
      </w:r>
    </w:p>
    <w:p w14:paraId="00EA21E4" w14:textId="77777777" w:rsidR="009B6B2C" w:rsidRDefault="006B1F61">
      <w:pPr>
        <w:spacing w:after="200"/>
        <w:jc w:val="both"/>
      </w:pPr>
      <w:r>
        <w:t xml:space="preserve">The practical goal is to move past theoretical modeling and give decision-makers, at the university level and within industry, a usable strategic reference. The intended output is a set of planning parameters that treat transition exposure as a quantifiable and </w:t>
      </w:r>
      <w:proofErr w:type="spellStart"/>
      <w:r>
        <w:t>hedgeable</w:t>
      </w:r>
      <w:proofErr w:type="spellEnd"/>
      <w:r>
        <w:t xml:space="preserve"> risk category rather than an exogenous shock absorbed after the fact. Regional economies that price that exposure correctly limit the fiscal damage and establish a replicable method for other resource-dependent states.</w:t>
      </w:r>
    </w:p>
    <w:p w14:paraId="3122E9B1" w14:textId="77777777" w:rsidR="009B6B2C" w:rsidRDefault="006B1F61">
      <w:pPr>
        <w:pStyle w:val="1"/>
        <w:pageBreakBefore/>
        <w:spacing w:before="240" w:after="160"/>
      </w:pPr>
      <w:r>
        <w:lastRenderedPageBreak/>
        <w:t>4. Objectives of the Study</w:t>
      </w:r>
    </w:p>
    <w:p w14:paraId="236BF82E" w14:textId="77777777" w:rsidR="009B6B2C" w:rsidRDefault="006B1F61">
      <w:pPr>
        <w:spacing w:after="200"/>
        <w:jc w:val="both"/>
      </w:pPr>
      <w:r>
        <w:t>The overall objective is to define stranded-asset risk in Middle Eastern-specific terms and produce a management framework tested against current operating conditions. Specifically, the study aims to:</w:t>
      </w:r>
    </w:p>
    <w:p w14:paraId="001CC9A1" w14:textId="77777777" w:rsidR="009B6B2C" w:rsidRDefault="006B1F61">
      <w:pPr>
        <w:pStyle w:val="a4"/>
        <w:numPr>
          <w:ilvl w:val="0"/>
          <w:numId w:val="1"/>
        </w:numPr>
        <w:spacing w:after="100"/>
      </w:pPr>
      <w:r>
        <w:t>Map which asset categories, upstream extraction, midstream transport, or downstream refining, carry the highest exposure to stranding under aggressive global transition scenarios.</w:t>
      </w:r>
    </w:p>
    <w:p w14:paraId="6B6FD733" w14:textId="77777777" w:rsidR="009B6B2C" w:rsidRDefault="006B1F61">
      <w:pPr>
        <w:pStyle w:val="a4"/>
        <w:numPr>
          <w:ilvl w:val="0"/>
          <w:numId w:val="1"/>
        </w:numPr>
        <w:spacing w:after="100"/>
      </w:pPr>
      <w:r>
        <w:t>Assess how far regional National Oil Companies currently price carbon risk into their long-term (roughly thirty-year) capital expenditure planning.</w:t>
      </w:r>
    </w:p>
    <w:p w14:paraId="3C9FC072" w14:textId="77777777" w:rsidR="009B6B2C" w:rsidRDefault="006B1F61">
      <w:pPr>
        <w:pStyle w:val="a4"/>
        <w:numPr>
          <w:ilvl w:val="0"/>
          <w:numId w:val="1"/>
        </w:numPr>
        <w:spacing w:after="100"/>
      </w:pPr>
      <w:r>
        <w:t>Develop a "managed exit" framework: a model for maximizing current hydrocarbon revenue while building in protection against a sudden drop in global demand.</w:t>
      </w:r>
    </w:p>
    <w:p w14:paraId="57A697B9" w14:textId="77777777" w:rsidR="009B6B2C" w:rsidRDefault="006B1F61">
      <w:pPr>
        <w:pStyle w:val="a4"/>
        <w:numPr>
          <w:ilvl w:val="0"/>
          <w:numId w:val="1"/>
        </w:numPr>
        <w:spacing w:after="100"/>
      </w:pPr>
      <w:r>
        <w:t>Identify where national climate policy and day-to-day operational practice in the legacy energy sector diverge, and generate data that can help close that gap.</w:t>
      </w:r>
    </w:p>
    <w:p w14:paraId="2D178AE5" w14:textId="77777777" w:rsidR="009B6B2C" w:rsidRDefault="006B1F61">
      <w:pPr>
        <w:pStyle w:val="1"/>
        <w:pageBreakBefore/>
        <w:spacing w:before="240" w:after="160"/>
      </w:pPr>
      <w:r>
        <w:t>5. Research Questions</w:t>
      </w:r>
    </w:p>
    <w:p w14:paraId="7B38423D" w14:textId="77777777" w:rsidR="009B6B2C" w:rsidRDefault="006B1F61">
      <w:pPr>
        <w:spacing w:after="60"/>
      </w:pPr>
      <w:r>
        <w:t>1. To what extent is stranded-asset exposure pushing Middle Eastern hydrocarbon assets toward overvaluation as Net Zero mandates move from policy statements toward binding law?</w:t>
      </w:r>
    </w:p>
    <w:p w14:paraId="38521034" w14:textId="77777777" w:rsidR="009B6B2C" w:rsidRDefault="006B1F61">
      <w:pPr>
        <w:spacing w:after="60"/>
      </w:pPr>
      <w:r>
        <w:t>2. How do Gulf energy executives perceive stranded-asset risk compared with their Western counterparts, and what cultural or economic factors explain the difference?</w:t>
      </w:r>
    </w:p>
    <w:p w14:paraId="3F445FE6" w14:textId="77777777" w:rsidR="009B6B2C" w:rsidRDefault="006B1F61">
      <w:pPr>
        <w:spacing w:after="60"/>
      </w:pPr>
      <w:r>
        <w:t>3. Does the region's low-cost, low-carbon extraction advantage act as a long-term shield against stranding, or does it mainly delay a larger shock?</w:t>
      </w:r>
    </w:p>
    <w:p w14:paraId="3D1FDF8F" w14:textId="77777777" w:rsidR="009B6B2C" w:rsidRDefault="006B1F61">
      <w:pPr>
        <w:spacing w:after="60"/>
      </w:pPr>
      <w:r>
        <w:t>4. Among available interventions, such as carbon capture integration or hydrogen diversification, which show the strongest track record of converting exposed assets into viable components of the new energy economy?</w:t>
      </w:r>
    </w:p>
    <w:p w14:paraId="0AD04519" w14:textId="77777777" w:rsidR="009B6B2C" w:rsidRDefault="006B1F61">
      <w:pPr>
        <w:pStyle w:val="1"/>
        <w:pageBreakBefore/>
        <w:spacing w:before="240" w:after="160"/>
      </w:pPr>
      <w:r>
        <w:t>6. Hypotheses</w:t>
      </w:r>
    </w:p>
    <w:p w14:paraId="72F782E1" w14:textId="77777777" w:rsidR="009B6B2C" w:rsidRDefault="006B1F61">
      <w:pPr>
        <w:spacing w:after="200"/>
        <w:jc w:val="both"/>
      </w:pPr>
      <w:r>
        <w:t>Based on the Gulf's current macroeconomic structure and the pace of the global energy shift, this study tests three hypotheses:</w:t>
      </w:r>
    </w:p>
    <w:p w14:paraId="1C64F7CA" w14:textId="77777777" w:rsidR="009B6B2C" w:rsidRDefault="006B1F61">
      <w:pPr>
        <w:spacing w:after="200"/>
        <w:jc w:val="both"/>
      </w:pPr>
      <w:r>
        <w:rPr>
          <w:b/>
          <w:bCs/>
        </w:rPr>
        <w:t>H1:</w:t>
      </w:r>
      <w:r>
        <w:t xml:space="preserve"> There is a measurable negative correlation between the acceleration of global ESG investment mandates and the long-term valuation of Middle Eastern "brown" infrastructure. As global capital shifts toward green investment, the terminal value of regional legacy assets is likely to decline faster than current models predict.</w:t>
      </w:r>
    </w:p>
    <w:p w14:paraId="6882B235" w14:textId="77777777" w:rsidR="009B6B2C" w:rsidRDefault="006B1F61">
      <w:pPr>
        <w:spacing w:after="200"/>
        <w:jc w:val="both"/>
      </w:pPr>
      <w:r>
        <w:rPr>
          <w:b/>
          <w:bCs/>
        </w:rPr>
        <w:t>H2:</w:t>
      </w:r>
      <w:r>
        <w:t xml:space="preserve"> Regional energy companies that build stranded-asset risk directly into their core management accounting are more successful at securing foreign direct investment for renewable energy portfolios.</w:t>
      </w:r>
    </w:p>
    <w:p w14:paraId="78FB9370" w14:textId="77777777" w:rsidR="009B6B2C" w:rsidRDefault="006B1F61">
      <w:pPr>
        <w:spacing w:after="200"/>
        <w:jc w:val="both"/>
      </w:pPr>
      <w:r>
        <w:rPr>
          <w:b/>
          <w:bCs/>
        </w:rPr>
        <w:t>H3:</w:t>
      </w:r>
      <w:r>
        <w:t xml:space="preserve"> Stranded-asset exposure is most pronounced in states where the social contract depends heavily on immediate hydrocarbon revenue. That dependence creates a management bias toward short-term extraction over the long-term resilience of the asset base.</w:t>
      </w:r>
    </w:p>
    <w:p w14:paraId="66541703" w14:textId="77777777" w:rsidR="009B6B2C" w:rsidRDefault="006B1F61">
      <w:pPr>
        <w:pStyle w:val="1"/>
        <w:pageBreakBefore/>
        <w:spacing w:before="240" w:after="160"/>
      </w:pPr>
      <w:r>
        <w:t>7. Previous Studies (Literature Review: Global Trends)</w:t>
      </w:r>
    </w:p>
    <w:p w14:paraId="4303BA83" w14:textId="77777777" w:rsidR="009B6B2C" w:rsidRDefault="006B1F61">
      <w:pPr>
        <w:spacing w:after="200"/>
        <w:jc w:val="both"/>
      </w:pPr>
      <w:r>
        <w:t>Understanding stranded-asset exposure in the Middle East requires first situating it within structural shifts affecting global fossil fuel demand. Literature published between 2024 and early 2026 tracks a shift from theorizing about an eventual energy transition to markets actively repricing the future around it.</w:t>
      </w:r>
    </w:p>
    <w:p w14:paraId="01170710" w14:textId="77777777" w:rsidR="009B6B2C" w:rsidRDefault="006B1F61">
      <w:pPr>
        <w:pStyle w:val="2"/>
        <w:spacing w:before="240" w:after="120"/>
      </w:pPr>
      <w:r>
        <w:t>The IEA and the "Age of Electricity"</w:t>
      </w:r>
    </w:p>
    <w:p w14:paraId="6B76B1A0" w14:textId="77777777" w:rsidR="009B6B2C" w:rsidRDefault="006B1F61">
      <w:pPr>
        <w:spacing w:after="200"/>
        <w:jc w:val="both"/>
      </w:pPr>
      <w:r>
        <w:t xml:space="preserve">The International Energy Agency's </w:t>
      </w:r>
      <w:r>
        <w:rPr>
          <w:i/>
          <w:iCs/>
        </w:rPr>
        <w:t>World Energy Investment 2025</w:t>
      </w:r>
      <w:r>
        <w:t xml:space="preserve"> report moved the debate past the old question of whether fossil fuel demand would eventually peak. Global investment in clean energy technologies, renewables, nuclear, grids, storage, low-emissions fuels, efficiency, and electrification, was on course to reach roughly $2.2 trillion in 2025, about double the $1.1 trillion projected for oil, gas, and coal (IEA, 2025b). BloombergNEF's own year-end tally put total energy-transition investment at $2.3 trillion for 2025, up 8% from 2024 (BloombergNEF, 2026), a s</w:t>
      </w:r>
      <w:r>
        <w:t>eparate but consistent estimate.</w:t>
      </w:r>
    </w:p>
    <w:p w14:paraId="43892589" w14:textId="77777777" w:rsidR="009B6B2C" w:rsidRDefault="006B1F61">
      <w:pPr>
        <w:spacing w:after="200"/>
        <w:jc w:val="both"/>
      </w:pPr>
      <w:r>
        <w:t>Even absent new climate policy, the IEA projects that current momentum in solar deployment and EV adoption alone will push demand for all three fossil fuels toward a peak before the end of this decade. Measured against a forty-year payback horizon, extraction infrastructure sanctioned in the current cycle faces a demand curve that peaks within five years of commissioning, which places the asset in an impairment position from the point of sanction rather than at some later date.</w:t>
      </w:r>
    </w:p>
    <w:p w14:paraId="7F71D90D" w14:textId="77777777" w:rsidR="009B6B2C" w:rsidRDefault="006B1F61">
      <w:pPr>
        <w:pStyle w:val="2"/>
        <w:spacing w:before="240" w:after="120"/>
      </w:pPr>
      <w:r>
        <w:t>The "Carbon Bubble" and Systemic Risk</w:t>
      </w:r>
    </w:p>
    <w:p w14:paraId="4DA0B139" w14:textId="77777777" w:rsidR="009B6B2C" w:rsidRDefault="006B1F61">
      <w:pPr>
        <w:spacing w:after="200"/>
        <w:jc w:val="both"/>
      </w:pPr>
      <w:r>
        <w:t>Where the IEA tracks physical infrastructure, financial researchers, including the Carbon Tracker Initiative and the CFA Institute, focus on a related risk: the "carbon bubble." Their argument is that current market valuations for legacy energy companies assume nearly all proven reserves will eventually be extracted and sold. That assumption does not match a Paris-compliant future. A 2025 report from Finance Watch put the world's largest banks' direct credit exposure to fossil fuel extraction, production, a</w:t>
      </w:r>
      <w:r>
        <w:t xml:space="preserve">nd power at more than $1.6 trillion (Ford, 2025). That scale of exposure is behind a growing body of research calling for climate-specific systemic risk buffers, meant to prevent a 2008-style cascading failure once markets price in the reality of </w:t>
      </w:r>
      <w:proofErr w:type="spellStart"/>
      <w:r>
        <w:t>unburnable</w:t>
      </w:r>
      <w:proofErr w:type="spellEnd"/>
      <w:r>
        <w:t xml:space="preserve"> carbon.</w:t>
      </w:r>
    </w:p>
    <w:p w14:paraId="28BBA7F5" w14:textId="77777777" w:rsidR="009B6B2C" w:rsidRDefault="006B1F61">
      <w:pPr>
        <w:spacing w:after="200"/>
        <w:jc w:val="both"/>
      </w:pPr>
      <w:r>
        <w:t xml:space="preserve">The baseline calculation for </w:t>
      </w:r>
      <w:proofErr w:type="spellStart"/>
      <w:r>
        <w:t>unburnable</w:t>
      </w:r>
      <w:proofErr w:type="spellEnd"/>
      <w:r>
        <w:t xml:space="preserve"> carbon remains consistent with earlier models. McGlade and </w:t>
      </w:r>
      <w:proofErr w:type="spellStart"/>
      <w:r>
        <w:t>Ekins</w:t>
      </w:r>
      <w:proofErr w:type="spellEnd"/>
      <w:r>
        <w:t xml:space="preserve"> (2015) established the baseline calculation a decade ago: keeping warming under 2°C requires leaving at least a third of known oil reserves and half of known gas reserves </w:t>
      </w:r>
      <w:proofErr w:type="spellStart"/>
      <w:r>
        <w:t>unextracted</w:t>
      </w:r>
      <w:proofErr w:type="spellEnd"/>
      <w:r>
        <w:t>. Later analysis through 2025 and 2026 has largely confirmed that figure rather than revising it downward.</w:t>
      </w:r>
    </w:p>
    <w:p w14:paraId="42272A16" w14:textId="77777777" w:rsidR="009B6B2C" w:rsidRDefault="006B1F61">
      <w:pPr>
        <w:pStyle w:val="2"/>
        <w:spacing w:before="240" w:after="120"/>
      </w:pPr>
      <w:r>
        <w:t>The Paris Agreement vs. Geopolitical Reality</w:t>
      </w:r>
    </w:p>
    <w:p w14:paraId="73865DCA" w14:textId="77777777" w:rsidR="009B6B2C" w:rsidRDefault="006B1F61">
      <w:pPr>
        <w:spacing w:after="200"/>
        <w:jc w:val="both"/>
      </w:pPr>
      <w:r>
        <w:t>A decade after the Paris Agreement, the literature tracks what has become known as the "production gap": as of late 2025, governments worldwide were still planning to extract roughly 120% more fossil fuel by 2030 than a 1.5°C pathway allows. That gap between stated policy and planned production has widened rather than closed.</w:t>
      </w:r>
    </w:p>
    <w:p w14:paraId="04C8F962" w14:textId="77777777" w:rsidR="009B6B2C" w:rsidRDefault="006B1F61">
      <w:pPr>
        <w:spacing w:after="200"/>
        <w:jc w:val="both"/>
      </w:pPr>
      <w:r>
        <w:t>Geopolitics has made the picture less predictable, not more. The United States formally withdrew from the Paris framework in January 2026, and several Western oil majors have since reframed their own Paris-era commitments as aspirations rather than binding targets. At the same time, the 2025 Global Stocktake at COP30 concluded that the momentum behind renewables is increasingly independent of political commitment: the "green premium," the extra cost of choosing renewable over fossil-based infrastructure, fe</w:t>
      </w:r>
      <w:r>
        <w:t>ll from about 19% to 15% over roughly two years (</w:t>
      </w:r>
      <w:proofErr w:type="spellStart"/>
      <w:r>
        <w:t>Wojtaszek</w:t>
      </w:r>
      <w:proofErr w:type="spellEnd"/>
      <w:r>
        <w:t>, 2025).</w:t>
      </w:r>
    </w:p>
    <w:p w14:paraId="2D13E6C4" w14:textId="77777777" w:rsidR="009B6B2C" w:rsidRDefault="006B1F61">
      <w:pPr>
        <w:spacing w:after="200"/>
        <w:jc w:val="both"/>
      </w:pPr>
      <w:r>
        <w:t>This literature converges on a few overlapping pressures. Falling costs in solar and battery technology are undercutting fossil fuel economics faster than legacy producers can adjust to, and ESG-driven capital allocation is making finance for new fossil fuel projects harder and more expensive to secure. Even allowing for the political fragmentation of the past year, the long-term regulatory trend still points toward a managed exit from hydrocarbons.</w:t>
      </w:r>
    </w:p>
    <w:p w14:paraId="6F88AF96" w14:textId="77777777" w:rsidR="009B6B2C" w:rsidRDefault="006B1F61">
      <w:pPr>
        <w:spacing w:after="200"/>
        <w:jc w:val="both"/>
      </w:pPr>
      <w:r>
        <w:t>This body of work gives little sustained treatment to the Middle East's principal cost advantage. Most Western research models oil as a uniform commodity, which obscures the break-even dispersion that determines the sequence in which producing assets strand. Barrels do not strand simultaneously; they strand in ascending order of marginal production cost, and that ordering places GCC output last in the queue.</w:t>
      </w:r>
    </w:p>
    <w:p w14:paraId="69C50B25" w14:textId="77777777" w:rsidR="009B6B2C" w:rsidRDefault="006B1F61">
      <w:pPr>
        <w:pStyle w:val="1"/>
        <w:pageBreakBefore/>
        <w:spacing w:before="240" w:after="160"/>
      </w:pPr>
      <w:r>
        <w:t>8. Theoretical Framework</w:t>
      </w:r>
    </w:p>
    <w:p w14:paraId="47497BCF" w14:textId="77777777" w:rsidR="009B6B2C" w:rsidRDefault="006B1F61">
      <w:pPr>
        <w:pStyle w:val="2"/>
        <w:spacing w:before="240" w:after="120"/>
      </w:pPr>
      <w:r>
        <w:t>The Resource-Based View and the VRIN Challenge</w:t>
      </w:r>
    </w:p>
    <w:p w14:paraId="691F8738" w14:textId="77777777" w:rsidR="009B6B2C" w:rsidRDefault="006B1F61">
      <w:pPr>
        <w:spacing w:after="200"/>
        <w:jc w:val="both"/>
      </w:pPr>
      <w:r>
        <w:t>The durability of the region's resource advantage is the starting point for assessing whether current output maximization is compatible with long-run stranded-asset mitigation. The Resource-Based View holds that a firm gains a durable competitive advantage when its core assets are Valuable, Rare, Inimitable, and Non-substitutable, the VRIN criteria (Barney, 1991). For most of the past century, Middle Eastern National Oil Companies held close to a textbook case of a VRIN resource: vast reserves of high-margi</w:t>
      </w:r>
      <w:r>
        <w:t>n, low-cost crude.</w:t>
      </w:r>
    </w:p>
    <w:p w14:paraId="79935312" w14:textId="77777777" w:rsidR="009B6B2C" w:rsidRDefault="006B1F61">
      <w:pPr>
        <w:spacing w:after="200"/>
        <w:jc w:val="both"/>
      </w:pPr>
      <w:r>
        <w:t>That advantage is now eroding specifically on the non-substitutable dimension. Hydrocarbons are being replaced, gradually but consistently, by electricity and green hydrogen. The theoretical problem for regional executives is how to sustain a competitive position once the anchor resource loses its uniqueness. This study treats the paradox itself as an application of RBV logic under pressure: regional firms are trying to convert carbon-intensive oil assets into lower-carbon energy assets, through carbon capt</w:t>
      </w:r>
      <w:r>
        <w:t>ure integration or hydrogen conversion, in an effort to rebuild non-substitutable status rather than lose it outright.</w:t>
      </w:r>
    </w:p>
    <w:p w14:paraId="23E6D0AD" w14:textId="77777777" w:rsidR="009B6B2C" w:rsidRDefault="006B1F61">
      <w:pPr>
        <w:pStyle w:val="2"/>
        <w:spacing w:before="240" w:after="120"/>
      </w:pPr>
      <w:r>
        <w:t>Transition Management and the Multi-Level Perspective</w:t>
      </w:r>
    </w:p>
    <w:p w14:paraId="68E04F57" w14:textId="77777777" w:rsidR="009B6B2C" w:rsidRDefault="006B1F61">
      <w:pPr>
        <w:spacing w:after="200"/>
        <w:jc w:val="both"/>
      </w:pPr>
      <w:r>
        <w:t>The Multi-Level Perspective (MLP) addresses the structural pressure acting on the production system rather than the composition of the asset base (</w:t>
      </w:r>
      <w:proofErr w:type="spellStart"/>
      <w:r>
        <w:t>Geels</w:t>
      </w:r>
      <w:proofErr w:type="spellEnd"/>
      <w:r>
        <w:t xml:space="preserve">, 2002). MLP specifies transitions as a three-level dynamic: the landscape (macro-level forces such as global climate treaties and the Paris Agreement), the regime (the </w:t>
      </w:r>
      <w:proofErr w:type="spellStart"/>
      <w:r>
        <w:t>meso-level</w:t>
      </w:r>
      <w:proofErr w:type="spellEnd"/>
      <w:r>
        <w:t xml:space="preserve"> oil and gas system, held in place by legacy rules, state subsidies, and existing infrastructure), and the niche (micro-level innovations such as green hydrogen, AI-optimized extraction, and point-source carbon capture).</w:t>
      </w:r>
    </w:p>
    <w:p w14:paraId="0050BC4A" w14:textId="77777777" w:rsidR="009B6B2C" w:rsidRDefault="006B1F61">
      <w:pPr>
        <w:spacing w:after="200"/>
        <w:jc w:val="both"/>
      </w:pPr>
      <w:r>
        <w:t>This structural misalignment occurs because the landscape is pushing for a rapid exit while the regime, the region's embedded oil and gas system, remains too load-bearing in the region's economic structure to be dismantled quickly. In MLP terms, regional energy firms are constructing a hybrid regime rather than transitioning out of the old one, keeping legacy infrastructure generating revenue while investing enough in niche technology to satisfy landscape-level pressure. This accounts for state actors expan</w:t>
      </w:r>
      <w:r>
        <w:t>ding large-scale oil production and large-scale solar capacity within the same budget cycle.</w:t>
      </w:r>
    </w:p>
    <w:p w14:paraId="345403C7" w14:textId="77777777" w:rsidR="009B6B2C" w:rsidRDefault="006B1F61">
      <w:pPr>
        <w:pStyle w:val="2"/>
        <w:spacing w:before="240" w:after="120"/>
      </w:pPr>
      <w:r>
        <w:t>Institutional Theory and Strategic Isomorphism</w:t>
      </w:r>
    </w:p>
    <w:p w14:paraId="1621B92C" w14:textId="77777777" w:rsidR="009B6B2C" w:rsidRDefault="006B1F61">
      <w:pPr>
        <w:spacing w:after="200"/>
        <w:jc w:val="both"/>
      </w:pPr>
      <w:r>
        <w:t xml:space="preserve">The recent, fairly sudden interest regional energy firms have taken in ESG reporting is better explained by Institutional Theory than by pure economics, since the theory holds that large organizations act partly to secure legitimacy within their operating environment and not only to maximize efficiency. Across the Gulf, that behavior takes the form of strategic isomorphism: Middle Eastern NOCs adopting the disclosure frameworks and reporting conventions of Western green-leaning energy firms. </w:t>
      </w:r>
      <w:proofErr w:type="spellStart"/>
      <w:r>
        <w:t>Morgunova</w:t>
      </w:r>
      <w:proofErr w:type="spellEnd"/>
      <w:r>
        <w:t xml:space="preserve"> and </w:t>
      </w:r>
      <w:proofErr w:type="spellStart"/>
      <w:r>
        <w:t>Shaton</w:t>
      </w:r>
      <w:proofErr w:type="spellEnd"/>
      <w:r>
        <w:t xml:space="preserve"> (2022) find a similar dynamic among international oil majors more broadly: companies increasingly describe themselves as part of the climate problem while positioning their own transition strategies as evidence of good-faith participation, a framing that is as much about legitimacy as about operational change. The underlying reason is practical. Access to institutional capital increasingly depends on a company's ESG profile; a balance sheet that does not read as sufficiently green risks</w:t>
      </w:r>
      <w:r>
        <w:t xml:space="preserve"> losing access to the capital pools needed to fund diversification. Within this framework, the current push toward blue ammonia and carbon capture investment is treated as an empirical question rather than a settled classification: it may represent a structural shift in asset composition, or institutional signaling intended primarily to protect existing assets from divestment pressure, and the methodology below is designed to distinguish between the two.</w:t>
      </w:r>
    </w:p>
    <w:p w14:paraId="26C9809D" w14:textId="77777777" w:rsidR="009B6B2C" w:rsidRDefault="006B1F61">
      <w:pPr>
        <w:spacing w:after="200"/>
        <w:jc w:val="both"/>
      </w:pPr>
      <w:r>
        <w:t>Consequently, the sector is deploying a depreciating resource advantage to finance a reallocation that institutional capital pressure is compelling on a timeline the sector does not control. The strategic variable under management has moved from production volume to exposure duration: the interval between capital sanction and the point at which regulatory or demand conditions impair the asset.</w:t>
      </w:r>
    </w:p>
    <w:p w14:paraId="1B57C048" w14:textId="77777777" w:rsidR="009B6B2C" w:rsidRDefault="006B1F61">
      <w:pPr>
        <w:pStyle w:val="1"/>
        <w:pageBreakBefore/>
        <w:spacing w:before="240" w:after="160"/>
      </w:pPr>
      <w:r>
        <w:t>9. Study Tools</w:t>
      </w:r>
    </w:p>
    <w:p w14:paraId="10785B4F" w14:textId="77777777" w:rsidR="009B6B2C" w:rsidRDefault="006B1F61">
      <w:pPr>
        <w:spacing w:after="200"/>
        <w:jc w:val="both"/>
      </w:pPr>
      <w:r>
        <w:t>This research combines quantitative financial data with qualitative analysis of corporate communication to assess whether public disclosure from company leadership is consistent with the underlying condition of their balance sheets.</w:t>
      </w:r>
    </w:p>
    <w:p w14:paraId="74538E4F" w14:textId="77777777" w:rsidR="009B6B2C" w:rsidRDefault="006B1F61">
      <w:pPr>
        <w:pStyle w:val="2"/>
        <w:spacing w:before="240" w:after="120"/>
      </w:pPr>
      <w:r>
        <w:t>Quantitative Analysis</w:t>
      </w:r>
    </w:p>
    <w:p w14:paraId="448757C6" w14:textId="77777777" w:rsidR="009B6B2C" w:rsidRDefault="006B1F61">
      <w:pPr>
        <w:spacing w:after="200"/>
        <w:jc w:val="both"/>
      </w:pPr>
      <w:r>
        <w:t xml:space="preserve">Bloomberg Terminal and </w:t>
      </w:r>
      <w:proofErr w:type="spellStart"/>
      <w:r>
        <w:t>Refinitiv</w:t>
      </w:r>
      <w:proofErr w:type="spellEnd"/>
      <w:r>
        <w:t xml:space="preserve"> </w:t>
      </w:r>
      <w:proofErr w:type="spellStart"/>
      <w:r>
        <w:t>Eikon</w:t>
      </w:r>
      <w:proofErr w:type="spellEnd"/>
      <w:r>
        <w:t xml:space="preserve"> provide real-time asset impairment data and cost-of-capital metrics for the study's primary case companies, Saudi Aramco and ADNOC. Stranded-asset exposure is modeled through discounted cash flow (DCF) analysis and impairment testing on individual infrastructure assets, with terminal-value assumptions stress-tested against IEA demand baselines to identify the capital expenditure horizon at which a given asset's projected value turns negative.</w:t>
      </w:r>
    </w:p>
    <w:p w14:paraId="173F1023" w14:textId="77777777" w:rsidR="009B6B2C" w:rsidRDefault="006B1F61">
      <w:pPr>
        <w:pStyle w:val="2"/>
        <w:spacing w:before="240" w:after="120"/>
      </w:pPr>
      <w:r>
        <w:t>Qualitative Coding</w:t>
      </w:r>
    </w:p>
    <w:p w14:paraId="695AD3F2" w14:textId="77777777" w:rsidR="009B6B2C" w:rsidRDefault="006B1F61">
      <w:pPr>
        <w:spacing w:after="200"/>
        <w:jc w:val="both"/>
      </w:pPr>
      <w:r>
        <w:t>Financial data alone does not capture management intent, so this study also applies structured content coding to corporate communication: annual reports, Vision 2030 strategic updates, and ESG disclosures published between 2023 and early 2026. Disclosure-language disparities between capacity-expansion terminology and stranded-asset-risk terminology are quantified as a proxy for management's internal risk pricing.</w:t>
      </w:r>
    </w:p>
    <w:p w14:paraId="5C81E4D2" w14:textId="77777777" w:rsidR="009B6B2C" w:rsidRDefault="006B1F61">
      <w:pPr>
        <w:pStyle w:val="2"/>
        <w:spacing w:before="240" w:after="120"/>
      </w:pPr>
      <w:r>
        <w:t>Secondary Data Sources</w:t>
      </w:r>
    </w:p>
    <w:p w14:paraId="7E343A6E" w14:textId="77777777" w:rsidR="009B6B2C" w:rsidRDefault="006B1F61">
      <w:pPr>
        <w:pStyle w:val="a4"/>
        <w:numPr>
          <w:ilvl w:val="0"/>
          <w:numId w:val="1"/>
        </w:numPr>
        <w:spacing w:after="100"/>
      </w:pPr>
      <w:r>
        <w:t xml:space="preserve">The IEA </w:t>
      </w:r>
      <w:r>
        <w:rPr>
          <w:i/>
          <w:iCs/>
        </w:rPr>
        <w:t>World Energy Outlook 2025</w:t>
      </w:r>
      <w:r>
        <w:t xml:space="preserve"> and </w:t>
      </w:r>
      <w:r>
        <w:rPr>
          <w:i/>
          <w:iCs/>
        </w:rPr>
        <w:t>Global Critical Minerals Outlook 2026</w:t>
      </w:r>
      <w:r>
        <w:t>, used as the baseline for Net Zero demand and supply-chain projections.</w:t>
      </w:r>
    </w:p>
    <w:p w14:paraId="34B28E9D" w14:textId="77777777" w:rsidR="009B6B2C" w:rsidRDefault="006B1F61">
      <w:pPr>
        <w:pStyle w:val="a4"/>
        <w:numPr>
          <w:ilvl w:val="0"/>
          <w:numId w:val="1"/>
        </w:numPr>
        <w:spacing w:after="100"/>
      </w:pPr>
      <w:r>
        <w:t xml:space="preserve">The </w:t>
      </w:r>
      <w:proofErr w:type="spellStart"/>
      <w:r>
        <w:t>KAPSARC</w:t>
      </w:r>
      <w:proofErr w:type="spellEnd"/>
      <w:r>
        <w:t xml:space="preserve"> Energy Data Portal, for region-specific data that Western-focused sources tend to miss.</w:t>
      </w:r>
    </w:p>
    <w:p w14:paraId="4115F23B" w14:textId="77777777" w:rsidR="009B6B2C" w:rsidRDefault="006B1F61">
      <w:pPr>
        <w:pStyle w:val="a4"/>
        <w:numPr>
          <w:ilvl w:val="0"/>
          <w:numId w:val="1"/>
        </w:numPr>
        <w:spacing w:after="100"/>
      </w:pPr>
      <w:r>
        <w:t>Regional geopolitical risk indices, used given the recent volatility affecting Gulf energy infrastructure directly.</w:t>
      </w:r>
    </w:p>
    <w:p w14:paraId="01FA8912" w14:textId="77777777" w:rsidR="009B6B2C" w:rsidRDefault="006B1F61">
      <w:pPr>
        <w:pStyle w:val="2"/>
        <w:spacing w:before="240" w:after="120"/>
      </w:pPr>
      <w:r>
        <w:t>Reliability and Validity</w:t>
      </w:r>
    </w:p>
    <w:p w14:paraId="03691D88" w14:textId="77777777" w:rsidR="009B6B2C" w:rsidRDefault="006B1F61">
      <w:pPr>
        <w:spacing w:after="200"/>
        <w:jc w:val="both"/>
      </w:pPr>
      <w:r>
        <w:t>Transparency is uneven across the regional energy sector, so findings are cross-referenced against independent market data (Bloomberg) and third-party research (the Carbon Tracker Initiative) rather than taken from a single disclosure source. Working definitions of "stranded asset" are also checked against current CFA Institute standards, so the terminology used here stays consistent with the wider field rather than being defined idiosyncratically for this study.</w:t>
      </w:r>
    </w:p>
    <w:p w14:paraId="729EA167" w14:textId="77777777" w:rsidR="009B6B2C" w:rsidRDefault="006B1F61">
      <w:pPr>
        <w:pStyle w:val="2"/>
        <w:spacing w:before="240" w:after="120"/>
      </w:pPr>
      <w:r>
        <w:t>Research Ethics</w:t>
      </w:r>
    </w:p>
    <w:p w14:paraId="4AA2E9B1" w14:textId="77777777" w:rsidR="009B6B2C" w:rsidRDefault="006B1F61">
      <w:pPr>
        <w:spacing w:after="200"/>
        <w:jc w:val="both"/>
      </w:pPr>
      <w:r>
        <w:t>Because this research covers the economic foundation of an entire region, it follows a data-integrity protocol appropriate to reliance on public secondary sources. Corporate disclosures are treated as company-reported information subject to potential selective framing, not as verified fact, and are cross-referenced against independent market data before being used to support a finding. Given the market volatility through early 2026, every data point pulled from a terminal source is timestamped, since the sa</w:t>
      </w:r>
      <w:r>
        <w:t>me figure can carry a different meaning a month apart. Any off-the-record insight from industry contacts is anonymized, in line with [University Name]'s ethical oversight requirements, and the researcher discloses no financial or advisory relationship with the companies under study that would constitute a conflict of interest.</w:t>
      </w:r>
    </w:p>
    <w:p w14:paraId="66EC1878" w14:textId="77777777" w:rsidR="009B6B2C" w:rsidRDefault="006B1F61">
      <w:pPr>
        <w:spacing w:after="200"/>
        <w:jc w:val="both"/>
      </w:pPr>
      <w:r>
        <w:t>The measurement framework also incorporates physical stranding as a separate exposure category, quantifying asset loss attributable to direct damage or geopolitical conflict alongside the demand- and policy-driven impairment channels modeled above.</w:t>
      </w:r>
    </w:p>
    <w:p w14:paraId="0A73A663" w14:textId="77777777" w:rsidR="009B6B2C" w:rsidRDefault="006B1F61">
      <w:pPr>
        <w:pStyle w:val="1"/>
        <w:pageBreakBefore/>
        <w:spacing w:before="240" w:after="160"/>
      </w:pPr>
      <w:r>
        <w:t>10. Conclusion</w:t>
      </w:r>
    </w:p>
    <w:p w14:paraId="11C2E1EF" w14:textId="77777777" w:rsidR="009B6B2C" w:rsidRDefault="006B1F61">
      <w:pPr>
        <w:spacing w:after="200"/>
        <w:jc w:val="both"/>
      </w:pPr>
      <w:r>
        <w:t>Stranded-asset exposure is a measurable present condition in the Middle East's energy economy. Repricing of the regional asset base is already underway in capital markets, which locates the analytical problem in the management of that repricing rather than in forecasting its onset.</w:t>
      </w:r>
    </w:p>
    <w:p w14:paraId="7C62499D" w14:textId="77777777" w:rsidR="009B6B2C" w:rsidRDefault="006B1F61">
      <w:pPr>
        <w:spacing w:after="200"/>
        <w:jc w:val="both"/>
      </w:pPr>
      <w:r>
        <w:t>This research argues that regional energy companies are pursuing a capital allocation strategy with limited historical precedent: extracting the lowest-cost, lowest-carbon oil available at the rate the market will absorb, on the basis that this output generates the capital required to fund post-carbon infrastructure. Hydrocarbon revenue is therefore functioning as the primary funding source for the assets intended to displace it, which makes the sequencing of that reinvestment a determinant of whether the s</w:t>
      </w:r>
      <w:r>
        <w:t>trategy succeeds.</w:t>
      </w:r>
    </w:p>
    <w:p w14:paraId="61AF0A4A" w14:textId="77777777" w:rsidR="009B6B2C" w:rsidRDefault="006B1F61">
      <w:pPr>
        <w:spacing w:after="200"/>
        <w:jc w:val="both"/>
      </w:pPr>
      <w:r>
        <w:t>The execution risk in that strategy is material. Should executive teams misjudge the pace of physical and financial stranding, or treat ESG disclosure as a substitute for structural resilience, the resulting shock would transmit to a fiscal base already dependent on hydrocarbon revenue. Accurate exposure pricing and disciplined reinvestment sequencing would instead establish a documented method by which a resource-dependent state restructures its capital base in advance of a demand correction.</w:t>
      </w:r>
    </w:p>
    <w:p w14:paraId="132A9546" w14:textId="77777777" w:rsidR="009B6B2C" w:rsidRDefault="006B1F61">
      <w:pPr>
        <w:spacing w:after="200"/>
        <w:jc w:val="both"/>
      </w:pPr>
      <w:r>
        <w:t xml:space="preserve">This study examines the transitional </w:t>
      </w:r>
      <w:proofErr w:type="spellStart"/>
      <w:r>
        <w:t>capex</w:t>
      </w:r>
      <w:proofErr w:type="spellEnd"/>
      <w:r>
        <w:t xml:space="preserve"> sequencing by which hydrocarbon revenue is redirected toward substitute energy infrastructure, using data generated while those allocation decisions are still being made.</w:t>
      </w:r>
    </w:p>
    <w:p w14:paraId="63AD507B" w14:textId="77777777" w:rsidR="009B6B2C" w:rsidRDefault="006B1F61">
      <w:pPr>
        <w:pStyle w:val="1"/>
        <w:pageBreakBefore/>
        <w:spacing w:before="240" w:after="160"/>
      </w:pPr>
      <w:r>
        <w:t>11. References</w:t>
      </w:r>
    </w:p>
    <w:p w14:paraId="0AF5656A" w14:textId="77777777" w:rsidR="009B6B2C" w:rsidRDefault="006B1F61">
      <w:pPr>
        <w:pStyle w:val="2"/>
        <w:spacing w:before="240" w:after="120"/>
      </w:pPr>
      <w:r>
        <w:t>Institutional &amp; industry reports</w:t>
      </w:r>
    </w:p>
    <w:p w14:paraId="0340481D" w14:textId="77777777" w:rsidR="009B6B2C" w:rsidRDefault="006B1F61">
      <w:pPr>
        <w:spacing w:after="200"/>
        <w:jc w:val="both"/>
      </w:pPr>
      <w:r>
        <w:t xml:space="preserve">ADNOC. (2025). </w:t>
      </w:r>
      <w:r>
        <w:rPr>
          <w:i/>
          <w:iCs/>
        </w:rPr>
        <w:t>Accelerating the energy transition: 2024 sustainability report.</w:t>
      </w:r>
      <w:r>
        <w:t xml:space="preserve"> Abu Dhabi National Oil Company.</w:t>
      </w:r>
    </w:p>
    <w:p w14:paraId="541B2147" w14:textId="77777777" w:rsidR="009B6B2C" w:rsidRDefault="006B1F61">
      <w:pPr>
        <w:spacing w:after="200"/>
        <w:jc w:val="both"/>
      </w:pPr>
      <w:r>
        <w:t xml:space="preserve">BloombergNEF. (2026). </w:t>
      </w:r>
      <w:r>
        <w:rPr>
          <w:i/>
          <w:iCs/>
        </w:rPr>
        <w:t>Energy transition investment trends 2026.</w:t>
      </w:r>
      <w:r>
        <w:t xml:space="preserve"> Bloomberg Finance L.P.</w:t>
      </w:r>
    </w:p>
    <w:p w14:paraId="2FD88919" w14:textId="77777777" w:rsidR="009B6B2C" w:rsidRDefault="006B1F61">
      <w:pPr>
        <w:spacing w:after="200"/>
        <w:jc w:val="both"/>
      </w:pPr>
      <w:r>
        <w:t xml:space="preserve">Ford, G. (2025). </w:t>
      </w:r>
      <w:r>
        <w:rPr>
          <w:i/>
          <w:iCs/>
        </w:rPr>
        <w:t>A trillion dollars of climate risk: The case for a systemic risk buffer.</w:t>
      </w:r>
      <w:r>
        <w:t xml:space="preserve"> Finance Watch.</w:t>
      </w:r>
    </w:p>
    <w:p w14:paraId="21104892" w14:textId="77777777" w:rsidR="009B6B2C" w:rsidRDefault="006B1F61">
      <w:pPr>
        <w:spacing w:after="200"/>
        <w:jc w:val="both"/>
      </w:pPr>
      <w:r>
        <w:t xml:space="preserve">International Energy Agency (IEA). (2025a). </w:t>
      </w:r>
      <w:r>
        <w:rPr>
          <w:i/>
          <w:iCs/>
        </w:rPr>
        <w:t>World energy outlook 2025.</w:t>
      </w:r>
      <w:r>
        <w:t xml:space="preserve"> IEA Publications.</w:t>
      </w:r>
    </w:p>
    <w:p w14:paraId="08BCBD45" w14:textId="77777777" w:rsidR="009B6B2C" w:rsidRDefault="006B1F61">
      <w:pPr>
        <w:spacing w:after="200"/>
        <w:jc w:val="both"/>
      </w:pPr>
      <w:r>
        <w:t xml:space="preserve">International Energy Agency (IEA). (2025b). </w:t>
      </w:r>
      <w:r>
        <w:rPr>
          <w:i/>
          <w:iCs/>
        </w:rPr>
        <w:t>World energy investment 2025.</w:t>
      </w:r>
      <w:r>
        <w:t xml:space="preserve"> IEA Publications.</w:t>
      </w:r>
    </w:p>
    <w:p w14:paraId="4BB5A455" w14:textId="77777777" w:rsidR="009B6B2C" w:rsidRDefault="006B1F61">
      <w:pPr>
        <w:spacing w:after="200"/>
        <w:jc w:val="both"/>
      </w:pPr>
      <w:r>
        <w:t xml:space="preserve">International Energy Agency (IEA). (2026). </w:t>
      </w:r>
      <w:r>
        <w:rPr>
          <w:i/>
          <w:iCs/>
        </w:rPr>
        <w:t>Global critical minerals outlook 2026.</w:t>
      </w:r>
      <w:r>
        <w:t xml:space="preserve"> IEA Publications.</w:t>
      </w:r>
    </w:p>
    <w:p w14:paraId="126E276D" w14:textId="77777777" w:rsidR="009B6B2C" w:rsidRDefault="006B1F61">
      <w:pPr>
        <w:spacing w:after="200"/>
        <w:jc w:val="both"/>
      </w:pPr>
      <w:r>
        <w:t xml:space="preserve">OPEC. (2025). </w:t>
      </w:r>
      <w:r>
        <w:rPr>
          <w:i/>
          <w:iCs/>
        </w:rPr>
        <w:t>World oil outlook 2050: 2025 edition.</w:t>
      </w:r>
      <w:r>
        <w:t xml:space="preserve"> Organization of the Petroleum Exporting Countries.</w:t>
      </w:r>
    </w:p>
    <w:p w14:paraId="26EB2C35" w14:textId="77777777" w:rsidR="009B6B2C" w:rsidRDefault="006B1F61">
      <w:pPr>
        <w:spacing w:after="200"/>
        <w:jc w:val="both"/>
      </w:pPr>
      <w:r>
        <w:t xml:space="preserve">Saudi Aramco. (2025). </w:t>
      </w:r>
      <w:r>
        <w:rPr>
          <w:i/>
          <w:iCs/>
        </w:rPr>
        <w:t>Annual report 2024: Powering a sustainable future.</w:t>
      </w:r>
      <w:r>
        <w:t xml:space="preserve"> Saudi Arabian Oil Company.</w:t>
      </w:r>
    </w:p>
    <w:p w14:paraId="270BBC28" w14:textId="77777777" w:rsidR="009B6B2C" w:rsidRDefault="006B1F61">
      <w:pPr>
        <w:pStyle w:val="2"/>
        <w:spacing w:before="240" w:after="120"/>
      </w:pPr>
      <w:r>
        <w:t>Academic &amp; theoretical sources</w:t>
      </w:r>
    </w:p>
    <w:p w14:paraId="083E0847" w14:textId="77777777" w:rsidR="009B6B2C" w:rsidRDefault="006B1F61">
      <w:pPr>
        <w:spacing w:after="200"/>
        <w:jc w:val="both"/>
      </w:pPr>
      <w:r>
        <w:t xml:space="preserve">Barney, J. B. (1991). Firm resources and sustained competitive advantage. </w:t>
      </w:r>
      <w:r>
        <w:rPr>
          <w:i/>
          <w:iCs/>
        </w:rPr>
        <w:t>Journal of Management, 17</w:t>
      </w:r>
      <w:r>
        <w:t>(1), 99-120.</w:t>
      </w:r>
    </w:p>
    <w:p w14:paraId="4ED032AE" w14:textId="77777777" w:rsidR="009B6B2C" w:rsidRDefault="006B1F61">
      <w:pPr>
        <w:spacing w:after="200"/>
        <w:jc w:val="both"/>
      </w:pPr>
      <w:proofErr w:type="spellStart"/>
      <w:r>
        <w:t>Geels</w:t>
      </w:r>
      <w:proofErr w:type="spellEnd"/>
      <w:r>
        <w:t xml:space="preserve">, F. W. (2002). Technological transitions as evolutionary reconfiguration processes: A multi-level perspective and a case-study. </w:t>
      </w:r>
      <w:r>
        <w:rPr>
          <w:i/>
          <w:iCs/>
        </w:rPr>
        <w:t>Research Policy, 31</w:t>
      </w:r>
      <w:r>
        <w:t>(8-9), 1257-1274.</w:t>
      </w:r>
    </w:p>
    <w:p w14:paraId="24352178" w14:textId="77777777" w:rsidR="009B6B2C" w:rsidRDefault="006B1F61">
      <w:pPr>
        <w:spacing w:after="200"/>
        <w:jc w:val="both"/>
      </w:pPr>
      <w:r>
        <w:t xml:space="preserve">McGlade, C., &amp; </w:t>
      </w:r>
      <w:proofErr w:type="spellStart"/>
      <w:r>
        <w:t>Ekins</w:t>
      </w:r>
      <w:proofErr w:type="spellEnd"/>
      <w:r>
        <w:t xml:space="preserve">, P. (2015). The geographical distribution of fossil fuels unused when limiting global warming to 2°C. </w:t>
      </w:r>
      <w:r>
        <w:rPr>
          <w:i/>
          <w:iCs/>
        </w:rPr>
        <w:t>Nature, 517</w:t>
      </w:r>
      <w:r>
        <w:t>(7533), 187-190.</w:t>
      </w:r>
    </w:p>
    <w:p w14:paraId="2551AD6C" w14:textId="77777777" w:rsidR="009B6B2C" w:rsidRDefault="006B1F61">
      <w:pPr>
        <w:spacing w:after="200"/>
        <w:jc w:val="both"/>
      </w:pPr>
      <w:r>
        <w:t xml:space="preserve">Mesa </w:t>
      </w:r>
      <w:proofErr w:type="spellStart"/>
      <w:r>
        <w:t>Puyo</w:t>
      </w:r>
      <w:proofErr w:type="spellEnd"/>
      <w:r>
        <w:t xml:space="preserve">, D., </w:t>
      </w:r>
      <w:proofErr w:type="spellStart"/>
      <w:r>
        <w:t>Panton</w:t>
      </w:r>
      <w:proofErr w:type="spellEnd"/>
      <w:r>
        <w:t xml:space="preserve">, A., Sridhar, T., </w:t>
      </w:r>
      <w:proofErr w:type="spellStart"/>
      <w:r>
        <w:t>Stuermer</w:t>
      </w:r>
      <w:proofErr w:type="spellEnd"/>
      <w:r>
        <w:t xml:space="preserve">, M., </w:t>
      </w:r>
      <w:proofErr w:type="spellStart"/>
      <w:r>
        <w:t>Ungerer</w:t>
      </w:r>
      <w:proofErr w:type="spellEnd"/>
      <w:r>
        <w:t xml:space="preserve">, C., &amp; Zhang, A. T. (2024). </w:t>
      </w:r>
      <w:r>
        <w:rPr>
          <w:i/>
          <w:iCs/>
        </w:rPr>
        <w:t>Key challenges faced by fossil fuel exporters during the energy transition</w:t>
      </w:r>
      <w:r>
        <w:t xml:space="preserve"> (IMF Staff Climate Note 2024/001). International Monetary Fund.</w:t>
      </w:r>
    </w:p>
    <w:p w14:paraId="4976BDE2" w14:textId="77777777" w:rsidR="009B6B2C" w:rsidRDefault="006B1F61">
      <w:pPr>
        <w:spacing w:after="200"/>
        <w:jc w:val="both"/>
      </w:pPr>
      <w:proofErr w:type="spellStart"/>
      <w:r>
        <w:t>Morgunova</w:t>
      </w:r>
      <w:proofErr w:type="spellEnd"/>
      <w:r>
        <w:t xml:space="preserve">, M., &amp; </w:t>
      </w:r>
      <w:proofErr w:type="spellStart"/>
      <w:r>
        <w:t>Shaton</w:t>
      </w:r>
      <w:proofErr w:type="spellEnd"/>
      <w:r>
        <w:t xml:space="preserve">, K. (2022). The role of incumbents in energy transitions: Investigating the perceptions and strategies of the oil and gas industry. </w:t>
      </w:r>
      <w:r>
        <w:rPr>
          <w:i/>
          <w:iCs/>
        </w:rPr>
        <w:t>Energy Research &amp; Social Science, 89</w:t>
      </w:r>
      <w:r>
        <w:t>, 102573.</w:t>
      </w:r>
    </w:p>
    <w:p w14:paraId="6B5F6309" w14:textId="77777777" w:rsidR="009B6B2C" w:rsidRDefault="006B1F61">
      <w:pPr>
        <w:spacing w:after="200"/>
        <w:jc w:val="both"/>
      </w:pPr>
      <w:proofErr w:type="spellStart"/>
      <w:r>
        <w:t>Wojtaszek</w:t>
      </w:r>
      <w:proofErr w:type="spellEnd"/>
      <w:r>
        <w:t xml:space="preserve">, H. (2025). Energy transition 2024-2025: New demand vectors, technology oversupply, and shrinking net-zero 2050 premium. </w:t>
      </w:r>
      <w:r>
        <w:rPr>
          <w:i/>
          <w:iCs/>
        </w:rPr>
        <w:t>Energies, 18</w:t>
      </w:r>
      <w:r>
        <w:t>(16), 4441.</w:t>
      </w:r>
    </w:p>
    <w:sectPr w:rsidR="009B6B2C">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0F63EB9"/>
    <w:multiLevelType w:val="hybridMultilevel"/>
    <w:tmpl w:val="FFFFFFFF"/>
    <w:lvl w:ilvl="0" w:tplc="120A50C6">
      <w:start w:val="1"/>
      <w:numFmt w:val="bullet"/>
      <w:lvlText w:val="●"/>
      <w:lvlJc w:val="left"/>
      <w:pPr>
        <w:ind w:left="720" w:hanging="360"/>
      </w:pPr>
    </w:lvl>
    <w:lvl w:ilvl="1" w:tplc="15ACD09E">
      <w:start w:val="1"/>
      <w:numFmt w:val="bullet"/>
      <w:lvlText w:val="○"/>
      <w:lvlJc w:val="left"/>
      <w:pPr>
        <w:ind w:left="1440" w:hanging="360"/>
      </w:pPr>
    </w:lvl>
    <w:lvl w:ilvl="2" w:tplc="DB001832">
      <w:start w:val="1"/>
      <w:numFmt w:val="bullet"/>
      <w:lvlText w:val="■"/>
      <w:lvlJc w:val="left"/>
      <w:pPr>
        <w:ind w:left="2160" w:hanging="360"/>
      </w:pPr>
    </w:lvl>
    <w:lvl w:ilvl="3" w:tplc="899EF67C">
      <w:start w:val="1"/>
      <w:numFmt w:val="bullet"/>
      <w:lvlText w:val="●"/>
      <w:lvlJc w:val="left"/>
      <w:pPr>
        <w:ind w:left="2880" w:hanging="360"/>
      </w:pPr>
    </w:lvl>
    <w:lvl w:ilvl="4" w:tplc="9F9A5500">
      <w:start w:val="1"/>
      <w:numFmt w:val="bullet"/>
      <w:lvlText w:val="○"/>
      <w:lvlJc w:val="left"/>
      <w:pPr>
        <w:ind w:left="3600" w:hanging="360"/>
      </w:pPr>
    </w:lvl>
    <w:lvl w:ilvl="5" w:tplc="39E45BFE">
      <w:start w:val="1"/>
      <w:numFmt w:val="bullet"/>
      <w:lvlText w:val="■"/>
      <w:lvlJc w:val="left"/>
      <w:pPr>
        <w:ind w:left="4320" w:hanging="360"/>
      </w:pPr>
    </w:lvl>
    <w:lvl w:ilvl="6" w:tplc="B974112C">
      <w:start w:val="1"/>
      <w:numFmt w:val="bullet"/>
      <w:lvlText w:val="●"/>
      <w:lvlJc w:val="left"/>
      <w:pPr>
        <w:ind w:left="5040" w:hanging="360"/>
      </w:pPr>
    </w:lvl>
    <w:lvl w:ilvl="7" w:tplc="44B65100">
      <w:start w:val="1"/>
      <w:numFmt w:val="bullet"/>
      <w:lvlText w:val="●"/>
      <w:lvlJc w:val="left"/>
      <w:pPr>
        <w:ind w:left="5760" w:hanging="360"/>
      </w:pPr>
    </w:lvl>
    <w:lvl w:ilvl="8" w:tplc="DA5E0BA8">
      <w:start w:val="1"/>
      <w:numFmt w:val="bullet"/>
      <w:lvlText w:val="●"/>
      <w:lvlJc w:val="left"/>
      <w:pPr>
        <w:ind w:left="6480" w:hanging="360"/>
      </w:pPr>
    </w:lvl>
  </w:abstractNum>
  <w:num w:numId="1" w16cid:durableId="75616885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isplayBackgroundShape/>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B2C"/>
    <w:rsid w:val="0000001C"/>
    <w:rsid w:val="001B33E3"/>
    <w:rsid w:val="001E5C4B"/>
    <w:rsid w:val="002D6447"/>
    <w:rsid w:val="00343169"/>
    <w:rsid w:val="003B3850"/>
    <w:rsid w:val="004E459E"/>
    <w:rsid w:val="00546A51"/>
    <w:rsid w:val="00643443"/>
    <w:rsid w:val="006B1F61"/>
    <w:rsid w:val="008039F8"/>
    <w:rsid w:val="009B6B2C"/>
    <w:rsid w:val="00A30F2C"/>
    <w:rsid w:val="00B804BF"/>
    <w:rsid w:val="00CA79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6616B1D"/>
  <w15:docId w15:val="{EEECAB36-B475-BA49-9521-E2D324FB3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3834</Words>
  <Characters>21860</Characters>
  <Application>Microsoft Office Word</Application>
  <DocSecurity>0</DocSecurity>
  <Lines>182</Lines>
  <Paragraphs>51</Paragraphs>
  <ScaleCrop>false</ScaleCrop>
  <Company/>
  <LinksUpToDate>false</LinksUpToDate>
  <CharactersWithSpaces>25643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Mobile User</cp:lastModifiedBy>
  <cp:revision>2</cp:revision>
  <dcterms:created xsi:type="dcterms:W3CDTF">2026-08-17T09:45:00Z</dcterms:created>
  <dcterms:modified xsi:type="dcterms:W3CDTF">2026-08-17T09:45:00Z</dcterms:modified>
</cp:coreProperties>
</file>