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714E69" w14:textId="4507F35D"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ميدأوشن </w:t>
      </w:r>
    </w:p>
    <w:p w14:paraId="10D9E638"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12619E2E" w14:textId="27324670"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sidR="00EF2736">
        <w:rPr>
          <w:rFonts w:ascii="Sakkal Majalla" w:eastAsia="Calibri" w:hAnsi="Sakkal Majalla" w:cs="Sakkal Majalla" w:hint="cs"/>
          <w:b/>
          <w:bCs/>
          <w:sz w:val="28"/>
          <w:szCs w:val="28"/>
          <w:rtl/>
          <w:lang w:bidi="ar-EG"/>
        </w:rPr>
        <w:t xml:space="preserve">ماجستير إعلام رقمي </w:t>
      </w:r>
    </w:p>
    <w:p w14:paraId="45FE0827" w14:textId="77777777" w:rsidR="001955FA" w:rsidRPr="001955FA" w:rsidRDefault="001955FA" w:rsidP="001955FA">
      <w:pPr>
        <w:bidi/>
        <w:spacing w:line="240" w:lineRule="auto"/>
        <w:jc w:val="lowKashida"/>
        <w:rPr>
          <w:rFonts w:ascii="Sakkal Majalla" w:eastAsia="Calibri" w:hAnsi="Sakkal Majalla" w:cs="Sakkal Majalla"/>
          <w:sz w:val="28"/>
          <w:szCs w:val="28"/>
          <w:rtl/>
          <w:lang w:bidi="ar-EG"/>
        </w:rPr>
      </w:pPr>
    </w:p>
    <w:p w14:paraId="3CDB0DDD" w14:textId="77777777" w:rsidR="002570CB" w:rsidRDefault="002570CB" w:rsidP="002570CB">
      <w:pPr>
        <w:bidi/>
        <w:spacing w:line="240" w:lineRule="auto"/>
        <w:jc w:val="lowKashida"/>
        <w:rPr>
          <w:rFonts w:ascii="Sakkal Majalla" w:eastAsia="Calibri" w:hAnsi="Sakkal Majalla" w:cs="Sakkal Majalla"/>
          <w:b/>
          <w:bCs/>
          <w:sz w:val="32"/>
          <w:szCs w:val="32"/>
          <w:rtl/>
          <w:lang w:bidi="ar-EG"/>
        </w:rPr>
      </w:pPr>
    </w:p>
    <w:p w14:paraId="7DF7AF27" w14:textId="77777777" w:rsidR="002570CB" w:rsidRDefault="002570CB" w:rsidP="002570CB">
      <w:pPr>
        <w:bidi/>
        <w:spacing w:line="240" w:lineRule="auto"/>
        <w:jc w:val="lowKashida"/>
        <w:rPr>
          <w:rFonts w:ascii="Sakkal Majalla" w:eastAsia="Calibri" w:hAnsi="Sakkal Majalla" w:cs="Sakkal Majalla"/>
          <w:b/>
          <w:bCs/>
          <w:sz w:val="32"/>
          <w:szCs w:val="32"/>
          <w:rtl/>
          <w:lang w:bidi="ar-EG"/>
        </w:rPr>
      </w:pPr>
    </w:p>
    <w:p w14:paraId="0CF805AA" w14:textId="77777777" w:rsidR="002570CB" w:rsidRPr="002570CB" w:rsidRDefault="002570CB" w:rsidP="002570CB">
      <w:pPr>
        <w:bidi/>
        <w:spacing w:after="300" w:line="340" w:lineRule="auto"/>
        <w:jc w:val="center"/>
        <w:rPr>
          <w:rFonts w:ascii="Arial" w:eastAsia="Arial" w:hAnsi="Arial" w:cs="Arial"/>
          <w:kern w:val="0"/>
          <w:sz w:val="24"/>
          <w:szCs w:val="24"/>
          <w14:ligatures w14:val="none"/>
        </w:rPr>
      </w:pPr>
      <w:r w:rsidRPr="002570CB">
        <w:rPr>
          <w:rFonts w:ascii="Arial" w:eastAsia="Arial" w:hAnsi="Arial" w:cs="Arial"/>
          <w:b/>
          <w:bCs/>
          <w:kern w:val="0"/>
          <w:sz w:val="30"/>
          <w:szCs w:val="30"/>
          <w:rtl/>
          <w14:ligatures w14:val="none"/>
        </w:rPr>
        <w:t>العرض المبدئي لخطة البحث</w:t>
      </w:r>
    </w:p>
    <w:p w14:paraId="21FDF34C" w14:textId="77777777" w:rsidR="002570CB" w:rsidRPr="002570CB" w:rsidRDefault="002570CB" w:rsidP="002570CB">
      <w:pPr>
        <w:bidi/>
        <w:spacing w:after="60" w:line="340" w:lineRule="auto"/>
        <w:jc w:val="center"/>
        <w:rPr>
          <w:rFonts w:ascii="Arial" w:eastAsia="Arial" w:hAnsi="Arial" w:cs="Arial"/>
          <w:kern w:val="0"/>
          <w:sz w:val="24"/>
          <w:szCs w:val="24"/>
          <w14:ligatures w14:val="none"/>
        </w:rPr>
      </w:pPr>
      <w:r w:rsidRPr="002570CB">
        <w:rPr>
          <w:rFonts w:ascii="Arial" w:eastAsia="Arial" w:hAnsi="Arial" w:cs="Arial"/>
          <w:b/>
          <w:bCs/>
          <w:kern w:val="0"/>
          <w:sz w:val="32"/>
          <w:szCs w:val="32"/>
          <w:rtl/>
          <w14:ligatures w14:val="none"/>
        </w:rPr>
        <w:t>أثر الإنفوجرافيك في تعزيز التواصل الصحي:</w:t>
      </w:r>
    </w:p>
    <w:p w14:paraId="266B685A" w14:textId="77777777" w:rsidR="002570CB" w:rsidRPr="002570CB" w:rsidRDefault="002570CB" w:rsidP="002570CB">
      <w:pPr>
        <w:bidi/>
        <w:spacing w:after="700" w:line="340" w:lineRule="auto"/>
        <w:jc w:val="center"/>
        <w:rPr>
          <w:rFonts w:ascii="Arial" w:eastAsia="Arial" w:hAnsi="Arial" w:cs="Arial"/>
          <w:kern w:val="0"/>
          <w:sz w:val="24"/>
          <w:szCs w:val="24"/>
          <w14:ligatures w14:val="none"/>
        </w:rPr>
      </w:pPr>
      <w:r w:rsidRPr="002570CB">
        <w:rPr>
          <w:rFonts w:ascii="Arial" w:eastAsia="Arial" w:hAnsi="Arial" w:cs="Arial"/>
          <w:b/>
          <w:bCs/>
          <w:kern w:val="0"/>
          <w:sz w:val="32"/>
          <w:szCs w:val="32"/>
          <w:rtl/>
          <w14:ligatures w14:val="none"/>
        </w:rPr>
        <w:t>دراسة تحليلية لتجربة وزارة الصحة خلال جائحة كورونا</w:t>
      </w:r>
    </w:p>
    <w:p w14:paraId="018F11F3" w14:textId="77777777" w:rsidR="002570CB" w:rsidRPr="002570CB" w:rsidRDefault="002570CB" w:rsidP="002570CB">
      <w:pPr>
        <w:bidi/>
        <w:spacing w:after="140" w:line="340" w:lineRule="auto"/>
        <w:jc w:val="center"/>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إعداد الطالب: يزيد سليمان العماري</w:t>
      </w:r>
    </w:p>
    <w:p w14:paraId="68B0552A" w14:textId="77777777" w:rsidR="002570CB" w:rsidRPr="002570CB" w:rsidRDefault="002570CB" w:rsidP="002570CB">
      <w:pPr>
        <w:bidi/>
        <w:spacing w:after="140" w:line="340" w:lineRule="auto"/>
        <w:jc w:val="center"/>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الرقم الجامعي: 253002474</w:t>
      </w:r>
    </w:p>
    <w:p w14:paraId="4FC02DCF" w14:textId="77777777" w:rsidR="002570CB" w:rsidRPr="002570CB" w:rsidRDefault="002570CB" w:rsidP="002570CB">
      <w:pPr>
        <w:bidi/>
        <w:spacing w:after="140" w:line="340" w:lineRule="auto"/>
        <w:jc w:val="center"/>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إشراف: د. مهيتاب الرافعي</w:t>
      </w:r>
    </w:p>
    <w:p w14:paraId="1AAA45AE" w14:textId="77777777" w:rsidR="002570CB" w:rsidRPr="002570CB" w:rsidRDefault="002570CB" w:rsidP="002570CB">
      <w:pPr>
        <w:bidi/>
        <w:spacing w:after="500" w:line="340" w:lineRule="auto"/>
        <w:jc w:val="center"/>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التخصص: ماجستير إعلام رقمي</w:t>
      </w:r>
    </w:p>
    <w:p w14:paraId="113FD1C5" w14:textId="77777777" w:rsidR="002570CB" w:rsidRPr="002570CB" w:rsidRDefault="002570CB" w:rsidP="002570CB">
      <w:pPr>
        <w:bidi/>
        <w:spacing w:after="140" w:line="340" w:lineRule="auto"/>
        <w:jc w:val="center"/>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العام الدراسي</w:t>
      </w:r>
    </w:p>
    <w:p w14:paraId="585F36D3" w14:textId="77777777" w:rsidR="002570CB" w:rsidRPr="002570CB" w:rsidRDefault="002570CB" w:rsidP="002570CB">
      <w:pPr>
        <w:bidi/>
        <w:spacing w:after="140" w:line="340" w:lineRule="auto"/>
        <w:jc w:val="center"/>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1447 هـ - 2026 م</w:t>
      </w:r>
    </w:p>
    <w:p w14:paraId="57C728B3"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sz w:val="24"/>
          <w:szCs w:val="24"/>
          <w14:ligatures w14:val="none"/>
        </w:rPr>
        <w:br w:type="page"/>
      </w:r>
    </w:p>
    <w:p w14:paraId="0E713206" w14:textId="77777777" w:rsidR="002570CB" w:rsidRPr="002570CB" w:rsidRDefault="002570CB" w:rsidP="002570CB">
      <w:pPr>
        <w:bidi/>
        <w:spacing w:before="280" w:line="240" w:lineRule="auto"/>
        <w:jc w:val="right"/>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lastRenderedPageBreak/>
        <w:t>فهرس المحتويات</w:t>
      </w:r>
    </w:p>
    <w:p w14:paraId="2798BF3D"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1. مقدمة</w:t>
      </w:r>
    </w:p>
    <w:p w14:paraId="29ED3D56"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2. مشكلة الدراسة</w:t>
      </w:r>
    </w:p>
    <w:p w14:paraId="0D56CC3C"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3. أهمية الدراسة</w:t>
      </w:r>
    </w:p>
    <w:p w14:paraId="55E5D1EB"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4. أهداف الدراسة</w:t>
      </w:r>
    </w:p>
    <w:p w14:paraId="6CB30015"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5. تساؤلات الدراسة</w:t>
      </w:r>
    </w:p>
    <w:p w14:paraId="2A170C0F"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6. فروض الدراسة</w:t>
      </w:r>
    </w:p>
    <w:p w14:paraId="51365A9D"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7. الدراسات السابقة</w:t>
      </w:r>
    </w:p>
    <w:p w14:paraId="2D3F1799"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8. الفجوة البحثية</w:t>
      </w:r>
    </w:p>
    <w:p w14:paraId="687904E6"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9. المنطلقات النظرية للدراسة</w:t>
      </w:r>
    </w:p>
    <w:p w14:paraId="05BDCDDD"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10. المنهجية وطرق البحث</w:t>
      </w:r>
    </w:p>
    <w:p w14:paraId="5D8F56BF"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11. مجتمع وعينة الدراسة</w:t>
      </w:r>
    </w:p>
    <w:p w14:paraId="5EFFD7D1"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12. أداة الدراسة</w:t>
      </w:r>
    </w:p>
    <w:p w14:paraId="1807657D"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13. أساليب التحليل الإحصائي</w:t>
      </w:r>
    </w:p>
    <w:p w14:paraId="6ECD29D9"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14. حدود الدراسة</w:t>
      </w:r>
    </w:p>
    <w:p w14:paraId="4FCB67F0"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15. مصطلحات الدراسة</w:t>
      </w:r>
    </w:p>
    <w:p w14:paraId="495F30A3" w14:textId="77777777" w:rsidR="002570CB" w:rsidRPr="002570CB" w:rsidRDefault="002570CB" w:rsidP="002570CB">
      <w:pPr>
        <w:bidi/>
        <w:spacing w:after="70" w:line="340" w:lineRule="auto"/>
        <w:jc w:val="both"/>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16. المراجع</w:t>
      </w:r>
    </w:p>
    <w:p w14:paraId="63D9BDDF"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sz w:val="24"/>
          <w:szCs w:val="24"/>
          <w14:ligatures w14:val="none"/>
        </w:rPr>
        <w:br w:type="page"/>
      </w:r>
    </w:p>
    <w:p w14:paraId="3355F9FD"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lastRenderedPageBreak/>
        <w:t>أولاً: المقدمة</w:t>
      </w:r>
    </w:p>
    <w:p w14:paraId="046440EC"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شهد العالم في مطلع عام 2020م أزمةً صحيةً غير مسبوقة تمثّلت في تفشّي فيروس كورونا المستجد (COVID-19)، الذي أعلنته منظمة الصحة العالمية جائحةً كونيةً في الحادي عشر من مارس 2020م. وقد كشفت هذه الجائحة عن مركزية التواصل الصحي الفعّال بوصفه ركيزةً أساسيةً في إدارة الأزمات وتوجيه السلوك الصحي للمجتمعات، لا سيما في ظل تدفّق معلوماتي هائل وصفته المنظمة نفسها بـ«وباء المعلومات» (Infodemic).</w:t>
      </w:r>
    </w:p>
    <w:p w14:paraId="151B4154"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وفي هذا السياق برز الإنفوجرافيك بوصفه أداةً اتصاليةً متميزة تجمع بين الصورة والرقم والنص في قالب بصري موجز وسهل الفهم، ما جعله وسيلةً بالغة الأهمية في تبسيط المعلومات الصحية المعقدة وإيصالها إلى جمهور عريض متباين المستويات التعليمية. وقد وظّفت وزارات الصحة حول العالم هذا النوع من المحتوى على نطاق واسع، وكانت وزارة الصحة السعودية من أكثر الجهات إنتاجاً له عبر منصاتها الرقمية الرسمية.</w:t>
      </w:r>
    </w:p>
    <w:p w14:paraId="51A5F1B5"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وتُعزّز الثورة الرقمية وانتشار وسائل التواصل الاجتماعي من هذا الدور، إذ باتت المؤسسات الصحية قادرةً على بثّ محتواها البصري ليصل إلى ملايين المتابعين في ثوانٍ معدودة، وبكلفة أقل بكثير من قنوات الإعلام التقليدي.</w:t>
      </w:r>
    </w:p>
    <w:p w14:paraId="66367D73"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غير أن حجم الإنتاج الكمّي لهذا المحتوى لم يقابله قدرٌ مماثل من الدراسات التقييمية التي تقيس أثره الفعلي في الجمهور، وهي الفجوة التي تنطلق منها هذه الدراسة. ويتناول هذا البحث تجربة وزارة الصحة في توظيف الإنفوجرافيك خلال الجائحة، ويقيس أثرها في بُعدين محددين هما: الوعي الصحي والسلوك الوقائي، مستنداً إلى إطار نظري مركّب ومنهج وصفي تحليلي مدعوم بأداة الاستبانة.</w:t>
      </w:r>
    </w:p>
    <w:p w14:paraId="537796AB"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ثانياً: مشكلة الدراسة</w:t>
      </w:r>
    </w:p>
    <w:p w14:paraId="2DDBFB8F"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رصد الباحث خلال متابعته لأنشطة التواصل الصحي التي نفّذتها وزارة الصحة في فترة جائحة كورونا حجماً كبيراً من المحتوى البصري (الإنفوجرافيك) المنشور عبر المنصات الرقمية الرسمية. غير أن التساؤل الجوهري يظل قائماً حول مدى فاعلية هذا المحتوى في تحقيق أهدافه الاتصالية الصحية.</w:t>
      </w:r>
    </w:p>
    <w:p w14:paraId="6B4E63D4"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وتتجلى مشكلة الدراسة تحديداً في الفجوة القائمة بين حجم الإنتاج الكمّي للإنفوجرافيك الصحي من جهة، وشُحّ الدراسات التحليلية التقييمية التي ترصد أثره الفعلي في الجمهور المستهدف من جهة أخرى، لا سيما في السياق العربي. فمعظم الدراسات المتاحة إمّا اقتصرت على تحليل مضمون هذا المحتوى وتقييم التزامه بمعايير التصميم، وإمّا اكتفت بقياس معدلات التفاعل الرقمي معه بوصفها مؤشراً غير مباشر على التأثير، دون الجمع بين البعدين.</w:t>
      </w:r>
    </w:p>
    <w:p w14:paraId="3958B5C6"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lastRenderedPageBreak/>
        <w:t>وتتضح دلائل هذه المشكلة في ما أشارت إليه دراسات سابقة من قصور في بعض معايير التصميم لا سيما البساطة والوضوح (الزهراني، 2022)، ومن تفاوت ملحوظ في جودة المحتوى البصري بين المؤسسات الصحية (العنزي، 2020)، ومن ملاحظات على الإفراط في الكثافة المعلوماتية في بعض التصاميم (السلمي، 2021).</w:t>
      </w:r>
    </w:p>
    <w:p w14:paraId="1B424D37"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وانطلاقاً من ذلك، تسعى هذه الدراسة إلى الإجابة عن السؤال الرئيسي الآتي:</w:t>
      </w:r>
    </w:p>
    <w:p w14:paraId="5998FA1D"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«ما أثر الإنفوجرافيك الصادر عن وزارة الصحة في تعزيز التواصل الصحي خلال جائحة كورونا من وجهة نظر الجمهور المتلقي؟»</w:t>
      </w:r>
    </w:p>
    <w:p w14:paraId="5CC02125"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ثالثاً: أهمية الدراسة</w:t>
      </w:r>
    </w:p>
    <w:p w14:paraId="51C476E3" w14:textId="77777777" w:rsidR="002570CB" w:rsidRPr="002570CB" w:rsidRDefault="002570CB" w:rsidP="002570CB">
      <w:pPr>
        <w:bidi/>
        <w:spacing w:before="280" w:line="240" w:lineRule="auto"/>
        <w:outlineLvl w:val="1"/>
        <w:rPr>
          <w:rFonts w:ascii="Arial" w:eastAsia="Arial" w:hAnsi="Arial" w:cs="Arial"/>
          <w:color w:val="2E74B5"/>
          <w:kern w:val="0"/>
          <w:sz w:val="26"/>
          <w:szCs w:val="26"/>
          <w14:ligatures w14:val="none"/>
        </w:rPr>
      </w:pPr>
      <w:r w:rsidRPr="002570CB">
        <w:rPr>
          <w:rFonts w:ascii="Arial" w:eastAsia="Arial" w:hAnsi="Arial" w:cs="Arial"/>
          <w:b/>
          <w:bCs/>
          <w:color w:val="1F3864"/>
          <w:kern w:val="0"/>
          <w:sz w:val="26"/>
          <w:szCs w:val="26"/>
          <w:rtl/>
          <w14:ligatures w14:val="none"/>
        </w:rPr>
        <w:t>أ) الأهمية العلمية</w:t>
      </w:r>
    </w:p>
    <w:p w14:paraId="7911B243"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إثراء المكتبة العربية بدراسة تحليلية رصينة في مجال التواصل الصحي الرقمي، وهو حقل ما يزال حديث العهد عربياً.</w:t>
      </w:r>
    </w:p>
    <w:p w14:paraId="36F09F57"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سدّ فجوة في الأدبيات تتمثل في ندرة الدراسات التي تجمع بين تقييم جودة المحتوى البصري وقياس أثره الفعلي في الوعي والسلوك معاً.</w:t>
      </w:r>
    </w:p>
    <w:p w14:paraId="481D8EC4"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تقديم إطار نظري متكامل يجمع بين نظرية الاستخدامات والإشباعات ونظرية الأجندة الإعلامية ونظرية التأطير في تفسير ظاهرة واحدة.</w:t>
      </w:r>
    </w:p>
    <w:p w14:paraId="30FADDF4"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توفير نموذج تحليلي وأداة قياس يمكن الاستناد إليهما في دراسات مستقبلية تتناول موضوعات صحية أو أزمات أخرى.</w:t>
      </w:r>
    </w:p>
    <w:p w14:paraId="2321B0EF" w14:textId="77777777" w:rsidR="002570CB" w:rsidRPr="002570CB" w:rsidRDefault="002570CB" w:rsidP="002570CB">
      <w:pPr>
        <w:bidi/>
        <w:spacing w:before="280" w:line="240" w:lineRule="auto"/>
        <w:outlineLvl w:val="1"/>
        <w:rPr>
          <w:rFonts w:ascii="Arial" w:eastAsia="Arial" w:hAnsi="Arial" w:cs="Arial"/>
          <w:color w:val="2E74B5"/>
          <w:kern w:val="0"/>
          <w:sz w:val="26"/>
          <w:szCs w:val="26"/>
          <w14:ligatures w14:val="none"/>
        </w:rPr>
      </w:pPr>
      <w:r w:rsidRPr="002570CB">
        <w:rPr>
          <w:rFonts w:ascii="Arial" w:eastAsia="Arial" w:hAnsi="Arial" w:cs="Arial"/>
          <w:b/>
          <w:bCs/>
          <w:color w:val="1F3864"/>
          <w:kern w:val="0"/>
          <w:sz w:val="26"/>
          <w:szCs w:val="26"/>
          <w:rtl/>
          <w14:ligatures w14:val="none"/>
        </w:rPr>
        <w:t>ب) الأهمية التطبيقية</w:t>
      </w:r>
    </w:p>
    <w:p w14:paraId="5E8D8BC0"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تقديم مرجع علمي لصانعي القرار في وزارات الصحة يُعينهم على تطوير استراتيجيات التواصل الصحي البصري.</w:t>
      </w:r>
    </w:p>
    <w:p w14:paraId="7737372A"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مساعدة المختصين في التصميم الإعلامي والصحة العامة على فهم المتطلبات الإدراكية والاتصالية للجمهور المستهدف.</w:t>
      </w:r>
    </w:p>
    <w:p w14:paraId="1C4C2E1C"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الإسهام في بناء معايير وطنية موحّدة لإنتاج الإنفوجرافيك الصحي وقياس أثره.</w:t>
      </w:r>
    </w:p>
    <w:p w14:paraId="3191B892"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توظيف نتائج الدراسة في الاستعداد الاتصالي لأزمات صحية مستقبلية محتملة.</w:t>
      </w:r>
    </w:p>
    <w:p w14:paraId="3E628F0F"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رابعاً: أهداف الدراسة</w:t>
      </w:r>
    </w:p>
    <w:p w14:paraId="6616FA01" w14:textId="77777777" w:rsidR="002570CB" w:rsidRPr="002570CB" w:rsidRDefault="002570CB" w:rsidP="002570CB">
      <w:pPr>
        <w:bidi/>
        <w:spacing w:after="60" w:line="340" w:lineRule="auto"/>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الهدف العام:</w:t>
      </w:r>
    </w:p>
    <w:p w14:paraId="1A81E41D"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تحليل أثر الإنفوجرافيك الصادر عن وزارة الصحة في تعزيز التواصل الصحي خلال جائحة كورونا، من خلال قياس أثره في الوعي الصحي والسلوك الوقائي لدى الجمهور المستهدف.</w:t>
      </w:r>
    </w:p>
    <w:p w14:paraId="0418E7A8" w14:textId="77777777" w:rsidR="002570CB" w:rsidRPr="002570CB" w:rsidRDefault="002570CB" w:rsidP="002570CB">
      <w:pPr>
        <w:bidi/>
        <w:spacing w:after="60" w:line="340" w:lineRule="auto"/>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lastRenderedPageBreak/>
        <w:t>الأهداف الخاصة:</w:t>
      </w:r>
    </w:p>
    <w:p w14:paraId="4A7BD792"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التعرف على مستوى تعرّض الجمهور المستهدف للإنفوجرافيك الصادر عن وزارة الصحة خلال الجائحة.</w:t>
      </w:r>
    </w:p>
    <w:p w14:paraId="0C09D715"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قياس تقييم الجمهور لجودة الإنفوجرافيك الصحي من حيث المحتوى والتصميم والوضوح والمصداقية.</w:t>
      </w:r>
    </w:p>
    <w:p w14:paraId="708CE857"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تحديد أثر الإنفوجرافيك الصحي في مستوى الوعي والمعرفة الصحية لدى الجمهور.</w:t>
      </w:r>
    </w:p>
    <w:p w14:paraId="68BA35C8"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الكشف عن العلاقة بين التعرض للإنفوجرافيك الصحي والسلوك الوقائي خلال الجائحة.</w:t>
      </w:r>
    </w:p>
    <w:p w14:paraId="4AAE3450"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مقارنة فاعلية الإنفوجرافيك بوسائل التواصل الصحي الأخرى من وجهة نظر الجمهور.</w:t>
      </w:r>
    </w:p>
    <w:p w14:paraId="1819C82B"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رصد الفروق في التقييم تبعاً للمتغيرات الديموغرافية (الجنس، والفئة العمرية، والمستوى التعليمي).</w:t>
      </w:r>
    </w:p>
    <w:p w14:paraId="3020CAB3"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تقديم توصيات عملية قائمة على نتائج علمية لتطوير استراتيجيات الإنفوجرافيك الصحي.</w:t>
      </w:r>
    </w:p>
    <w:p w14:paraId="750D0DE4"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خامساً: تساؤلات الدراسة</w:t>
      </w:r>
    </w:p>
    <w:p w14:paraId="10DACE01"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ما مستوى تعرّض أفراد العينة للإنفوجرافيك الصادر عن وزارة الصحة خلال جائحة كورونا؟</w:t>
      </w:r>
    </w:p>
    <w:p w14:paraId="351DBEAD"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كيف يُقيّم الجمهور المستهدف جودة الإنفوجرافيك الصحي من حيث الشكل والمضمون؟</w:t>
      </w:r>
    </w:p>
    <w:p w14:paraId="5128C32C"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ما أثر الإنفوجرافيك الصحي في مستوى الوعي والمعرفة الصحية لدى أفراد العينة؟</w:t>
      </w:r>
    </w:p>
    <w:p w14:paraId="23D43E09"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هل توجد علاقة ذات دلالة إحصائية بين التعرض للإنفوجرافيك الصحي وتغيّر السلوك الوقائي؟</w:t>
      </w:r>
    </w:p>
    <w:p w14:paraId="205CAAF3"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ما المنصات الرقمية الأكثر فاعليةً في إيصال الإنفوجرافيك الصحي إلى الجمهور؟</w:t>
      </w:r>
    </w:p>
    <w:p w14:paraId="1E16F14A"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هل توجد فروق دالة إحصائياً في تقييم الإنفوجرافيك الصحي تُعزى إلى متغيرات الجنس والفئة العمرية والمستوى التعليمي؟</w:t>
      </w:r>
    </w:p>
    <w:p w14:paraId="71336285"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سادساً: فروض الدراسة</w:t>
      </w:r>
    </w:p>
    <w:p w14:paraId="5B5782D3" w14:textId="77777777" w:rsidR="002570CB" w:rsidRPr="002570CB" w:rsidRDefault="002570CB" w:rsidP="002570CB">
      <w:pPr>
        <w:bidi/>
        <w:spacing w:after="60" w:line="340" w:lineRule="auto"/>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الفرضية الرئيسية:</w:t>
      </w:r>
    </w:p>
    <w:p w14:paraId="4742B1E4"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يوجد أثر ذو دلالة إحصائية عند مستوى (α ≤ 0.05) للإنفوجرافيك الصادر عن وزارة الصحة في تعزيز التواصل الصحي لدى الجمهور المستهدف خلال جائحة كورونا.</w:t>
      </w:r>
    </w:p>
    <w:p w14:paraId="64AF5E7A" w14:textId="77777777" w:rsidR="002570CB" w:rsidRPr="002570CB" w:rsidRDefault="002570CB" w:rsidP="002570CB">
      <w:pPr>
        <w:bidi/>
        <w:spacing w:after="60" w:line="340" w:lineRule="auto"/>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الفرضيات الفرعية:</w:t>
      </w:r>
    </w:p>
    <w:p w14:paraId="36C868AE"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H1: توجد علاقة ارتباطية طردية ذات دلالة إحصائية بين درجة التعرض للإنفوجرافيك ومستوى الوعي الصحي لدى الجمهور.</w:t>
      </w:r>
    </w:p>
    <w:p w14:paraId="4164A670"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H2: توجد علاقة ذات دلالة إحصائية بين جودة الإنفوجرافيك الصحي المُدرَكة وأثره في السلوك الوقائي.</w:t>
      </w:r>
    </w:p>
    <w:p w14:paraId="4D51FE9D"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H3: يتفوق الإنفوجرافيك على الأساليب النصية التقليدية في إيصال المعلومة الصحية وتعزيز فهمها من وجهة نظر المبحوثين.</w:t>
      </w:r>
    </w:p>
    <w:p w14:paraId="5DA1A466"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lastRenderedPageBreak/>
        <w:t>H4: توجد فروق دالة إحصائياً في تقييم الإنفوجرافيك الصحي تُعزى إلى متغير الفئة العمرية.</w:t>
      </w:r>
    </w:p>
    <w:p w14:paraId="1D2CD551"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H5: تتباين درجة تأثير الإنفوجرافيك في تغيير السلوك الصحي تبعاً للمستوى التعليمي لأفراد العينة.</w:t>
      </w:r>
    </w:p>
    <w:p w14:paraId="5C004C5B"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الفرضية الصفرية المقابلة: لا يوجد أثر/فرق ذو دلالة إحصائية عند مستوى (α ≤ 0.05) في كل حالة من الحالات السابقة.</w:t>
      </w:r>
    </w:p>
    <w:p w14:paraId="127E2749"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سابعاً: الدراسات السابقة</w:t>
      </w:r>
    </w:p>
    <w:p w14:paraId="0CB5E866"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رُتّبت الدراسات السابقة ترتيباً موضوعياً بحسب المتغيرات، بدءاً بالمتغير المستقل (الإنفوجرافيك)، ثم المتغير التابع (الوعي والسلوك الصحي)، ثم العلاقة بينهما والفروق الديموغرافية فيها.</w:t>
      </w:r>
    </w:p>
    <w:p w14:paraId="39A15278" w14:textId="77777777" w:rsidR="002570CB" w:rsidRPr="002570CB" w:rsidRDefault="002570CB" w:rsidP="002570CB">
      <w:pPr>
        <w:bidi/>
        <w:spacing w:before="280" w:line="240" w:lineRule="auto"/>
        <w:outlineLvl w:val="1"/>
        <w:rPr>
          <w:rFonts w:ascii="Arial" w:eastAsia="Arial" w:hAnsi="Arial" w:cs="Arial"/>
          <w:color w:val="2E74B5"/>
          <w:kern w:val="0"/>
          <w:sz w:val="26"/>
          <w:szCs w:val="26"/>
          <w14:ligatures w14:val="none"/>
        </w:rPr>
      </w:pPr>
      <w:r w:rsidRPr="002570CB">
        <w:rPr>
          <w:rFonts w:ascii="Arial" w:eastAsia="Arial" w:hAnsi="Arial" w:cs="Arial"/>
          <w:b/>
          <w:bCs/>
          <w:color w:val="1F3864"/>
          <w:kern w:val="0"/>
          <w:sz w:val="26"/>
          <w:szCs w:val="26"/>
          <w:rtl/>
          <w14:ligatures w14:val="none"/>
        </w:rPr>
        <w:t>المحور الأول: الإنفوجرافيك في التواصل الصحي</w:t>
      </w:r>
    </w:p>
    <w:p w14:paraId="7CE58F05"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الزهراني (2022): هدفت إلى تحليل مضمون الإنفوجرافيك الصادر عن وزارة الصحة السعودية خلال الجائحة وقياس التزامه بمعايير التصميم البصري. اعتمدت المنهج الوصفي التحليلي وأداة تحليل المضمون، وتوصّلت إلى إسهامه الملحوظ في رفع الوعي الصحي مع قصور في معياري البساطة والوضوح. وتتقاطع مع البحث الحالي في الميدان ذاته، غير أنها اقتصرت على تحليل الرسالة دون قياس أثرها في المتلقي، وهو ما يعالجه هذا البحث.</w:t>
      </w:r>
    </w:p>
    <w:p w14:paraId="0DACB352"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الشمري (2021): تناولت دور الإنفوجرافيك على منصة تويتر خلال الجائحة، وخلصت إلى أن معدلات التفاعل معه تفوق نظيرتها مع المنشورات النصية بنسبة تصل إلى 340%. وتُقدّم مؤشراً كمياً قوياً، لكنها اتخذت من التفاعل الرقمي بديلاً عن قياس التأثير المعرفي والسلوكي.</w:t>
      </w:r>
    </w:p>
    <w:p w14:paraId="3568180C"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القحطاني (2022): بحثت العلاقة بين خصائص تصميم الإنفوجرافيك ومستوى الاستيعاب باستخدام المنهج التجريبي، وتوصّلت إلى أن الألوان المتباينة والتسلسل المنطقي يرفعان الاستيعاب بفارق دال إحصائياً. وتُفيد الدراسة الحالية في اشتقاق مؤشرات محور الجودة، مع اختلاف في المنهج ونطاق العينة.</w:t>
      </w:r>
    </w:p>
    <w:p w14:paraId="756F543B"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السلمي (2021): قيّمت جودة الإنفوجرافيك الصحي على منصات التواصل من حيث الدقة العلمية والوضوح البصري بمنهج المسح بالعينة، وخلصت إلى أن أكثر من 70% من المبحوثين يفضّلون تلقّي المعلومة الصحية عبر الإنفوجرافيك، مع ملاحظات على الكثافة المعلوماتية.</w:t>
      </w:r>
    </w:p>
    <w:p w14:paraId="4AFF4D66"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العنزي (2020): رصدت توظيف المستشفيات الحكومية السعودية للإنفوجرافيك في خططها التواصلية، وكشفت تفاوتاً ملحوظاً في الجودة بين المؤسسات، وأوصت بتوحيد المعايير التصميمية وطنياً.</w:t>
      </w:r>
    </w:p>
    <w:p w14:paraId="3F492689" w14:textId="77777777" w:rsidR="002570CB" w:rsidRPr="002570CB" w:rsidRDefault="002570CB" w:rsidP="002570CB">
      <w:pPr>
        <w:bidi/>
        <w:spacing w:before="280" w:line="240" w:lineRule="auto"/>
        <w:outlineLvl w:val="1"/>
        <w:rPr>
          <w:rFonts w:ascii="Arial" w:eastAsia="Arial" w:hAnsi="Arial" w:cs="Arial"/>
          <w:color w:val="2E74B5"/>
          <w:kern w:val="0"/>
          <w:sz w:val="26"/>
          <w:szCs w:val="26"/>
          <w14:ligatures w14:val="none"/>
        </w:rPr>
      </w:pPr>
      <w:r w:rsidRPr="002570CB">
        <w:rPr>
          <w:rFonts w:ascii="Arial" w:eastAsia="Arial" w:hAnsi="Arial" w:cs="Arial"/>
          <w:b/>
          <w:bCs/>
          <w:color w:val="1F3864"/>
          <w:kern w:val="0"/>
          <w:sz w:val="26"/>
          <w:szCs w:val="26"/>
          <w:rtl/>
          <w14:ligatures w14:val="none"/>
        </w:rPr>
        <w:t>المحور الثاني: التواصل الصحي الرقمي</w:t>
      </w:r>
    </w:p>
    <w:p w14:paraId="74581F7F"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lastRenderedPageBreak/>
        <w:t>العتيبي (2022): بحثت استراتيجيات التواصل الصحي الرقمي لوزارة الصحة السعودية خلال الجائحة، وخلصت إلى أن المنصات الاجتماعية شكّلت القناة الأساسية للاتصال الصحي الرسمي وأن المحتوى البصري احتل حصته الأكبر. وتوفّر للبحث الحالي التأطير المؤسسي لبيئة الدراسة.</w:t>
      </w:r>
    </w:p>
    <w:p w14:paraId="73BD4125"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الرشيدي (2020): تناولت دور الإعلام الرقمي في مواجهة الأخبار الزائفة، وخلصت إلى أن المحتوى البصري الموثوق أكثر فاعليةً من النصي في الحدّ من المعلومات المضللة.</w:t>
      </w:r>
    </w:p>
    <w:p w14:paraId="3E792BF1"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الدوسري (2021): قاست ثقة الجمهور السعودي بالمحتوى الصحي الرسمي مقابل غير الرسمي، وتوصّلت إلى أن الثقة ترتفع حين يكون المحتوى البصري مدعوماً بأرقام وإحصاءات موثّقة، وهو ما استُثمر في بناء محور المصداقية بأداة الدراسة.</w:t>
      </w:r>
    </w:p>
    <w:p w14:paraId="49978DFF"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المالكي (2022): تناولت أثر التواصل الصحي الرقمي في السلوك الوقائي للشباب السعودي بعد الجائحة بالمنهج المسحي، ووجدت ارتباطاً موجباً بين التعرض المنتظم واستمرار السلوك الوقائي.</w:t>
      </w:r>
    </w:p>
    <w:p w14:paraId="562F5A7C"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الغامدي (2020): رصدت أنماط استخدام وسائل التواصل للحصول على المعلومات الصحية، وتوصّلت إلى تصدّر منصة تويتر (إكس حالياً) لدى الفئة العمرية 18–35 عاماً.</w:t>
      </w:r>
    </w:p>
    <w:p w14:paraId="71AF21A2" w14:textId="77777777" w:rsidR="002570CB" w:rsidRPr="002570CB" w:rsidRDefault="002570CB" w:rsidP="002570CB">
      <w:pPr>
        <w:bidi/>
        <w:spacing w:before="280" w:line="240" w:lineRule="auto"/>
        <w:outlineLvl w:val="1"/>
        <w:rPr>
          <w:rFonts w:ascii="Arial" w:eastAsia="Arial" w:hAnsi="Arial" w:cs="Arial"/>
          <w:color w:val="2E74B5"/>
          <w:kern w:val="0"/>
          <w:sz w:val="26"/>
          <w:szCs w:val="26"/>
          <w14:ligatures w14:val="none"/>
        </w:rPr>
      </w:pPr>
      <w:r w:rsidRPr="002570CB">
        <w:rPr>
          <w:rFonts w:ascii="Arial" w:eastAsia="Arial" w:hAnsi="Arial" w:cs="Arial"/>
          <w:b/>
          <w:bCs/>
          <w:color w:val="1F3864"/>
          <w:kern w:val="0"/>
          <w:sz w:val="26"/>
          <w:szCs w:val="26"/>
          <w:rtl/>
          <w14:ligatures w14:val="none"/>
        </w:rPr>
        <w:t>المحور الثالث: الوعي الصحي والسلوك الوقائي</w:t>
      </w:r>
    </w:p>
    <w:p w14:paraId="66AA34D7"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المطيري (2020): تناولت تأثير الإنفوجرافيك الصحي في تغيير سلوك أفراد المجتمع الكويتي خلال الجائحة، وخلصت إلى وجود علاقة ارتباطية موجبة دالة إحصائياً بين المشاهدة والالتزام بالإجراءات الوقائية. وهي أقرب الدراسات إلى فرضيات البحث الحالي، ويختلف عنها في السياق الجغرافي وفي إضافة بُعد تقييم الجودة.</w:t>
      </w:r>
    </w:p>
    <w:p w14:paraId="2ABA1903"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الزبيدي (2021): قاست الوعي الصحي بالفيروس لدى عينة عراقية وأثر الإعلام الرقمي فيه، وكشفت أن المحتوى البصري المبسَّط رفع مستوى الفهم لدى الفئات الأقل تعليماً.</w:t>
      </w:r>
    </w:p>
    <w:p w14:paraId="405E5A10"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عبد الرحمن (2022): تناولت العلاقة بين التعرض لحملات التوعية الرقمية ومستوى الامتثال في مصر، وخلصت إلى فروق دالة إحصائياً لصالح مستهلكي المحتوى البصري.</w:t>
      </w:r>
    </w:p>
    <w:p w14:paraId="7EB1E6B5"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الأنصاري (2021): درست أثر الحملات الإعلامية الصحية في تعديل المعتقدات والسلوكيات في قطر، وتوصّلت إلى أن الرسائل الجامعة بين المعلومة العلمية والعنصر العاطفي أعمق أثراً.</w:t>
      </w:r>
    </w:p>
    <w:p w14:paraId="09ECB83A"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الحربي (2020): ربطت بين مستوى الالتزام بالإجراءات الوقائية ودرجة التعرض للمحتوى الصحي الرقمي لدى السعوديين، وكشفت التزاماً أعلى لدى الأكثر تعرضاً لمحتوى وزارة الصحة.</w:t>
      </w:r>
    </w:p>
    <w:p w14:paraId="59642FF5" w14:textId="77777777" w:rsidR="002570CB" w:rsidRPr="002570CB" w:rsidRDefault="002570CB" w:rsidP="002570CB">
      <w:pPr>
        <w:bidi/>
        <w:spacing w:before="280" w:line="240" w:lineRule="auto"/>
        <w:outlineLvl w:val="1"/>
        <w:rPr>
          <w:rFonts w:ascii="Arial" w:eastAsia="Arial" w:hAnsi="Arial" w:cs="Arial"/>
          <w:color w:val="2E74B5"/>
          <w:kern w:val="0"/>
          <w:sz w:val="26"/>
          <w:szCs w:val="26"/>
          <w14:ligatures w14:val="none"/>
        </w:rPr>
      </w:pPr>
      <w:r w:rsidRPr="002570CB">
        <w:rPr>
          <w:rFonts w:ascii="Arial" w:eastAsia="Arial" w:hAnsi="Arial" w:cs="Arial"/>
          <w:b/>
          <w:bCs/>
          <w:color w:val="1F3864"/>
          <w:kern w:val="0"/>
          <w:sz w:val="26"/>
          <w:szCs w:val="26"/>
          <w:rtl/>
          <w14:ligatures w14:val="none"/>
        </w:rPr>
        <w:lastRenderedPageBreak/>
        <w:t>المحور الرابع: الفروق الديموغرافية والدراسات المقارنة</w:t>
      </w:r>
    </w:p>
    <w:p w14:paraId="7390AE41"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العمري (2022): رصدت الفروق بين الجنسين في استهلاك المحتوى الصحي الرقمي، وتوصّلت إلى اهتمام أكبر لدى الإناث بالمتابعة والمشاركة، مع تفاوت التأثر تبعاً للمستوى التعليمي.</w:t>
      </w:r>
    </w:p>
    <w:p w14:paraId="1079F52B"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السهلي (2021): تناولت الفروق بين الفئات العمرية في تقييم المحتوى الصحي الرقمي، وخلصت إلى أن فئة الشباب (18–30) تُقيّم الإنفوجرافيك بدرجة أعلى جاذبيةً وفاعلية.</w:t>
      </w:r>
    </w:p>
    <w:p w14:paraId="31BF2859"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الشهري (2022): بحثت أثر المستوى التعليمي في استيعاب الرسائل الصحية البصرية، وتوصّلت إلى تفضيل حاملي المؤهلات العليا للإنفوجرافيك القائم على البيانات، مقابل استجابة أفضل لدى المستويات الأدنى للإنفوجرافيك التوضيحي المبسّط.</w:t>
      </w:r>
    </w:p>
    <w:p w14:paraId="0D7B9AE1"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الجهني (2021): قارنت فاعلية قنوات التواصل الصحي (التلفزيون، ووسائل التواصل، والرسائل النصية)، وخلصت إلى تصدّر وسائل التواصل الاجتماعي وصولاً وتأثيراً مع تفوق المحتوى البصري.</w:t>
      </w:r>
    </w:p>
    <w:p w14:paraId="59F15439"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الخالدي (2022): قيّمت التجربة الإعلامية الصحية الخليجية من منظور مقارن، وتوصّلت إلى تصدّر السعودية والإمارات كماً ونوعاً، مع تباين واضح في آليات قياس الأثر.</w:t>
      </w:r>
    </w:p>
    <w:p w14:paraId="1A38E82D" w14:textId="77777777" w:rsidR="002570CB" w:rsidRPr="002570CB" w:rsidRDefault="002570CB" w:rsidP="002570CB">
      <w:pPr>
        <w:bidi/>
        <w:spacing w:before="280" w:line="240" w:lineRule="auto"/>
        <w:outlineLvl w:val="1"/>
        <w:rPr>
          <w:rFonts w:ascii="Arial" w:eastAsia="Arial" w:hAnsi="Arial" w:cs="Arial"/>
          <w:color w:val="2E74B5"/>
          <w:kern w:val="0"/>
          <w:sz w:val="26"/>
          <w:szCs w:val="26"/>
          <w14:ligatures w14:val="none"/>
        </w:rPr>
      </w:pPr>
      <w:r w:rsidRPr="002570CB">
        <w:rPr>
          <w:rFonts w:ascii="Arial" w:eastAsia="Arial" w:hAnsi="Arial" w:cs="Arial"/>
          <w:b/>
          <w:bCs/>
          <w:color w:val="1F3864"/>
          <w:kern w:val="0"/>
          <w:sz w:val="26"/>
          <w:szCs w:val="26"/>
          <w:rtl/>
          <w14:ligatures w14:val="none"/>
        </w:rPr>
        <w:t>التعقيب النقدي على الدراسات السابقة</w:t>
      </w:r>
    </w:p>
    <w:p w14:paraId="142FB52E"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أوجه الاتفاق: تتفق غالبية الدراسات على أن الإنفوجرافيك أداة اتصالية فعّالة في المجال الصحي، وأن المحتوى البصري يتفوق على النصي في معدلات التفاعل والاستيعاب، وأن وسائل التواصل الاجتماعي باتت القناة الرئيسية للتواصل الصحي الرسمي.</w:t>
      </w:r>
    </w:p>
    <w:p w14:paraId="05466D59"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أوجه الاختلاف: تباينت الدراسات في مناهجها بين تحليل المضمون والمسح والتجريب، وفي نطاقها الجغرافي ومجتمعاتها المستهدفة، وهو ما يفسّر تفاوت نتائجها في تقدير حجم الأثر.</w:t>
      </w:r>
    </w:p>
    <w:p w14:paraId="79DD9551"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موقع الدراسة الحالية: تفيد الدراسة الحالية من الدراسات السابقة في بناء أداتها وتحديد محاورها، وتختلف عنها في جمعها بين تقييم جودة المحتوى وقياس أثره في الوعي والسلوك معاً، وفي إطارها النظري المركّب من ثلاث نظريات متكاملة.</w:t>
      </w:r>
    </w:p>
    <w:p w14:paraId="44B64826"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ثامناً: الفجوة البحثية</w:t>
      </w:r>
    </w:p>
    <w:p w14:paraId="1FFAC016"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على الرغم من ثراء الأدبيات السابقة، يمكن رصد الفجوة البحثية في الأبعاد الآتية:</w:t>
      </w:r>
    </w:p>
    <w:p w14:paraId="71A7BD24"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فجوة في المتغيرات: ندرة الدراسات التي تجمع بين تقييم جودة الإنفوجرافيك الصحي وقياس أثره الفعلي في الوعي الصحي والسلوك الوقائي في آنٍ واحد؛ إذ يميل معظمها إلى أحد البعدين دون الآخر.</w:t>
      </w:r>
    </w:p>
    <w:p w14:paraId="4B101446"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lastRenderedPageBreak/>
        <w:t>فجوة منهجية: غلبة تحليل المضمون بوصفه أداةً وحيدة لدراسة الرسالة البصرية، مع قلة الدراسات المسحية التي تنطلق من زاوية المتلقي وتقيس الأثر المُدرَك.</w:t>
      </w:r>
    </w:p>
    <w:p w14:paraId="42E6A78F"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فجوة نظرية: اقتصار معظم الدراسات على نظرية واحدة، في حين تتبنى الدراسة الحالية إطاراً مركّباً يجمع الاستخدامات والإشباعات والأجندة الإعلامية والتأطير، بما يتيح تفسير الظاهرة من زاوية الجمهور والمؤسسة والرسالة معاً.</w:t>
      </w:r>
    </w:p>
    <w:p w14:paraId="25B6E288"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فجوة زمنية: إجراء أغلب الدراسات في ذروة الجائحة، في حين تتيح الدراسة الحالية تقييماً بأثر رجعي بعد انقضائها، بما يكشف عن استدامة الأثر السلوكي من عدمه.</w:t>
      </w:r>
    </w:p>
    <w:p w14:paraId="741D3D1E"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فجوة في قياس الأثر: التعامل مع مؤشرات التفاعل الرقمي (الإعجاب والمشاركة) بوصفها مقياساً للتأثير، وهو ما تتجاوزه الدراسة الحالية بأداة مقننة تقيس الوعي والسلوك مباشرةً.</w:t>
      </w:r>
    </w:p>
    <w:p w14:paraId="20BE8D34"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تاسعاً: المنطلقات النظرية للدراسة</w:t>
      </w:r>
    </w:p>
    <w:p w14:paraId="493BCD8B"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تستند الدراسة إلى إطار نظري مركّب من ثلاث نظريات إعلامية متكاملة، يتناول كلٌّ منها زاويةً من زوايا الظاهرة:</w:t>
      </w:r>
    </w:p>
    <w:p w14:paraId="16493C8B" w14:textId="77777777" w:rsidR="002570CB" w:rsidRPr="002570CB" w:rsidRDefault="002570CB" w:rsidP="002570CB">
      <w:pPr>
        <w:bidi/>
        <w:spacing w:before="280" w:line="240" w:lineRule="auto"/>
        <w:outlineLvl w:val="1"/>
        <w:rPr>
          <w:rFonts w:ascii="Arial" w:eastAsia="Arial" w:hAnsi="Arial" w:cs="Arial"/>
          <w:color w:val="2E74B5"/>
          <w:kern w:val="0"/>
          <w:sz w:val="26"/>
          <w:szCs w:val="26"/>
          <w14:ligatures w14:val="none"/>
        </w:rPr>
      </w:pPr>
      <w:r w:rsidRPr="002570CB">
        <w:rPr>
          <w:rFonts w:ascii="Arial" w:eastAsia="Arial" w:hAnsi="Arial" w:cs="Arial"/>
          <w:b/>
          <w:bCs/>
          <w:color w:val="1F3864"/>
          <w:kern w:val="0"/>
          <w:sz w:val="26"/>
          <w:szCs w:val="26"/>
          <w:rtl/>
          <w14:ligatures w14:val="none"/>
        </w:rPr>
        <w:t>1. نظرية الاستخدامات والإشباعات (Uses and Gratifications)</w:t>
      </w:r>
    </w:p>
    <w:p w14:paraId="12A45B51"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طوّرها إلياهو كاتز وزملاؤه (بلوملر وجيروفيتش) في مطلع سبعينيات القرن الماضي، وقد نقلت السؤال البحثي من «ماذا تفعل وسائل الإعلام بالجمهور؟» إلى «ماذا يفعل الجمهور بوسائل الإعلام؟». وترتكز على أن الجمهور نشط في اختياره، وأن تعرّضه هادف وموجّه نحو تحقيق إشباعات معرفية أو وجدانية أو اجتماعية. وتُوظَّف في هذه الدراسة لتفسير دوافع الجمهور للبحث عن المعلومة الصحية عبر الإنفوجرافيك، والإشباعات التي يحققها من هذا التعرض، وهي منطلق محورَي التعرض والتقييم في الاستبانة.</w:t>
      </w:r>
    </w:p>
    <w:p w14:paraId="464FFC74" w14:textId="77777777" w:rsidR="002570CB" w:rsidRPr="002570CB" w:rsidRDefault="002570CB" w:rsidP="002570CB">
      <w:pPr>
        <w:bidi/>
        <w:spacing w:before="280" w:line="240" w:lineRule="auto"/>
        <w:outlineLvl w:val="1"/>
        <w:rPr>
          <w:rFonts w:ascii="Arial" w:eastAsia="Arial" w:hAnsi="Arial" w:cs="Arial"/>
          <w:color w:val="2E74B5"/>
          <w:kern w:val="0"/>
          <w:sz w:val="26"/>
          <w:szCs w:val="26"/>
          <w14:ligatures w14:val="none"/>
        </w:rPr>
      </w:pPr>
      <w:r w:rsidRPr="002570CB">
        <w:rPr>
          <w:rFonts w:ascii="Arial" w:eastAsia="Arial" w:hAnsi="Arial" w:cs="Arial"/>
          <w:b/>
          <w:bCs/>
          <w:color w:val="1F3864"/>
          <w:kern w:val="0"/>
          <w:sz w:val="26"/>
          <w:szCs w:val="26"/>
          <w:rtl/>
          <w14:ligatures w14:val="none"/>
        </w:rPr>
        <w:t>2. نظرية الأجندة الإعلامية (Agenda-Setting)</w:t>
      </w:r>
    </w:p>
    <w:p w14:paraId="0594D9AB"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أرسى أسسها ماكسويل مكومبس ودونالد شو عام 1972م، وتفيد في مستواها الأول بأن وسائل الإعلام تحدد للجمهور ما يفكر فيه لا كيف يفكر فيه. ويُفسّر هذا المستوى كيف نجحت وزارة الصحة عبر إنتاجها المكثف للإنفوجرافيك في توجيه اهتمام الجمهور نحو قضايا بعينها كالتباعد الاجتماعي والتطعيم وارتداء الكمامات، فيما يفسّر المستوى الثاني (أجندة السمات) كيف أسهم التصميم البصري في تشكيل تصوّرات الجمهور عن خطورة الجائحة.</w:t>
      </w:r>
    </w:p>
    <w:p w14:paraId="3A6F1B56" w14:textId="77777777" w:rsidR="002570CB" w:rsidRPr="002570CB" w:rsidRDefault="002570CB" w:rsidP="002570CB">
      <w:pPr>
        <w:bidi/>
        <w:spacing w:before="280" w:line="240" w:lineRule="auto"/>
        <w:outlineLvl w:val="1"/>
        <w:rPr>
          <w:rFonts w:ascii="Arial" w:eastAsia="Arial" w:hAnsi="Arial" w:cs="Arial"/>
          <w:color w:val="2E74B5"/>
          <w:kern w:val="0"/>
          <w:sz w:val="26"/>
          <w:szCs w:val="26"/>
          <w14:ligatures w14:val="none"/>
        </w:rPr>
      </w:pPr>
      <w:r w:rsidRPr="002570CB">
        <w:rPr>
          <w:rFonts w:ascii="Arial" w:eastAsia="Arial" w:hAnsi="Arial" w:cs="Arial"/>
          <w:b/>
          <w:bCs/>
          <w:color w:val="1F3864"/>
          <w:kern w:val="0"/>
          <w:sz w:val="26"/>
          <w:szCs w:val="26"/>
          <w:rtl/>
          <w14:ligatures w14:val="none"/>
        </w:rPr>
        <w:t>3. نظرية التأطير الإعلامي (Framing)</w:t>
      </w:r>
    </w:p>
    <w:p w14:paraId="53787E25"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lastRenderedPageBreak/>
        <w:t>أرسى مفهومها عالم الاجتماع إرفينغ جوفمان عام 1974م، وطوّرها إعلامياً روبرت إنتمان وآخرون. وتُعنى بالكيفية التي تُصاغ بها المعلومة وأثر ذلك في تفسير الجمهور لها. وتُستخدم في هذه الدراسة لتحليل البنية الداخلية للرسالة البصرية: الألوان، والتسلسل، والاختزال، وصياغة الرسالة الرئيسة، وأثر ذلك إدراكياً.</w:t>
      </w:r>
    </w:p>
    <w:p w14:paraId="508C2B5B"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التكامل بين النظريات: تفسّر نظرية الاستخدامات والإشباعات جانب الجمهور ودوافعه، وتفسّر الأجندة الإعلامية الدور المؤسسي لوزارة الصحة في توجيه الاهتمام العام، وتحلّل نظرية التأطير بنية المحتوى البصري وأثره الإدراكي؛ بما يتيح تناولاً شاملاً للظاهرة من زوايا متعددة متكاملة.</w:t>
      </w:r>
    </w:p>
    <w:p w14:paraId="2C681AB3"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عاشراً: المنهجية وطرق البحث</w:t>
      </w:r>
    </w:p>
    <w:p w14:paraId="30D51A4C"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نوع البحث: وصفي تحليلي تقييمي.</w:t>
      </w:r>
    </w:p>
    <w:p w14:paraId="7A5EA435"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المنهج: المنهج الوصفي التحليلي، عبر أسلوب المسح بالعينة.</w:t>
      </w:r>
    </w:p>
    <w:p w14:paraId="1BCE73DA"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مبررات اختياره: ملاءمته لطبيعة المتغيرات الكمية والوصفية معاً، وقدرته على الكشف عن العلاقات الارتباطية بين التعرض والوعي والسلوك، وتوافقه مع الدراسات المماثلة بما يتيح المقارنة، واقتصاده في الوقت والجهد عبر الاستبانة الإلكترونية.</w:t>
      </w:r>
    </w:p>
    <w:p w14:paraId="5A3F2991" w14:textId="77777777" w:rsidR="002570CB" w:rsidRPr="002570CB" w:rsidRDefault="002570CB" w:rsidP="002570CB">
      <w:pPr>
        <w:bidi/>
        <w:spacing w:after="60" w:line="340" w:lineRule="auto"/>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خطوات التنفيذ:</w:t>
      </w:r>
    </w:p>
    <w:p w14:paraId="442A826E"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مراجعة الأدبيات النظرية والدراسات السابقة وتحديد المتغيرات.</w:t>
      </w:r>
    </w:p>
    <w:p w14:paraId="2DDA9F3D"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بناء أداة الدراسة (الاستبانة) في ضوء الأهداف والتساؤلات والفروض.</w:t>
      </w:r>
    </w:p>
    <w:p w14:paraId="371BA281"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عرض الأداة على المحكّمين وتعديلها وفق ملاحظاتهم (صدق المحكّمين).</w:t>
      </w:r>
    </w:p>
    <w:p w14:paraId="3A36034F"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تطبيق دراسة استطلاعية للتحقق من الثبات وضبط الصياغة.</w:t>
      </w:r>
    </w:p>
    <w:p w14:paraId="4529BC60"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التطبيق الميداني للأداة على العينة إلكترونياً.</w:t>
      </w:r>
    </w:p>
    <w:p w14:paraId="6D2C7E12"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تفريغ البيانات ومعالجتها إحصائياً عبر برنامج SPSS.</w:t>
      </w:r>
    </w:p>
    <w:p w14:paraId="5EED7884" w14:textId="77777777" w:rsidR="002570CB" w:rsidRPr="002570CB" w:rsidRDefault="002570CB" w:rsidP="002570CB">
      <w:pPr>
        <w:numPr>
          <w:ilvl w:val="0"/>
          <w:numId w:val="27"/>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عرض النتائج وتفسيرها في ضوء الإطار النظري والدراسات السابقة، ثم صياغة التوصيات.</w:t>
      </w:r>
    </w:p>
    <w:p w14:paraId="57354315"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حادي عشر: مجتمع وعينة الدراسة</w:t>
      </w:r>
    </w:p>
    <w:p w14:paraId="315B6262"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مجتمع الدراسة: يتكوّن من متابعي المنصات الرقمية الرسمية لوزارة الصحة السعودية على وسائل التواصل الاجتماعي ممن تعرّضوا للإنفوجرافيك الصحي خلال فترة الجائحة. وهو مجتمع غير محدود يتعذّر حصره بدقة لعدم توافر سجلات رسمية تُحصي أعداد متابعي المحتوى الصحي الرقمي، ما يستدعي اللجوء إلى أسلوب العينة.</w:t>
      </w:r>
    </w:p>
    <w:p w14:paraId="19DA16B5"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lastRenderedPageBreak/>
        <w:t>أسلوب المعاينة: العينة العمدية الغرضية (Purposive Sampling)، لملاءمتها طبيعة المجتمع غير المحدود، ولاشتراط الدراسة تعرّض المبحوث للمحتوى المدروس ولو مرةً واحدة خلال فترة الجائحة.</w:t>
      </w:r>
    </w:p>
    <w:p w14:paraId="5EA5CDB5"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حجم العينة: (400) مفردة مستهدفة، بلغ الصالح منها للتحليل (385) استبانة بعد استبعاد غير المكتملة، بنسبة استرداد (96.25%) تُعدّ مرتفعةً ومقبولةً إحصائياً.</w:t>
      </w:r>
    </w:p>
    <w:p w14:paraId="19D17C30"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خصائص العينة: تتوزع وفق متغيرات الجنس، والفئة العمرية، والمستوى التعليمي، والمنصة الرقمية الأكثر استخداماً.</w:t>
      </w:r>
    </w:p>
    <w:p w14:paraId="1495F257" w14:textId="77777777" w:rsidR="002570CB" w:rsidRPr="002570CB" w:rsidRDefault="002570CB" w:rsidP="002570CB">
      <w:pPr>
        <w:bidi/>
        <w:spacing w:after="80" w:line="340" w:lineRule="auto"/>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جدول (1): توزيع العينة وفق المستوى التعليمي</w:t>
      </w:r>
    </w:p>
    <w:tbl>
      <w:tblPr>
        <w:bidiVisual/>
        <w:tblW w:w="90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3000"/>
        <w:gridCol w:w="3000"/>
      </w:tblGrid>
      <w:tr w:rsidR="002570CB" w:rsidRPr="002570CB" w14:paraId="42DC1FBF" w14:textId="77777777" w:rsidTr="00DC3CD8">
        <w:tblPrEx>
          <w:tblCellMar>
            <w:top w:w="0" w:type="dxa"/>
            <w:bottom w:w="0" w:type="dxa"/>
          </w:tblCellMar>
        </w:tblPrEx>
        <w:tc>
          <w:tcPr>
            <w:tcW w:w="3000" w:type="dxa"/>
            <w:shd w:val="clear" w:color="auto" w:fill="D9E2F3"/>
          </w:tcPr>
          <w:p w14:paraId="577EB039"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b/>
                <w:bCs/>
                <w:kern w:val="0"/>
                <w:rtl/>
                <w14:ligatures w14:val="none"/>
              </w:rPr>
              <w:t>المستوى التعليمي</w:t>
            </w:r>
          </w:p>
        </w:tc>
        <w:tc>
          <w:tcPr>
            <w:tcW w:w="3000" w:type="dxa"/>
            <w:shd w:val="clear" w:color="auto" w:fill="D9E2F3"/>
          </w:tcPr>
          <w:p w14:paraId="323B5286"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b/>
                <w:bCs/>
                <w:kern w:val="0"/>
                <w:rtl/>
                <w14:ligatures w14:val="none"/>
              </w:rPr>
              <w:t>العدد</w:t>
            </w:r>
          </w:p>
        </w:tc>
        <w:tc>
          <w:tcPr>
            <w:tcW w:w="3000" w:type="dxa"/>
            <w:shd w:val="clear" w:color="auto" w:fill="D9E2F3"/>
          </w:tcPr>
          <w:p w14:paraId="28D9B406"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b/>
                <w:bCs/>
                <w:kern w:val="0"/>
                <w:rtl/>
                <w14:ligatures w14:val="none"/>
              </w:rPr>
              <w:t>النسبة المئوية</w:t>
            </w:r>
          </w:p>
        </w:tc>
      </w:tr>
      <w:tr w:rsidR="002570CB" w:rsidRPr="002570CB" w14:paraId="49DBC5BF" w14:textId="77777777" w:rsidTr="00DC3CD8">
        <w:tblPrEx>
          <w:tblCellMar>
            <w:top w:w="0" w:type="dxa"/>
            <w:bottom w:w="0" w:type="dxa"/>
          </w:tblCellMar>
        </w:tblPrEx>
        <w:tc>
          <w:tcPr>
            <w:tcW w:w="3000" w:type="dxa"/>
          </w:tcPr>
          <w:p w14:paraId="11BACCDD"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rtl/>
                <w14:ligatures w14:val="none"/>
              </w:rPr>
              <w:t>ثانوي فأقل</w:t>
            </w:r>
          </w:p>
        </w:tc>
        <w:tc>
          <w:tcPr>
            <w:tcW w:w="3000" w:type="dxa"/>
          </w:tcPr>
          <w:p w14:paraId="4651F208"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rtl/>
                <w14:ligatures w14:val="none"/>
              </w:rPr>
              <w:t>54</w:t>
            </w:r>
          </w:p>
        </w:tc>
        <w:tc>
          <w:tcPr>
            <w:tcW w:w="3000" w:type="dxa"/>
          </w:tcPr>
          <w:p w14:paraId="50BEFC24"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rtl/>
                <w14:ligatures w14:val="none"/>
              </w:rPr>
              <w:t>14.0%</w:t>
            </w:r>
          </w:p>
        </w:tc>
      </w:tr>
      <w:tr w:rsidR="002570CB" w:rsidRPr="002570CB" w14:paraId="6CEF7917" w14:textId="77777777" w:rsidTr="00DC3CD8">
        <w:tblPrEx>
          <w:tblCellMar>
            <w:top w:w="0" w:type="dxa"/>
            <w:bottom w:w="0" w:type="dxa"/>
          </w:tblCellMar>
        </w:tblPrEx>
        <w:tc>
          <w:tcPr>
            <w:tcW w:w="3000" w:type="dxa"/>
          </w:tcPr>
          <w:p w14:paraId="0F3E13F8"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rtl/>
                <w14:ligatures w14:val="none"/>
              </w:rPr>
              <w:t>بكالوريوس / دبلوم</w:t>
            </w:r>
          </w:p>
        </w:tc>
        <w:tc>
          <w:tcPr>
            <w:tcW w:w="3000" w:type="dxa"/>
          </w:tcPr>
          <w:p w14:paraId="5B90D3EE"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rtl/>
                <w14:ligatures w14:val="none"/>
              </w:rPr>
              <w:t>218</w:t>
            </w:r>
          </w:p>
        </w:tc>
        <w:tc>
          <w:tcPr>
            <w:tcW w:w="3000" w:type="dxa"/>
          </w:tcPr>
          <w:p w14:paraId="5E1F2C33"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rtl/>
                <w14:ligatures w14:val="none"/>
              </w:rPr>
              <w:t>56.6%</w:t>
            </w:r>
          </w:p>
        </w:tc>
      </w:tr>
      <w:tr w:rsidR="002570CB" w:rsidRPr="002570CB" w14:paraId="326B240F" w14:textId="77777777" w:rsidTr="00DC3CD8">
        <w:tblPrEx>
          <w:tblCellMar>
            <w:top w:w="0" w:type="dxa"/>
            <w:bottom w:w="0" w:type="dxa"/>
          </w:tblCellMar>
        </w:tblPrEx>
        <w:tc>
          <w:tcPr>
            <w:tcW w:w="3000" w:type="dxa"/>
          </w:tcPr>
          <w:p w14:paraId="3A055C05"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rtl/>
                <w14:ligatures w14:val="none"/>
              </w:rPr>
              <w:t>دراسات عليا</w:t>
            </w:r>
          </w:p>
        </w:tc>
        <w:tc>
          <w:tcPr>
            <w:tcW w:w="3000" w:type="dxa"/>
          </w:tcPr>
          <w:p w14:paraId="7AA7FE9C"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rtl/>
                <w14:ligatures w14:val="none"/>
              </w:rPr>
              <w:t>113</w:t>
            </w:r>
          </w:p>
        </w:tc>
        <w:tc>
          <w:tcPr>
            <w:tcW w:w="3000" w:type="dxa"/>
          </w:tcPr>
          <w:p w14:paraId="19DF9BDD"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rtl/>
                <w14:ligatures w14:val="none"/>
              </w:rPr>
              <w:t>29.4%</w:t>
            </w:r>
          </w:p>
        </w:tc>
      </w:tr>
      <w:tr w:rsidR="002570CB" w:rsidRPr="002570CB" w14:paraId="497D8722" w14:textId="77777777" w:rsidTr="00DC3CD8">
        <w:tblPrEx>
          <w:tblCellMar>
            <w:top w:w="0" w:type="dxa"/>
            <w:bottom w:w="0" w:type="dxa"/>
          </w:tblCellMar>
        </w:tblPrEx>
        <w:tc>
          <w:tcPr>
            <w:tcW w:w="3000" w:type="dxa"/>
          </w:tcPr>
          <w:p w14:paraId="535324D2"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rtl/>
                <w14:ligatures w14:val="none"/>
              </w:rPr>
              <w:t>المجموع</w:t>
            </w:r>
          </w:p>
        </w:tc>
        <w:tc>
          <w:tcPr>
            <w:tcW w:w="3000" w:type="dxa"/>
          </w:tcPr>
          <w:p w14:paraId="37B8702B"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rtl/>
                <w14:ligatures w14:val="none"/>
              </w:rPr>
              <w:t>385</w:t>
            </w:r>
          </w:p>
        </w:tc>
        <w:tc>
          <w:tcPr>
            <w:tcW w:w="3000" w:type="dxa"/>
          </w:tcPr>
          <w:p w14:paraId="39B40055" w14:textId="77777777" w:rsidR="002570CB" w:rsidRPr="002570CB" w:rsidRDefault="002570CB" w:rsidP="002570CB">
            <w:pPr>
              <w:bidi/>
              <w:spacing w:after="0" w:line="240" w:lineRule="auto"/>
              <w:rPr>
                <w:rFonts w:ascii="Arial" w:eastAsia="Arial" w:hAnsi="Arial" w:cs="Arial"/>
                <w:kern w:val="0"/>
                <w:sz w:val="24"/>
                <w:szCs w:val="24"/>
                <w14:ligatures w14:val="none"/>
              </w:rPr>
            </w:pPr>
            <w:r w:rsidRPr="002570CB">
              <w:rPr>
                <w:rFonts w:ascii="Arial" w:eastAsia="Arial" w:hAnsi="Arial" w:cs="Arial"/>
                <w:kern w:val="0"/>
                <w:rtl/>
                <w14:ligatures w14:val="none"/>
              </w:rPr>
              <w:t>100%</w:t>
            </w:r>
          </w:p>
        </w:tc>
      </w:tr>
    </w:tbl>
    <w:p w14:paraId="6FB5FD6A" w14:textId="77777777" w:rsidR="002570CB" w:rsidRPr="002570CB" w:rsidRDefault="002570CB" w:rsidP="002570CB">
      <w:pPr>
        <w:bidi/>
        <w:spacing w:after="200" w:line="340" w:lineRule="auto"/>
        <w:rPr>
          <w:rFonts w:ascii="Arial" w:eastAsia="Arial" w:hAnsi="Arial" w:cs="Arial"/>
          <w:kern w:val="0"/>
          <w:sz w:val="24"/>
          <w:szCs w:val="24"/>
          <w14:ligatures w14:val="none"/>
        </w:rPr>
      </w:pPr>
    </w:p>
    <w:p w14:paraId="33C7B216"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ثاني عشر: أداة الدراسة</w:t>
      </w:r>
    </w:p>
    <w:p w14:paraId="0F07C319"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اعتمدت الدراسة على الاستبانة أداةً رئيسة لجمع البيانات، لملاءمتها طبيعة المنهج الوصفي التحليلي وحجم العينة وتوزّعها الجغرافي. وقد صُمّمت إلكترونياً ووُزّعت عبر منصات التواصل الاجتماعي.</w:t>
      </w:r>
    </w:p>
    <w:p w14:paraId="37D44609"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بناء الأداة: مرّت الاستبانة بمراجعة الأدبيات والدراسات السابقة، ثم صياغة الفقرات في ضوء الأهداف والتساؤلات والفروض، ثم التحكيم، ثم الدراسة الاستطلاعية، وصولاً إلى الصورة النهائية.</w:t>
      </w:r>
    </w:p>
    <w:p w14:paraId="658FAAB3" w14:textId="77777777" w:rsidR="002570CB" w:rsidRPr="002570CB" w:rsidRDefault="002570CB" w:rsidP="002570CB">
      <w:pPr>
        <w:bidi/>
        <w:spacing w:after="60" w:line="340" w:lineRule="auto"/>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محاور الاستبانة:</w:t>
      </w:r>
    </w:p>
    <w:p w14:paraId="5394704A"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البيانات الديموغرافية: الجنس، والفئة العمرية، والمستوى التعليمي، والمنصة الأكثر استخداماً.</w:t>
      </w:r>
    </w:p>
    <w:p w14:paraId="00A4A9DE"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المحور الأول: مستوى التعرض للإنفوجرافيك الصحي وتكرار متابعته.</w:t>
      </w:r>
    </w:p>
    <w:p w14:paraId="48155B1A"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المحور الثاني: تقييم جودة الإنفوجرافيك الصحي (المحتوى، التصميم، الوضوح، المصداقية).</w:t>
      </w:r>
    </w:p>
    <w:p w14:paraId="7654C9C9"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المحور الثالث: أثر الإنفوجرافيك في الوعي الصحي.</w:t>
      </w:r>
    </w:p>
    <w:p w14:paraId="2DCE2B6B"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المحور الرابع: أثر الإنفوجرافيك في السلوك الوقائي.</w:t>
      </w:r>
    </w:p>
    <w:p w14:paraId="5964640A"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وتُقاس فقرات المحاور الثلاثة الأخيرة بمقياس ليكرت الخماسي (موافق بشدة – موافق – محايد – غير موافق – غير موافق بشدة).</w:t>
      </w:r>
    </w:p>
    <w:p w14:paraId="7B5EA800"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lastRenderedPageBreak/>
        <w:t>صدق الأداة: التحقق من الصدق الظاهري عبر صدق المحكّمين من أعضاء هيئة التدريس في الإعلام الرقمي والصحة العامة، إضافةً إلى صدق الاتساق الداخلي بحساب معاملات ارتباط الفقرة بالمحور الذي تنتمي إليه.</w:t>
      </w:r>
    </w:p>
    <w:p w14:paraId="795FF611"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ثبات الأداة: التحقق من الثبات عبر معامل ألفا كرونباخ على عينة استطلاعية، بحيث لا يقلّ معامل الثبات لكل محور وللأداة ككل عن (0.70) وهو الحد المقبول إحصائياً.</w:t>
      </w:r>
    </w:p>
    <w:p w14:paraId="716FE3EE"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ثالث عشر: أساليب التحليل الإحصائي</w:t>
      </w:r>
    </w:p>
    <w:p w14:paraId="6C88281B"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تُعالَج البيانات باستخدام برنامج الحزمة الإحصائية للعلوم الاجتماعية (SPSS)، وفق الأساليب الآتية:</w:t>
      </w:r>
    </w:p>
    <w:p w14:paraId="3E777D62"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التكرارات والنسب المئوية: لوصف خصائص العينة وتوزيعها الديموغرافي.</w:t>
      </w:r>
    </w:p>
    <w:p w14:paraId="0911EFE6"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المتوسطات الحسابية والانحرافات المعيارية: لتحديد اتجاهات استجابات المبحوثين نحو فقرات المحاور.</w:t>
      </w:r>
    </w:p>
    <w:p w14:paraId="102CEF1F"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معامل ألفا كرونباخ: للتحقق من ثبات أداة الدراسة.</w:t>
      </w:r>
    </w:p>
    <w:p w14:paraId="26DE4451"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معامل ارتباط بيرسون: لاختبار الفروض المتعلقة بالعلاقات الارتباطية بين متغيرات الدراسة.</w:t>
      </w:r>
    </w:p>
    <w:p w14:paraId="37EF98EA"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اختبار (t) للعينات المستقلة: لرصد الفروق تبعاً لمتغير الجنس.</w:t>
      </w:r>
    </w:p>
    <w:p w14:paraId="7DCA1967"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تحليل التباين الأحادي (ANOVA): لرصد الفروق تبعاً لمتغيري الفئة العمرية والمستوى التعليمي، مع اختبارات المقارنات البعدية عند وجود فروق دالة.</w:t>
      </w:r>
    </w:p>
    <w:p w14:paraId="4D3D80CC" w14:textId="77777777" w:rsidR="002570CB" w:rsidRPr="002570CB" w:rsidRDefault="002570CB" w:rsidP="002570CB">
      <w:pPr>
        <w:numPr>
          <w:ilvl w:val="0"/>
          <w:numId w:val="26"/>
        </w:numPr>
        <w:bidi/>
        <w:spacing w:after="80" w:line="32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تحليل الانحدار: لقياس أثر التعرض وجودة المحتوى في الوعي الصحي والسلوك الوقائي.</w:t>
      </w:r>
    </w:p>
    <w:p w14:paraId="4B830007"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رابع عشر: حدود الدراسة</w:t>
      </w:r>
    </w:p>
    <w:p w14:paraId="7BA4F849"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أ) الحدود الموضوعية: تقتصر الدراسة على الإنفوجرافيك الصادر عن وزارة الصحة السعودية عبر منصاتها الرقمية الرسمية، ولا تشمل المحتوى البصري الصادر عن جهات أخرى حكومية أو أهلية أو دولية. وتقتصر على قياس الأثر في بُعدين هما الوعي الصحي والسلوك الوقائي، وفي موضوع جائحة كوفيد-19 دون سائر الموضوعات الصحية.</w:t>
      </w:r>
    </w:p>
    <w:p w14:paraId="02D6105E"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ب) الحدود البشرية: المواطنون السعوديون والمقيمون في المملكة ممن تجاوزوا سن الخامسة عشرة وتعرّضوا للإنفوجرافيك الصادر عن وزارة الصحة خلال الجائحة، مع استثناء المتخصصين في الصحة العامة والإعلام الصحي لتباين تقييمهم عن عامة الجمهور.</w:t>
      </w:r>
    </w:p>
    <w:p w14:paraId="693EA5C3"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ج) الحدود المكانية: المملكة العربية السعودية بوجه عام، دون التقيّد بمنطقة بعينها، نظراً لاعتماد الاستبانة الإلكترونية.</w:t>
      </w:r>
    </w:p>
    <w:p w14:paraId="236A0BDA"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lastRenderedPageBreak/>
        <w:t>د) الحدود الزمنية: تتناول الدراسة الفترة الممتدة من مارس 2020م حتى نهاية عام 2022م بوصفها فترة الذروة الإنتاجية للإنفوجرافيك الصحي، فيما يجري جمع البيانات الميدانية خلال الفترة من مارس إلى مايو 2024م.</w:t>
      </w:r>
    </w:p>
    <w:p w14:paraId="365564CA"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هـ) الحدود المنهجية: يُشار إلى قيود ثلاثة قد تؤثر في التعميم: اعتماد العينة العمدية غير العشوائية، والاعتماد على التقرير الذاتي مع احتمال أثر التحيّز الاجتماعي المرغوب، وبُعد الفترة الزمنية بين الحدث وجمع البيانات بما يجعل الاستجابات مستندةً إلى استرجاع الذاكرة.</w:t>
      </w:r>
    </w:p>
    <w:p w14:paraId="050874E0"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خامس عشر: مصطلحات الدراسة</w:t>
      </w:r>
    </w:p>
    <w:p w14:paraId="30786089"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الإنفوجرافيك: تمثيل بصري للمعلومات والبيانات يجمع بين الصورة والرسم والرقم والنص المختصر بهدف تبسيط المعلومة المعقدة وتيسير فهمها وتذكّرها. ويُعرَّف إجرائياً بأنه المحتوى البصري المعلوماتي الذي أنتجته وزارة الصحة السعودية ونشرته عبر منصاتها الرقمية خلال جائحة كورونا.</w:t>
      </w:r>
    </w:p>
    <w:p w14:paraId="151C333A"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التواصل الصحي: العملية الاتصالية الهادفة إلى نقل المعلومات والرسائل الصحية إلى الجمهور بغرض التأثير في معارفه واتجاهاته وسلوكياته الصحية.</w:t>
      </w:r>
    </w:p>
    <w:p w14:paraId="75E5E82C"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الوعي الصحي: مستوى المعرفة والفهم الذي يمتلكه الفرد بشأن المخاطر الصحية وسبل الوقاية منها. ويُقاس إجرائياً بدرجة استجابة المبحوث على فقرات محور الوعي الصحي في الاستبانة.</w:t>
      </w:r>
    </w:p>
    <w:p w14:paraId="1008D15B" w14:textId="77777777" w:rsidR="002570CB" w:rsidRPr="002570CB" w:rsidRDefault="002570CB" w:rsidP="002570CB">
      <w:pPr>
        <w:bidi/>
        <w:spacing w:after="140" w:line="340" w:lineRule="auto"/>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السلوك الوقائي: الممارسات التي يتبعها الفرد للحدّ من احتمالية الإصابة أو نقل العدوى، كالتباعد الاجتماعي وارتداء الكمامة والتطعيم. ويُقاس إجرائياً بدرجة استجابة المبحوث على فقرات محور السلوك الوقائي.</w:t>
      </w:r>
    </w:p>
    <w:p w14:paraId="3D543CCB" w14:textId="77777777" w:rsidR="002570CB" w:rsidRPr="002570CB" w:rsidRDefault="002570CB" w:rsidP="002570CB">
      <w:pPr>
        <w:bidi/>
        <w:spacing w:before="280" w:line="240" w:lineRule="auto"/>
        <w:outlineLvl w:val="0"/>
        <w:rPr>
          <w:rFonts w:ascii="Arial" w:eastAsia="Arial" w:hAnsi="Arial" w:cs="Arial"/>
          <w:color w:val="2E74B5"/>
          <w:kern w:val="0"/>
          <w:sz w:val="32"/>
          <w:szCs w:val="32"/>
          <w14:ligatures w14:val="none"/>
        </w:rPr>
      </w:pPr>
      <w:r w:rsidRPr="002570CB">
        <w:rPr>
          <w:rFonts w:ascii="Arial" w:eastAsia="Arial" w:hAnsi="Arial" w:cs="Arial"/>
          <w:b/>
          <w:bCs/>
          <w:color w:val="1F3864"/>
          <w:kern w:val="0"/>
          <w:sz w:val="30"/>
          <w:szCs w:val="30"/>
          <w:rtl/>
          <w14:ligatures w14:val="none"/>
        </w:rPr>
        <w:t>سادس عشر: المراجع الأولية</w:t>
      </w:r>
    </w:p>
    <w:p w14:paraId="63ACFC14" w14:textId="77777777" w:rsidR="002570CB" w:rsidRPr="002570CB" w:rsidRDefault="002570CB" w:rsidP="002570CB">
      <w:pPr>
        <w:bidi/>
        <w:spacing w:after="60" w:line="340" w:lineRule="auto"/>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أولاً: المراجع العربية</w:t>
      </w:r>
    </w:p>
    <w:p w14:paraId="7E4F7E47"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الأنصاري، م. (2021). أثر الحملات الإعلامية الصحية في تعديل المعتقدات والسلوكيات المرتبطة بجائحة كورونا في المجتمع القطري. مجلة بحوث الاتصال، 12(2)، 45–78.</w:t>
      </w:r>
    </w:p>
    <w:p w14:paraId="4AAC6307"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الجهني، س. (2021). مقارنة فاعلية قنوات التواصل الصحي في الوصول إلى الجمهور السعودي خلال جائحة كورونا. المجلة العربية للإعلام والاتصال، 9(3)، 101–134.</w:t>
      </w:r>
    </w:p>
    <w:p w14:paraId="525FD956"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الحارثي، ن. (2021). دور وسائل التواصل الاجتماعي في نشر التوعية الصحية خلال جائحة كورونا. مجلة العلوم الإنسانية والإدارية، 8(1)، 55–82.</w:t>
      </w:r>
    </w:p>
    <w:p w14:paraId="42219142"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lastRenderedPageBreak/>
        <w:t>الحربي، ع. (2020). مستوى الالتزام بالإجراءات الوقائية وعلاقته بالتعرض للمحتوى الصحي الرقمي. المجلة السعودية للإعلام، 5(2)، 33–61.</w:t>
      </w:r>
    </w:p>
    <w:p w14:paraId="1CCE62BA"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الخالدي، ف. (2022). التجربة الإعلامية الصحية الخليجية في مواجهة جائحة كورونا: دراسة مقارنة. مجلة دراسات الخليج، 14(1)، 77–110.</w:t>
      </w:r>
    </w:p>
    <w:p w14:paraId="34AE3391"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الدوسري، ر. (2021). ثقة الجمهور السعودي بالمحتوى الصحي الرقمي الرسمي خلال جائحة كورونا. مجلة بحوث العلاقات العامة، 7(4)، 21–50.</w:t>
      </w:r>
    </w:p>
    <w:p w14:paraId="19FD0BC8"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الرشيدي، خ. (2020). دور الإعلام الرقمي في مواجهة الأخبار الزائفة خلال جائحة كورونا. المجلة المصرية لبحوث الإعلام، 71، 130–168.</w:t>
      </w:r>
    </w:p>
    <w:p w14:paraId="1BB9C3C9"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الزبيدي، ح. (2021). مستوى الوعي الصحي بفيروس كورونا وأثر وسائل الإعلام الرقمية في تشكيله. مجلة الباحث الإعلامي، 13(52)، 9–34.</w:t>
      </w:r>
    </w:p>
    <w:p w14:paraId="4098BE7A"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الزهراني، م. (2022). تحليل مضمون الإنفوجرافيك الصادر عن وزارة الصحة السعودية خلال جائحة كورونا. المجلة العربية لبحوث الإعلام، 10(2)، 15–48.</w:t>
      </w:r>
    </w:p>
    <w:p w14:paraId="3ED01A99"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السلمي، أ. (2021). تقييم جودة الإنفوجرافيك الصحي المنشور عبر منصات التواصل الاجتماعي. مجلة العلوم الإعلامية، 6(3)، 88–119.</w:t>
      </w:r>
    </w:p>
    <w:p w14:paraId="509935F9"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السهلي، ب. (2021). الفروق بين الفئات العمرية في تقييم المحتوى الصحي الرقمي. المجلة السعودية للإعلام، 6(1)، 40–70.</w:t>
      </w:r>
    </w:p>
    <w:p w14:paraId="20B87BDC"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الشمري، ط. (2021). دور الإنفوجرافيك في التواصل الصحي على منصة تويتر خلال جائحة كورونا. مجلة كلية الآداب، 34(2)، 200–235.</w:t>
      </w:r>
    </w:p>
    <w:p w14:paraId="607457B3"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الشهري، ي. (2022). أثر المستوى التعليمي في استيعاب الرسائل الصحية البصرية. مجلة العلوم التربوية والإعلامية، 11(1)، 60–94.</w:t>
      </w:r>
    </w:p>
    <w:p w14:paraId="6A555161"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العتيبي، ص. (2022). استراتيجيات التواصل الصحي الرقمي لوزارة الصحة السعودية خلال الجائحة. المجلة العربية للإعلام والاتصال، 10(1)، 25–58.</w:t>
      </w:r>
    </w:p>
    <w:p w14:paraId="661FF0E5"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العمري، ل. (2022). الفروق بين الجنسين في أنماط استهلاك المحتوى الصحي الرقمي. مجلة بحوث الاتصال، 13(1)، 70–102.</w:t>
      </w:r>
    </w:p>
    <w:p w14:paraId="7269684A"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العنزي، ف. (2020). توظيف المستشفيات الحكومية السعودية للإنفوجرافيك في خططها التواصلية. مجلة الإدارة الصحية، 4(2)، 12–44.</w:t>
      </w:r>
    </w:p>
    <w:p w14:paraId="50D2DCB0"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lastRenderedPageBreak/>
        <w:t>الغامدي، هـ. (2020). أنماط استخدام وسائل التواصل الاجتماعي للحصول على المعلومات الصحية. المجلة السعودية للإعلام، 5(1)، 15–46.</w:t>
      </w:r>
    </w:p>
    <w:p w14:paraId="446924E1"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القحطاني، د. (2022). العلاقة بين خصائص تصميم الإنفوجرافيك ومستوى استيعاب الجمهور. مجلة التصميم والاتصال البصري، 3(2)، 55–89.</w:t>
      </w:r>
    </w:p>
    <w:p w14:paraId="10B89685"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المالكي، ج. (2022). أثر التواصل الصحي الرقمي على السلوك الوقائي لدى الشباب السعودي. مجلة العلوم الاجتماعية، 15(3)، 110–145.</w:t>
      </w:r>
    </w:p>
    <w:p w14:paraId="14732A6F"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المطيري، ع. (2020). تأثير الإنفوجرافيك الصحي في تغيير سلوك أفراد المجتمع الكويتي خلال جائحة كورونا. المجلة الكويتية للإعلام، 2(1)، 30–66.</w:t>
      </w:r>
    </w:p>
    <w:p w14:paraId="212FAE0E"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عبد الرحمن، م. (2022). العلاقة بين التعرض لحملات التوعية الصحية الرقمية ومستوى الامتثال للإجراءات الاحترازية. المجلة المصرية لبحوث الرأي العام، 21(2)، 95–130.</w:t>
      </w:r>
    </w:p>
    <w:p w14:paraId="3D351EBC" w14:textId="77777777" w:rsidR="002570CB" w:rsidRPr="002570CB" w:rsidRDefault="002570CB" w:rsidP="002570CB">
      <w:pPr>
        <w:bidi/>
        <w:spacing w:after="60" w:line="340" w:lineRule="auto"/>
        <w:rPr>
          <w:rFonts w:ascii="Arial" w:eastAsia="Arial" w:hAnsi="Arial" w:cs="Arial"/>
          <w:kern w:val="0"/>
          <w:sz w:val="24"/>
          <w:szCs w:val="24"/>
          <w14:ligatures w14:val="none"/>
        </w:rPr>
      </w:pPr>
      <w:r w:rsidRPr="002570CB">
        <w:rPr>
          <w:rFonts w:ascii="Arial" w:eastAsia="Arial" w:hAnsi="Arial" w:cs="Arial"/>
          <w:b/>
          <w:bCs/>
          <w:kern w:val="0"/>
          <w:sz w:val="24"/>
          <w:szCs w:val="24"/>
          <w:rtl/>
          <w14:ligatures w14:val="none"/>
        </w:rPr>
        <w:t>ثانياً: المراجع الأجنبية</w:t>
      </w:r>
    </w:p>
    <w:p w14:paraId="39E8EF5C"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Entman, R. M. (1993). Framing: Toward clarification of a fractured paradigm. Journal of Communication, 43(4), 51–58.</w:t>
      </w:r>
    </w:p>
    <w:p w14:paraId="383366D4"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Katz, E., Blumler, J. G., &amp; Gurevitch, M. (1973). Uses and gratifications research. Public Opinion Quarterly, 37(4), 509–523.</w:t>
      </w:r>
    </w:p>
    <w:p w14:paraId="26FC94A8"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Lazard, A., &amp; Atkinson, L. (2015). Putting environmental infographics center stage: The role of visuals. Science Communication, 37(1), 6–33.</w:t>
      </w:r>
    </w:p>
    <w:p w14:paraId="42DFA901"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McCombs, M., &amp; Shaw, D. (1972). The agenda-setting function of mass media. Public Opinion Quarterly, 36(2), 176–187.</w:t>
      </w:r>
    </w:p>
    <w:p w14:paraId="19635924" w14:textId="77777777" w:rsidR="002570CB" w:rsidRPr="002570CB" w:rsidRDefault="002570CB" w:rsidP="002570CB">
      <w:pPr>
        <w:bidi/>
        <w:spacing w:after="70" w:line="340" w:lineRule="auto"/>
        <w:ind w:right="400" w:hanging="400"/>
        <w:rPr>
          <w:rFonts w:ascii="Arial" w:eastAsia="Arial" w:hAnsi="Arial" w:cs="Arial"/>
          <w:kern w:val="0"/>
          <w:sz w:val="24"/>
          <w:szCs w:val="24"/>
          <w14:ligatures w14:val="none"/>
        </w:rPr>
      </w:pPr>
      <w:r w:rsidRPr="002570CB">
        <w:rPr>
          <w:rFonts w:ascii="Arial" w:eastAsia="Arial" w:hAnsi="Arial" w:cs="Arial"/>
          <w:kern w:val="0"/>
          <w:sz w:val="24"/>
          <w:szCs w:val="24"/>
          <w:rtl/>
          <w14:ligatures w14:val="none"/>
        </w:rPr>
        <w:t>Siricharoen, W. V. (2013). Infographics: The new communication tools in digital age. Proceedings of the International Conference on E-Technologies and Business, 169–174.</w:t>
      </w:r>
    </w:p>
    <w:p w14:paraId="0F676771" w14:textId="135F8263" w:rsidR="002570CB" w:rsidRPr="001955FA" w:rsidRDefault="002570CB" w:rsidP="002570CB">
      <w:pPr>
        <w:bidi/>
        <w:spacing w:line="240" w:lineRule="auto"/>
        <w:rPr>
          <w:rFonts w:ascii="Sakkal Majalla" w:eastAsia="Calibri" w:hAnsi="Sakkal Majalla" w:cs="Sakkal Majalla"/>
          <w:b/>
          <w:bCs/>
          <w:sz w:val="32"/>
          <w:szCs w:val="32"/>
          <w:rtl/>
          <w:lang w:bidi="ar-EG"/>
        </w:rPr>
      </w:pPr>
      <w:r w:rsidRPr="002570CB">
        <w:rPr>
          <w:rFonts w:ascii="Arial" w:eastAsia="Arial" w:hAnsi="Arial" w:cs="Arial"/>
          <w:kern w:val="0"/>
          <w:sz w:val="24"/>
          <w:szCs w:val="24"/>
          <w:rtl/>
          <w14:ligatures w14:val="none"/>
        </w:rPr>
        <w:t>World Health Organization. (2020). Managing the COVID-19 infodemic. Geneva: WHO</w:t>
      </w:r>
    </w:p>
    <w:sectPr w:rsidR="002570CB" w:rsidRPr="001955FA">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03D5E4" w14:textId="77777777" w:rsidR="00893642" w:rsidRDefault="00893642">
      <w:pPr>
        <w:spacing w:line="240" w:lineRule="auto"/>
      </w:pPr>
      <w:r>
        <w:separator/>
      </w:r>
    </w:p>
  </w:endnote>
  <w:endnote w:type="continuationSeparator" w:id="0">
    <w:p w14:paraId="41DED736" w14:textId="77777777" w:rsidR="00893642" w:rsidRDefault="008936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lexandria">
    <w:panose1 w:val="020B0604020202020204"/>
    <w:charset w:val="00"/>
    <w:family w:val="auto"/>
    <w:pitch w:val="variable"/>
    <w:sig w:usb0="A00020FF" w:usb1="C000207B" w:usb2="00000008" w:usb3="00000000" w:csb0="000001D3" w:csb1="00000000"/>
  </w:font>
  <w:font w:name="Sakkal Majalla">
    <w:panose1 w:val="02000000000000000000"/>
    <w:charset w:val="B2"/>
    <w:family w:val="auto"/>
    <w:pitch w:val="variable"/>
    <w:sig w:usb0="80002007" w:usb1="80000000" w:usb2="00000008" w:usb3="00000000" w:csb0="000000D3" w:csb1="00000000"/>
  </w:font>
  <w:font w:name="Alexandria Medium">
    <w:altName w:val="Arial"/>
    <w:panose1 w:val="020B0604020202020204"/>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A27248" w14:textId="35B10B4E" w:rsidR="004C4D69" w:rsidRPr="001955FA" w:rsidRDefault="004C4D69">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 xml:space="preserve">(Headquarters) </w:t>
    </w:r>
    <w:proofErr w:type="spellStart"/>
    <w:r w:rsidRPr="001955FA">
      <w:rPr>
        <w:rFonts w:ascii="Alexandria Medium" w:hAnsi="Alexandria Medium" w:cs="Alexandria Medium"/>
        <w:color w:val="767171"/>
        <w:sz w:val="16"/>
        <w:szCs w:val="16"/>
      </w:rPr>
      <w:t>Midocean</w:t>
    </w:r>
    <w:proofErr w:type="spellEnd"/>
    <w:r w:rsidRPr="001955FA">
      <w:rPr>
        <w:rFonts w:ascii="Alexandria Medium" w:hAnsi="Alexandria Medium" w:cs="Alexandria Medium"/>
        <w:color w:val="767171"/>
        <w:sz w:val="16"/>
        <w:szCs w:val="16"/>
      </w:rPr>
      <w:t xml:space="preserve"> university, 8764+GH9 </w:t>
    </w:r>
    <w:proofErr w:type="spellStart"/>
    <w:r w:rsidRPr="001955FA">
      <w:rPr>
        <w:rFonts w:ascii="Alexandria Medium" w:hAnsi="Alexandria Medium" w:cs="Alexandria Medium"/>
        <w:color w:val="767171"/>
        <w:sz w:val="16"/>
        <w:szCs w:val="16"/>
      </w:rPr>
      <w:t>Matelec</w:t>
    </w:r>
    <w:proofErr w:type="spellEnd"/>
    <w:r w:rsidRPr="001955FA">
      <w:rPr>
        <w:rFonts w:ascii="Alexandria Medium" w:hAnsi="Alexandria Medium" w:cs="Alexandria Medium"/>
        <w:color w:val="767171"/>
        <w:sz w:val="16"/>
        <w:szCs w:val="16"/>
      </w:rPr>
      <w:t xml:space="preserve"> street, BP 684 Moroni, RP 98123 Moroni, Comoros</w:t>
    </w:r>
    <w:r w:rsidRPr="001955FA">
      <w:rPr>
        <w:rFonts w:ascii="Alexandria Medium" w:hAnsi="Alexandria Medium" w:cs="Alexandria Medium"/>
        <w:color w:val="767171"/>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EA914CF" w14:textId="77777777" w:rsidR="00893642" w:rsidRDefault="00893642">
      <w:pPr>
        <w:spacing w:after="0"/>
      </w:pPr>
      <w:r>
        <w:separator/>
      </w:r>
    </w:p>
  </w:footnote>
  <w:footnote w:type="continuationSeparator" w:id="0">
    <w:p w14:paraId="703B2130" w14:textId="77777777" w:rsidR="00893642" w:rsidRDefault="0089364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96A80"/>
    <w:multiLevelType w:val="hybridMultilevel"/>
    <w:tmpl w:val="FFFFFFFF"/>
    <w:lvl w:ilvl="0" w:tplc="F93ACE7A">
      <w:start w:val="1"/>
      <w:numFmt w:val="bullet"/>
      <w:lvlText w:val="•"/>
      <w:lvlJc w:val="right"/>
      <w:pPr>
        <w:ind w:right="500" w:hanging="260"/>
      </w:pPr>
    </w:lvl>
    <w:lvl w:ilvl="1" w:tplc="A43AC09A">
      <w:numFmt w:val="decimal"/>
      <w:lvlText w:val=""/>
      <w:lvlJc w:val="left"/>
    </w:lvl>
    <w:lvl w:ilvl="2" w:tplc="6A9C83CE">
      <w:numFmt w:val="decimal"/>
      <w:lvlText w:val=""/>
      <w:lvlJc w:val="left"/>
    </w:lvl>
    <w:lvl w:ilvl="3" w:tplc="F134046E">
      <w:numFmt w:val="decimal"/>
      <w:lvlText w:val=""/>
      <w:lvlJc w:val="left"/>
    </w:lvl>
    <w:lvl w:ilvl="4" w:tplc="27E86726">
      <w:numFmt w:val="decimal"/>
      <w:lvlText w:val=""/>
      <w:lvlJc w:val="left"/>
    </w:lvl>
    <w:lvl w:ilvl="5" w:tplc="B68474EA">
      <w:numFmt w:val="decimal"/>
      <w:lvlText w:val=""/>
      <w:lvlJc w:val="left"/>
    </w:lvl>
    <w:lvl w:ilvl="6" w:tplc="BB8C8630">
      <w:numFmt w:val="decimal"/>
      <w:lvlText w:val=""/>
      <w:lvlJc w:val="left"/>
    </w:lvl>
    <w:lvl w:ilvl="7" w:tplc="6930CC64">
      <w:numFmt w:val="decimal"/>
      <w:lvlText w:val=""/>
      <w:lvlJc w:val="left"/>
    </w:lvl>
    <w:lvl w:ilvl="8" w:tplc="B3A8CC04">
      <w:numFmt w:val="decimal"/>
      <w:lvlText w:val=""/>
      <w:lvlJc w:val="left"/>
    </w:lvl>
  </w:abstractNum>
  <w:abstractNum w:abstractNumId="6"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0867AD"/>
    <w:multiLevelType w:val="hybridMultilevel"/>
    <w:tmpl w:val="FFFFFFFF"/>
    <w:lvl w:ilvl="0" w:tplc="25D6F0AC">
      <w:start w:val="1"/>
      <w:numFmt w:val="decimal"/>
      <w:lvlText w:val="%1."/>
      <w:lvlJc w:val="right"/>
      <w:pPr>
        <w:ind w:right="500" w:hanging="260"/>
      </w:pPr>
    </w:lvl>
    <w:lvl w:ilvl="1" w:tplc="B2B4306E">
      <w:numFmt w:val="decimal"/>
      <w:lvlText w:val=""/>
      <w:lvlJc w:val="left"/>
    </w:lvl>
    <w:lvl w:ilvl="2" w:tplc="51AA6324">
      <w:numFmt w:val="decimal"/>
      <w:lvlText w:val=""/>
      <w:lvlJc w:val="left"/>
    </w:lvl>
    <w:lvl w:ilvl="3" w:tplc="B2329E9C">
      <w:numFmt w:val="decimal"/>
      <w:lvlText w:val=""/>
      <w:lvlJc w:val="left"/>
    </w:lvl>
    <w:lvl w:ilvl="4" w:tplc="2F86A4A4">
      <w:numFmt w:val="decimal"/>
      <w:lvlText w:val=""/>
      <w:lvlJc w:val="left"/>
    </w:lvl>
    <w:lvl w:ilvl="5" w:tplc="C3923E2C">
      <w:numFmt w:val="decimal"/>
      <w:lvlText w:val=""/>
      <w:lvlJc w:val="left"/>
    </w:lvl>
    <w:lvl w:ilvl="6" w:tplc="7AF2107E">
      <w:numFmt w:val="decimal"/>
      <w:lvlText w:val=""/>
      <w:lvlJc w:val="left"/>
    </w:lvl>
    <w:lvl w:ilvl="7" w:tplc="28D4C0B2">
      <w:numFmt w:val="decimal"/>
      <w:lvlText w:val=""/>
      <w:lvlJc w:val="left"/>
    </w:lvl>
    <w:lvl w:ilvl="8" w:tplc="E9EA5CAA">
      <w:numFmt w:val="decimal"/>
      <w:lvlText w:val=""/>
      <w:lvlJc w:val="left"/>
    </w:lvl>
  </w:abstractNum>
  <w:abstractNum w:abstractNumId="14"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3"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7267276">
    <w:abstractNumId w:val="14"/>
  </w:num>
  <w:num w:numId="2" w16cid:durableId="864635708">
    <w:abstractNumId w:val="25"/>
  </w:num>
  <w:num w:numId="3" w16cid:durableId="53551754">
    <w:abstractNumId w:val="19"/>
  </w:num>
  <w:num w:numId="4" w16cid:durableId="692413591">
    <w:abstractNumId w:val="10"/>
  </w:num>
  <w:num w:numId="5" w16cid:durableId="406877326">
    <w:abstractNumId w:val="1"/>
  </w:num>
  <w:num w:numId="6" w16cid:durableId="1369601868">
    <w:abstractNumId w:val="23"/>
  </w:num>
  <w:num w:numId="7" w16cid:durableId="233248886">
    <w:abstractNumId w:val="4"/>
  </w:num>
  <w:num w:numId="8" w16cid:durableId="2065789570">
    <w:abstractNumId w:val="0"/>
  </w:num>
  <w:num w:numId="9" w16cid:durableId="1526867027">
    <w:abstractNumId w:val="21"/>
  </w:num>
  <w:num w:numId="10" w16cid:durableId="2107647742">
    <w:abstractNumId w:val="7"/>
  </w:num>
  <w:num w:numId="11" w16cid:durableId="499083726">
    <w:abstractNumId w:val="2"/>
  </w:num>
  <w:num w:numId="12" w16cid:durableId="163322674">
    <w:abstractNumId w:val="3"/>
  </w:num>
  <w:num w:numId="13" w16cid:durableId="603533741">
    <w:abstractNumId w:val="18"/>
  </w:num>
  <w:num w:numId="14" w16cid:durableId="586958441">
    <w:abstractNumId w:val="16"/>
  </w:num>
  <w:num w:numId="15" w16cid:durableId="1962571552">
    <w:abstractNumId w:val="12"/>
  </w:num>
  <w:num w:numId="16" w16cid:durableId="856843993">
    <w:abstractNumId w:val="24"/>
  </w:num>
  <w:num w:numId="17" w16cid:durableId="1520385068">
    <w:abstractNumId w:val="17"/>
  </w:num>
  <w:num w:numId="18" w16cid:durableId="195121741">
    <w:abstractNumId w:val="6"/>
  </w:num>
  <w:num w:numId="19" w16cid:durableId="1792087270">
    <w:abstractNumId w:val="15"/>
  </w:num>
  <w:num w:numId="20" w16cid:durableId="1378240121">
    <w:abstractNumId w:val="11"/>
  </w:num>
  <w:num w:numId="21" w16cid:durableId="1911842122">
    <w:abstractNumId w:val="8"/>
  </w:num>
  <w:num w:numId="22" w16cid:durableId="1098911857">
    <w:abstractNumId w:val="20"/>
  </w:num>
  <w:num w:numId="23" w16cid:durableId="1558778867">
    <w:abstractNumId w:val="9"/>
  </w:num>
  <w:num w:numId="24" w16cid:durableId="759789224">
    <w:abstractNumId w:val="26"/>
  </w:num>
  <w:num w:numId="25" w16cid:durableId="383525178">
    <w:abstractNumId w:val="22"/>
  </w:num>
  <w:num w:numId="26" w16cid:durableId="1615940686">
    <w:abstractNumId w:val="5"/>
    <w:lvlOverride w:ilvl="0">
      <w:startOverride w:val="1"/>
    </w:lvlOverride>
  </w:num>
  <w:num w:numId="27" w16cid:durableId="2107261151">
    <w:abstractNumId w:val="13"/>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A0440"/>
    <w:rsid w:val="000A09B4"/>
    <w:rsid w:val="000A724C"/>
    <w:rsid w:val="000D501F"/>
    <w:rsid w:val="00132BC9"/>
    <w:rsid w:val="001955FA"/>
    <w:rsid w:val="001F6F22"/>
    <w:rsid w:val="002570CB"/>
    <w:rsid w:val="002821F1"/>
    <w:rsid w:val="0028456B"/>
    <w:rsid w:val="0028538F"/>
    <w:rsid w:val="00302C00"/>
    <w:rsid w:val="0034109A"/>
    <w:rsid w:val="00383945"/>
    <w:rsid w:val="003855AC"/>
    <w:rsid w:val="00393FD2"/>
    <w:rsid w:val="003F2018"/>
    <w:rsid w:val="004B753D"/>
    <w:rsid w:val="004C4D69"/>
    <w:rsid w:val="00503BF2"/>
    <w:rsid w:val="005D7B78"/>
    <w:rsid w:val="006729E2"/>
    <w:rsid w:val="0077719D"/>
    <w:rsid w:val="007B57D2"/>
    <w:rsid w:val="007D6E3C"/>
    <w:rsid w:val="00815A6D"/>
    <w:rsid w:val="00832A2B"/>
    <w:rsid w:val="00893642"/>
    <w:rsid w:val="008A4B41"/>
    <w:rsid w:val="008A5DB1"/>
    <w:rsid w:val="008E3E29"/>
    <w:rsid w:val="008F1759"/>
    <w:rsid w:val="00A549D0"/>
    <w:rsid w:val="00AD14FC"/>
    <w:rsid w:val="00AE40D8"/>
    <w:rsid w:val="00AE6E4B"/>
    <w:rsid w:val="00B2020D"/>
    <w:rsid w:val="00B24F35"/>
    <w:rsid w:val="00B703D9"/>
    <w:rsid w:val="00BF3465"/>
    <w:rsid w:val="00C11541"/>
    <w:rsid w:val="00C63ADA"/>
    <w:rsid w:val="00C66629"/>
    <w:rsid w:val="00C919CB"/>
    <w:rsid w:val="00D75442"/>
    <w:rsid w:val="00DD7B4C"/>
    <w:rsid w:val="00DF2960"/>
    <w:rsid w:val="00E0682A"/>
    <w:rsid w:val="00EB6E1F"/>
    <w:rsid w:val="00EF2736"/>
    <w:rsid w:val="00F4302D"/>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257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257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2570CB"/>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2Char">
    <w:name w:val="عنوان 2 Char"/>
    <w:basedOn w:val="a0"/>
    <w:link w:val="2"/>
    <w:uiPriority w:val="9"/>
    <w:rsid w:val="002570CB"/>
    <w:rPr>
      <w:rFonts w:asciiTheme="majorHAnsi" w:eastAsiaTheme="majorEastAsia" w:hAnsiTheme="majorHAnsi" w:cstheme="majorBidi"/>
      <w:color w:val="2F5496" w:themeColor="accent1" w:themeShade="BF"/>
      <w:kern w:val="2"/>
      <w:sz w:val="32"/>
      <w:szCs w:val="32"/>
      <w14:ligatures w14:val="standardContextual"/>
    </w:rPr>
  </w:style>
  <w:style w:type="paragraph" w:styleId="a5">
    <w:name w:val="List Paragraph"/>
    <w:qFormat/>
    <w:rsid w:val="002570CB"/>
    <w:rPr>
      <w:rFonts w:ascii="Arial" w:eastAsia="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0/xmlns/"/>
    <ds:schemaRef ds:uri="http://www.w3.org/2001/XMLSchema"/>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www.w3.org/2000/xmlns/"/>
    <ds:schemaRef ds:uri="aca13214-df29-4e3c-a050-857c0bf7bd8e"/>
    <ds:schemaRef ds:uri="http://schemas.microsoft.com/office/infopath/2007/PartnerControls"/>
    <ds:schemaRef ds:uri="688354b5-287c-4cda-825e-1d7935aea40e"/>
    <ds:schemaRef ds:uri="http://www.w3.org/2001/XMLSchema-instance"/>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3491</Words>
  <Characters>19638</Characters>
  <Application>Microsoft Office Word</Application>
  <DocSecurity>0</DocSecurity>
  <Lines>163</Lines>
  <Paragraphs>46</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23083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حنان عبدالرحمن بن مزعل العنزي</cp:lastModifiedBy>
  <cp:revision>2</cp:revision>
  <cp:lastPrinted>2024-09-19T10:32:00Z</cp:lastPrinted>
  <dcterms:created xsi:type="dcterms:W3CDTF">2026-08-03T10:01:00Z</dcterms:created>
  <dcterms:modified xsi:type="dcterms:W3CDTF">2026-08-03T10:01:00Z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