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57BF5C"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035505D1"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6FCCCAC9" w14:textId="77777777" w:rsidR="00250688" w:rsidRDefault="00250688" w:rsidP="00250688">
      <w:pPr>
        <w:bidi/>
        <w:spacing w:line="240" w:lineRule="auto"/>
        <w:jc w:val="both"/>
        <w:rPr>
          <w:rFonts w:ascii="Calibri" w:hAnsi="Calibri" w:cs="Calibri"/>
          <w:b/>
          <w:bCs/>
          <w:color w:val="8496B0" w:themeColor="text2" w:themeTint="99"/>
          <w:sz w:val="40"/>
          <w:szCs w:val="40"/>
          <w:rtl/>
        </w:rPr>
      </w:pPr>
    </w:p>
    <w:p w14:paraId="1E8C7324"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0D29E8B3" w14:textId="77777777" w:rsidR="00F02C92" w:rsidRDefault="00F02C92" w:rsidP="00F02C92">
      <w:pPr>
        <w:bidi/>
        <w:spacing w:line="240" w:lineRule="auto"/>
        <w:jc w:val="both"/>
        <w:rPr>
          <w:rFonts w:ascii="Calibri" w:hAnsi="Calibri" w:cs="Calibri"/>
          <w:b/>
          <w:bCs/>
          <w:color w:val="8496B0" w:themeColor="text2" w:themeTint="99"/>
          <w:sz w:val="40"/>
          <w:szCs w:val="40"/>
          <w:rtl/>
        </w:rPr>
      </w:pPr>
    </w:p>
    <w:p w14:paraId="1BD0CC7C" w14:textId="72D8FE78"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(التسليم الثاني– الفصل الدراسي السابع: بعد تنفيذ ملاحظات</w:t>
      </w:r>
      <w:r w:rsidR="00E05884">
        <w:rPr>
          <w:rFonts w:asciiTheme="majorBidi" w:hAnsiTheme="majorBidi" w:cstheme="majorBidi" w:hint="cs"/>
          <w:b/>
          <w:bCs/>
          <w:color w:val="EE0000"/>
          <w:sz w:val="40"/>
          <w:szCs w:val="40"/>
          <w:rtl/>
        </w:rPr>
        <w:t xml:space="preserve"> اللجنة بما فيها</w:t>
      </w:r>
      <w:r>
        <w:rPr>
          <w:rFonts w:asciiTheme="majorBidi" w:hAnsiTheme="majorBidi" w:cstheme="majorBidi"/>
          <w:b/>
          <w:bCs/>
          <w:color w:val="EE0000"/>
          <w:sz w:val="40"/>
          <w:szCs w:val="40"/>
          <w:rtl/>
        </w:rPr>
        <w:t xml:space="preserve"> توثيق المراجع وتدقيق الاستنادات</w:t>
      </w:r>
      <w:r w:rsidR="00E05884">
        <w:rPr>
          <w:rFonts w:asciiTheme="majorBidi" w:hAnsiTheme="majorBidi" w:cstheme="majorBidi" w:hint="cs"/>
          <w:b/>
          <w:bCs/>
          <w:color w:val="EE0000"/>
          <w:sz w:val="40"/>
          <w:szCs w:val="40"/>
          <w:rtl/>
        </w:rPr>
        <w:t xml:space="preserve"> وعمل قائمة المراجع والمصادر والتثبت من موضع كل استدلال</w:t>
      </w:r>
      <w:r w:rsidR="0098410A">
        <w:rPr>
          <w:rFonts w:asciiTheme="majorBidi" w:hAnsiTheme="majorBidi" w:cstheme="majorBidi" w:hint="cs"/>
          <w:b/>
          <w:bCs/>
          <w:color w:val="EE0000"/>
          <w:sz w:val="40"/>
          <w:szCs w:val="40"/>
          <w:rtl/>
        </w:rPr>
        <w:t xml:space="preserve"> في كامل الرسالة </w:t>
      </w:r>
      <w:r w:rsidR="0098410A">
        <w:rPr>
          <w:rFonts w:asciiTheme="majorBidi" w:hAnsiTheme="majorBidi" w:cstheme="majorBidi"/>
          <w:b/>
          <w:bCs/>
          <w:color w:val="EE0000"/>
          <w:sz w:val="40"/>
          <w:szCs w:val="40"/>
          <w:rtl/>
        </w:rPr>
        <w:t>–</w:t>
      </w:r>
      <w:r w:rsidR="0098410A">
        <w:rPr>
          <w:rFonts w:asciiTheme="majorBidi" w:hAnsiTheme="majorBidi" w:cstheme="majorBidi" w:hint="cs"/>
          <w:b/>
          <w:bCs/>
          <w:color w:val="EE0000"/>
          <w:sz w:val="40"/>
          <w:szCs w:val="40"/>
          <w:rtl/>
        </w:rPr>
        <w:t xml:space="preserve"> الفصل الثالث يبدأ من</w:t>
      </w:r>
      <w:r w:rsidR="008F0684">
        <w:rPr>
          <w:rFonts w:asciiTheme="majorBidi" w:hAnsiTheme="majorBidi" w:cstheme="majorBidi" w:hint="cs"/>
          <w:b/>
          <w:bCs/>
          <w:color w:val="EE0000"/>
          <w:sz w:val="40"/>
          <w:szCs w:val="40"/>
          <w:rtl/>
        </w:rPr>
        <w:t xml:space="preserve"> ص</w:t>
      </w:r>
      <w:r w:rsidR="0098410A">
        <w:rPr>
          <w:rFonts w:asciiTheme="majorBidi" w:hAnsiTheme="majorBidi" w:cstheme="majorBidi" w:hint="cs"/>
          <w:b/>
          <w:bCs/>
          <w:color w:val="EE0000"/>
          <w:sz w:val="40"/>
          <w:szCs w:val="40"/>
          <w:rtl/>
        </w:rPr>
        <w:t xml:space="preserve"> 102</w:t>
      </w:r>
      <w:r w:rsidR="00E05884">
        <w:rPr>
          <w:rFonts w:asciiTheme="majorBidi" w:hAnsiTheme="majorBidi" w:cstheme="majorBidi" w:hint="cs"/>
          <w:b/>
          <w:bCs/>
          <w:color w:val="EE0000"/>
          <w:sz w:val="40"/>
          <w:szCs w:val="40"/>
          <w:rtl/>
        </w:rPr>
        <w:t xml:space="preserve"> </w:t>
      </w:r>
      <w:r>
        <w:rPr>
          <w:rFonts w:asciiTheme="majorBidi" w:hAnsiTheme="majorBidi" w:cstheme="majorBidi"/>
          <w:b/>
          <w:bCs/>
          <w:color w:val="EE0000"/>
          <w:sz w:val="40"/>
          <w:szCs w:val="40"/>
          <w:rtl/>
        </w:rPr>
        <w:t>)</w:t>
      </w:r>
    </w:p>
    <w:p w14:paraId="34416007"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4B0DC21C"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4E8C160D"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6F36CFF4"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24D4BEAD"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0A3B038"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72ABFEC0"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3112AE10"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66E6706E" w14:textId="77777777" w:rsidTr="00E33865">
        <w:tc>
          <w:tcPr>
            <w:tcW w:w="1763" w:type="dxa"/>
          </w:tcPr>
          <w:p w14:paraId="34AC6A0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56CCD6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4A101AF1"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0466AA07" w14:textId="77777777" w:rsidTr="00E33865">
        <w:tc>
          <w:tcPr>
            <w:tcW w:w="1763" w:type="dxa"/>
          </w:tcPr>
          <w:p w14:paraId="317426D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003021C"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E74DD9E"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3FC2AD2F" w14:textId="77777777" w:rsidTr="00E33865">
        <w:tc>
          <w:tcPr>
            <w:tcW w:w="1763" w:type="dxa"/>
          </w:tcPr>
          <w:p w14:paraId="719587C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1087218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2B1E2D75"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79F0A8CC" w14:textId="77777777" w:rsidTr="00E33865">
        <w:tc>
          <w:tcPr>
            <w:tcW w:w="1763" w:type="dxa"/>
          </w:tcPr>
          <w:p w14:paraId="2A7AA91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3EB56FA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51886DF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2088A029"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3474F6B9" w14:textId="77777777" w:rsidR="00250688" w:rsidRPr="00A97A7C" w:rsidRDefault="00250688" w:rsidP="00250688">
      <w:pPr>
        <w:spacing w:line="240" w:lineRule="auto"/>
        <w:rPr>
          <w:rFonts w:asciiTheme="majorBidi" w:hAnsiTheme="majorBidi" w:cstheme="majorBidi"/>
          <w:noProof/>
          <w:rtl/>
          <w:lang w:bidi="ar-JO"/>
        </w:rPr>
      </w:pPr>
    </w:p>
    <w:p w14:paraId="2ED15937" w14:textId="77777777" w:rsidR="00872654" w:rsidRDefault="00250688" w:rsidP="00872654">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1C1AA089" w14:textId="29E4B829" w:rsidR="00486D0E" w:rsidRPr="00BC5F38" w:rsidRDefault="00486D0E" w:rsidP="00486D0E">
      <w:pPr>
        <w:pStyle w:val="1"/>
        <w:pageBreakBefore/>
        <w:rPr>
          <w:rFonts w:asciiTheme="majorBidi" w:hAnsiTheme="majorBidi"/>
          <w:b/>
          <w:bCs/>
          <w:sz w:val="28"/>
          <w:szCs w:val="28"/>
          <w:rtl/>
        </w:rPr>
      </w:pPr>
      <w:bookmarkStart w:id="0" w:name="_Toc237071352"/>
      <w:r>
        <w:rPr>
          <w:rFonts w:asciiTheme="majorBidi" w:hAnsiTheme="majorBidi" w:hint="cs"/>
          <w:b/>
          <w:bCs/>
          <w:sz w:val="28"/>
          <w:szCs w:val="28"/>
          <w:rtl/>
        </w:rPr>
        <w:lastRenderedPageBreak/>
        <w:t>مقدمة ا</w:t>
      </w:r>
      <w:r>
        <w:rPr>
          <w:rFonts w:asciiTheme="majorBidi" w:hAnsiTheme="majorBidi"/>
          <w:b/>
          <w:bCs/>
          <w:sz w:val="28"/>
          <w:szCs w:val="28"/>
          <w:rtl/>
        </w:rPr>
        <w:t>لدراسة</w:t>
      </w:r>
      <w:r>
        <w:rPr>
          <w:rFonts w:asciiTheme="majorBidi" w:hAnsiTheme="majorBidi" w:hint="cs"/>
          <w:b/>
          <w:bCs/>
          <w:sz w:val="28"/>
          <w:szCs w:val="28"/>
          <w:rtl/>
        </w:rPr>
        <w:t xml:space="preserve"> </w:t>
      </w:r>
      <w:r>
        <w:rPr>
          <w:rFonts w:asciiTheme="majorBidi" w:hAnsiTheme="majorBidi"/>
          <w:b/>
          <w:bCs/>
          <w:sz w:val="28"/>
          <w:szCs w:val="28"/>
          <w:rtl/>
        </w:rPr>
        <w:t>:</w:t>
      </w:r>
      <w:bookmarkEnd w:id="0"/>
    </w:p>
    <w:p w14:paraId="0AD3E90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7E9EF61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2023م وثيقة بعنوان "مبادئ أخلاقيات الذكاء الاصطناعي" </w:t>
      </w:r>
    </w:p>
    <w:p w14:paraId="335501E4"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5F3660C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«وينبغي على مسؤول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442B3058"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47EA8473"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0AE7F983"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فقد أجازت المادة (الحادية والأربعون) من نظام المحاماة للمحامي أن يستعين في مكتبه، وفقاً لحاجة العمل، بمحامٍ غير سعودي أو أكثر بموجب عقد عمل تحت مسؤوليته وإشرافه، وبالشروط التفصيلية الواردة في المادة نفسها.</w:t>
      </w:r>
      <w:r>
        <w:rPr>
          <w:rStyle w:val="af"/>
          <w:rFonts w:asciiTheme="majorBidi" w:hAnsiTheme="majorBidi" w:cstheme="majorBidi"/>
          <w:sz w:val="24"/>
          <w:szCs w:val="24"/>
          <w:rtl/>
        </w:rPr>
        <w:footnoteReference w:id="2"/>
      </w:r>
    </w:p>
    <w:p w14:paraId="005BBFE1"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5ADCD16F"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645B8017"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إلى أن الفقه القانوني والتشريعات المدنية لم يصلا بعد إلى تعريف محدد للذكاء الاصطناعي، وأنه لا يوجد في المنظومة التشريعية السعودية تنظيم قانوني كافٍ له، وهو ما يُظهر حاجة ماسّة إلى تنظيم تشريعي يعالج هذا الفراغ</w:t>
      </w:r>
      <w:r>
        <w:rPr>
          <w:rStyle w:val="af"/>
          <w:rFonts w:asciiTheme="majorBidi" w:hAnsiTheme="majorBidi" w:cstheme="majorBidi"/>
          <w:sz w:val="24"/>
          <w:szCs w:val="24"/>
          <w:rtl/>
        </w:rPr>
        <w:footnoteReference w:id="3"/>
      </w:r>
    </w:p>
    <w:p w14:paraId="254DE8BE"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w:t>
      </w:r>
      <w:r>
        <w:rPr>
          <w:rFonts w:asciiTheme="majorBidi" w:hAnsiTheme="majorBidi" w:cstheme="majorBidi"/>
          <w:color w:val="000000" w:themeColor="text1"/>
          <w:sz w:val="24"/>
          <w:szCs w:val="24"/>
          <w:rtl/>
        </w:rPr>
        <w:lastRenderedPageBreak/>
        <w:t>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01C4627A" w14:textId="2FADC8D1" w:rsidR="00A4106D" w:rsidRPr="00BC5F38" w:rsidRDefault="00486D0E" w:rsidP="00872654">
      <w:pPr>
        <w:pStyle w:val="1"/>
        <w:rPr>
          <w:rFonts w:asciiTheme="majorBidi" w:hAnsiTheme="majorBidi"/>
          <w:b/>
          <w:bCs/>
          <w:sz w:val="28"/>
          <w:szCs w:val="28"/>
          <w:rtl/>
        </w:rPr>
      </w:pPr>
      <w:bookmarkStart w:id="1" w:name="_Toc237071353"/>
      <w:r>
        <w:rPr>
          <w:rFonts w:asciiTheme="majorBidi" w:hAnsiTheme="majorBidi" w:hint="cs"/>
          <w:b/>
          <w:bCs/>
          <w:sz w:val="28"/>
          <w:szCs w:val="28"/>
          <w:rtl/>
        </w:rPr>
        <w:t>مشكلة ا</w:t>
      </w:r>
      <w:r w:rsidR="00A4106D">
        <w:rPr>
          <w:rFonts w:asciiTheme="majorBidi" w:hAnsiTheme="majorBidi"/>
          <w:b/>
          <w:bCs/>
          <w:sz w:val="28"/>
          <w:szCs w:val="28"/>
          <w:rtl/>
        </w:rPr>
        <w:t>لدراسة</w:t>
      </w:r>
      <w:r>
        <w:rPr>
          <w:rFonts w:asciiTheme="majorBidi" w:hAnsiTheme="majorBidi" w:hint="cs"/>
          <w:b/>
          <w:bCs/>
          <w:sz w:val="28"/>
          <w:szCs w:val="28"/>
          <w:rtl/>
        </w:rPr>
        <w:t xml:space="preserve"> </w:t>
      </w:r>
      <w:r w:rsidR="00A4106D">
        <w:rPr>
          <w:rFonts w:asciiTheme="majorBidi" w:hAnsiTheme="majorBidi"/>
          <w:b/>
          <w:bCs/>
          <w:sz w:val="28"/>
          <w:szCs w:val="28"/>
          <w:rtl/>
        </w:rPr>
        <w:t>:</w:t>
      </w:r>
      <w:bookmarkEnd w:id="1"/>
    </w:p>
    <w:p w14:paraId="6602A5D4"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EA0A91C"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448461A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25A30C4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Pr>
          <w:rFonts w:asciiTheme="majorBidi" w:hAnsiTheme="majorBidi" w:cstheme="majorBidi" w:hint="cs"/>
          <w:sz w:val="24"/>
          <w:szCs w:val="24"/>
          <w:rtl/>
        </w:rPr>
        <w:t xml:space="preserve"> تدور حول </w:t>
      </w:r>
      <w:r>
        <w:rPr>
          <w:rFonts w:asciiTheme="majorBidi" w:hAnsiTheme="majorBidi" w:cstheme="majorBidi" w:hint="cs"/>
          <w:b/>
          <w:bCs/>
          <w:sz w:val="24"/>
          <w:szCs w:val="24"/>
          <w:rtl/>
        </w:rPr>
        <w:t>مدى</w:t>
      </w:r>
      <w:r>
        <w:rPr>
          <w:rFonts w:asciiTheme="majorBidi" w:hAnsiTheme="majorBidi" w:cstheme="majorBidi" w:hint="cs"/>
          <w:sz w:val="24"/>
          <w:szCs w:val="24"/>
          <w:rtl/>
        </w:rPr>
        <w:t xml:space="preserve"> </w:t>
      </w:r>
      <w:r>
        <w:rPr>
          <w:rFonts w:asciiTheme="majorBidi" w:hAnsiTheme="majorBidi" w:cstheme="majorBidi" w:hint="cs"/>
          <w:b/>
          <w:bCs/>
          <w:sz w:val="24"/>
          <w:szCs w:val="24"/>
          <w:rtl/>
        </w:rPr>
        <w:t>قدرة</w:t>
      </w:r>
      <w:r>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7B1AB3A4" w14:textId="77777777" w:rsidR="00A4106D" w:rsidRPr="00BC5F38" w:rsidRDefault="00A4106D" w:rsidP="00A4106D">
      <w:pPr>
        <w:jc w:val="right"/>
        <w:rPr>
          <w:rFonts w:asciiTheme="majorBidi" w:hAnsiTheme="majorBidi" w:cstheme="majorBidi"/>
          <w:sz w:val="24"/>
          <w:szCs w:val="24"/>
        </w:rPr>
      </w:pPr>
    </w:p>
    <w:p w14:paraId="4A6A8F17" w14:textId="77777777" w:rsidR="006363BC" w:rsidRPr="00BC5F38" w:rsidRDefault="006363BC" w:rsidP="00872654">
      <w:pPr>
        <w:pStyle w:val="1"/>
        <w:rPr>
          <w:rFonts w:asciiTheme="majorBidi" w:hAnsiTheme="majorBidi"/>
          <w:b/>
          <w:bCs/>
          <w:sz w:val="28"/>
          <w:szCs w:val="28"/>
          <w:rtl/>
        </w:rPr>
      </w:pPr>
      <w:bookmarkStart w:id="2" w:name="_Toc237071354"/>
      <w:r>
        <w:rPr>
          <w:rFonts w:asciiTheme="majorBidi" w:hAnsiTheme="majorBidi" w:hint="cs"/>
          <w:b/>
          <w:bCs/>
          <w:sz w:val="28"/>
          <w:szCs w:val="28"/>
          <w:rtl/>
        </w:rPr>
        <w:t>أهمية الدراسة:</w:t>
      </w:r>
      <w:bookmarkEnd w:id="2"/>
    </w:p>
    <w:p w14:paraId="75005093"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القانونية، بما يعزز موثوقية مخرجات </w:t>
      </w:r>
      <w:r>
        <w:rPr>
          <w:rFonts w:asciiTheme="majorBidi" w:hAnsiTheme="majorBidi" w:cstheme="majorBidi"/>
          <w:color w:val="000000" w:themeColor="text1"/>
          <w:sz w:val="24"/>
          <w:szCs w:val="24"/>
          <w:rtl/>
        </w:rPr>
        <w:lastRenderedPageBreak/>
        <w:t>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82014D6"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CC0BEA" w14:textId="77777777" w:rsidR="006363BC" w:rsidRPr="0080730B" w:rsidRDefault="006363BC" w:rsidP="00F914DE">
      <w:pPr>
        <w:pStyle w:val="1"/>
        <w:spacing w:after="200" w:line="276" w:lineRule="auto"/>
        <w:rPr>
          <w:rFonts w:asciiTheme="majorBidi" w:hAnsiTheme="majorBidi"/>
          <w:b/>
          <w:bCs/>
          <w:color w:val="1F4E79" w:themeColor="accent5" w:themeShade="80"/>
          <w:sz w:val="24"/>
          <w:szCs w:val="24"/>
          <w:rtl/>
        </w:rPr>
      </w:pPr>
      <w:bookmarkStart w:id="3" w:name="_Toc237071355"/>
      <w:r w:rsidRPr="0080730B">
        <w:rPr>
          <w:rFonts w:asciiTheme="majorBidi" w:hAnsiTheme="majorBidi" w:hint="cs"/>
          <w:b/>
          <w:bCs/>
          <w:color w:val="1F4E79" w:themeColor="accent5" w:themeShade="80"/>
          <w:sz w:val="24"/>
          <w:szCs w:val="24"/>
          <w:rtl/>
        </w:rPr>
        <w:t>أهداف الدراسة:</w:t>
      </w:r>
      <w:bookmarkEnd w:id="3"/>
    </w:p>
    <w:p w14:paraId="3BF1F65C"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4C85060E"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أولاً: 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264630BD"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ثانياً: 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6DC87A7B"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ثالثاً: 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3F0FA6E3"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رابعاً: 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6822303" w14:textId="77777777" w:rsidR="00F914DE" w:rsidRDefault="00F914DE" w:rsidP="00F914DE">
      <w:p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خامساً: 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59860E0B" w14:textId="77777777" w:rsidR="006363BC" w:rsidRPr="00BC5F38" w:rsidRDefault="006363BC" w:rsidP="00F914DE">
      <w:pPr>
        <w:rPr>
          <w:rFonts w:ascii="Traditional Arabic" w:hAnsi="Traditional Arabic" w:cs="Traditional Arabic"/>
          <w:b/>
          <w:bCs/>
          <w:sz w:val="24"/>
          <w:szCs w:val="24"/>
        </w:rPr>
      </w:pPr>
    </w:p>
    <w:p w14:paraId="06D5A1AD" w14:textId="77777777" w:rsidR="006363BC" w:rsidRPr="00BC5F38" w:rsidRDefault="006363BC" w:rsidP="00E103B1">
      <w:pPr>
        <w:pStyle w:val="1"/>
        <w:rPr>
          <w:rFonts w:asciiTheme="majorBidi" w:hAnsiTheme="majorBidi"/>
          <w:b/>
          <w:bCs/>
          <w:sz w:val="28"/>
          <w:szCs w:val="28"/>
        </w:rPr>
      </w:pPr>
      <w:bookmarkStart w:id="4" w:name="_Toc237071356"/>
      <w:r>
        <w:rPr>
          <w:rFonts w:asciiTheme="majorBidi" w:hAnsiTheme="majorBidi"/>
          <w:b/>
          <w:bCs/>
          <w:sz w:val="28"/>
          <w:szCs w:val="28"/>
          <w:rtl/>
        </w:rPr>
        <w:t>تساؤلات الدراسة:</w:t>
      </w:r>
      <w:bookmarkEnd w:id="4"/>
    </w:p>
    <w:p w14:paraId="4CA82FFB" w14:textId="77777777" w:rsidR="006363BC" w:rsidRPr="00BC5F38" w:rsidRDefault="006363BC" w:rsidP="00F914DE">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B458A9F" w14:textId="77777777" w:rsidR="006363BC" w:rsidRPr="00BC5F38" w:rsidRDefault="006363BC" w:rsidP="00F914DE">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7101A8DB" w14:textId="055DCA15" w:rsidR="00F91E80" w:rsidRPr="002C4AF7" w:rsidRDefault="006363BC" w:rsidP="002C4AF7">
      <w:pPr>
        <w:pStyle w:val="a6"/>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ثالثاً: ما أوجه القصور التشريعي في المنظومة النظامية السعودية مقارنةً بالتجارب الدولية المختارة، وما التصوّر التنظيمي المتكامل الذي يُوازن بين الكفاءة التقنية والحماية النظامية بما ينسجم مع مستهدفات التحول العدلي الرقمي في رؤية المملكة 2030</w:t>
      </w:r>
    </w:p>
    <w:p w14:paraId="67B7DF14" w14:textId="77777777" w:rsidR="00CA064E" w:rsidRPr="00BC5F38" w:rsidRDefault="00575B64" w:rsidP="00872654">
      <w:pPr>
        <w:pStyle w:val="1"/>
        <w:rPr>
          <w:rFonts w:asciiTheme="majorBidi" w:hAnsiTheme="majorBidi"/>
          <w:b/>
          <w:bCs/>
          <w:sz w:val="28"/>
          <w:szCs w:val="28"/>
          <w:rtl/>
        </w:rPr>
      </w:pPr>
      <w:bookmarkStart w:id="5" w:name="_Toc237071357"/>
      <w:r>
        <w:rPr>
          <w:rFonts w:asciiTheme="majorBidi" w:hAnsiTheme="majorBidi" w:hint="cs"/>
          <w:b/>
          <w:bCs/>
          <w:sz w:val="28"/>
          <w:szCs w:val="28"/>
          <w:rtl/>
        </w:rPr>
        <w:t>منهج الدراسة:</w:t>
      </w:r>
      <w:bookmarkEnd w:id="5"/>
    </w:p>
    <w:p w14:paraId="13F5F67B" w14:textId="77777777" w:rsidR="00F91E80" w:rsidRPr="00BC5F38" w:rsidRDefault="00F91E80" w:rsidP="00F91E80">
      <w:p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DFD9BF5" w14:textId="77777777" w:rsidR="00F91E80" w:rsidRPr="00BC5F38" w:rsidRDefault="00F91E80" w:rsidP="0024502C">
      <w:pPr>
        <w:jc w:val="right"/>
        <w:rPr>
          <w:rFonts w:asciiTheme="majorBidi" w:hAnsiTheme="majorBidi" w:cstheme="majorBidi"/>
          <w:color w:val="000000" w:themeColor="text1"/>
          <w:sz w:val="24"/>
          <w:szCs w:val="24"/>
        </w:rPr>
      </w:pPr>
    </w:p>
    <w:p w14:paraId="6554E696" w14:textId="77777777" w:rsidR="00EF14BA" w:rsidRPr="002C4AF7" w:rsidRDefault="00F91E80" w:rsidP="00872654">
      <w:pPr>
        <w:pStyle w:val="1"/>
        <w:rPr>
          <w:rFonts w:asciiTheme="majorBidi" w:hAnsiTheme="majorBidi"/>
          <w:b/>
          <w:bCs/>
          <w:color w:val="1F4E79" w:themeColor="accent5" w:themeShade="80"/>
          <w:sz w:val="28"/>
          <w:szCs w:val="28"/>
          <w:rtl/>
        </w:rPr>
      </w:pPr>
      <w:bookmarkStart w:id="6" w:name="_Toc237071358"/>
      <w:r w:rsidRPr="002C4AF7">
        <w:rPr>
          <w:rFonts w:asciiTheme="majorBidi" w:hAnsiTheme="majorBidi" w:hint="cs"/>
          <w:b/>
          <w:bCs/>
          <w:color w:val="1F4E79" w:themeColor="accent5" w:themeShade="80"/>
          <w:sz w:val="28"/>
          <w:szCs w:val="28"/>
          <w:rtl/>
        </w:rPr>
        <w:t>حدود الدراسة:</w:t>
      </w:r>
      <w:bookmarkEnd w:id="6"/>
    </w:p>
    <w:p w14:paraId="051EE781"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0DA3FFA1"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67928D11"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7C3AAD3F"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7215558D" w14:textId="77777777" w:rsidR="00292EA9" w:rsidRPr="002C4AF7" w:rsidRDefault="00292EA9" w:rsidP="00872654">
      <w:pPr>
        <w:pStyle w:val="1"/>
        <w:rPr>
          <w:rFonts w:asciiTheme="majorBidi" w:hAnsiTheme="majorBidi"/>
          <w:b/>
          <w:bCs/>
          <w:color w:val="1F4E79" w:themeColor="accent5" w:themeShade="80"/>
          <w:sz w:val="28"/>
          <w:szCs w:val="28"/>
          <w:rtl/>
        </w:rPr>
      </w:pPr>
      <w:bookmarkStart w:id="7" w:name="_Toc237071359"/>
      <w:r w:rsidRPr="002C4AF7">
        <w:rPr>
          <w:rFonts w:asciiTheme="majorBidi" w:hAnsiTheme="majorBidi" w:hint="cs"/>
          <w:b/>
          <w:bCs/>
          <w:color w:val="1F4E79" w:themeColor="accent5" w:themeShade="80"/>
          <w:sz w:val="28"/>
          <w:szCs w:val="28"/>
          <w:rtl/>
        </w:rPr>
        <w:t>الدراسات المرجعية السابقة :</w:t>
      </w:r>
      <w:bookmarkEnd w:id="7"/>
    </w:p>
    <w:p w14:paraId="377FF23E" w14:textId="77777777" w:rsidR="00292EA9"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27CFD47" w14:textId="3698C0C7" w:rsidR="00292EA9" w:rsidRDefault="002C4AF7" w:rsidP="002C4AF7">
      <w:pPr>
        <w:bidi/>
        <w:spacing w:after="200" w:line="276" w:lineRule="auto"/>
        <w:rPr>
          <w:rFonts w:asciiTheme="majorBidi" w:hAnsiTheme="majorBidi" w:cstheme="majorBidi"/>
          <w:b/>
          <w:bCs/>
          <w:sz w:val="24"/>
          <w:szCs w:val="24"/>
          <w:rtl/>
        </w:rPr>
      </w:pPr>
      <w:r w:rsidRPr="002C4AF7">
        <w:rPr>
          <w:rFonts w:asciiTheme="majorBidi" w:hAnsiTheme="majorBidi" w:cstheme="majorBidi" w:hint="cs"/>
          <w:b/>
          <w:bCs/>
          <w:sz w:val="24"/>
          <w:szCs w:val="24"/>
          <w:rtl/>
        </w:rPr>
        <w:t>الدراسة الأولى :</w:t>
      </w:r>
      <w:r w:rsidR="00292EA9">
        <w:rPr>
          <w:rFonts w:asciiTheme="majorBidi" w:hAnsiTheme="majorBidi" w:cstheme="majorBidi"/>
          <w:b/>
          <w:bCs/>
          <w:sz w:val="24"/>
          <w:szCs w:val="24"/>
        </w:rPr>
        <w:t>الشرايري، محمد أحمد (2022م). المسؤولية المدنية الذكية عن أضرار الذكاء الاصطناعي – دراسة مسحية مقارنة.</w:t>
      </w:r>
      <w:r w:rsidR="00292EA9">
        <w:rPr>
          <w:rFonts w:asciiTheme="majorBidi" w:hAnsiTheme="majorBidi" w:cstheme="majorBidi"/>
          <w:sz w:val="24"/>
          <w:szCs w:val="24"/>
        </w:rPr>
        <w:br/>
      </w:r>
      <w:r w:rsidR="00292EA9">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sidR="00292EA9">
        <w:rPr>
          <w:rFonts w:asciiTheme="majorBidi" w:hAnsiTheme="majorBidi" w:cstheme="majorBidi"/>
          <w:sz w:val="24"/>
          <w:szCs w:val="24"/>
        </w:rPr>
        <w:t>.</w:t>
      </w:r>
    </w:p>
    <w:p w14:paraId="500D74F1" w14:textId="2F91F096" w:rsidR="00292EA9" w:rsidRDefault="002C4AF7" w:rsidP="002C4AF7">
      <w:pPr>
        <w:bidi/>
        <w:spacing w:after="200" w:line="276" w:lineRule="auto"/>
        <w:rPr>
          <w:rFonts w:asciiTheme="majorBidi" w:hAnsiTheme="majorBidi" w:cstheme="majorBidi"/>
          <w:b/>
          <w:bCs/>
          <w:sz w:val="24"/>
          <w:szCs w:val="24"/>
          <w:rtl/>
        </w:rPr>
      </w:pPr>
      <w:r>
        <w:rPr>
          <w:rFonts w:asciiTheme="majorBidi" w:hAnsiTheme="majorBidi" w:cstheme="majorBidi" w:hint="cs"/>
          <w:b/>
          <w:bCs/>
          <w:sz w:val="24"/>
          <w:szCs w:val="24"/>
          <w:rtl/>
        </w:rPr>
        <w:lastRenderedPageBreak/>
        <w:t>الدراسة الثانية :</w:t>
      </w:r>
      <w:r w:rsidR="00292EA9">
        <w:rPr>
          <w:rFonts w:asciiTheme="majorBidi" w:hAnsiTheme="majorBidi" w:cstheme="majorBidi"/>
          <w:b/>
          <w:bCs/>
          <w:sz w:val="24"/>
          <w:szCs w:val="24"/>
        </w:rPr>
        <w:t>المالكي، خالد بن عبد الرحيم (2024م). المسؤولية المدنية عن فعل الذكاء الاصطناعي في النظام السعودي</w:t>
      </w:r>
      <w:r w:rsidR="00292EA9">
        <w:rPr>
          <w:rFonts w:asciiTheme="majorBidi" w:hAnsiTheme="majorBidi" w:cstheme="majorBidi"/>
          <w:sz w:val="24"/>
          <w:szCs w:val="24"/>
        </w:rPr>
        <w:br/>
      </w:r>
      <w:r w:rsidR="00292EA9">
        <w:rPr>
          <w:rFonts w:asciiTheme="majorBidi" w:hAnsiTheme="majorBidi" w:cstheme="majorBidi"/>
          <w:sz w:val="24"/>
          <w:szCs w:val="24"/>
          <w:rtl/>
        </w:rPr>
        <w:t>تناولت الدراسة العلاقة بين الفقه الإسلامي والنظام السعودي بشأن المسؤولية المدنية الناشئة عن الأضرار التقنية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sidR="00292EA9">
        <w:rPr>
          <w:rFonts w:asciiTheme="majorBidi" w:hAnsiTheme="majorBidi" w:cstheme="majorBidi"/>
          <w:sz w:val="24"/>
          <w:szCs w:val="24"/>
        </w:rPr>
        <w:t>.</w:t>
      </w:r>
    </w:p>
    <w:p w14:paraId="2F4C2DD3" w14:textId="52D8240D" w:rsidR="00292EA9" w:rsidRDefault="002C4AF7" w:rsidP="002C4AF7">
      <w:pPr>
        <w:bidi/>
        <w:spacing w:after="200" w:line="276" w:lineRule="auto"/>
        <w:rPr>
          <w:rFonts w:asciiTheme="majorBidi" w:hAnsiTheme="majorBidi" w:cstheme="majorBidi"/>
          <w:b/>
          <w:bCs/>
          <w:sz w:val="24"/>
          <w:szCs w:val="24"/>
          <w:rtl/>
        </w:rPr>
      </w:pPr>
      <w:r>
        <w:rPr>
          <w:rFonts w:asciiTheme="majorBidi" w:hAnsiTheme="majorBidi" w:cstheme="majorBidi" w:hint="cs"/>
          <w:b/>
          <w:bCs/>
          <w:sz w:val="24"/>
          <w:szCs w:val="24"/>
          <w:rtl/>
        </w:rPr>
        <w:t xml:space="preserve">الدراسة الثالثة: </w:t>
      </w:r>
      <w:r w:rsidR="00292EA9">
        <w:rPr>
          <w:rFonts w:asciiTheme="majorBidi" w:hAnsiTheme="majorBidi" w:cstheme="majorBidi"/>
          <w:b/>
          <w:bCs/>
          <w:sz w:val="24"/>
          <w:szCs w:val="24"/>
          <w:rtl/>
        </w:rPr>
        <w:t>الغنامي، نايف بن ناشي</w:t>
      </w:r>
      <w:r w:rsidR="00292EA9">
        <w:rPr>
          <w:rFonts w:asciiTheme="majorBidi" w:hAnsiTheme="majorBidi" w:cstheme="majorBidi"/>
          <w:b/>
          <w:bCs/>
          <w:sz w:val="24"/>
          <w:szCs w:val="24"/>
        </w:rPr>
        <w:t xml:space="preserve"> (2024).</w:t>
      </w:r>
      <w:r w:rsidR="00292EA9">
        <w:rPr>
          <w:rFonts w:asciiTheme="majorBidi" w:hAnsiTheme="majorBidi" w:cstheme="majorBidi"/>
          <w:sz w:val="24"/>
          <w:szCs w:val="24"/>
        </w:rPr>
        <w:t xml:space="preserve"> </w:t>
      </w:r>
      <w:r w:rsidR="00292EA9">
        <w:rPr>
          <w:rFonts w:asciiTheme="majorBidi" w:hAnsiTheme="majorBidi" w:cstheme="majorBidi"/>
          <w:i/>
          <w:iCs/>
          <w:sz w:val="24"/>
          <w:szCs w:val="24"/>
          <w:rtl/>
        </w:rPr>
        <w:t>الضوابط القانونية للذكاء الاصطناعي في إبرام المعاملات القانونية</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sz w:val="24"/>
          <w:szCs w:val="24"/>
          <w:rtl/>
        </w:rPr>
        <w:t>ركزت على الضوابط النظامية للعقود الذكية والتوقيع الإلكتروني</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sidR="00292EA9">
        <w:rPr>
          <w:rFonts w:asciiTheme="majorBidi" w:hAnsiTheme="majorBidi" w:cstheme="majorBidi"/>
          <w:sz w:val="24"/>
          <w:szCs w:val="24"/>
        </w:rPr>
        <w:t>.</w:t>
      </w:r>
    </w:p>
    <w:p w14:paraId="1886BD30" w14:textId="6FC77ED7" w:rsidR="00292EA9" w:rsidRPr="002C4AF7" w:rsidRDefault="002C4AF7" w:rsidP="002C4AF7">
      <w:pPr>
        <w:bidi/>
        <w:spacing w:after="200" w:line="276" w:lineRule="auto"/>
        <w:rPr>
          <w:rFonts w:asciiTheme="majorBidi" w:hAnsiTheme="majorBidi" w:cstheme="majorBidi"/>
          <w:b/>
          <w:bCs/>
          <w:sz w:val="24"/>
          <w:szCs w:val="24"/>
        </w:rPr>
      </w:pPr>
      <w:r>
        <w:rPr>
          <w:rFonts w:asciiTheme="majorBidi" w:hAnsiTheme="majorBidi" w:cstheme="majorBidi" w:hint="cs"/>
          <w:b/>
          <w:bCs/>
          <w:sz w:val="24"/>
          <w:szCs w:val="24"/>
          <w:rtl/>
        </w:rPr>
        <w:t>الدراسة الرابعة : علي، سعاد حسني محمد (2024م). الذكاء الاصطناعي ودوره في إبرام العقود التجارية. مجلة البحوث القانونية والاقتصادية، كلية الحقوق، جامعة المنصورة</w:t>
      </w:r>
      <w:r w:rsidR="00292EA9">
        <w:rPr>
          <w:rFonts w:asciiTheme="majorBidi" w:hAnsiTheme="majorBidi" w:cstheme="majorBidi"/>
          <w:sz w:val="24"/>
          <w:szCs w:val="24"/>
        </w:rPr>
        <w:br/>
      </w:r>
      <w:r w:rsidR="00292EA9">
        <w:rPr>
          <w:rFonts w:asciiTheme="majorBidi" w:hAnsiTheme="majorBidi" w:cstheme="majorBidi"/>
          <w:sz w:val="24"/>
          <w:szCs w:val="24"/>
          <w:rtl/>
        </w:rPr>
        <w:t>ركزت على الحجية النظامية للعقود الذكية وأوصت بإطار قانوني شامل</w:t>
      </w:r>
      <w:r w:rsidR="00292EA9">
        <w:rPr>
          <w:rFonts w:asciiTheme="majorBidi" w:hAnsiTheme="majorBidi" w:cstheme="majorBidi"/>
          <w:sz w:val="24"/>
          <w:szCs w:val="24"/>
        </w:rPr>
        <w:t>.</w:t>
      </w:r>
      <w:r w:rsidR="00292EA9">
        <w:rPr>
          <w:rFonts w:asciiTheme="majorBidi" w:hAnsiTheme="majorBidi" w:cstheme="majorBidi"/>
          <w:sz w:val="24"/>
          <w:szCs w:val="24"/>
        </w:rPr>
        <w:br/>
      </w:r>
      <w:r w:rsidR="00292EA9">
        <w:rPr>
          <w:rFonts w:asciiTheme="majorBidi" w:hAnsiTheme="majorBidi" w:cstheme="majorBidi"/>
          <w:b/>
          <w:bCs/>
          <w:sz w:val="24"/>
          <w:szCs w:val="24"/>
          <w:rtl/>
        </w:rPr>
        <w:t>تميّز هذه الدراسة</w:t>
      </w:r>
      <w:r w:rsidR="00292EA9">
        <w:rPr>
          <w:rFonts w:asciiTheme="majorBidi" w:hAnsiTheme="majorBidi" w:cstheme="majorBidi"/>
          <w:b/>
          <w:bCs/>
          <w:sz w:val="24"/>
          <w:szCs w:val="24"/>
        </w:rPr>
        <w:t>:</w:t>
      </w:r>
      <w:r w:rsidR="00292EA9">
        <w:rPr>
          <w:rFonts w:asciiTheme="majorBidi" w:hAnsiTheme="majorBidi" w:cstheme="majorBidi"/>
          <w:sz w:val="24"/>
          <w:szCs w:val="24"/>
        </w:rPr>
        <w:t xml:space="preserve"> </w:t>
      </w:r>
      <w:r w:rsidR="00292EA9">
        <w:rPr>
          <w:rFonts w:asciiTheme="majorBidi" w:hAnsiTheme="majorBidi" w:cstheme="majorBidi" w:hint="cs"/>
          <w:sz w:val="24"/>
          <w:szCs w:val="24"/>
          <w:rtl/>
        </w:rPr>
        <w:t>شرحت</w:t>
      </w:r>
      <w:r w:rsidR="00292EA9">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sidR="00292EA9">
        <w:rPr>
          <w:rFonts w:asciiTheme="majorBidi" w:hAnsiTheme="majorBidi" w:cstheme="majorBidi"/>
          <w:sz w:val="24"/>
          <w:szCs w:val="24"/>
        </w:rPr>
        <w:t>.</w:t>
      </w:r>
    </w:p>
    <w:p w14:paraId="0414A37F" w14:textId="7FEEC5D7" w:rsidR="00292EA9" w:rsidRDefault="009A44B7" w:rsidP="00C81E48">
      <w:pPr>
        <w:jc w:val="right"/>
        <w:rPr>
          <w:rFonts w:asciiTheme="majorBidi" w:hAnsiTheme="majorBidi" w:cstheme="majorBidi"/>
          <w:sz w:val="24"/>
          <w:szCs w:val="24"/>
        </w:rPr>
      </w:pPr>
      <w:r>
        <w:rPr>
          <w:rFonts w:asciiTheme="majorBidi" w:hAnsiTheme="majorBidi" w:cstheme="majorBidi" w:hint="cs"/>
          <w:sz w:val="24"/>
          <w:szCs w:val="24"/>
          <w:rtl/>
        </w:rPr>
        <w:t xml:space="preserve">كما بينت ماهية </w:t>
      </w:r>
      <w:r>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Pr>
          <w:rtl/>
        </w:rPr>
        <w:footnoteReference w:id="4"/>
      </w:r>
    </w:p>
    <w:p w14:paraId="21A51C38" w14:textId="4E965774" w:rsidR="002C4AF7" w:rsidRPr="002C4AF7" w:rsidRDefault="002C4AF7" w:rsidP="002C4AF7">
      <w:pPr>
        <w:jc w:val="right"/>
        <w:rPr>
          <w:rFonts w:asciiTheme="majorBidi" w:hAnsiTheme="majorBidi" w:cstheme="majorBidi"/>
          <w:b/>
          <w:bCs/>
          <w:sz w:val="24"/>
          <w:szCs w:val="24"/>
          <w:rtl/>
        </w:rPr>
      </w:pPr>
      <w:r w:rsidRPr="002C4AF7">
        <w:rPr>
          <w:rFonts w:asciiTheme="majorBidi" w:hAnsiTheme="majorBidi" w:cstheme="majorBidi" w:hint="cs"/>
          <w:b/>
          <w:bCs/>
          <w:sz w:val="24"/>
          <w:szCs w:val="24"/>
          <w:rtl/>
        </w:rPr>
        <w:t>الدراسة الخامسة:</w:t>
      </w:r>
    </w:p>
    <w:p w14:paraId="26D0F670" w14:textId="23F064B2"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رجب، ياسر محمد عبد السلام. دور الدولة في تأطير أخلاقيات الذكاء الاصطناعي – دراسة مقارنة</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98ADC1D" w14:textId="77777777" w:rsidR="00292EA9" w:rsidRPr="00BC5F38" w:rsidRDefault="009A44B7" w:rsidP="00292EA9">
      <w:pPr>
        <w:bidi/>
        <w:spacing w:after="200" w:line="276" w:lineRule="auto"/>
        <w:rPr>
          <w:rFonts w:asciiTheme="majorBidi" w:hAnsiTheme="majorBidi" w:cstheme="majorBidi"/>
          <w:sz w:val="24"/>
          <w:szCs w:val="24"/>
        </w:rPr>
      </w:pPr>
      <w:r w:rsidRPr="00C81E48">
        <w:rPr>
          <w:rFonts w:asciiTheme="majorBidi" w:hAnsiTheme="majorBidi" w:cstheme="majorBidi" w:hint="cs"/>
          <w:b/>
          <w:bCs/>
          <w:sz w:val="24"/>
          <w:szCs w:val="24"/>
          <w:u w:val="single"/>
          <w:rtl/>
        </w:rPr>
        <w:t>ماتميزت به الدراسة الحالية</w:t>
      </w:r>
      <w:r>
        <w:rPr>
          <w:rFonts w:asciiTheme="majorBidi" w:hAnsiTheme="majorBidi" w:cstheme="majorBidi" w:hint="cs"/>
          <w:sz w:val="24"/>
          <w:szCs w:val="24"/>
          <w:rtl/>
        </w:rPr>
        <w:t xml:space="preserve"> :</w:t>
      </w:r>
      <w:r>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Pr>
          <w:rFonts w:asciiTheme="majorBidi" w:hAnsiTheme="majorBidi" w:cstheme="majorBidi"/>
          <w:sz w:val="24"/>
          <w:szCs w:val="24"/>
        </w:rPr>
        <w:t>:</w:t>
      </w:r>
    </w:p>
    <w:p w14:paraId="1F2B0B9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أولاً: واقع الممارسة المهنية في مكاتب المحاماة السعودية</w:t>
      </w:r>
      <w:r>
        <w:rPr>
          <w:rFonts w:asciiTheme="majorBidi" w:hAnsiTheme="majorBidi" w:cstheme="majorBidi"/>
          <w:sz w:val="24"/>
          <w:szCs w:val="24"/>
        </w:rPr>
        <w:t>.</w:t>
      </w:r>
    </w:p>
    <w:p w14:paraId="51679B0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ثانياً: مسؤولية المحامي النظامية عند استخدام أدوات الذكاء الاصطناعي</w:t>
      </w:r>
      <w:r>
        <w:rPr>
          <w:rFonts w:asciiTheme="majorBidi" w:hAnsiTheme="majorBidi" w:cstheme="majorBidi"/>
          <w:sz w:val="24"/>
          <w:szCs w:val="24"/>
        </w:rPr>
        <w:t>.</w:t>
      </w:r>
    </w:p>
    <w:p w14:paraId="0EB273B2"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ثالثاً: 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B91FA5C" w14:textId="054F2033" w:rsidR="008C5A8E" w:rsidRPr="00BC5F38" w:rsidRDefault="00292EA9" w:rsidP="00872654">
      <w:pPr>
        <w:bidi/>
        <w:spacing w:after="200" w:line="276" w:lineRule="auto"/>
        <w:rPr>
          <w:rFonts w:asciiTheme="majorBidi" w:hAnsiTheme="majorBidi" w:cstheme="majorBidi"/>
          <w:sz w:val="24"/>
          <w:szCs w:val="24"/>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p>
    <w:p w14:paraId="2E7ABFBC" w14:textId="77777777" w:rsidR="00B102AB" w:rsidRPr="0080730B" w:rsidRDefault="00271741" w:rsidP="00872654">
      <w:pPr>
        <w:pStyle w:val="1"/>
        <w:pageBreakBefore/>
        <w:rPr>
          <w:rFonts w:asciiTheme="majorBidi" w:hAnsiTheme="majorBidi"/>
          <w:b/>
          <w:bCs/>
          <w:color w:val="1F4E79" w:themeColor="accent5" w:themeShade="80"/>
          <w:sz w:val="32"/>
          <w:szCs w:val="32"/>
        </w:rPr>
      </w:pPr>
      <w:bookmarkStart w:id="8" w:name="_Toc237071360"/>
      <w:r w:rsidRPr="0080730B">
        <w:rPr>
          <w:rFonts w:asciiTheme="majorBidi" w:hAnsiTheme="majorBidi"/>
          <w:b/>
          <w:bCs/>
          <w:color w:val="1F4E79" w:themeColor="accent5" w:themeShade="80"/>
          <w:sz w:val="32"/>
          <w:szCs w:val="32"/>
          <w:rtl/>
        </w:rPr>
        <w:lastRenderedPageBreak/>
        <w:t>خطة الدراسة:</w:t>
      </w:r>
      <w:bookmarkEnd w:id="8"/>
    </w:p>
    <w:p w14:paraId="361A4F49" w14:textId="77777777"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2A608201"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الفصل الأول: النظام القانوني السعودي لاستخدام الذكاء الاصطناعي في مهنة المحاماة</w:t>
      </w:r>
      <w:r>
        <w:rPr>
          <w:rFonts w:asciiTheme="majorBidi" w:hAnsiTheme="majorBidi" w:cstheme="majorBidi"/>
          <w:b/>
          <w:bCs/>
          <w:color w:val="000000" w:themeColor="text1"/>
          <w:sz w:val="24"/>
          <w:szCs w:val="24"/>
          <w:rtl/>
        </w:rPr>
        <w:br/>
        <w:t>المبحث الأول: الإطار التشريعي لمهنة المحاماة وتقنيات الذكاء الاصطناعي</w:t>
      </w:r>
      <w:r>
        <w:rPr>
          <w:rFonts w:asciiTheme="majorBidi" w:hAnsiTheme="majorBidi" w:cstheme="majorBidi"/>
          <w:b/>
          <w:bCs/>
          <w:color w:val="000000" w:themeColor="text1"/>
          <w:sz w:val="24"/>
          <w:szCs w:val="24"/>
          <w:rtl/>
        </w:rPr>
        <w:br/>
        <w:t>المطلب الأول: نظام المحاماة واللائحة التنفيذية بوصفهما الإطار القانوني الأساس لممارسة المهنة</w:t>
      </w:r>
      <w:r>
        <w:rPr>
          <w:rFonts w:asciiTheme="majorBidi" w:hAnsiTheme="majorBidi" w:cstheme="majorBidi"/>
          <w:b/>
          <w:bCs/>
          <w:color w:val="000000" w:themeColor="text1"/>
          <w:sz w:val="24"/>
          <w:szCs w:val="24"/>
          <w:rtl/>
        </w:rPr>
        <w:br/>
        <w:t>المطلب الثاني: دور الأنظمة المكملة في تنظيم توظيف الذكاء الاصطناعي في مكاتب المحاماة</w:t>
      </w:r>
      <w:r>
        <w:rPr>
          <w:rFonts w:asciiTheme="majorBidi" w:hAnsiTheme="majorBidi" w:cstheme="majorBidi"/>
          <w:b/>
          <w:bCs/>
          <w:color w:val="000000" w:themeColor="text1"/>
          <w:sz w:val="24"/>
          <w:szCs w:val="24"/>
          <w:rtl/>
        </w:rPr>
        <w:br/>
        <w:t>المبحث الثاني: تحليل الفجوات في التنظيم الحالي</w:t>
      </w:r>
      <w:r>
        <w:rPr>
          <w:rFonts w:asciiTheme="majorBidi" w:hAnsiTheme="majorBidi" w:cstheme="majorBidi"/>
          <w:b/>
          <w:bCs/>
          <w:color w:val="000000" w:themeColor="text1"/>
          <w:sz w:val="24"/>
          <w:szCs w:val="24"/>
          <w:rtl/>
        </w:rPr>
        <w:br/>
        <w:t>المطلب الأول: قصور النصوص التنظيمية</w:t>
      </w:r>
      <w:r>
        <w:rPr>
          <w:rFonts w:asciiTheme="majorBidi" w:hAnsiTheme="majorBidi" w:cstheme="majorBidi"/>
          <w:b/>
          <w:bCs/>
          <w:color w:val="000000" w:themeColor="text1"/>
          <w:sz w:val="24"/>
          <w:szCs w:val="24"/>
          <w:rtl/>
        </w:rPr>
        <w:br/>
        <w:t>المطلب الثاني: آثار الغياب التنظيمي للذكاء الاصطناعي على ممارسة مهنة المحاماة</w:t>
      </w:r>
    </w:p>
    <w:p w14:paraId="53683C13" w14:textId="7777777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hint="cs"/>
          <w:b/>
          <w:bCs/>
          <w:color w:val="000000" w:themeColor="text1"/>
          <w:sz w:val="24"/>
          <w:szCs w:val="24"/>
          <w:rtl/>
        </w:rPr>
        <w:br/>
        <w:t>المبحث الأول: التكييف النظامي والفقهي للمخرجات الذكية</w:t>
      </w:r>
      <w:r>
        <w:rPr>
          <w:rFonts w:asciiTheme="majorBidi" w:hAnsiTheme="majorBidi" w:cstheme="majorBidi" w:hint="cs"/>
          <w:b/>
          <w:bCs/>
          <w:color w:val="000000" w:themeColor="text1"/>
          <w:sz w:val="24"/>
          <w:szCs w:val="24"/>
          <w:rtl/>
        </w:rPr>
        <w:br/>
        <w:t>المطلب الأول: حجية العقود والتقارير القانونية المنتجة آليًا</w:t>
      </w:r>
      <w:r>
        <w:rPr>
          <w:rFonts w:asciiTheme="majorBidi" w:hAnsiTheme="majorBidi" w:cstheme="majorBidi" w:hint="cs"/>
          <w:b/>
          <w:bCs/>
          <w:color w:val="000000" w:themeColor="text1"/>
          <w:sz w:val="24"/>
          <w:szCs w:val="24"/>
          <w:rtl/>
        </w:rPr>
        <w:br/>
        <w:t>المطلب الثاني: مشروعية استخدامها أمام الجهات القضائية مع الإشارة إلى بعض التجارب الدولية</w:t>
      </w:r>
      <w:r>
        <w:rPr>
          <w:rFonts w:asciiTheme="majorBidi" w:hAnsiTheme="majorBidi" w:cstheme="majorBidi" w:hint="cs"/>
          <w:b/>
          <w:bCs/>
          <w:color w:val="000000" w:themeColor="text1"/>
          <w:sz w:val="24"/>
          <w:szCs w:val="24"/>
          <w:rtl/>
        </w:rPr>
        <w:br/>
        <w:t>المبحث الثاني: المسؤولية القانونية والمهنية عن استخدام تقنيات الذكاء الاصطناعي في مكاتب المحاماة</w:t>
      </w:r>
      <w:r>
        <w:rPr>
          <w:rFonts w:asciiTheme="majorBidi" w:hAnsiTheme="majorBidi" w:cstheme="majorBidi" w:hint="cs"/>
          <w:b/>
          <w:bCs/>
          <w:color w:val="000000" w:themeColor="text1"/>
          <w:sz w:val="24"/>
          <w:szCs w:val="24"/>
          <w:rtl/>
        </w:rPr>
        <w:br/>
        <w:t>المطلب الأول: المسؤولية المدنية والمهنية للمحامي عند استخدام الذكاء الاصطناعي</w:t>
      </w:r>
      <w:r>
        <w:rPr>
          <w:rFonts w:asciiTheme="majorBidi" w:hAnsiTheme="majorBidi" w:cstheme="majorBidi" w:hint="cs"/>
          <w:b/>
          <w:bCs/>
          <w:color w:val="000000" w:themeColor="text1"/>
          <w:sz w:val="24"/>
          <w:szCs w:val="24"/>
          <w:rtl/>
        </w:rPr>
        <w:br/>
        <w:t>المطلب الثاني: مسؤولية المطوِّر، والمستخدم، ومقدِّم التقنية مع مقارنة مختصرة بالتجربة الأوروبية</w:t>
      </w:r>
    </w:p>
    <w:p w14:paraId="60D58B54"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 في المملكة العربية السعودية</w:t>
      </w:r>
      <w:r>
        <w:rPr>
          <w:rFonts w:asciiTheme="majorBidi" w:hAnsiTheme="majorBidi" w:cstheme="majorBidi"/>
          <w:b/>
          <w:bCs/>
          <w:color w:val="000000" w:themeColor="text1"/>
          <w:sz w:val="24"/>
          <w:szCs w:val="24"/>
          <w:rtl/>
        </w:rPr>
        <w:br/>
        <w:t>المبحث الأول: واقع التطبيقات المهنية لأدوات الذكاء الاصطناعي في السوق القانوني السعودي</w:t>
      </w:r>
      <w:r>
        <w:rPr>
          <w:rFonts w:asciiTheme="majorBidi" w:hAnsiTheme="majorBidi" w:cstheme="majorBidi"/>
          <w:b/>
          <w:bCs/>
          <w:color w:val="000000" w:themeColor="text1"/>
          <w:sz w:val="24"/>
          <w:szCs w:val="24"/>
          <w:rtl/>
        </w:rPr>
        <w:br/>
        <w:t>المطلب الأول: التمييز بين الذكاء الاصطناعي القانوني وما يختلط به من تقنيات</w:t>
      </w:r>
      <w:r>
        <w:rPr>
          <w:rFonts w:asciiTheme="majorBidi" w:hAnsiTheme="majorBidi" w:cstheme="majorBidi"/>
          <w:b/>
          <w:bCs/>
          <w:color w:val="000000" w:themeColor="text1"/>
          <w:sz w:val="24"/>
          <w:szCs w:val="24"/>
          <w:rtl/>
        </w:rPr>
        <w:br/>
        <w:t>المطلب الثاني: أدوات الذكاء الاصطناعي المتداولة في مكاتب المحاماة السعودية</w:t>
      </w:r>
      <w:r>
        <w:rPr>
          <w:rFonts w:asciiTheme="majorBidi" w:hAnsiTheme="majorBidi" w:cstheme="majorBidi"/>
          <w:b/>
          <w:bCs/>
          <w:color w:val="000000" w:themeColor="text1"/>
          <w:sz w:val="24"/>
          <w:szCs w:val="24"/>
          <w:rtl/>
        </w:rPr>
        <w:br/>
        <w:t>المطلب الثالث: مدى توافق استخدام أدوات الذكاء الاصطناعي مع الأنظمة السعودية</w:t>
      </w:r>
      <w:r>
        <w:rPr>
          <w:rFonts w:asciiTheme="majorBidi" w:hAnsiTheme="majorBidi" w:cstheme="majorBidi"/>
          <w:b/>
          <w:bCs/>
          <w:color w:val="000000" w:themeColor="text1"/>
          <w:sz w:val="24"/>
          <w:szCs w:val="24"/>
          <w:rtl/>
        </w:rPr>
        <w:br/>
        <w:t>المطلب الرابع: التكييف النظامي للعقود الذكية في البيئة السعودية</w:t>
      </w:r>
      <w:r>
        <w:rPr>
          <w:rFonts w:asciiTheme="majorBidi" w:hAnsiTheme="majorBidi" w:cstheme="majorBidi"/>
          <w:b/>
          <w:bCs/>
          <w:color w:val="000000" w:themeColor="text1"/>
          <w:sz w:val="24"/>
          <w:szCs w:val="24"/>
          <w:rtl/>
        </w:rPr>
        <w:br/>
        <w:t>المبحث الثاني: أنماط الاستخدام الفردي غير المنظم وتكييفه النظامي</w:t>
      </w:r>
      <w:r>
        <w:rPr>
          <w:rFonts w:asciiTheme="majorBidi" w:hAnsiTheme="majorBidi" w:cstheme="majorBidi"/>
          <w:b/>
          <w:bCs/>
          <w:color w:val="000000" w:themeColor="text1"/>
          <w:sz w:val="24"/>
          <w:szCs w:val="24"/>
          <w:rtl/>
        </w:rPr>
        <w:br/>
        <w:t>المطلب الأول: صور الاستخدام الفردي ومخاطره القانونية والمهنية</w:t>
      </w:r>
      <w:r>
        <w:rPr>
          <w:rFonts w:asciiTheme="majorBidi" w:hAnsiTheme="majorBidi" w:cstheme="majorBidi"/>
          <w:b/>
          <w:bCs/>
          <w:color w:val="000000" w:themeColor="text1"/>
          <w:sz w:val="24"/>
          <w:szCs w:val="24"/>
          <w:rtl/>
        </w:rPr>
        <w:br/>
        <w:t>المطلب الثاني: التكييف النظامي لممارسات الاستخدام الفردي في ضوء الأنظمة القائمة</w:t>
      </w:r>
      <w:r>
        <w:rPr>
          <w:rFonts w:asciiTheme="majorBidi" w:hAnsiTheme="majorBidi" w:cstheme="majorBidi"/>
          <w:b/>
          <w:bCs/>
          <w:color w:val="000000" w:themeColor="text1"/>
          <w:sz w:val="24"/>
          <w:szCs w:val="24"/>
          <w:rtl/>
        </w:rPr>
        <w:br/>
        <w:t>المطلب الثالث: توزيع المسؤولية بين أطراف منظومة الذكاء الاصطناعي القانوني</w:t>
      </w:r>
      <w:r>
        <w:rPr>
          <w:rFonts w:asciiTheme="majorBidi" w:hAnsiTheme="majorBidi" w:cstheme="majorBidi"/>
          <w:b/>
          <w:bCs/>
          <w:color w:val="000000" w:themeColor="text1"/>
          <w:sz w:val="24"/>
          <w:szCs w:val="24"/>
          <w:rtl/>
        </w:rPr>
        <w:br/>
        <w:t>المطلب الرابع: الضبط الاتفاقي لاستخدام الذكاء الاصطناعي: شرط عدم الاستعانة به في العمل القانوني الفني</w:t>
      </w:r>
      <w:r>
        <w:rPr>
          <w:rFonts w:asciiTheme="majorBidi" w:hAnsiTheme="majorBidi" w:cstheme="majorBidi"/>
          <w:b/>
          <w:bCs/>
          <w:color w:val="000000" w:themeColor="text1"/>
          <w:sz w:val="24"/>
          <w:szCs w:val="24"/>
          <w:rtl/>
        </w:rPr>
        <w:br/>
        <w:t>المبحث الثالث: التنظيم المقارن والتحديات المستقبلية لتنظيم الذكاء الاصطناعي القانوني في المملكة</w:t>
      </w:r>
      <w:r>
        <w:rPr>
          <w:rFonts w:asciiTheme="majorBidi" w:hAnsiTheme="majorBidi" w:cstheme="majorBidi"/>
          <w:b/>
          <w:bCs/>
          <w:color w:val="000000" w:themeColor="text1"/>
          <w:sz w:val="24"/>
          <w:szCs w:val="24"/>
          <w:rtl/>
        </w:rPr>
        <w:br/>
        <w:t>المطلب الأول: التجربة الإماراتية والنماذج التنظيمية المقارنة</w:t>
      </w:r>
      <w:r>
        <w:rPr>
          <w:rFonts w:asciiTheme="majorBidi" w:hAnsiTheme="majorBidi" w:cstheme="majorBidi"/>
          <w:b/>
          <w:bCs/>
          <w:color w:val="000000" w:themeColor="text1"/>
          <w:sz w:val="24"/>
          <w:szCs w:val="24"/>
          <w:rtl/>
        </w:rPr>
        <w:br/>
        <w:t>المطلب الثاني: المنظومة المؤسسية السعودية لحوكمة الذكاء الاصطناعي في القطاع القانوني</w:t>
      </w:r>
      <w:r>
        <w:rPr>
          <w:rFonts w:asciiTheme="majorBidi" w:hAnsiTheme="majorBidi" w:cstheme="majorBidi"/>
          <w:b/>
          <w:bCs/>
          <w:color w:val="000000" w:themeColor="text1"/>
          <w:sz w:val="24"/>
          <w:szCs w:val="24"/>
          <w:rtl/>
        </w:rPr>
        <w:br/>
        <w:t>المطلب الثالث: الضوابط الشرعية والتحديات الأخلاقية ومتطلبات التأهيل المهني</w:t>
      </w:r>
    </w:p>
    <w:p w14:paraId="7B4EFAF7" w14:textId="33108872"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الفصل الرابع: التصور التنظيمي المقترح لتوظيف الذكاء الاصطناعي في مكاتب المحاماة في المملكة العربية السعودية</w:t>
      </w:r>
      <w:r>
        <w:rPr>
          <w:rFonts w:asciiTheme="majorBidi" w:hAnsiTheme="majorBidi" w:cstheme="majorBidi"/>
          <w:b/>
          <w:bCs/>
          <w:color w:val="000000" w:themeColor="text1"/>
          <w:sz w:val="24"/>
          <w:szCs w:val="24"/>
          <w:rtl/>
        </w:rPr>
        <w:br/>
        <w:t>المبحث الأول: الأسس والمرتكزات العامة للتصور المقترح</w:t>
      </w:r>
      <w:r>
        <w:rPr>
          <w:rFonts w:asciiTheme="majorBidi" w:hAnsiTheme="majorBidi" w:cstheme="majorBidi"/>
          <w:b/>
          <w:bCs/>
          <w:color w:val="000000" w:themeColor="text1"/>
          <w:sz w:val="24"/>
          <w:szCs w:val="24"/>
          <w:rtl/>
        </w:rPr>
        <w:br/>
        <w:t>المبحث الثاني: مضمون التنظيم المقترح</w:t>
      </w:r>
      <w:r>
        <w:rPr>
          <w:rFonts w:asciiTheme="majorBidi" w:hAnsiTheme="majorBidi" w:cstheme="majorBidi"/>
          <w:b/>
          <w:bCs/>
          <w:color w:val="000000" w:themeColor="text1"/>
          <w:sz w:val="24"/>
          <w:szCs w:val="24"/>
          <w:rtl/>
        </w:rPr>
        <w:br/>
        <w:t>المبحث الثالث: متطلبات التنفيذ والحوكمة</w:t>
      </w:r>
    </w:p>
    <w:p w14:paraId="0E0BC774" w14:textId="767597A3" w:rsidR="008F1250" w:rsidRPr="00872654" w:rsidRDefault="00454BE9" w:rsidP="0087265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sidR="00FE2A5F">
        <w:rPr>
          <w:rFonts w:asciiTheme="majorBidi" w:hAnsiTheme="majorBidi" w:cstheme="majorBidi" w:hint="cs"/>
          <w:color w:val="000000" w:themeColor="text1"/>
          <w:sz w:val="24"/>
          <w:szCs w:val="24"/>
          <w:rtl/>
        </w:rPr>
        <w:t xml:space="preserve"> - </w:t>
      </w:r>
      <w:r w:rsidR="00FE2A5F">
        <w:rPr>
          <w:rFonts w:asciiTheme="majorBidi" w:hAnsiTheme="majorBidi" w:cstheme="majorBidi"/>
          <w:color w:val="000000" w:themeColor="text1"/>
          <w:sz w:val="24"/>
          <w:szCs w:val="24"/>
          <w:rtl/>
        </w:rPr>
        <w:t>التوصيات</w:t>
      </w:r>
    </w:p>
    <w:p w14:paraId="209C2514" w14:textId="77777777" w:rsidR="00F7053A" w:rsidRPr="00E33F20" w:rsidRDefault="00F7053A" w:rsidP="00F7053A">
      <w:pPr>
        <w:pStyle w:val="1"/>
        <w:pageBreakBefore/>
        <w:jc w:val="center"/>
        <w:rPr>
          <w:rFonts w:asciiTheme="majorBidi" w:hAnsiTheme="majorBidi"/>
          <w:b/>
          <w:bCs/>
          <w:color w:val="002060"/>
          <w:sz w:val="32"/>
          <w:szCs w:val="32"/>
          <w:rtl/>
        </w:rPr>
      </w:pPr>
      <w:bookmarkStart w:id="9" w:name="_Toc237071361"/>
      <w:r w:rsidRPr="00E33F20">
        <w:rPr>
          <w:rFonts w:asciiTheme="majorBidi" w:hAnsiTheme="majorBidi"/>
          <w:b/>
          <w:bCs/>
          <w:color w:val="002060"/>
          <w:sz w:val="32"/>
          <w:szCs w:val="32"/>
          <w:rtl/>
        </w:rPr>
        <w:lastRenderedPageBreak/>
        <w:t>الفصل الأول</w:t>
      </w:r>
      <w:bookmarkEnd w:id="9"/>
    </w:p>
    <w:p w14:paraId="21473307" w14:textId="77777777" w:rsidR="00F7053A" w:rsidRDefault="0008617A" w:rsidP="0008617A">
      <w:pPr>
        <w:pStyle w:val="1"/>
        <w:jc w:val="center"/>
        <w:rPr>
          <w:b/>
          <w:bCs/>
          <w:sz w:val="32"/>
          <w:szCs w:val="32"/>
          <w:rtl/>
        </w:rPr>
      </w:pPr>
      <w:bookmarkStart w:id="10" w:name="_Toc237071362"/>
      <w:r>
        <w:rPr>
          <w:rFonts w:hint="cs"/>
          <w:b/>
          <w:bCs/>
          <w:sz w:val="32"/>
          <w:szCs w:val="32"/>
          <w:rtl/>
        </w:rPr>
        <w:t>النظام القانوني السعودي لاستخدام الذكاء الاصطناعي في مهنة المحاماة</w:t>
      </w:r>
      <w:bookmarkEnd w:id="10"/>
    </w:p>
    <w:p w14:paraId="437D6750" w14:textId="77777777" w:rsidR="0008617A" w:rsidRPr="0008617A" w:rsidRDefault="0008617A" w:rsidP="0008617A">
      <w:pPr>
        <w:jc w:val="center"/>
        <w:rPr>
          <w:rFonts w:asciiTheme="majorBidi" w:hAnsiTheme="majorBidi" w:cstheme="majorBidi"/>
          <w:b/>
          <w:bCs/>
          <w:color w:val="000000" w:themeColor="text1"/>
          <w:sz w:val="32"/>
          <w:szCs w:val="32"/>
          <w:rtl/>
        </w:rPr>
      </w:pPr>
    </w:p>
    <w:p w14:paraId="3CF144C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0EE747AE" w14:textId="77777777" w:rsidR="00D57654" w:rsidRDefault="00000000"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59B58E17"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sidRPr="00F8027F">
        <w:rPr>
          <w:rFonts w:asciiTheme="majorBidi" w:hAnsiTheme="majorBidi" w:cstheme="majorBidi"/>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 بينما يرتبط نظام حماية البيانات الشخصية بآ</w:t>
      </w:r>
      <w:r>
        <w:rPr>
          <w:rFonts w:asciiTheme="majorBidi" w:hAnsiTheme="majorBidi" w:cstheme="majorBidi"/>
          <w:color w:val="000000" w:themeColor="text1"/>
          <w:sz w:val="24"/>
          <w:szCs w:val="24"/>
          <w:rtl/>
        </w:rPr>
        <w:t xml:space="preserve">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2518E4D2"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 وهي وثيقة استرشادية أخلاقية غير ملزمة — بشأن تطوير واستخدام تقنيات الذكاء الاصطناعي في المجالات المهنية المختلفة.</w:t>
      </w:r>
    </w:p>
    <w:p w14:paraId="470F054F"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264B8A4F" w14:textId="77777777" w:rsidR="00CF47E9" w:rsidRPr="00BC5F38" w:rsidRDefault="00CF47E9" w:rsidP="00CF47E9">
      <w:pPr>
        <w:jc w:val="right"/>
        <w:rPr>
          <w:rFonts w:asciiTheme="majorBidi" w:hAnsiTheme="majorBidi" w:cstheme="majorBidi"/>
          <w:color w:val="000000" w:themeColor="text1"/>
          <w:sz w:val="24"/>
          <w:szCs w:val="24"/>
          <w:rtl/>
        </w:rPr>
      </w:pPr>
    </w:p>
    <w:p w14:paraId="3B05ADAD" w14:textId="77777777" w:rsidR="00F7053A" w:rsidRPr="00D41CB7" w:rsidRDefault="00CF47E9" w:rsidP="00CF47E9">
      <w:pPr>
        <w:pStyle w:val="2"/>
        <w:jc w:val="center"/>
        <w:rPr>
          <w:rFonts w:asciiTheme="majorBidi" w:hAnsiTheme="majorBidi"/>
          <w:b/>
          <w:bCs/>
          <w:color w:val="000000" w:themeColor="text1"/>
        </w:rPr>
      </w:pPr>
      <w:bookmarkStart w:id="11" w:name="_Toc237071363"/>
      <w:r>
        <w:rPr>
          <w:rFonts w:asciiTheme="majorBidi" w:hAnsiTheme="majorBidi" w:hint="cs"/>
          <w:b/>
          <w:bCs/>
          <w:color w:val="000000" w:themeColor="text1"/>
          <w:rtl/>
        </w:rPr>
        <w:lastRenderedPageBreak/>
        <w:t>المبحث الأول</w:t>
      </w:r>
      <w:bookmarkEnd w:id="11"/>
    </w:p>
    <w:p w14:paraId="63E4896E" w14:textId="77777777" w:rsidR="00CF47E9" w:rsidRPr="00D41CB7" w:rsidRDefault="00CF47E9" w:rsidP="00CF47E9">
      <w:pPr>
        <w:pStyle w:val="2"/>
        <w:jc w:val="center"/>
        <w:rPr>
          <w:rFonts w:asciiTheme="majorBidi" w:hAnsiTheme="majorBidi"/>
          <w:b/>
          <w:bCs/>
          <w:color w:val="000000" w:themeColor="text1"/>
          <w:rtl/>
        </w:rPr>
      </w:pPr>
      <w:bookmarkStart w:id="12" w:name="_Toc237071364"/>
      <w:r>
        <w:rPr>
          <w:rFonts w:asciiTheme="majorBidi" w:hAnsiTheme="majorBidi"/>
          <w:b/>
          <w:bCs/>
          <w:color w:val="000000" w:themeColor="text1"/>
          <w:rtl/>
        </w:rPr>
        <w:t xml:space="preserve">الإطار </w:t>
      </w:r>
      <w:r>
        <w:rPr>
          <w:rFonts w:asciiTheme="majorBidi" w:hAnsiTheme="majorBidi" w:hint="cs"/>
          <w:b/>
          <w:bCs/>
          <w:color w:val="000000" w:themeColor="text1"/>
          <w:rtl/>
        </w:rPr>
        <w:t>التشريعي</w:t>
      </w:r>
      <w:r>
        <w:rPr>
          <w:rFonts w:asciiTheme="majorBidi" w:hAnsiTheme="majorBidi"/>
          <w:b/>
          <w:bCs/>
          <w:color w:val="000000" w:themeColor="text1"/>
          <w:rtl/>
        </w:rPr>
        <w:t xml:space="preserve"> لمهنة المحاماة وتقنيات الذكاء الاصطناعي</w:t>
      </w:r>
      <w:bookmarkEnd w:id="12"/>
    </w:p>
    <w:p w14:paraId="51793B05" w14:textId="77777777" w:rsidR="00E77780" w:rsidRPr="00BC5F38" w:rsidRDefault="00E77780" w:rsidP="00CF47E9">
      <w:pPr>
        <w:jc w:val="center"/>
        <w:rPr>
          <w:rFonts w:asciiTheme="majorBidi" w:hAnsiTheme="majorBidi" w:cstheme="majorBidi"/>
          <w:b/>
          <w:bCs/>
          <w:color w:val="000000" w:themeColor="text1"/>
          <w:sz w:val="24"/>
          <w:szCs w:val="24"/>
          <w:rtl/>
        </w:rPr>
      </w:pPr>
    </w:p>
    <w:p w14:paraId="32DA0489"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70ECCDD0"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47A0A0C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78456BE0"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1A48724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6855CC9C" w14:textId="77777777" w:rsidR="00E77780" w:rsidRPr="00BC5F38" w:rsidRDefault="00E77780" w:rsidP="00D41CB7">
      <w:pPr>
        <w:rPr>
          <w:rFonts w:asciiTheme="majorBidi" w:hAnsiTheme="majorBidi" w:cstheme="majorBidi"/>
          <w:color w:val="000000" w:themeColor="text1"/>
          <w:sz w:val="24"/>
          <w:szCs w:val="24"/>
        </w:rPr>
      </w:pPr>
    </w:p>
    <w:p w14:paraId="3E97784E" w14:textId="77777777" w:rsidR="00E77780" w:rsidRDefault="00E77780" w:rsidP="00E77780">
      <w:pPr>
        <w:jc w:val="right"/>
        <w:rPr>
          <w:rFonts w:asciiTheme="majorBidi" w:hAnsiTheme="majorBidi" w:cstheme="majorBidi"/>
          <w:color w:val="000000" w:themeColor="text1"/>
          <w:sz w:val="24"/>
          <w:szCs w:val="24"/>
        </w:rPr>
      </w:pPr>
    </w:p>
    <w:p w14:paraId="53EF16EF" w14:textId="77777777" w:rsidR="00781B0D" w:rsidRDefault="00781B0D" w:rsidP="00E77780">
      <w:pPr>
        <w:jc w:val="right"/>
        <w:rPr>
          <w:rFonts w:asciiTheme="majorBidi" w:hAnsiTheme="majorBidi" w:cstheme="majorBidi"/>
          <w:color w:val="000000" w:themeColor="text1"/>
          <w:sz w:val="24"/>
          <w:szCs w:val="24"/>
        </w:rPr>
      </w:pPr>
    </w:p>
    <w:p w14:paraId="164FBD6C" w14:textId="77777777" w:rsidR="00BC6811" w:rsidRDefault="00BC6811" w:rsidP="00E77780">
      <w:pPr>
        <w:jc w:val="right"/>
        <w:rPr>
          <w:rFonts w:asciiTheme="majorBidi" w:hAnsiTheme="majorBidi" w:cstheme="majorBidi"/>
          <w:color w:val="000000" w:themeColor="text1"/>
          <w:sz w:val="24"/>
          <w:szCs w:val="24"/>
        </w:rPr>
      </w:pPr>
    </w:p>
    <w:p w14:paraId="0C228F9C" w14:textId="77777777" w:rsidR="00781B0D" w:rsidRPr="00BC5F38" w:rsidRDefault="00781B0D" w:rsidP="00E77780">
      <w:pPr>
        <w:jc w:val="right"/>
        <w:rPr>
          <w:rFonts w:asciiTheme="majorBidi" w:hAnsiTheme="majorBidi" w:cstheme="majorBidi"/>
          <w:color w:val="000000" w:themeColor="text1"/>
          <w:sz w:val="24"/>
          <w:szCs w:val="24"/>
        </w:rPr>
      </w:pPr>
    </w:p>
    <w:p w14:paraId="24EC1011" w14:textId="77777777" w:rsidR="00E77780" w:rsidRPr="00D41CB7" w:rsidRDefault="00E15647" w:rsidP="00E15647">
      <w:pPr>
        <w:pStyle w:val="3"/>
        <w:jc w:val="center"/>
        <w:rPr>
          <w:rFonts w:asciiTheme="majorBidi" w:hAnsiTheme="majorBidi"/>
          <w:b/>
          <w:bCs/>
          <w:color w:val="000000" w:themeColor="text1"/>
          <w:sz w:val="32"/>
          <w:szCs w:val="32"/>
        </w:rPr>
      </w:pPr>
      <w:bookmarkStart w:id="13" w:name="_Toc237071365"/>
      <w:r>
        <w:rPr>
          <w:rFonts w:asciiTheme="majorBidi" w:hAnsiTheme="majorBidi" w:hint="cs"/>
          <w:b/>
          <w:bCs/>
          <w:color w:val="000000" w:themeColor="text1"/>
          <w:sz w:val="32"/>
          <w:szCs w:val="32"/>
          <w:rtl/>
        </w:rPr>
        <w:lastRenderedPageBreak/>
        <w:t>المطلب الأول</w:t>
      </w:r>
      <w:bookmarkEnd w:id="13"/>
    </w:p>
    <w:p w14:paraId="0F311F17" w14:textId="77777777" w:rsidR="00E15647" w:rsidRPr="00D41CB7" w:rsidRDefault="00E15647" w:rsidP="00E15647">
      <w:pPr>
        <w:pStyle w:val="3"/>
        <w:jc w:val="center"/>
        <w:rPr>
          <w:rFonts w:asciiTheme="majorBidi" w:hAnsiTheme="majorBidi"/>
          <w:b/>
          <w:bCs/>
          <w:color w:val="000000" w:themeColor="text1"/>
          <w:rtl/>
        </w:rPr>
      </w:pPr>
      <w:bookmarkStart w:id="14" w:name="_Toc237071366"/>
      <w:r>
        <w:rPr>
          <w:rFonts w:asciiTheme="majorBidi" w:hAnsiTheme="majorBidi"/>
          <w:b/>
          <w:bCs/>
          <w:color w:val="000000" w:themeColor="text1"/>
          <w:rtl/>
        </w:rPr>
        <w:t>نظام المحاماة واللائحة التنفيذية بوصفهما الإطار القانوني الأساس لممارسة المهنة</w:t>
      </w:r>
      <w:bookmarkEnd w:id="14"/>
    </w:p>
    <w:p w14:paraId="6A8270B2" w14:textId="77777777" w:rsidR="00E15647" w:rsidRPr="00BC5F38" w:rsidRDefault="00E15647" w:rsidP="00E15647">
      <w:pPr>
        <w:jc w:val="right"/>
        <w:rPr>
          <w:rFonts w:asciiTheme="majorBidi" w:hAnsiTheme="majorBidi" w:cstheme="majorBidi"/>
          <w:b/>
          <w:bCs/>
          <w:color w:val="000000" w:themeColor="text1"/>
          <w:sz w:val="24"/>
          <w:szCs w:val="24"/>
          <w:rtl/>
        </w:rPr>
      </w:pPr>
    </w:p>
    <w:p w14:paraId="292A5779"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586A8BA1"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A7B950E"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211ED56"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عالج الغنامي في دراسته حول الضوابط القانونية للذكاء الاصطناعي في إبرام المعاملات القانونية الضوابطَ النظامية لتوظيف هذه الأنظمة في التعاقد ضمن السياق القانوني السعودي، وقواعد المسؤولية المدنية عن أضرارها؛ ويرى الباحث أن القواعد الناظمة لمهنة المحاماة تُشكّل — إلى جانب تلك الضوابط —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44CADF5F"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وحددت المادة الأولى من النظام مفهوم المهنة بأنها الترافع عن الغير أمام المحاكم وديوان المظالم واللجان المختصة، ومزاولة الاستشارات الشرعية والنظامية.</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بعض الباحثين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9"/>
      </w:r>
    </w:p>
    <w:p w14:paraId="35E82544"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ولذلك أصبح من الضروري إعادة تفسير المادة الأولى بما يواكب التحول العدلي الرقمي الذي تجسد في إنشاء المحكمة الإلكترونية ومنصة ناجز، وهو التحول الذي تجسده اليوم واقع منصات وزارة العدل الرقمية الرسمية كمنصة ناجز والمحكمة الإلكترونية.</w:t>
      </w:r>
      <w:r>
        <w:rPr>
          <w:rStyle w:val="af"/>
          <w:rFonts w:asciiTheme="majorBidi" w:hAnsiTheme="majorBidi" w:cstheme="majorBidi"/>
          <w:sz w:val="24"/>
          <w:szCs w:val="24"/>
          <w:rtl/>
        </w:rPr>
        <w:footnoteReference w:id="10"/>
      </w:r>
    </w:p>
    <w:p w14:paraId="25EA6ECE"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2DA9AB28"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6117DA99"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6B29FAD8"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يرى بعض الباحثين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44891373"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59BBFAAB"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الأولى من النظام نطاق المهنة بأنه يشمل الترافع عن الغير أمام المحاكم وديوان المظالم واللجان المختصة، ومزاولة الاستشارات الشرعية والنظامية، ويدخل في ذلك عملاً إبداء الرأي والمشورة وصياغة العقود وما يقتضيه ذلك من إجراءات.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1B8C4E6F"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دراسة بلال حول العدالة الناجزة</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tl/>
        </w:rPr>
        <w:b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tl/>
        </w:rPr>
        <w:br/>
        <w:t>ومن ثم، فإن المادة الأولى تمثل نقطة التقاء بين النصوص التقليدية والواقع الرقمي الذي يستدعي تنظيما جديدًا لحدود المهنة في ظل التحول التقني.</w:t>
      </w:r>
    </w:p>
    <w:p w14:paraId="70A9C9C5"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الحادية والأربعون ومسؤولية المحامي عن الأفعال التقنية:</w:t>
      </w:r>
      <w:r>
        <w:rPr>
          <w:rFonts w:asciiTheme="majorBidi" w:hAnsiTheme="majorBidi" w:cstheme="majorBidi"/>
          <w:b/>
          <w:bCs/>
          <w:color w:val="000000" w:themeColor="text1"/>
          <w:sz w:val="24"/>
          <w:szCs w:val="24"/>
        </w:rPr>
        <w:t>-</w:t>
      </w:r>
    </w:p>
    <w:p w14:paraId="3CAE756A"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يُستفاد من النصوص النظامية أن النصوص التأديبية في نظام المحاماة لم تتضمن حتى الآن جزاءات صريحة على الإخلال بمعايير الكفاءة الرقمية، وهو ما يجعل توقيع الجزاء التأديبي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2"/>
      </w:r>
    </w:p>
    <w:p w14:paraId="0BDB3E40"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يخص واجبات المحامي تجاه موكله المستمدة من نظام المحاماة وعقد الوكالة، أوضح بعض الباحثين أن تفسير هذه الواجبات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3"/>
      </w:r>
    </w:p>
    <w:p w14:paraId="74EFCF73" w14:textId="77777777" w:rsidR="00D57654" w:rsidRDefault="00000000" w:rsidP="00BC6811">
      <w:pPr>
        <w:jc w:val="right"/>
        <w:rPr>
          <w:rFonts w:asciiTheme="majorBidi" w:hAnsiTheme="majorBidi" w:cstheme="majorBidi"/>
          <w:sz w:val="24"/>
          <w:szCs w:val="24"/>
          <w:rtl/>
        </w:rPr>
      </w:pPr>
      <w:r>
        <w:rPr>
          <w:rFonts w:asciiTheme="majorBidi" w:hAnsiTheme="majorBidi" w:cstheme="majorBidi"/>
          <w:sz w:val="24"/>
          <w:szCs w:val="24"/>
          <w:rtl/>
        </w:rPr>
        <w:t>وفيما يتعلق بتطبيق نصوص نظام المحاماة السعودي المتصلة بواجبات المحامي في سياق الذكاء الاصطناعي، يرى بعض الباحثين أن هذه النصوص لم تُصَغ لتستوعب فرضية اعتماد المحامي على نظام ذكاء اصطناعي في إعداد دفاعه، وأن توسيع نطاق تطبيقها يستلزم تفسيراً قضائياً موسّعاً أو تعديلاً تشريعياً صريحاً.</w:t>
      </w:r>
    </w:p>
    <w:p w14:paraId="2EF66371"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تجيز المادة (الحادية والأربعون) من نظام المحاماة للمحامي أن يستعين في مكتبه، وفقاً لحاجة العمل، بمحامٍ غير سعودي أو أكثر بموجب عقد عمل «تحت مسؤوليته وإشرافه»، وهو ما يجعلها الأصل النظامي لمسؤولية المحامي عمّن يعملون تحت إشرافه. وتكمل هذا الأصلَ القاعدةُ العامة في الفقرة (2) من المادة (التاسعة </w:t>
      </w:r>
      <w:r>
        <w:rPr>
          <w:rFonts w:asciiTheme="majorBidi" w:hAnsiTheme="majorBidi" w:cstheme="majorBidi"/>
          <w:color w:val="000000" w:themeColor="text1"/>
          <w:sz w:val="24"/>
          <w:szCs w:val="24"/>
          <w:rtl/>
        </w:rPr>
        <w:lastRenderedPageBreak/>
        <w:t>والعشرين بعد المائة) من نظام المعاملات المدنية، التي تقرر مسؤولية المتبوع تجاه المتضرر عن الضرر الذي يحدثه تابعه بخطئه متى وقع منه أثناء تأدية عمله أو بسببه.</w:t>
      </w:r>
      <w:r>
        <w:rPr>
          <w:rFonts w:asciiTheme="majorBidi" w:hAnsiTheme="majorBidi" w:cstheme="majorBidi"/>
          <w:color w:val="000000" w:themeColor="text1"/>
          <w:sz w:val="24"/>
          <w:szCs w:val="24"/>
          <w:rtl/>
        </w:rPr>
        <w:br/>
        <w:t>ويُفهم من هذين النصين أنه يمكن – بالتفسير الغائي والقياس – تحميل المحامي تبعة الأخطاء الناشئة عن الوسائل والأدوات التي يوظفها في مكتبه تحت إشرافه، بما في ذلك أنظمة الذكاء الاصطناعي التي يعتمد عليها في إنجاز أعماله.</w:t>
      </w:r>
    </w:p>
    <w:p w14:paraId="3D51B8D9"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ويدعم هذا البناءَ ما قرره جانب من الفقه من أن من له سلطة استعمال الأداة ورقابتها وتوجيهها يسأل عما تحدثه من ضرر، وأنه لا يُعفى إلا إذا أثبت أن الضرر كان بسبب لا يد له فيه.</w:t>
      </w:r>
      <w:r>
        <w:rPr>
          <w:rStyle w:val="af"/>
          <w:rFonts w:asciiTheme="majorBidi" w:hAnsiTheme="majorBidi" w:cstheme="majorBidi"/>
          <w:sz w:val="24"/>
          <w:szCs w:val="24"/>
          <w:rtl/>
        </w:rPr>
        <w:footnoteReference w:id="14"/>
      </w:r>
      <w:r>
        <w:rPr>
          <w:rFonts w:asciiTheme="majorBidi" w:hAnsiTheme="majorBidi" w:cstheme="majorBidi"/>
          <w:color w:val="000000" w:themeColor="text1"/>
          <w:sz w:val="24"/>
          <w:szCs w:val="24"/>
          <w:rtl/>
        </w:rPr>
        <w:br/>
        <w:t>وبذلك يمكن القول إن المادة (الحادية والأربعين) من نظام المحاماة، مقروءةً مع الفقرة (2) من المادة (129) من نظام المعاملات المدنية، تشكّل الأساس الذي يمكن أن تُبنى عليه قواعد المسؤولية المهنية الرقمية للمحامي في المستقبل.</w:t>
      </w:r>
    </w:p>
    <w:p w14:paraId="032D2BA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بعض الباحثين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p>
    <w:p w14:paraId="76F0A92A"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p>
    <w:p w14:paraId="0996A800" w14:textId="77777777" w:rsidR="0026477A" w:rsidRPr="00BC5F38" w:rsidRDefault="0026477A" w:rsidP="0026477A">
      <w:pPr>
        <w:jc w:val="right"/>
        <w:rPr>
          <w:rFonts w:asciiTheme="majorBidi" w:hAnsiTheme="majorBidi" w:cstheme="majorBidi"/>
          <w:color w:val="000000" w:themeColor="text1"/>
          <w:sz w:val="24"/>
          <w:szCs w:val="24"/>
        </w:rPr>
      </w:pPr>
    </w:p>
    <w:p w14:paraId="73B7B63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69D6D20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144DD50"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15"/>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79EB46C9"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52078F9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071D9152"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145CA00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(الثالثة والعشرين) أنه لا يجوز للمحامي "بدون سبب مشروع أن يتخلى عما وكل عليه قبل انتهاء الدعوى"، وهو التزامٌ بإتمام الوكالة يرى الباحث أنه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16"/>
      </w:r>
    </w:p>
    <w:p w14:paraId="4072F618"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1557C53F"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بعض الباحثين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17"/>
      </w:r>
    </w:p>
    <w:p w14:paraId="6336C326"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46E96AA9" w14:textId="77777777" w:rsidR="00A40287" w:rsidRPr="0026477A" w:rsidRDefault="00A40287" w:rsidP="0026477A">
      <w:pPr>
        <w:jc w:val="right"/>
        <w:rPr>
          <w:rFonts w:asciiTheme="majorBidi" w:hAnsiTheme="majorBidi" w:cstheme="majorBidi"/>
          <w:color w:val="000000" w:themeColor="text1"/>
          <w:sz w:val="24"/>
          <w:szCs w:val="24"/>
        </w:rPr>
      </w:pPr>
    </w:p>
    <w:p w14:paraId="03ADB7C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A7013BA"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ضوء إطار حوكمة الذكاء الاصطناعي الذي أرسته الهيئة السعودية للبيانات والذكاء الاصطناعي،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18"/>
      </w:r>
    </w:p>
    <w:p w14:paraId="78B19684"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4FE83EE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w:t>
      </w:r>
      <w:r>
        <w:rPr>
          <w:rFonts w:asciiTheme="majorBidi" w:hAnsiTheme="majorBidi" w:cstheme="majorBidi"/>
          <w:color w:val="000000" w:themeColor="text1"/>
          <w:sz w:val="24"/>
          <w:szCs w:val="24"/>
          <w:rtl/>
        </w:rPr>
        <w:lastRenderedPageBreak/>
        <w:t>القضايا وتحليل العقود. وقد أشارت دراسات إسماعيل</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1BC16AE6"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بعض الباحثين</w:t>
      </w:r>
      <w:r>
        <w:rPr>
          <w:rStyle w:val="af"/>
          <w:rFonts w:asciiTheme="majorBidi" w:hAnsiTheme="majorBidi" w:cstheme="majorBidi"/>
          <w:color w:val="000000" w:themeColor="text1"/>
          <w:sz w:val="24"/>
          <w:szCs w:val="24"/>
          <w:rtl/>
        </w:rPr>
        <w:footnoteReference w:id="20"/>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662ECAA0"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2C204A7F"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بلال في رسالتها عن العدالة الناجزة</w:t>
      </w:r>
      <w:r>
        <w:rPr>
          <w:rStyle w:val="af"/>
          <w:rFonts w:asciiTheme="majorBidi" w:hAnsiTheme="majorBidi" w:cstheme="majorBidi"/>
          <w:color w:val="000000" w:themeColor="text1"/>
          <w:sz w:val="24"/>
          <w:szCs w:val="24"/>
          <w:rtl/>
        </w:rPr>
        <w:footnoteReference w:id="21"/>
      </w:r>
      <w:r>
        <w:rPr>
          <w:rFonts w:asciiTheme="majorBidi" w:hAnsiTheme="majorBidi" w:cstheme="majorBidi"/>
          <w:color w:val="000000" w:themeColor="text1"/>
          <w:sz w:val="24"/>
          <w:szCs w:val="24"/>
          <w:rtl/>
        </w:rPr>
        <w:t xml:space="preserve">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p>
    <w:p w14:paraId="6DD6B2F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609C9CD9"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w:t>
      </w:r>
      <w:r>
        <w:rPr>
          <w:rFonts w:asciiTheme="majorBidi" w:hAnsiTheme="majorBidi" w:cstheme="majorBidi"/>
          <w:color w:val="000000" w:themeColor="text1"/>
          <w:sz w:val="24"/>
          <w:szCs w:val="24"/>
          <w:rtl/>
        </w:rPr>
        <w:lastRenderedPageBreak/>
        <w:t>الذكاء الاصطناعي الصادرة عن سدايا</w:t>
      </w:r>
      <w:r>
        <w:rPr>
          <w:rStyle w:val="af"/>
          <w:rFonts w:asciiTheme="majorBidi" w:hAnsiTheme="majorBidi" w:cstheme="majorBidi"/>
          <w:color w:val="000000" w:themeColor="text1"/>
          <w:sz w:val="24"/>
          <w:szCs w:val="24"/>
          <w:rtl/>
        </w:rPr>
        <w:footnoteReference w:id="22"/>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33A190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تُظهر التجربة الإماراتية أن تطبيق هذه المبادئ في السياق القضائي يحتاج إلى ترجمة مؤسسية تُحوّل المبادئ العامة إلى قواعد إجرائية قابلة للتطبيق؛ وقد اضطلعت وزارة العدل الإماراتية بدور بارز في هذا الشأن عبر مبادراتها الرسمية في توظيف الذكاء الاصطناعي في المنظومة القضائية.</w:t>
      </w:r>
    </w:p>
    <w:p w14:paraId="16E0215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بعض الباحثين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3"/>
      </w:r>
    </w:p>
    <w:p w14:paraId="2F6B551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لاحظ بعض الباحثين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Style w:val="af"/>
          <w:rFonts w:asciiTheme="majorBidi" w:hAnsiTheme="majorBidi" w:cstheme="majorBidi"/>
          <w:sz w:val="24"/>
          <w:szCs w:val="24"/>
          <w:rtl/>
        </w:rPr>
        <w:footnoteReference w:id="24"/>
      </w:r>
    </w:p>
    <w:p w14:paraId="43ABB7A2"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2DB093C0" w14:textId="77777777" w:rsidR="00D41CB7" w:rsidRPr="00AA06F2" w:rsidRDefault="00D41CB7" w:rsidP="002A34EF">
      <w:pPr>
        <w:jc w:val="right"/>
        <w:rPr>
          <w:rFonts w:asciiTheme="majorBidi" w:hAnsiTheme="majorBidi" w:cstheme="majorBidi"/>
          <w:color w:val="000000" w:themeColor="text1"/>
          <w:sz w:val="24"/>
          <w:szCs w:val="24"/>
        </w:rPr>
      </w:pPr>
    </w:p>
    <w:p w14:paraId="6A20F4AE"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0D579F7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سياق إثبات التصرفات القانونية الرقمية، خلص بعض الباحثين في دراساتهم المنشورة بمجلة الباحث العربي إلى أن عصر الذكاء الاصطناعي قد أفرز علاقات ومراكز قانونية جديدة أثبتت عجز القواعد القانونية الحالية عن 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25"/>
      </w:r>
    </w:p>
    <w:p w14:paraId="758C589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242E7417"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بعض الباحثين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25285FD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18F25C08"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24C161F8"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بعض الباحثين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p>
    <w:p w14:paraId="29D83060"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65C49F13"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ويدعم هذا الطرح ما أورده إسماعيل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26"/>
      </w:r>
    </w:p>
    <w:p w14:paraId="431791B1"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A3CFB74"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جانب من الفقه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Style w:val="af"/>
          <w:rFonts w:asciiTheme="majorBidi" w:hAnsiTheme="majorBidi" w:cstheme="majorBidi"/>
          <w:sz w:val="24"/>
          <w:szCs w:val="24"/>
          <w:rtl/>
        </w:rPr>
        <w:footnoteReference w:id="27"/>
      </w:r>
    </w:p>
    <w:p w14:paraId="10878E46"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3B69D418"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بينت وثيقة مبادئ أخلاقيات الذكاء الاصطناعي الصادرة عن الهيئة السعودية للبيانات والذكاء الاصطناعي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p>
    <w:p w14:paraId="65FA6D31"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533BCDC9"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385281D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بعض الباحثين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28"/>
      </w:r>
    </w:p>
    <w:p w14:paraId="504B1B0C"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بالبيانات القانونية الرقمية المتعلقة بأحكام القضاء، نبّه بعض الباحثين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p>
    <w:p w14:paraId="6C597951"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يُلاحظ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ويرى الباحث أن يسلك النظام السعودي المسار الثاني في المرحلة الراهنة مع التهيؤ للتعديل التشريعي على المدى البعيد.</w:t>
      </w:r>
    </w:p>
    <w:p w14:paraId="3F901016"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يرى الباحث ضرورة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29"/>
      </w:r>
    </w:p>
    <w:p w14:paraId="14C5F8F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 سياق إضافة تعريفات نظامية جديدة تستوعب التطور التقني، اقترحت بعض الدراسات مجموعة من المفاهيم الجديرة بالتدوين التشريعي، أبرزها: مفهوم المسؤولية المُشتركة حين يتدخل الذكاء الاصطناعي في </w:t>
      </w:r>
      <w:r>
        <w:rPr>
          <w:rFonts w:asciiTheme="majorBidi" w:hAnsiTheme="majorBidi" w:cstheme="majorBidi"/>
          <w:sz w:val="24"/>
          <w:szCs w:val="24"/>
          <w:rtl/>
        </w:rPr>
        <w:lastRenderedPageBreak/>
        <w:t>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p>
    <w:p w14:paraId="09ED789F"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7639318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0B2D9948"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6F5E0A3D"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05BBB103"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0C827478"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بعض الباحثين</w:t>
      </w:r>
      <w:r>
        <w:rPr>
          <w:rStyle w:val="af"/>
          <w:rFonts w:asciiTheme="majorBidi" w:hAnsiTheme="majorBidi" w:cstheme="majorBidi"/>
          <w:color w:val="000000" w:themeColor="text1"/>
          <w:sz w:val="24"/>
          <w:szCs w:val="24"/>
          <w:rtl/>
        </w:rPr>
        <w:footnoteReference w:id="3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3BAD1CD" w14:textId="4119806E"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r w:rsidR="004B7D6E">
        <w:rPr>
          <w:rFonts w:asciiTheme="majorBidi" w:hAnsiTheme="majorBidi" w:cstheme="majorBidi" w:hint="cs"/>
          <w:b/>
          <w:bCs/>
          <w:color w:val="000000" w:themeColor="text1"/>
          <w:sz w:val="24"/>
          <w:szCs w:val="24"/>
          <w:rtl/>
        </w:rPr>
        <w:t>.</w:t>
      </w:r>
    </w:p>
    <w:p w14:paraId="310F4D69"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w:t>
      </w:r>
      <w:r>
        <w:rPr>
          <w:rFonts w:asciiTheme="majorBidi" w:hAnsiTheme="majorBidi" w:cstheme="majorBidi"/>
          <w:sz w:val="24"/>
          <w:szCs w:val="24"/>
          <w:rtl/>
        </w:rPr>
        <w:lastRenderedPageBreak/>
        <w:t>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31"/>
      </w:r>
    </w:p>
    <w:p w14:paraId="331987DE"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757E1780"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01589120"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3DC42369" w14:textId="77777777" w:rsidR="006F4E03" w:rsidRPr="006F4E03" w:rsidRDefault="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288F421F"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AE86F70" w14:textId="77777777" w:rsidR="00C00F5F" w:rsidRPr="00BC5F38" w:rsidRDefault="00C00F5F" w:rsidP="00D41CB7">
      <w:pPr>
        <w:rPr>
          <w:rFonts w:asciiTheme="majorBidi" w:hAnsiTheme="majorBidi" w:cstheme="majorBidi"/>
          <w:color w:val="000000" w:themeColor="text1"/>
          <w:sz w:val="24"/>
          <w:szCs w:val="24"/>
        </w:rPr>
      </w:pPr>
    </w:p>
    <w:p w14:paraId="6207DCCC"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62AE7864"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32"/>
      </w:r>
    </w:p>
    <w:p w14:paraId="5A4D7EF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تحديد نطاق العمل النظامي للمحامي:</w:t>
      </w:r>
      <w:r>
        <w:rPr>
          <w:rFonts w:asciiTheme="majorBidi" w:hAnsiTheme="majorBidi" w:cstheme="majorBidi" w:hint="cs"/>
          <w:b/>
          <w:bCs/>
          <w:color w:val="000000" w:themeColor="text1"/>
          <w:sz w:val="24"/>
          <w:szCs w:val="24"/>
          <w:rtl/>
        </w:rPr>
        <w:br/>
      </w:r>
      <w:r w:rsidRPr="007963CA">
        <w:rPr>
          <w:rFonts w:asciiTheme="majorBidi" w:hAnsiTheme="majorBidi" w:cstheme="majorBidi" w:hint="cs"/>
          <w:color w:val="000000" w:themeColor="text1"/>
          <w:sz w:val="24"/>
          <w:szCs w:val="24"/>
          <w:rtl/>
        </w:rPr>
        <w:t>نص نظام المحاماة في مادته الأولى على أن مهنة المحاماة يُقصد بها الترافع عن الغير أمام المحاكم وديوان المظالم واللجان المشكلة بموجب الأنظمة والأوامر والقرارات لنظر القضايا الداخلة في اختصاصها، ومزاولة الاستشارات الشرعية والنظامية.</w:t>
      </w:r>
      <w:r w:rsidRPr="007963CA">
        <w:rPr>
          <w:rFonts w:asciiTheme="majorBidi" w:hAnsiTheme="majorBidi" w:cstheme="majorBidi" w:hint="cs"/>
          <w:color w:val="000000" w:themeColor="text1"/>
          <w:sz w:val="24"/>
          <w:szCs w:val="24"/>
          <w:rtl/>
        </w:rPr>
        <w:br/>
        <w:t>ويرى الباحث أن هذا التعريف — بما يجمعه بين الترافع والاستشارات — يستوعب عملاً ما يزاوله المحامي من صياغة للعقود ومتابعة للإجراءات أمام الجهات القضائية والإدارية، ويعكس نظرة المنظم إلى المحامي بوصفه الممثل القانوني المتكامل للموكل في مراحل النزاع أو المعاملة كافة.</w:t>
      </w:r>
      <w:r w:rsidRPr="007963CA">
        <w:rPr>
          <w:rFonts w:asciiTheme="majorBidi" w:hAnsiTheme="majorBidi" w:cstheme="majorBidi" w:hint="cs"/>
          <w:color w:val="000000" w:themeColor="text1"/>
          <w:sz w:val="24"/>
          <w:szCs w:val="24"/>
          <w:rtl/>
        </w:rPr>
        <w:br/>
        <w:t>وفي ضوء ما وثقته رسالة فاطمة بلال حول دور الذكاء الاصطناعي في تعزيز العدالة الناجزة من تحولٍ رقمي في المنظومة العدلية، يرى الباحث أن طبيعة المهام القانونية في المملكة اتسعت لتشمل أعمالًا تحليلية واستشارية تعتمد على التكنولوجيا، خصوصًا في مراحل إعداد المستندات ومراجعتها.</w:t>
      </w:r>
      <w:r w:rsidRPr="007963CA">
        <w:rPr>
          <w:rFonts w:asciiTheme="majorBidi" w:hAnsiTheme="majorBidi" w:cstheme="majorBidi" w:hint="cs"/>
          <w:color w:val="000000" w:themeColor="text1"/>
          <w:sz w:val="24"/>
          <w:szCs w:val="24"/>
          <w:rtl/>
        </w:rPr>
        <w:b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Style w:val="af"/>
          <w:rFonts w:asciiTheme="majorBidi" w:hAnsiTheme="majorBidi" w:cstheme="majorBidi"/>
          <w:color w:val="000000" w:themeColor="text1"/>
          <w:sz w:val="24"/>
          <w:szCs w:val="24"/>
          <w:rtl/>
        </w:rPr>
        <w:footnoteReference w:id="33"/>
      </w:r>
    </w:p>
    <w:p w14:paraId="6A0C1C52"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باتت نسبة كبيرة من الخدمات العدلية تُقدَّم إلكترونياً عبر المنصات العدلية الرقمية، مما جعل المهارات التقنية </w:t>
      </w:r>
      <w:r>
        <w:rPr>
          <w:rFonts w:asciiTheme="majorBidi" w:hAnsiTheme="majorBidi" w:cstheme="majorBidi"/>
          <w:color w:val="000000" w:themeColor="text1"/>
          <w:sz w:val="24"/>
          <w:szCs w:val="24"/>
          <w:rtl/>
        </w:rPr>
        <w:lastRenderedPageBreak/>
        <w:t>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وتؤكد إحدى الدراسات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34"/>
      </w:r>
    </w:p>
    <w:p w14:paraId="6DA77324"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F454AA9" w14:textId="004E1FA6" w:rsidR="00300C19" w:rsidRDefault="00C00F5F" w:rsidP="00693D73">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تحليل النصوص القانونية</w:t>
      </w:r>
    </w:p>
    <w:p w14:paraId="4BF927DC" w14:textId="4FB7F52B" w:rsidR="00C00F5F" w:rsidRPr="00C00F5F" w:rsidRDefault="00C00F5F" w:rsidP="00693D7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145E650B" w14:textId="04571291" w:rsidR="00300C19" w:rsidRDefault="00C00F5F">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ثانياً: صياغة العقود</w:t>
      </w:r>
    </w:p>
    <w:p w14:paraId="307AFF76" w14:textId="5020C625"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3003BCEC" w14:textId="5A838D1A" w:rsidR="00300C19" w:rsidRDefault="00C00F5F" w:rsidP="00300C1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ثالثاً: إدارة القضايا</w:t>
      </w:r>
    </w:p>
    <w:p w14:paraId="79A711DA" w14:textId="60156655"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596C5407" w14:textId="2BE064B0" w:rsidR="00300C19" w:rsidRDefault="00C00F5F">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رابعاً: التنبؤ بالأحكام</w:t>
      </w:r>
    </w:p>
    <w:p w14:paraId="1964DD0C" w14:textId="1A736EBF"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4D80CAC8"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بعض الباحثين</w:t>
      </w:r>
      <w:r>
        <w:rPr>
          <w:rStyle w:val="af"/>
          <w:rFonts w:asciiTheme="majorBidi" w:hAnsiTheme="majorBidi" w:cstheme="majorBidi"/>
          <w:color w:val="000000" w:themeColor="text1"/>
          <w:sz w:val="24"/>
          <w:szCs w:val="24"/>
          <w:rtl/>
        </w:rPr>
        <w:footnoteReference w:id="3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60F0480D"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على أن</w:t>
      </w:r>
      <w:r>
        <w:rPr>
          <w:rStyle w:val="af"/>
          <w:rFonts w:asciiTheme="majorBidi" w:hAnsiTheme="majorBidi" w:cstheme="majorBidi"/>
          <w:color w:val="000000" w:themeColor="text1"/>
          <w:sz w:val="24"/>
          <w:szCs w:val="24"/>
          <w:rtl/>
        </w:rPr>
        <w:footnoteReference w:id="36"/>
      </w:r>
      <w:r>
        <w:rPr>
          <w:rFonts w:asciiTheme="majorBidi" w:hAnsiTheme="majorBidi" w:cstheme="majorBidi"/>
          <w:color w:val="000000" w:themeColor="text1"/>
          <w:sz w:val="24"/>
          <w:szCs w:val="24"/>
          <w:rtl/>
        </w:rPr>
        <w:t xml:space="preserve">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بيّنت إحدى دراسات المسؤولية المدنية عن أضرار الذكاء الاصطناعي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D08FC0D"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بيّن بعض الباحثين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5CBA7D0D"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795C3F26"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62EF966E"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1C6ADD18"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AB0A11C" w14:textId="77777777" w:rsidR="00C00F5F" w:rsidRPr="00C00F5F" w:rsidRDefault="00C00F5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75217C45"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تناولت دراسة قاسم</w:t>
      </w:r>
      <w:r>
        <w:rPr>
          <w:rStyle w:val="af"/>
          <w:rFonts w:asciiTheme="majorBidi" w:hAnsiTheme="majorBidi" w:cstheme="majorBidi"/>
          <w:color w:val="000000" w:themeColor="text1"/>
          <w:sz w:val="24"/>
          <w:szCs w:val="24"/>
          <w:rtl/>
        </w:rPr>
        <w:footnoteReference w:id="37"/>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من زاوية أمنية مقارنة، مبيّنةً أن الجرائم الإلكترونية تتجاوز الحدود الجغرافية وتشمل اختراق البيانات وقرصنتها، وأن تقنيات الذكاء الاصطناعي أسهمت بشكل كبير في مكافحتها. ويرى الباحث أن الإخلال بأمن بيانات الموكلين في سياق العمل القانوني قد يستوجب المسؤولية الجزائية بموجب نظام مكافحة جرائم المعلوماتية، إلى جانب المساءلة التأديبية المقررة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20A95FC0"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ضوء ما تقدم، يرى الباحث ضرورة تشييد منظومة تشريعية متكاملة تجمع بين نظام المحاماة ونظام حماية البيانات الشخصية، ويقترح إنشاء لجنة مشتركة بين الهيئة السعودية للمحامين والهيئة السعودية للبيانات والذكاء الاصطناعي (سدايا) تتولى وضع ضوابط قانونية تفصيلية تحكم استخدام الأنظمة الذكية في تقديم الخدمات القانونية.</w:t>
      </w:r>
    </w:p>
    <w:p w14:paraId="1CCB05D2"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قاسم المعنونة "دور الذكاء الاصطناعي في مكافحة الجريمة الإلكترونية - دراسة مقارنة" في تأصيل العلاقة بين التقنيات الذكية ومنظومة مكافحة الجرائم الإلكترونية</w:t>
      </w:r>
      <w:r>
        <w:rPr>
          <w:rtl/>
        </w:rPr>
        <w:footnoteReference w:id="38"/>
      </w:r>
      <w:r>
        <w:rPr>
          <w:rFonts w:asciiTheme="majorBidi" w:hAnsiTheme="majorBidi" w:cstheme="majorBidi"/>
          <w:sz w:val="24"/>
          <w:szCs w:val="24"/>
          <w:rtl/>
        </w:rPr>
        <w:t>. وفي السياق المهني، تؤكد الممارسات المقارنة أن استخدام الذكاء الاصطناعي داخل المكاتب القانونية يفرض على المحامي التزامًا مزدوجًا: الالتزام بالسرية تجاه موكليه، والالتزام بالإفصاح عن استخدام أدوات الذكاء الاصطناعي في عمله.</w:t>
      </w:r>
      <w:r>
        <w:rPr>
          <w:rtl/>
        </w:rPr>
        <w:footnoteReference w:id="39"/>
      </w:r>
    </w:p>
    <w:p w14:paraId="33AAFE31"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إن إدماج الذكاء الاصطناعي في نطاق عمل المحامي لا يُعد مسألة اختيارية بقدر ما هو تطور حتمي تفرضه بيئة </w:t>
      </w:r>
      <w:r>
        <w:rPr>
          <w:rFonts w:asciiTheme="majorBidi" w:hAnsiTheme="majorBidi" w:cstheme="majorBidi"/>
          <w:color w:val="000000" w:themeColor="text1"/>
          <w:sz w:val="24"/>
          <w:szCs w:val="24"/>
          <w:rtl/>
        </w:rPr>
        <w:lastRenderedPageBreak/>
        <w:t>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1E65A6B"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تُستحضر تجربة منصات البحث القانوني الذكية في السوق الأمريكية وما أظهرته من أثر ملموس في تسريع البحث القانوني، وهو ما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40"/>
      </w:r>
    </w:p>
    <w:p w14:paraId="3D2792B0"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بعض الباحثين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p>
    <w:p w14:paraId="32333F4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يرى الباحث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والإبداعية والأخلاقية التي تستعصي على الخوارزمية، في حين تتولى الأخيرة المهام الروتينية كالبحث والتصنيف والمعالجة النصية، وهو ما يجد سنداً فيما اقترحه العرشاني من إنشاء منصات ذكية لمعالجة القضايا الروتينية في مرفق القضاء.</w:t>
      </w:r>
      <w:r>
        <w:rPr>
          <w:rtl/>
        </w:rPr>
        <w:footnoteReference w:id="41"/>
      </w:r>
    </w:p>
    <w:p w14:paraId="730F82B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تشترط للأخذ بأدلة الأنظمة الذكية أن تكون الأنظمة عالية الجودة بما يضمن عدم التحريف والتحيز، ومصرَّحاً بها من الجهات العليا، ومتصفةً بالشفافية والقابلية للشرح والتفسير؛ وتوثق في هذا السياق ما كشفته التجارب المقارنة من تحيز عنصري في أنظمة تقييم مخاطر معاودة الإجرام، إذ كان يجري تصنيف المدانين السود في درجة خطورة أعلى من غيرهم رغم تماثل الوقائع.</w:t>
      </w:r>
      <w:r>
        <w:rPr>
          <w:rtl/>
        </w:rPr>
        <w:footnoteReference w:id="42"/>
      </w:r>
    </w:p>
    <w:p w14:paraId="3516DDA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بعض الباحثين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43"/>
      </w:r>
    </w:p>
    <w:p w14:paraId="49433A65"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33241AE5"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ويُنبّه الباحث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44"/>
      </w:r>
    </w:p>
    <w:p w14:paraId="0B2893B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 xml:space="preserve">وفي السياق الجنائي لهذه المسألة، شدّد بعض الباحثين على أن بقاء العنصر الإنساني في مركز اتخاذ القرار القانوني ليس خياراً يُترك للممارسين، بل هو اشتراط نظامي يترتب على تجاهله قيام المسؤولية الجنائية في </w:t>
      </w:r>
      <w:r>
        <w:rPr>
          <w:rFonts w:asciiTheme="majorBidi" w:hAnsiTheme="majorBidi" w:cstheme="majorBidi"/>
          <w:sz w:val="24"/>
          <w:szCs w:val="24"/>
          <w:rtl/>
        </w:rPr>
        <w:lastRenderedPageBreak/>
        <w:t>حالات الإهمال الجسيم، مستدلَّين على ذلك بالمبدأ الجزائي العام القائل بأن المتسبب بالإهمال يتحمل من المسؤولية ما يتحمله المباشر في بعض الصور.</w:t>
      </w:r>
    </w:p>
    <w:p w14:paraId="2EB89D9E"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45"/>
      </w:r>
    </w:p>
    <w:p w14:paraId="7B8375B6"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وضوح حدود المسؤولية المهنية عن الأعمال الذكية</w:t>
      </w:r>
      <w:r>
        <w:rPr>
          <w:rFonts w:asciiTheme="majorBidi" w:hAnsiTheme="majorBidi" w:cstheme="majorBidi"/>
          <w:color w:val="000000" w:themeColor="text1"/>
          <w:sz w:val="24"/>
          <w:szCs w:val="24"/>
        </w:rPr>
        <w:t>.</w:t>
      </w:r>
    </w:p>
    <w:p w14:paraId="7D47B39C"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42C26879" w14:textId="77777777" w:rsidR="00C00F5F" w:rsidRPr="00C00F5F"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372ECD1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197EAABF" w14:textId="77777777" w:rsidR="00D41CB7" w:rsidRPr="00BC5F38" w:rsidRDefault="00D41CB7" w:rsidP="00D41CB7">
      <w:pPr>
        <w:jc w:val="right"/>
        <w:rPr>
          <w:rFonts w:asciiTheme="majorBidi" w:hAnsiTheme="majorBidi" w:cstheme="majorBidi"/>
          <w:color w:val="000000" w:themeColor="text1"/>
          <w:sz w:val="24"/>
          <w:szCs w:val="24"/>
        </w:rPr>
      </w:pPr>
    </w:p>
    <w:p w14:paraId="2B692E7D"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7D2947B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B18E00"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3DA17157"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7585DA30"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2B105D7F"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2DDFA6EE"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7813D179" w14:textId="77777777" w:rsidR="00085940" w:rsidRPr="00085940" w:rsidRDefault="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رابعاً: 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2B58071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6B13F79B"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بعض الباحثين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80EECB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6F9D238A"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بعض الباحثين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A696256"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37EE6B2A"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5091EFB7" w14:textId="77777777" w:rsidR="00974C84" w:rsidRPr="00BC5F38" w:rsidRDefault="00974C84" w:rsidP="00122234">
      <w:pPr>
        <w:jc w:val="right"/>
        <w:rPr>
          <w:rFonts w:asciiTheme="majorBidi" w:hAnsiTheme="majorBidi" w:cstheme="majorBidi"/>
          <w:b/>
          <w:bCs/>
          <w:color w:val="000000" w:themeColor="text1"/>
          <w:sz w:val="24"/>
          <w:szCs w:val="24"/>
        </w:rPr>
      </w:pPr>
    </w:p>
    <w:p w14:paraId="09A627EF"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4656B73E"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07C0A0F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الطبيعة المرنة للنظام ترتبط بفلسفته التشريعية القائمة على مبدأ الثقة في الاجتهاد المهني للمحامي ومسؤوليته الشخصية عن أعماله. فالمادة (الحادية والأربعون) التي تجعل عمل المنتسبين إلى مكتبه «تحت مسؤوليته وإشرافه» تُعدّ – مقروءةً مع قاعدة مسؤولية المتبوع في الفقرة (2) من المادة (129) من نظام المعاملات المدنية – قاعدة متينة يمكن البناء عليها لتوسيع نطاق المسؤولية ليشمل الأفعال الناتجة عن استخدام الأنظمة الذكية أو البرمجيات القانونية. وقد أوضح بعض الباحثين في دراساتهم حول المسؤولية المدنية عن فعل الذكاء الاصطناعي </w:t>
      </w:r>
      <w:r>
        <w:rPr>
          <w:rFonts w:asciiTheme="majorBidi" w:hAnsiTheme="majorBidi" w:cstheme="majorBidi"/>
          <w:color w:val="000000" w:themeColor="text1"/>
          <w:sz w:val="24"/>
          <w:szCs w:val="24"/>
          <w:rtl/>
        </w:rPr>
        <w:lastRenderedPageBreak/>
        <w:t>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r>
        <w:rPr>
          <w:rFonts w:asciiTheme="majorBidi" w:hAnsiTheme="majorBidi" w:cstheme="majorBidi"/>
          <w:color w:val="000000" w:themeColor="text1"/>
          <w:sz w:val="24"/>
          <w:szCs w:val="24"/>
        </w:rPr>
        <w:t>.</w:t>
      </w:r>
    </w:p>
    <w:p w14:paraId="03EAE1BF"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الرقمي من خلال شبكة متكاملة من الأنظمة. وقد أشار بعض الباحثين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46"/>
      </w:r>
    </w:p>
    <w:p w14:paraId="64E3059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كالهيئة السعودية للمحامين يمنح المشرّع أداة فعّالة لفرض المعايير الأخلاقية والتنظيمية في بيئة العمل الذكية. ويرى الباحث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p>
    <w:p w14:paraId="745A94AC"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بعض الباحثين</w:t>
      </w:r>
      <w:r>
        <w:rPr>
          <w:rStyle w:val="af"/>
          <w:rFonts w:asciiTheme="majorBidi" w:hAnsiTheme="majorBidi" w:cstheme="majorBidi"/>
          <w:sz w:val="24"/>
          <w:szCs w:val="24"/>
          <w:rtl/>
        </w:rPr>
        <w:footnoteReference w:id="47"/>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p>
    <w:p w14:paraId="52067F5F"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ويرى الباحث أن الدول التي تمتلك منظومات مهنية ناضجة – كما هو الحال في المملكة العربية السعودية في ظل رؤية 2030 – تملك قدرة تنظيمية أعلى على استيعاب أخلاقيات الذكاء الاصطناعي وتحويلها إلى قواعد سلوكية ملزمة داخل مكاتب المحاماة.</w:t>
      </w:r>
    </w:p>
    <w:p w14:paraId="5E514723"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ويرى الباحث أن مهنة المحاماة تمثل أحد الأعمدة التي يجب تحديثها مواكبة للتحول العدلي الرقمي، لأن المحامي هو الوسيط الأساسي بين المواطن والمنصات القضائية.</w:t>
      </w:r>
    </w:p>
    <w:p w14:paraId="6F22EB9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ويقابل ذلك ما أوضحه بعض الباحثين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48"/>
      </w:r>
    </w:p>
    <w:p w14:paraId="29B4226C"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7E994FBD" w14:textId="77777777" w:rsidR="00974C84" w:rsidRDefault="00974C84" w:rsidP="00122234">
      <w:pPr>
        <w:jc w:val="right"/>
        <w:rPr>
          <w:rFonts w:asciiTheme="majorBidi" w:hAnsiTheme="majorBidi" w:cstheme="majorBidi"/>
          <w:b/>
          <w:bCs/>
          <w:color w:val="000000" w:themeColor="text1"/>
          <w:sz w:val="24"/>
          <w:szCs w:val="24"/>
        </w:rPr>
      </w:pPr>
    </w:p>
    <w:p w14:paraId="5A9502F0" w14:textId="77777777" w:rsidR="007F1A18" w:rsidRPr="00BC5F38" w:rsidRDefault="007F1A18" w:rsidP="00122234">
      <w:pPr>
        <w:jc w:val="right"/>
        <w:rPr>
          <w:rFonts w:asciiTheme="majorBidi" w:hAnsiTheme="majorBidi" w:cstheme="majorBidi"/>
          <w:b/>
          <w:bCs/>
          <w:color w:val="000000" w:themeColor="text1"/>
          <w:sz w:val="24"/>
          <w:szCs w:val="24"/>
          <w:rtl/>
        </w:rPr>
      </w:pPr>
    </w:p>
    <w:p w14:paraId="219EA601"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5E532EA8"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يرصد الباحث عدداً من الثغرات التنظيمية الرئيسية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p>
    <w:p w14:paraId="3831C902"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بعض الباحثين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p>
    <w:p w14:paraId="68F933BB"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3B427D4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00CBE4CF"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جاء النموذج الأوروبي في تعريف الذكاء الاصطناعي المرتفع الخطورة في لائحة الاتحاد الأوروبي للذكاء الاصطناعي الصادرة عام 2024م؛ إذ تضع اللائحة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49"/>
      </w:r>
    </w:p>
    <w:p w14:paraId="29158389"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بعض الباحثين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p>
    <w:p w14:paraId="3963EA4D" w14:textId="77777777" w:rsidR="00D57654" w:rsidRDefault="00000000"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يخص غياب التعريفات التقنية في نصوص النظام، خلص بعض الباحثين إلى أن الأنظمة الجزائية السعودية لا تتضمن أي تعريف لنظام الذكاء الاصطناعي أو لمفهوم الخوارزمية أو التعلم الآلي، مما يُفضي إلى إشكاليات إثبات جوهرية حين يستدعي الفصل في النزاع تحديداً دقيقاً لما إذا كانت الأداة المستخدمة تندرج فعلاً ضمن تعريف الذكاء الاصطناعي أم لا.</w:t>
      </w:r>
      <w:r>
        <w:rPr>
          <w:rtl/>
        </w:rPr>
        <w:footnoteReference w:id="50"/>
      </w:r>
    </w:p>
    <w:p w14:paraId="49204E8C"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بعض الدراسات المتخصصة في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7772266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71390E11"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بعض الباحثين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p>
    <w:p w14:paraId="34DDA6BA"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يرى الباحث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p>
    <w:p w14:paraId="3651ED7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يُستفاد من النصوص النظامية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51"/>
      </w:r>
    </w:p>
    <w:p w14:paraId="0010859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بعض الباحثين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14E0C526"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0DF80280"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المادة الأولى من النظام لم توضّح حدود استخدام الأدوات الذكية في الأعمال الحساسة مثل الاستشارات وصياغة المذكرات. ويرى بعض الباحثين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7E849266"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3EF16004"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تجعل المادة (الحادية والأربعون) عمل المحامين المنتسبين إلى المكتب تحت مسؤولية صاحبه وإشرافه، كما تقرر الفقرة (2) من المادة (129) من نظام المعاملات المدنية مسؤولية المتبوع عن خطأ تابعه؛ غير أن هذه النصوص لم تُحدد المسؤولية عند وقوع خطأ تقني ناشئ عن نظام ذكي داخل المكتب القانوني. وقد أشار بعض الباحثين في دراساتهم للمسؤولية المدنية عن أضرار الذكاء الاصطناعي إلى أن القانون لم يحدد مركز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r>
        <w:rPr>
          <w:rFonts w:asciiTheme="majorBidi" w:hAnsiTheme="majorBidi" w:cstheme="majorBidi"/>
          <w:color w:val="000000" w:themeColor="text1"/>
          <w:sz w:val="24"/>
          <w:szCs w:val="24"/>
        </w:rPr>
        <w:t>.</w:t>
      </w:r>
    </w:p>
    <w:p w14:paraId="4CFD3EC3"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2A5D995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بعض الباحثين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63D0FBB8"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63559C8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بعض الباحثين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6661F8D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57938913"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بعض الباحثين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51FE703F"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292512A1"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بعض الباحثين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p>
    <w:p w14:paraId="0E4879FE"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0D7CAE0A" w14:textId="77777777" w:rsidR="001F1442" w:rsidRPr="001F1442" w:rsidRDefault="001F1442" w:rsidP="00D41CB7">
      <w:pPr>
        <w:jc w:val="right"/>
        <w:rPr>
          <w:rFonts w:asciiTheme="majorBidi" w:hAnsiTheme="majorBidi" w:cstheme="majorBidi"/>
          <w:color w:val="000000" w:themeColor="text1"/>
          <w:sz w:val="24"/>
          <w:szCs w:val="24"/>
          <w:rtl/>
        </w:rPr>
      </w:pPr>
    </w:p>
    <w:p w14:paraId="032D61EB"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7F123541"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w:t>
      </w:r>
      <w:r>
        <w:rPr>
          <w:rFonts w:asciiTheme="majorBidi" w:hAnsiTheme="majorBidi" w:cstheme="majorBidi"/>
          <w:sz w:val="24"/>
          <w:szCs w:val="24"/>
          <w:rtl/>
        </w:rPr>
        <w:lastRenderedPageBreak/>
        <w:t>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52"/>
      </w:r>
    </w:p>
    <w:p w14:paraId="78920A5B"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15A42CB0"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ويمكن القول في هذا الصدد إن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p>
    <w:p w14:paraId="56531781"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تظهر أولى بوادر هذا التأويل في المادة الأولى من النظام التي عرّفت المهنة بالترافع عن الغير أمام المحاكم وديوان المظالم واللجان ومزاولة الاستشارات الشرعية والنظامية؛ فالمحامي بهذا التعريف حلقةٌ في منظومة إقامة العدل. ورغم أن أداء هذه الوظيفة كان تقليديًا يرتبط بالمرافعة الورقية والحضور المادي، إلا أن منظومة العدالة اليوم تقوم على منصات رقمية وأنظمة ذكية. وبذلك يمكن — وفق التفسير القانوني الموسّع — قراءة وظيفة المحامي على أنها تشمل المشاركة في بناء البيئة الرقمية للعدالة، واستخدام أدوات الذكاء الاصطناعي لتحسين كفاءة الخدمات العدلية وتسريع الفصل في المنازعات. ويرى الباحث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4CB99936"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ويرى الباحث أن من أولى صور هذا التأويل الموسَّع في مجال الذكاء الاصطناعي القضائي قبولَ الاستشهاد بالتقارير الذكية بوصفها قرائن مدعِّمة للدليل، لا أدلة قاطعة، وهو ما يمكن تبنّيه في الاجتهاد القضائي السعودي.</w:t>
      </w:r>
    </w:p>
    <w:p w14:paraId="0737954C"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بعض الباحثين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53"/>
      </w:r>
    </w:p>
    <w:p w14:paraId="7A672E91"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ضوء الاجتهاد القضائي المقارن في المسائل التقنية، استعرض بعض الباحثين عدة قضايا أوروبية وأمريكية برزت فيها أنظمة الذكاء الاصطناعي طرفاً فاعلاً في النزاع، خالصاً إلى أن الاجتهاد القضائي في هذه الأنظمة يتسم بالحذر والتدرج، مع الميل إلى تطبيق المبادئ القانونية العامة بتكييفات مبتكرة بدلاً من انتظار التشريع الصريح.</w:t>
      </w:r>
      <w:r>
        <w:rPr>
          <w:rtl/>
        </w:rPr>
        <w:footnoteReference w:id="54"/>
      </w:r>
    </w:p>
    <w:p w14:paraId="63726616"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الاجتهاد القضائي، يرى الباحث أن غياب سوابق قضائية راسخة في مسائل الذكاء الاصطناعي يجعل كل قاضٍ يُعمل اجتهاده الخاص بتفاوتٍ محتمل في المعالجة؛ ويعضد هذا الاتجاهَ ما رجحته الجلعود من أن القول بتقنين الأحكام القضائية هو الأصلح في الأزمنة المتأخرة والموافق لمقاصد الشريعة الإسلامية.</w:t>
      </w:r>
      <w:r>
        <w:rPr>
          <w:rtl/>
        </w:rPr>
        <w:footnoteReference w:id="55"/>
      </w:r>
    </w:p>
    <w:p w14:paraId="36C34C1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المادة (الحادية والأربعين) — التي تجعل العمل في مكتب المحامي «تحت مسؤوليته وإشرافه»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w:t>
      </w:r>
      <w:r>
        <w:rPr>
          <w:rFonts w:asciiTheme="majorBidi" w:hAnsiTheme="majorBidi" w:cstheme="majorBidi"/>
          <w:color w:val="000000" w:themeColor="text1"/>
          <w:sz w:val="24"/>
          <w:szCs w:val="24"/>
          <w:rtl/>
        </w:rPr>
        <w:lastRenderedPageBreak/>
        <w:t>بعض الباحثين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D4B9A2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أيضًا إعادة تفسير النصوص المتعلقة بآداب المهنة وواجباتها، الواردة في المادة (الحادية عشرة) وما بعدها،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586584B0"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فقد انتقل الفقه القانوني المقارن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p>
    <w:p w14:paraId="49A02888"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بعض الباحثين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56"/>
      </w:r>
    </w:p>
    <w:p w14:paraId="203FC605" w14:textId="77777777" w:rsidR="00D57654" w:rsidRDefault="00000000"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بعض الباحثين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57"/>
      </w:r>
    </w:p>
    <w:p w14:paraId="499C74C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أخرى، يمكن الاستفادة من أحكام الدليل الرقمي في نظام الإثبات لعام 1443هـ (المواد الثالثة والخمسون إلى التاسعة والخمسون) التي أقرت حجية الأدلة الرقمية متى توافرت متطلبات الموثوقية والنسبة،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p>
    <w:p w14:paraId="1238AA4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وهيئة المحامين لتنظيم اعتماد التقنيات القانونية. وهذا الاتجاه يتوافق مع ما طرحه بعض الباحثين حول مفهوم “إدارة التقنية” كجزء من الدور التشريعي الحديث</w:t>
      </w:r>
      <w:r>
        <w:rPr>
          <w:rFonts w:asciiTheme="majorBidi" w:hAnsiTheme="majorBidi" w:cstheme="majorBidi"/>
          <w:color w:val="000000" w:themeColor="text1"/>
          <w:sz w:val="24"/>
          <w:szCs w:val="24"/>
        </w:rPr>
        <w:t>.</w:t>
      </w:r>
    </w:p>
    <w:p w14:paraId="22E9DB5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القضاء السعودي — الذي قرر في مادته الأولى استقلال القضاة وخضوعهم في قضائهم لأحكام الشريعة الإسلامية والأنظمة المرعية، وأسند إلى المجلس الأعلى للقضاء الإشراف على شؤون القضاة والمحاكم — فيرى الباحث أنه يمكن أن يُقرأ في ضوء البيئة الرقمية قراءةً غائية تستوعب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00902ECA"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w:t>
      </w:r>
      <w:r>
        <w:rPr>
          <w:rFonts w:asciiTheme="majorBidi" w:hAnsiTheme="majorBidi" w:cstheme="majorBidi"/>
          <w:color w:val="000000" w:themeColor="text1"/>
          <w:sz w:val="24"/>
          <w:szCs w:val="24"/>
          <w:rtl/>
        </w:rPr>
        <w:lastRenderedPageBreak/>
        <w:t>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365FA5DE" w14:textId="77777777" w:rsidR="00780164" w:rsidRDefault="00780164" w:rsidP="007F1A18">
      <w:pPr>
        <w:jc w:val="right"/>
        <w:rPr>
          <w:rFonts w:asciiTheme="majorBidi" w:hAnsiTheme="majorBidi" w:cstheme="majorBidi"/>
          <w:color w:val="000000" w:themeColor="text1"/>
          <w:sz w:val="24"/>
          <w:szCs w:val="24"/>
          <w:rtl/>
        </w:rPr>
      </w:pPr>
    </w:p>
    <w:p w14:paraId="0E6B0F1E"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3C2FAC31"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r>
        <w:rPr>
          <w:rStyle w:val="af"/>
          <w:rFonts w:asciiTheme="majorBidi" w:hAnsiTheme="majorBidi" w:cstheme="majorBidi"/>
          <w:sz w:val="24"/>
          <w:szCs w:val="24"/>
          <w:rtl/>
        </w:rPr>
        <w:footnoteReference w:id="58"/>
      </w:r>
    </w:p>
    <w:p w14:paraId="0BEDB9C8" w14:textId="77777777" w:rsidR="00ED0A7F" w:rsidRPr="00BC5F38" w:rsidRDefault="00ED0A7F" w:rsidP="00C94490">
      <w:pPr>
        <w:jc w:val="right"/>
        <w:rPr>
          <w:rFonts w:asciiTheme="majorBidi" w:hAnsiTheme="majorBidi" w:cstheme="majorBidi"/>
          <w:color w:val="000000" w:themeColor="text1"/>
          <w:sz w:val="24"/>
          <w:szCs w:val="24"/>
          <w:rtl/>
        </w:rPr>
      </w:pPr>
    </w:p>
    <w:p w14:paraId="39FCE94D" w14:textId="77777777" w:rsidR="00C94490" w:rsidRPr="00D41CB7" w:rsidRDefault="00C94490" w:rsidP="00C94490">
      <w:pPr>
        <w:pStyle w:val="3"/>
        <w:jc w:val="center"/>
        <w:rPr>
          <w:rFonts w:asciiTheme="majorBidi" w:hAnsiTheme="majorBidi"/>
          <w:b/>
          <w:bCs/>
          <w:color w:val="000000" w:themeColor="text1"/>
          <w:sz w:val="32"/>
          <w:szCs w:val="32"/>
        </w:rPr>
      </w:pPr>
      <w:bookmarkStart w:id="15" w:name="_Toc237071367"/>
      <w:r>
        <w:rPr>
          <w:rFonts w:asciiTheme="majorBidi" w:hAnsiTheme="majorBidi" w:hint="cs"/>
          <w:b/>
          <w:bCs/>
          <w:color w:val="000000" w:themeColor="text1"/>
          <w:sz w:val="32"/>
          <w:szCs w:val="32"/>
          <w:rtl/>
        </w:rPr>
        <w:t>المطلب الثاني</w:t>
      </w:r>
      <w:bookmarkEnd w:id="15"/>
    </w:p>
    <w:p w14:paraId="368EF8EE" w14:textId="77777777" w:rsidR="00C94490" w:rsidRDefault="00ED0A7F" w:rsidP="00ED0A7F">
      <w:pPr>
        <w:pStyle w:val="3"/>
        <w:jc w:val="center"/>
        <w:rPr>
          <w:rFonts w:asciiTheme="majorBidi" w:hAnsiTheme="majorBidi"/>
          <w:b/>
          <w:bCs/>
          <w:color w:val="000000" w:themeColor="text1"/>
          <w:rtl/>
        </w:rPr>
      </w:pPr>
      <w:bookmarkStart w:id="16" w:name="_Toc237071368"/>
      <w:r>
        <w:rPr>
          <w:rFonts w:asciiTheme="majorBidi" w:hAnsiTheme="majorBidi"/>
          <w:b/>
          <w:bCs/>
          <w:color w:val="000000" w:themeColor="text1"/>
          <w:rtl/>
        </w:rPr>
        <w:t>دور الأنظمة المكملة في تنظيم توظيف الذكاء الاصطناعي في مكاتب المحاماة</w:t>
      </w:r>
      <w:bookmarkEnd w:id="16"/>
    </w:p>
    <w:p w14:paraId="25F080A7" w14:textId="77777777" w:rsidR="005B3BD6" w:rsidRDefault="005B3BD6" w:rsidP="00ED0A7F">
      <w:pPr>
        <w:jc w:val="center"/>
        <w:rPr>
          <w:rFonts w:asciiTheme="majorBidi" w:hAnsiTheme="majorBidi" w:cstheme="majorBidi"/>
          <w:b/>
          <w:bCs/>
          <w:color w:val="000000" w:themeColor="text1"/>
          <w:sz w:val="28"/>
          <w:szCs w:val="28"/>
          <w:rtl/>
        </w:rPr>
      </w:pPr>
    </w:p>
    <w:p w14:paraId="1684575E"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6E187CAC"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3C73D64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w:t>
      </w:r>
      <w:r>
        <w:rPr>
          <w:rFonts w:asciiTheme="majorBidi" w:hAnsiTheme="majorBidi" w:cstheme="majorBidi"/>
          <w:color w:val="000000" w:themeColor="text1"/>
          <w:sz w:val="24"/>
          <w:szCs w:val="24"/>
          <w:rtl/>
        </w:rPr>
        <w:lastRenderedPageBreak/>
        <w:t>التزامات نظامية تفرضها عليه مواد النظام، خصوصًا المادة الخامسة التي تُلزم بعدم معالجة البيانات إلا بعد موافقة صريحة، والمادة التاسعة والعشرين التي تقيد نقل البيانات إلى خارج المملكة بشروط وضوابط محددة.</w:t>
      </w:r>
    </w:p>
    <w:p w14:paraId="42F0757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1DD7A3B0"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ويستفاد مما قرره المالكي في مسؤولية النائب الإنساني – ومن صوره مشغِّل النظام الذكي ومستخدمه، الذي يسأل إذا قصّر في تقليل مخاطر عمله أثناء استخدامه – أن مسؤولية المستخدم المهني لا تقتصر على عمله المباشر، بل تشمل إشرافه على الأدوات التقنية التي يستخدمها؛ وبإسقاط ذلك على المحامي يكون مسؤولاً عن الإخلال بنظام حماية البيانات الشخصية إذا نُفّذ بواسطة أداة ذكاء اصطناعي تابعة له.</w:t>
      </w:r>
      <w:r>
        <w:rPr>
          <w:rStyle w:val="af"/>
          <w:rFonts w:asciiTheme="majorBidi" w:hAnsiTheme="majorBidi" w:cstheme="majorBidi"/>
          <w:sz w:val="24"/>
          <w:szCs w:val="24"/>
          <w:rtl/>
        </w:rPr>
        <w:footnoteReference w:id="59"/>
      </w:r>
      <w:r>
        <w:rPr>
          <w:rFonts w:asciiTheme="majorBidi" w:hAnsiTheme="majorBidi" w:cstheme="majorBidi"/>
          <w:color w:val="000000" w:themeColor="text1"/>
          <w:sz w:val="24"/>
          <w:szCs w:val="24"/>
          <w:rtl/>
        </w:rPr>
        <w:t xml:space="preserve"> كما تشير الخميسي</w:t>
      </w:r>
      <w:r>
        <w:rPr>
          <w:rStyle w:val="af"/>
          <w:rFonts w:asciiTheme="majorBidi" w:hAnsiTheme="majorBidi" w:cstheme="majorBidi"/>
          <w:sz w:val="24"/>
          <w:szCs w:val="24"/>
          <w:rtl/>
        </w:rPr>
        <w:footnoteReference w:id="60"/>
      </w:r>
      <w:r>
        <w:rPr>
          <w:rFonts w:asciiTheme="majorBidi" w:hAnsiTheme="majorBidi" w:cstheme="majorBidi"/>
          <w:color w:val="000000" w:themeColor="text1"/>
          <w:sz w:val="24"/>
          <w:szCs w:val="24"/>
          <w:rtl/>
        </w:rPr>
        <w:t xml:space="preserve"> إلى أن الخطأ في معالجة البيانات داخل الأنظمة الذكية يدخل ضمن المسؤولية المدنية المهنية متى ثبت تقصير المحامي في التحقق من أمان النظام المستخدم.</w:t>
      </w:r>
    </w:p>
    <w:p w14:paraId="74AF4CA8"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61"/>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041CD24E"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60BCA4D2" w14:textId="77777777" w:rsidR="00D57654" w:rsidRDefault="00000000" w:rsidP="00DC1C5A">
      <w:pPr>
        <w:jc w:val="right"/>
        <w:rPr>
          <w:rFonts w:asciiTheme="majorBidi" w:hAnsiTheme="majorBidi" w:cstheme="majorBidi"/>
          <w:sz w:val="24"/>
          <w:szCs w:val="24"/>
          <w:rtl/>
        </w:rPr>
      </w:pPr>
      <w:r>
        <w:rPr>
          <w:rFonts w:asciiTheme="majorBidi" w:hAnsiTheme="majorBidi" w:cstheme="majorBidi"/>
          <w:sz w:val="24"/>
          <w:szCs w:val="24"/>
          <w:rtl/>
        </w:rPr>
        <w:t>ويُعدّ اشتراط الحصول على موافقة مسبقة لمعالجة بيانات الموكل بواسطة الأنظمة الذكية التزامًا نظاميًا صريحًا بمقتضى المادة (الخامسة) من نظام حماية البيانات الشخصية، لا مجرد توصية مهنية</w:t>
      </w:r>
      <w:r>
        <w:rPr>
          <w:rStyle w:val="af"/>
          <w:rFonts w:asciiTheme="majorBidi" w:hAnsiTheme="majorBidi" w:cstheme="majorBidi"/>
          <w:sz w:val="24"/>
          <w:szCs w:val="24"/>
          <w:rtl/>
        </w:rPr>
        <w:footnoteReference w:id="62"/>
      </w:r>
      <w:r>
        <w:rPr>
          <w:rFonts w:asciiTheme="majorBidi" w:hAnsiTheme="majorBidi" w:cstheme="majorBidi"/>
          <w:sz w:val="24"/>
          <w:szCs w:val="24"/>
          <w:rtl/>
        </w:rPr>
        <w:t>.</w:t>
      </w:r>
    </w:p>
    <w:p w14:paraId="400BE5C1" w14:textId="77777777" w:rsidR="00ED0A7F" w:rsidRDefault="00ED0A7F" w:rsidP="00DC1C5A">
      <w:pPr>
        <w:jc w:val="right"/>
        <w:rPr>
          <w:rFonts w:asciiTheme="majorBidi" w:hAnsiTheme="majorBidi" w:cstheme="majorBidi"/>
          <w:color w:val="000000" w:themeColor="text1"/>
          <w:sz w:val="24"/>
          <w:szCs w:val="24"/>
        </w:rPr>
      </w:pPr>
    </w:p>
    <w:p w14:paraId="2379F24F" w14:textId="77777777" w:rsidR="004855F3" w:rsidRDefault="004855F3" w:rsidP="00DC1C5A">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18518855" w14:textId="77777777" w:rsidR="00D57654" w:rsidRDefault="00000000" w:rsidP="00DC1C5A">
      <w:pPr>
        <w:jc w:val="right"/>
        <w:rPr>
          <w:rFonts w:asciiTheme="majorBidi" w:hAnsiTheme="majorBidi" w:cstheme="majorBidi"/>
          <w:sz w:val="24"/>
          <w:szCs w:val="24"/>
          <w:rtl/>
        </w:rPr>
      </w:pPr>
      <w:r>
        <w:rPr>
          <w:rFonts w:asciiTheme="majorBidi" w:hAnsiTheme="majorBidi" w:cstheme="majorBidi"/>
          <w:sz w:val="24"/>
          <w:szCs w:val="24"/>
          <w:rtl/>
        </w:rPr>
        <w:t>وفي إطار نظام الإثبات الصادر عام 1443هـ، يُستفاد من النصوص النظامية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63"/>
      </w:r>
    </w:p>
    <w:p w14:paraId="0AE7F13C"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7F1E41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قرر النظام في عدد من مواده، وبصفة خاصة مواد الدليل الرقمي (الثالثة والخمسين إلى التاسعة والخمسين)، أن الأدلة الإلكترونية والمحررات الرقمية تعد حجّة معتبرة متى توافرت لها شروط معينة، من أهمها: إمكان نسبة </w:t>
      </w:r>
      <w:r>
        <w:rPr>
          <w:rFonts w:asciiTheme="majorBidi" w:hAnsiTheme="majorBidi" w:cstheme="majorBidi"/>
          <w:color w:val="000000" w:themeColor="text1"/>
          <w:sz w:val="24"/>
          <w:szCs w:val="24"/>
          <w:rtl/>
        </w:rPr>
        <w:lastRenderedPageBreak/>
        <w:t>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p>
    <w:p w14:paraId="46CEEF06"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ذلك بشكل وثيق بآليات تحصيل الموافقة الصريحة في التعاملات الرقمية، وهي من المسائل المحورية في النظام. فوفقًا لحكم المادة (الخامسة) من نظام حماية البيانات الشخصية، لا تجوز معالجة البيانات الشخصية أو تغيير الغرض من معالجتها إلا بعد موافقة صاحبها، فيما عدا الأحوال المستثناة نظاماً. وتشمل هذه الموافقة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Style w:val="af"/>
          <w:rFonts w:asciiTheme="majorBidi" w:hAnsiTheme="majorBidi" w:cstheme="majorBidi"/>
          <w:sz w:val="24"/>
          <w:szCs w:val="24"/>
          <w:rtl/>
        </w:rPr>
        <w:footnoteReference w:id="64"/>
      </w:r>
    </w:p>
    <w:p w14:paraId="0BB490C6"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يُنبّه الباحث إلى خطورة النماذج الجاهزة المطوّلة التي يوقّع عليها الموكل دون قراءة، مُقترِحاً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65"/>
      </w:r>
    </w:p>
    <w:p w14:paraId="2922BC5F"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تحليل مدى إلزامية الموافقة الصريحة من المنظور الجزائي، يرى الباحث أن غياب الموافقة الصريحة في الحالات التي يستوجبها القانون قد يُكيَّف جزائياً باعتباره تجاوزاً لحدود الوكالة وصورة من صور 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p>
    <w:p w14:paraId="34A14415"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سياق تحصيل الموافقة الصريحة المستنيرة، استعرض بعض الباحثين نموذج الموافقة الطبقية المعتمد في بعض التشريعات الرائدة، والذي يُفرّق بين موافقة الموكل على استخدام الذكاء الاصطناعي في المهام الروتينية، وموافقة خاصة على استخدامه في الاطلاع على البيانات الحساسة، وموافقة مشددة على استخدامه في التوصيات التي تمس حقوق جوهرية للموكل.</w:t>
      </w:r>
    </w:p>
    <w:p w14:paraId="29BD9C9E"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بعض الدراسات إلى اعتماد نموذج إفصاح مهني موحّد تُصدره الهيئة السعودية للمحامين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p>
    <w:p w14:paraId="6A2E1BB5"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يرى الباحث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66"/>
      </w:r>
    </w:p>
    <w:p w14:paraId="05E9E572"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w:t>
      </w:r>
      <w:r>
        <w:rPr>
          <w:rFonts w:asciiTheme="majorBidi" w:hAnsiTheme="majorBidi" w:cstheme="majorBidi"/>
          <w:color w:val="000000" w:themeColor="text1"/>
          <w:sz w:val="24"/>
          <w:szCs w:val="24"/>
          <w:rtl/>
        </w:rPr>
        <w:lastRenderedPageBreak/>
        <w:t>مخرجات يمكن تقديمها أمام القضاء كمستندات أو تقارير رقمية. وهنا تبرز مسألة المسؤولية المهنية الرقمية للمحامي؛ إذ المقرر أن المهني لا يجوز له أن يتنصل من مسؤولية الدليل بحجة أن مصدره نظام ذكي، بل يظل ملزمًا بالتثبت من صحة الدليل ومنهج إنتاجه قبل تقديمه.</w:t>
      </w:r>
    </w:p>
    <w:p w14:paraId="7913EF19"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الواضح أن الأدلة الرقمية أصبحت تشمل سجلات إلكترونية وبيانات ميتاداتا وتقارير تحليلية تنتجها الأنظمة الذكية. وهذا يطرح سؤالًا جوهريًا: هل يُعدّ ما ينتجه الذكاء الاصطناعي دليلًا بذاته؟ أم مجرد أداة مساعدة لا تكتسب الحجية إلا بعد مراجعة المحامي واعتماده؟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p>
    <w:p w14:paraId="0CC8842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38184CA"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بلال في دراستها حول دور الذكاء الاصطناعي في تعزيز العدالة الناجزة إلى أن الاعتراف بالمستندات الإلكترونية والذكية يشكل خطوة جوهرية في بناء منظومة عدلية تعتمد على التقنية</w:t>
      </w:r>
      <w:r>
        <w:rPr>
          <w:rStyle w:val="af"/>
          <w:rFonts w:asciiTheme="majorBidi" w:hAnsiTheme="majorBidi" w:cstheme="majorBidi"/>
          <w:sz w:val="24"/>
          <w:szCs w:val="24"/>
          <w:rtl/>
        </w:rPr>
        <w:footnoteReference w:id="67"/>
      </w:r>
      <w:r>
        <w:rPr>
          <w:rFonts w:asciiTheme="majorBidi" w:hAnsiTheme="majorBidi" w:cstheme="majorBidi"/>
          <w:color w:val="000000" w:themeColor="text1"/>
          <w:sz w:val="24"/>
          <w:szCs w:val="24"/>
          <w:rtl/>
        </w:rPr>
        <w:t xml:space="preserve">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p>
    <w:p w14:paraId="1ACFDF99"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33C1BC7C" w14:textId="77777777" w:rsidR="00A742CD" w:rsidRDefault="00A742CD" w:rsidP="00A742CD">
      <w:pPr>
        <w:jc w:val="right"/>
        <w:rPr>
          <w:rFonts w:asciiTheme="majorBidi" w:hAnsiTheme="majorBidi" w:cstheme="majorBidi"/>
          <w:color w:val="000000" w:themeColor="text1"/>
          <w:sz w:val="24"/>
          <w:szCs w:val="24"/>
        </w:rPr>
      </w:pPr>
    </w:p>
    <w:p w14:paraId="2A68BAF6" w14:textId="77777777" w:rsidR="004855F3" w:rsidRPr="004855F3" w:rsidRDefault="004855F3" w:rsidP="004855F3">
      <w:pPr>
        <w:jc w:val="center"/>
        <w:rPr>
          <w:rFonts w:asciiTheme="majorBidi" w:hAnsiTheme="majorBidi" w:cstheme="majorBidi"/>
          <w:color w:val="000000" w:themeColor="text1"/>
          <w:sz w:val="24"/>
          <w:szCs w:val="24"/>
        </w:rPr>
      </w:pPr>
    </w:p>
    <w:p w14:paraId="0ED94803"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40AC49FF"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بعض الباحثين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p>
    <w:p w14:paraId="2C9F8A3D"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1444هـ، يتبيّن أن هذا النظام 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68"/>
      </w:r>
    </w:p>
    <w:p w14:paraId="7F870E63" w14:textId="77777777" w:rsidR="00D57654" w:rsidRDefault="00000000" w:rsidP="006C5012">
      <w:pPr>
        <w:jc w:val="right"/>
        <w:rPr>
          <w:rFonts w:asciiTheme="majorBidi" w:hAnsiTheme="majorBidi" w:cstheme="majorBidi"/>
          <w:sz w:val="24"/>
          <w:szCs w:val="24"/>
          <w:rtl/>
        </w:rPr>
      </w:pPr>
      <w:r>
        <w:rPr>
          <w:rFonts w:asciiTheme="majorBidi" w:hAnsiTheme="majorBidi" w:cstheme="majorBidi"/>
          <w:sz w:val="24"/>
          <w:szCs w:val="24"/>
          <w:rtl/>
        </w:rPr>
        <w:lastRenderedPageBreak/>
        <w:t>وفي ضوء نظام المعاملات المدنية الجديد الصادر عام 1445هـ، لاحظ بعض الباحثين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69"/>
      </w:r>
    </w:p>
    <w:p w14:paraId="7B3FF00F"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EE978A4"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والثلاثين) مبدأ الرضائية، ونصّ على أن الإيجاب والقبول يكونان بكل ما يدل على الإرادة،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3DC61BE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742904B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الباحث — في ضوء ما بيّنته الغامدي من طبيعة العقود الذكية وتحدياتها — أن العقود الذكية لا تُلغِي دور المحامي، بل تزيد</w:t>
      </w:r>
      <w:r>
        <w:rPr>
          <w:rStyle w:val="af"/>
          <w:rFonts w:asciiTheme="majorBidi" w:hAnsiTheme="majorBidi" w:cstheme="majorBidi"/>
          <w:sz w:val="24"/>
          <w:szCs w:val="24"/>
          <w:rtl/>
        </w:rPr>
        <w:footnoteReference w:id="70"/>
      </w:r>
      <w:r>
        <w:rPr>
          <w:rFonts w:asciiTheme="majorBidi" w:hAnsiTheme="majorBidi" w:cstheme="majorBidi"/>
          <w:color w:val="000000" w:themeColor="text1"/>
          <w:sz w:val="24"/>
          <w:szCs w:val="24"/>
          <w:rtl/>
        </w:rPr>
        <w:t xml:space="preserve">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p>
    <w:p w14:paraId="64A7E415"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ويرى الباحث أن هذه المنظومة المزدوجة تخلق</w:t>
      </w:r>
      <w:r>
        <w:rPr>
          <w:rStyle w:val="af"/>
          <w:rFonts w:asciiTheme="majorBidi" w:hAnsiTheme="majorBidi" w:cstheme="majorBidi"/>
          <w:sz w:val="24"/>
          <w:szCs w:val="24"/>
          <w:rtl/>
        </w:rPr>
        <w:footnoteReference w:id="71"/>
      </w:r>
      <w:r>
        <w:rPr>
          <w:rFonts w:asciiTheme="majorBidi" w:hAnsiTheme="majorBidi" w:cstheme="majorBidi"/>
          <w:color w:val="000000" w:themeColor="text1"/>
          <w:sz w:val="24"/>
          <w:szCs w:val="24"/>
          <w:rtl/>
        </w:rPr>
        <w:t xml:space="preserve">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p>
    <w:p w14:paraId="17E5EB99"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A8C0A9F"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w:t>
      </w:r>
      <w:r>
        <w:rPr>
          <w:rFonts w:asciiTheme="majorBidi" w:hAnsiTheme="majorBidi" w:cstheme="majorBidi"/>
          <w:color w:val="000000" w:themeColor="text1"/>
          <w:sz w:val="24"/>
          <w:szCs w:val="24"/>
          <w:rtl/>
        </w:rPr>
        <w:lastRenderedPageBreak/>
        <w:t>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19805EE4" w14:textId="77777777" w:rsidR="00925C7C" w:rsidRPr="00925C7C" w:rsidRDefault="00925C7C" w:rsidP="00925C7C">
      <w:pPr>
        <w:jc w:val="right"/>
        <w:rPr>
          <w:rFonts w:asciiTheme="majorBidi" w:hAnsiTheme="majorBidi" w:cstheme="majorBidi"/>
          <w:color w:val="000000" w:themeColor="text1"/>
          <w:sz w:val="24"/>
          <w:szCs w:val="24"/>
          <w:rtl/>
        </w:rPr>
      </w:pPr>
    </w:p>
    <w:p w14:paraId="6CC4FE3B"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C5A207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089D030D"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وينص نظام الإجراءات الجزائية في مادته الأولى على خضوع المحاكم في القضايا المعروضة عليها لأحكام الشريعة الإسلامية وما لا يتعارض معها من أنظمة، وتقرر مادته الثانية ضمانات أساسية لصيانة حقوق الأفراد في إجراءات القبض والتفتيش والتوقيف. وهذا الإطار يُلزم المحامي الذي يستخدم أدوات الذكاء الاصطناعي في تحليل القضايا أو التواصل مع الجهات العدلية بالتقيد بضمانات السرية وعدم انتهاك حرمة البيانات؛ إذ إن أي خرق لهذه الضمانات قد يؤدي إلى بطلان الدليل أو المساءلة. كما تعد المادة (الثامنة والستون) من النظام إجراءاتِ التحقيق ذاتها والنتائجَ المترتبة عليها من الأسرار التي يجب على من اتصل بها علمُه عدم إفشائها، وهو التزام يمتد ليشمل المعلومات التي تُعالَج عبر الأنظمة الذكية داخل مكاتب المحاماة.</w:t>
      </w:r>
    </w:p>
    <w:p w14:paraId="0A8AC093"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بعض الباحثين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بعض الباحثين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080A7962"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14DF5E00"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72"/>
      </w:r>
    </w:p>
    <w:p w14:paraId="5825DE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3FDE25F1"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ومن الأمثلة التطبيقية في نطاق واجب السرية المهنية: إذا أدى هذا الإهمال إلى تسريب بيانات، فقد يعد ذلك إخلالاً بواجب السرية المقرر في المادة (الثالثة والعشرين) من نظام المحاماة، فضلاً عن مخالفة أحكام سرية التحقيق المقررة في المادة (الثامنة والستين) من نظام الإجراءات الجزائية متى تعلق الأمر بإجراءات تحقيق جزائي، وقد يشكل خطأً مهنياً جسيماً يستوجب المساءلة التأديبية أمام لجنة التأديب.</w:t>
      </w:r>
    </w:p>
    <w:p w14:paraId="48625402"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7F3DB92C"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7DF5D520"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5AFE2E7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6449CFEA"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7EBA3CCA" w14:textId="77777777" w:rsidR="004855F3" w:rsidRDefault="004855F3" w:rsidP="005B3BD6">
      <w:pPr>
        <w:jc w:val="right"/>
        <w:rPr>
          <w:rFonts w:asciiTheme="majorBidi" w:hAnsiTheme="majorBidi" w:cstheme="majorBidi"/>
          <w:color w:val="000000" w:themeColor="text1"/>
          <w:sz w:val="24"/>
          <w:szCs w:val="24"/>
        </w:rPr>
      </w:pPr>
    </w:p>
    <w:p w14:paraId="49BB0A18"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277F062C"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4F1C9C7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للتعاملات والسجلات والتوقيعات الإلكترونية "حجيتها الملزمة"، وأنه "لا يجوز نفي صحتها أو قابليتها للتنفيذ، ولا منع تنفيذها بسبب أنها تمت – كلياً أو جزئياً – بشكل إلكتروني"، بشرط أن تتم بحسب الشروط المنصوص عليها في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تقضي المادة السابعة بأنه إذا اشترط أي نظام في المملكة أن تكون الوثيقة أو المعلومة مكتوبة، فإن تقديمها في شكل إلكتروني يفي بهذا الغرض متى تحققت الأحكام المقررة نظاماً؛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17AAD92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ويرى الباحث أن الأنظمة السعودية الحديثة نجحت في</w:t>
      </w:r>
      <w:r>
        <w:rPr>
          <w:rStyle w:val="af"/>
          <w:rFonts w:asciiTheme="majorBidi" w:hAnsiTheme="majorBidi" w:cstheme="majorBidi"/>
          <w:sz w:val="24"/>
          <w:szCs w:val="24"/>
          <w:rtl/>
        </w:rPr>
        <w:footnoteReference w:id="73"/>
      </w:r>
      <w:r>
        <w:rPr>
          <w:rFonts w:asciiTheme="majorBidi" w:hAnsiTheme="majorBidi" w:cstheme="majorBidi"/>
          <w:color w:val="000000" w:themeColor="text1"/>
          <w:sz w:val="24"/>
          <w:szCs w:val="24"/>
          <w:rtl/>
        </w:rPr>
        <w:t xml:space="preserve"> تقنين الأدلة التقنية ضمن منظومة العدالة دون الإخلال بمبدأ اليقين القانوني.</w:t>
      </w:r>
    </w:p>
    <w:p w14:paraId="10593377"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الباحثين أن قوانين المعاملات الإلكترونية — ومنها نظام التعاملات الإلكترونية السعودي — أسست لمبدأ قابلية الأتمتة القانونية، لأن اعترافها بالتوقيعات الرقمية والوثائق الإلكترونية سمح</w:t>
      </w:r>
      <w:r>
        <w:rPr>
          <w:rStyle w:val="af"/>
          <w:rFonts w:asciiTheme="majorBidi" w:hAnsiTheme="majorBidi" w:cstheme="majorBidi"/>
          <w:sz w:val="24"/>
          <w:szCs w:val="24"/>
          <w:rtl/>
        </w:rPr>
        <w:footnoteReference w:id="74"/>
      </w:r>
      <w:r>
        <w:rPr>
          <w:rFonts w:asciiTheme="majorBidi" w:hAnsiTheme="majorBidi" w:cstheme="majorBidi"/>
          <w:color w:val="000000" w:themeColor="text1"/>
          <w:sz w:val="24"/>
          <w:szCs w:val="24"/>
          <w:rtl/>
        </w:rPr>
        <w:t xml:space="preserve"> بتطبيق الخوارزميات الذكية في تنفيذ 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p>
    <w:p w14:paraId="49181999"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اشترط في مادته الثامنة – لاعتبار السجل الإلكتروني أصلاً بذاته – استخدام وسائل وشروط فنية تؤكد سلامة المعلومات الواردة فيه منذ إنشائه، وهو ما يتلاقى مع التزامات مكاتب المحاماة في الحفاظ على سرية بيانات عملائها. ويعزز هذا التكامل ما ورد في وثيقة مبادئ أخلاقيات الذكاء الاصطناعي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3C9AD35B"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1AAB1C8F"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1734CE7" w14:textId="77777777" w:rsidR="00A918AE" w:rsidRDefault="00A918AE" w:rsidP="005B3BD6">
      <w:pPr>
        <w:jc w:val="right"/>
        <w:rPr>
          <w:rFonts w:asciiTheme="majorBidi" w:hAnsiTheme="majorBidi" w:cstheme="majorBidi"/>
          <w:color w:val="000000" w:themeColor="text1"/>
          <w:sz w:val="24"/>
          <w:szCs w:val="24"/>
        </w:rPr>
      </w:pPr>
    </w:p>
    <w:p w14:paraId="2F5A012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سادساً : نظام الشركات (1443هـ) وأحكام الشركة المهنية :</w:t>
      </w:r>
    </w:p>
    <w:p w14:paraId="2AEBEB3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الصادر بالمرسوم الملكي رقم (م/132) وتاريخ 1/12/1443هـ – الذي حل محل نظام الشركات المهنية الصادر بالمرسوم الملكي رقم (م/17) لعام 1441هـ –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أحكام الشركة المهنية في نظام الشركات تنقل الممارسة إلى نطاق مؤسسي أوسع، يجعل تبني التقنية جزءًا من البنية التشغيلية للشركة لا مجرد خيار مهني فردي</w:t>
      </w:r>
      <w:r>
        <w:rPr>
          <w:rStyle w:val="af"/>
          <w:rFonts w:asciiTheme="majorBidi" w:hAnsiTheme="majorBidi" w:cstheme="majorBidi"/>
          <w:sz w:val="24"/>
          <w:szCs w:val="24"/>
          <w:rtl/>
        </w:rPr>
        <w:footnoteReference w:id="75"/>
      </w:r>
      <w:r>
        <w:rPr>
          <w:rFonts w:asciiTheme="majorBidi" w:hAnsiTheme="majorBidi" w:cstheme="majorBidi"/>
          <w:color w:val="000000" w:themeColor="text1"/>
          <w:sz w:val="24"/>
          <w:szCs w:val="24"/>
          <w:rtl/>
        </w:rPr>
        <w:t>.</w:t>
      </w:r>
    </w:p>
    <w:p w14:paraId="37ABB54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أجاز النظام تأسيس الشركة المهنية لممارسة مهنة حرة واحدة أو أكثر وفقاً لأحكامه والأنظمة المنظمة لتلك المهن، ومنها المحاماة.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الشريك المهني من مسؤوليته عن أخطائه المهنية؛ فالمقرر في أحكام الشركة المهنية أن اكتساب الشركة الشخصية الاعتبارية لا يرفع المسؤولية المهنية عمن ارتكب الخطأ من الشركاء، وهو ما يعني أن أي خطأ أو إخلال ينتج عن الاستخدام غير المنضبط للنظام التقني داخل الشركة يظل محلاً للمساءلة المهنية والمدنية وفقاً للقواعد العامة.</w:t>
      </w:r>
    </w:p>
    <w:p w14:paraId="51577C1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ويرى الباحث أن الإطار التنظيمي للشركات المهنية في السعودية يمثل بيئة مواتية لتطبيق الذكاء الاصطناعي المؤسسي، لأنه يجمع بين الكفاءة التكنولوجية والمسؤولية القانونية الواضحة. كما أن هذا النظام يمنح للمكتب القانوني القدرة على تطوير خدماته وتحسين الأداء باستخدام التقنية، دون المساس بمبدأ المسؤولية الفردية للمحامي عن مخرجات عمله.</w:t>
      </w:r>
    </w:p>
    <w:p w14:paraId="2440DA9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w:t>
      </w:r>
      <w:r>
        <w:rPr>
          <w:rStyle w:val="af"/>
          <w:rFonts w:asciiTheme="majorBidi" w:hAnsiTheme="majorBidi" w:cstheme="majorBidi"/>
          <w:sz w:val="24"/>
          <w:szCs w:val="24"/>
          <w:rtl/>
        </w:rPr>
        <w:footnoteReference w:id="76"/>
      </w:r>
      <w:r>
        <w:rPr>
          <w:rFonts w:asciiTheme="majorBidi" w:hAnsiTheme="majorBidi" w:cstheme="majorBidi"/>
          <w:color w:val="000000" w:themeColor="text1"/>
          <w:sz w:val="24"/>
          <w:szCs w:val="24"/>
          <w:rtl/>
        </w:rPr>
        <w:t>. وهذا الالتزام يشمل الأنظمة التقنية التي تديرها الشركة، بما فيها أنظمة الذكاء الاصطناعي. ويرى الباحث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p>
    <w:p w14:paraId="670DE6C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77"/>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1B5C6FE3"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443D2564" w14:textId="77777777" w:rsidR="003A40AC" w:rsidRDefault="003A40AC" w:rsidP="005B3BD6">
      <w:pPr>
        <w:jc w:val="right"/>
        <w:rPr>
          <w:rFonts w:asciiTheme="majorBidi" w:hAnsiTheme="majorBidi" w:cstheme="majorBidi"/>
          <w:color w:val="000000" w:themeColor="text1"/>
          <w:sz w:val="24"/>
          <w:szCs w:val="24"/>
        </w:rPr>
      </w:pPr>
    </w:p>
    <w:p w14:paraId="78D04391"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68BD148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38C852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w:t>
      </w:r>
      <w:r>
        <w:rPr>
          <w:rFonts w:asciiTheme="majorBidi" w:hAnsiTheme="majorBidi" w:cstheme="majorBidi"/>
          <w:color w:val="000000" w:themeColor="text1"/>
          <w:sz w:val="24"/>
          <w:szCs w:val="24"/>
          <w:rtl/>
        </w:rPr>
        <w:lastRenderedPageBreak/>
        <w:t xml:space="preserve">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77FFED7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أشارت بلال في رسالتها حول دور الذكاء الاصطناعي في تعزيز العدالة الناجزة إلى أن وزارة العدل السعودية أنجزت نقلة نوعية في أتمتة الإجراءات القضائية، حتى غدت الخدمات العدلية تُقدَّم إلكترونياً في معظمها عبر منصاتها الرقمية.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Style w:val="af"/>
          <w:rFonts w:asciiTheme="majorBidi" w:hAnsiTheme="majorBidi" w:cstheme="majorBidi"/>
          <w:sz w:val="24"/>
          <w:szCs w:val="24"/>
          <w:rtl/>
        </w:rPr>
        <w:footnoteReference w:id="78"/>
      </w:r>
    </w:p>
    <w:p w14:paraId="304527E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81780C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ويرى الباحث – اتساقاً مع ما دعا إليه المالكي من إيجاد قواعد قانونية صادرة عن سلطة تشريعية تعالج أحكام الذكاء الاصطناعي – أن دمج الذكاء الاصطناعي في القضاء والمحاماة معاً يستوجب</w:t>
      </w:r>
      <w:r>
        <w:rPr>
          <w:rStyle w:val="af"/>
          <w:rFonts w:asciiTheme="majorBidi" w:hAnsiTheme="majorBidi" w:cstheme="majorBidi"/>
          <w:sz w:val="24"/>
          <w:szCs w:val="24"/>
          <w:rtl/>
        </w:rPr>
        <w:footnoteReference w:id="79"/>
      </w:r>
      <w:r>
        <w:rPr>
          <w:rFonts w:asciiTheme="majorBidi" w:hAnsiTheme="majorBidi" w:cstheme="majorBidi"/>
          <w:color w:val="000000" w:themeColor="text1"/>
          <w:sz w:val="24"/>
          <w:szCs w:val="24"/>
          <w:rtl/>
        </w:rPr>
        <w:t xml:space="preserve"> بناء إطار تشريعي موحّد يوازن بين الاستقلال القضائي والرقابة التقنية، وهو ما تسعى هذه الدراسة إلى بلورته تنظيميًا.</w:t>
      </w:r>
    </w:p>
    <w:p w14:paraId="68B472A3"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نظام القضاء نصّ في مادته (الخامسة) على تكوين المجلس الأعلى للقضاء، وأسند إليه الإشراف على شؤون المحاكم والقضاة،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p>
    <w:p w14:paraId="6D9ECC53" w14:textId="77777777" w:rsidR="00D57654" w:rsidRDefault="00000000" w:rsidP="005F09B0">
      <w:pPr>
        <w:jc w:val="right"/>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في دراستهما المقارنة، فإن صحة البيانات وقابليتها للمعالجة شرطٌ لازم لسلامة توظيف الذكاء الاصطناعي في العمل القضائي، وأن تدخل العنصر البشري يبقى أمرًا مؤكدًا لا غنى عنه؛ ويرى الباحث أن مؤدى ذلك أنه لا يُقبل اعتماد أداة ذكية تصدر توصيات قضائية دون أن تكون نتائجها قابلة للتفسير والمراجعة من قِبَل الجهة القضائية المختصة.</w:t>
      </w:r>
      <w:r>
        <w:rPr>
          <w:rtl/>
        </w:rPr>
        <w:footnoteReference w:id="80"/>
      </w:r>
    </w:p>
    <w:p w14:paraId="001188B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xml:space="preserve">، رقمية، </w:t>
      </w:r>
      <w:r>
        <w:rPr>
          <w:rFonts w:asciiTheme="majorBidi" w:hAnsiTheme="majorBidi" w:cstheme="majorBidi"/>
          <w:color w:val="000000" w:themeColor="text1"/>
          <w:sz w:val="24"/>
          <w:szCs w:val="24"/>
          <w:rtl/>
        </w:rPr>
        <w:lastRenderedPageBreak/>
        <w:t>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3BB57738" w14:textId="77777777" w:rsidR="003A40AC" w:rsidRDefault="003A40AC" w:rsidP="005B3BD6">
      <w:pPr>
        <w:jc w:val="right"/>
        <w:rPr>
          <w:rFonts w:asciiTheme="majorBidi" w:hAnsiTheme="majorBidi" w:cstheme="majorBidi"/>
          <w:color w:val="000000" w:themeColor="text1"/>
          <w:sz w:val="24"/>
          <w:szCs w:val="24"/>
        </w:rPr>
      </w:pPr>
    </w:p>
    <w:p w14:paraId="3BAB6A6D"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3A1E98D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تُمثّل الوثائق الصادرة عن الهيئة السعودية للبيانات والذكاء الاصطناعي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لا يكون الذكاء الاصطناعي مجرد أداة تقنية، بل جزءًا من منظومة العدالة القائمة على حماية الحقوق وصون البيانات.</w:t>
      </w:r>
    </w:p>
    <w:p w14:paraId="42DB11C7"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الهيئة السعودية للمحامين.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6945E1A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بعض الباحثين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هيئة المحامين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38EF704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54B34A1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هيئة المحامين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7D2EC06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05972986"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w:t>
      </w:r>
      <w:r>
        <w:rPr>
          <w:rFonts w:asciiTheme="majorBidi" w:hAnsiTheme="majorBidi" w:cstheme="majorBidi"/>
          <w:color w:val="000000" w:themeColor="text1"/>
          <w:sz w:val="24"/>
          <w:szCs w:val="24"/>
          <w:rtl/>
        </w:rPr>
        <w:lastRenderedPageBreak/>
        <w:t>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1320BCE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69FB4E0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81"/>
      </w:r>
    </w:p>
    <w:p w14:paraId="68EDE651" w14:textId="77777777" w:rsidR="00061491" w:rsidRDefault="00061491" w:rsidP="00061491">
      <w:pPr>
        <w:jc w:val="right"/>
        <w:rPr>
          <w:rFonts w:asciiTheme="majorBidi" w:hAnsiTheme="majorBidi" w:cstheme="majorBidi"/>
          <w:color w:val="000000" w:themeColor="text1"/>
          <w:sz w:val="24"/>
          <w:szCs w:val="24"/>
        </w:rPr>
      </w:pPr>
    </w:p>
    <w:p w14:paraId="09A9A7F7"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4C9D6FD8"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ويتبيّن للباحث من تتبُّع تسلسل هذه الوثائق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82"/>
      </w:r>
    </w:p>
    <w:p w14:paraId="4ED88563" w14:textId="77777777" w:rsidR="00E82B9E" w:rsidRPr="00E82B9E" w:rsidRDefault="00E82B9E" w:rsidP="00191993">
      <w:pPr>
        <w:jc w:val="right"/>
        <w:rPr>
          <w:rFonts w:asciiTheme="majorBidi" w:hAnsiTheme="majorBidi" w:cstheme="majorBidi"/>
          <w:color w:val="000000" w:themeColor="text1"/>
          <w:sz w:val="24"/>
          <w:szCs w:val="24"/>
        </w:rPr>
      </w:pPr>
      <w:r w:rsidRPr="00AF1E9F">
        <w:rPr>
          <w:rFonts w:asciiTheme="majorBidi" w:hAnsiTheme="majorBidi" w:cstheme="majorBidi"/>
          <w:color w:val="000000" w:themeColor="text1"/>
          <w:sz w:val="24"/>
          <w:szCs w:val="24"/>
          <w:rtl/>
        </w:rPr>
        <w:t xml:space="preserve">ومن جانب آخر،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على البعد الأخلاقي </w:t>
      </w:r>
      <w:r w:rsidRPr="00AF1E9F">
        <w:rPr>
          <w:rFonts w:asciiTheme="majorBidi" w:hAnsiTheme="majorBidi" w:cstheme="majorBidi"/>
          <w:color w:val="000000" w:themeColor="text1"/>
          <w:sz w:val="24"/>
          <w:szCs w:val="24"/>
          <w:rtl/>
        </w:rPr>
        <w:lastRenderedPageBreak/>
        <w:t>والمؤسسي للعدالة الذكية، بما يضمن بقاء الإنسان، قاضيًا كان أو محاميًا، محور العملية العدلية رغم تصاعد الاعتماد على الأدوات التقنية.</w:t>
      </w:r>
      <w:r>
        <w:rPr>
          <w:rStyle w:val="af"/>
          <w:rFonts w:asciiTheme="majorBidi" w:hAnsiTheme="majorBidi" w:cstheme="majorBidi"/>
          <w:sz w:val="24"/>
          <w:szCs w:val="24"/>
          <w:rtl/>
        </w:rPr>
        <w:footnoteReference w:id="83"/>
      </w:r>
    </w:p>
    <w:p w14:paraId="63821196"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بعض الدراسات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p>
    <w:p w14:paraId="0FE9938B"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استلزم ذلك في القضايا التقنية الاستعانة بخبراء متخصصين قادرين على تحديد درجة إسهام كل طرف في إنتاج الضرر الناجم عن النظام الذكي.</w:t>
      </w:r>
      <w:r>
        <w:rPr>
          <w:rtl/>
        </w:rPr>
        <w:footnoteReference w:id="84"/>
      </w:r>
    </w:p>
    <w:p w14:paraId="0ECDEC21"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بعض الباحثين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p>
    <w:p w14:paraId="0CE85D0C" w14:textId="77777777" w:rsidR="00D57654" w:rsidRDefault="00000000"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(2024م) في دراستها عن الذكاء الاصطناعي ودوره في إبرام العقود التجارية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85"/>
      </w:r>
    </w:p>
    <w:p w14:paraId="49464B88"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156E9AC2" w14:textId="77777777" w:rsidR="00AF1E9F" w:rsidRDefault="00AF1E9F" w:rsidP="0089710C">
      <w:pPr>
        <w:jc w:val="right"/>
        <w:rPr>
          <w:rFonts w:asciiTheme="majorBidi" w:hAnsiTheme="majorBidi" w:cstheme="majorBidi"/>
          <w:color w:val="000000" w:themeColor="text1"/>
          <w:sz w:val="24"/>
          <w:szCs w:val="24"/>
        </w:rPr>
      </w:pPr>
    </w:p>
    <w:p w14:paraId="495A9EF6" w14:textId="77777777" w:rsidR="00DC0BE2" w:rsidRDefault="00DC0BE2" w:rsidP="00191993">
      <w:pPr>
        <w:rPr>
          <w:rFonts w:asciiTheme="majorBidi" w:hAnsiTheme="majorBidi" w:cstheme="majorBidi"/>
          <w:color w:val="000000" w:themeColor="text1"/>
          <w:sz w:val="24"/>
          <w:szCs w:val="24"/>
        </w:rPr>
      </w:pPr>
    </w:p>
    <w:p w14:paraId="1115FB6F" w14:textId="77777777" w:rsidR="00AF1E9F" w:rsidRDefault="00AF1E9F" w:rsidP="00191993">
      <w:pPr>
        <w:rPr>
          <w:rFonts w:asciiTheme="majorBidi" w:hAnsiTheme="majorBidi" w:cstheme="majorBidi"/>
          <w:color w:val="000000" w:themeColor="text1"/>
          <w:sz w:val="24"/>
          <w:szCs w:val="24"/>
        </w:rPr>
      </w:pPr>
    </w:p>
    <w:p w14:paraId="34911F15" w14:textId="77777777" w:rsidR="00DC0BE2" w:rsidRPr="00BC5F38" w:rsidRDefault="00DC0BE2" w:rsidP="00807AA1">
      <w:pPr>
        <w:rPr>
          <w:rFonts w:asciiTheme="majorBidi" w:hAnsiTheme="majorBidi" w:cstheme="majorBidi"/>
          <w:color w:val="000000" w:themeColor="text1"/>
          <w:sz w:val="24"/>
          <w:szCs w:val="24"/>
          <w:rtl/>
        </w:rPr>
      </w:pPr>
    </w:p>
    <w:p w14:paraId="3E6228B1" w14:textId="77777777" w:rsidR="00DC0BE2" w:rsidRPr="00D41CB7" w:rsidRDefault="00DC0BE2" w:rsidP="00DC0BE2">
      <w:pPr>
        <w:pStyle w:val="2"/>
        <w:jc w:val="center"/>
        <w:rPr>
          <w:rFonts w:asciiTheme="majorBidi" w:hAnsiTheme="majorBidi"/>
          <w:b/>
          <w:bCs/>
          <w:color w:val="000000" w:themeColor="text1"/>
          <w:rtl/>
        </w:rPr>
      </w:pPr>
      <w:bookmarkStart w:id="17" w:name="_Toc237071369"/>
      <w:r>
        <w:rPr>
          <w:rFonts w:asciiTheme="majorBidi" w:hAnsiTheme="majorBidi" w:hint="cs"/>
          <w:b/>
          <w:bCs/>
          <w:color w:val="000000" w:themeColor="text1"/>
          <w:rtl/>
        </w:rPr>
        <w:lastRenderedPageBreak/>
        <w:t>المبحث الثاني</w:t>
      </w:r>
      <w:bookmarkEnd w:id="17"/>
    </w:p>
    <w:p w14:paraId="56BFF3C1" w14:textId="77777777" w:rsidR="00DC0BE2" w:rsidRDefault="00DC0BE2" w:rsidP="00DC0BE2">
      <w:pPr>
        <w:pStyle w:val="2"/>
        <w:jc w:val="center"/>
        <w:rPr>
          <w:rFonts w:asciiTheme="majorBidi" w:hAnsiTheme="majorBidi"/>
          <w:b/>
          <w:bCs/>
          <w:color w:val="000000" w:themeColor="text1"/>
          <w:rtl/>
        </w:rPr>
      </w:pPr>
      <w:bookmarkStart w:id="18" w:name="_Toc237071370"/>
      <w:r>
        <w:rPr>
          <w:rFonts w:asciiTheme="majorBidi" w:hAnsiTheme="majorBidi" w:hint="cs"/>
          <w:b/>
          <w:bCs/>
          <w:color w:val="000000" w:themeColor="text1"/>
          <w:rtl/>
        </w:rPr>
        <w:t>تحليل الفجوات في التنظيم الحالي</w:t>
      </w:r>
      <w:bookmarkEnd w:id="18"/>
    </w:p>
    <w:p w14:paraId="1CF70AB5"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4C628231" w14:textId="77777777" w:rsidR="00D57654" w:rsidRDefault="00000000" w:rsidP="0010656B">
      <w:pPr>
        <w:jc w:val="right"/>
        <w:rPr>
          <w:rFonts w:asciiTheme="majorBidi" w:hAnsiTheme="majorBidi" w:cstheme="majorBidi"/>
          <w:sz w:val="24"/>
          <w:szCs w:val="24"/>
          <w:rtl/>
        </w:rPr>
      </w:pPr>
      <w:r>
        <w:rPr>
          <w:rFonts w:asciiTheme="majorBidi" w:hAnsiTheme="majorBidi" w:cstheme="majorBidi"/>
          <w:sz w:val="24"/>
          <w:szCs w:val="24"/>
          <w:rtl/>
        </w:rPr>
        <w:t>وفيما يتعلق بالفجوة المؤسسية في منظومة الرقابة على الذكاء الاصطناعي القانوني، خلص بعض الباحثين إلى أن الغياب الأبرز ليس في النصوص التشريعية وحدها، بل في غياب جهة رقابية متخصصة تضم خبراء قانونيين وتقنيين على حد سواء، وتضطلع بتقييم الأنظمة الذكية المستخدمة في القطاع القانوني وإصدار شهادات الجدارة والاعتماد.</w:t>
      </w:r>
      <w:r>
        <w:rPr>
          <w:rtl/>
        </w:rPr>
        <w:footnoteReference w:id="86"/>
      </w:r>
    </w:p>
    <w:p w14:paraId="7A2973BB"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يرى الباحث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87"/>
      </w:r>
    </w:p>
    <w:p w14:paraId="2349B649"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بعض الباحثين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p>
    <w:p w14:paraId="5DE2D0FB"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61780B71"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55BDB3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بعض الباحثين من أن أي قراءة تحليلية في هذا الموضوع ينبغي أن تجمع بين المقاربة الوطنية والأفق المقارن لاستجلاء مكامن القصور واستكشاف سبل المعالجة.</w:t>
      </w:r>
    </w:p>
    <w:p w14:paraId="3FF5E62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بعض الباحثين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p>
    <w:p w14:paraId="578A8AAE"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وقد حدّد بعض الباحثين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لقبول هذه المخرجات دليلاً، والفجوة العقابية المتعلقة بخلو النظام من نصوص صريحة تُحدّد الجزاء المترتب على سوء استخدام هذه الأنظمة في السياق القضائي.</w:t>
      </w:r>
    </w:p>
    <w:p w14:paraId="78F7175D"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3A48490A"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0226E106"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2893553C" w14:textId="77777777" w:rsidR="00DC0BE2" w:rsidRDefault="00DC0BE2" w:rsidP="00DC0BE2">
      <w:pPr>
        <w:jc w:val="right"/>
        <w:rPr>
          <w:rFonts w:asciiTheme="majorBidi" w:hAnsiTheme="majorBidi" w:cstheme="majorBidi"/>
          <w:color w:val="000000" w:themeColor="text1"/>
          <w:sz w:val="24"/>
          <w:szCs w:val="24"/>
        </w:rPr>
      </w:pPr>
    </w:p>
    <w:p w14:paraId="37399F2A" w14:textId="77777777" w:rsidR="00807AA1" w:rsidRPr="00BC5F38" w:rsidRDefault="00807AA1" w:rsidP="00807AA1">
      <w:pPr>
        <w:jc w:val="right"/>
        <w:rPr>
          <w:rFonts w:asciiTheme="majorBidi" w:hAnsiTheme="majorBidi" w:cstheme="majorBidi"/>
          <w:color w:val="000000" w:themeColor="text1"/>
          <w:sz w:val="24"/>
          <w:szCs w:val="24"/>
          <w:rtl/>
        </w:rPr>
      </w:pPr>
    </w:p>
    <w:p w14:paraId="389BD9DC" w14:textId="77777777" w:rsidR="00807AA1" w:rsidRPr="00D41CB7" w:rsidRDefault="00807AA1" w:rsidP="00807AA1">
      <w:pPr>
        <w:pStyle w:val="3"/>
        <w:jc w:val="center"/>
        <w:rPr>
          <w:rFonts w:asciiTheme="majorBidi" w:hAnsiTheme="majorBidi"/>
          <w:b/>
          <w:bCs/>
          <w:color w:val="000000" w:themeColor="text1"/>
          <w:sz w:val="32"/>
          <w:szCs w:val="32"/>
        </w:rPr>
      </w:pPr>
      <w:bookmarkStart w:id="19" w:name="_Toc237071371"/>
      <w:r>
        <w:rPr>
          <w:rFonts w:asciiTheme="majorBidi" w:hAnsiTheme="majorBidi" w:hint="cs"/>
          <w:b/>
          <w:bCs/>
          <w:color w:val="000000" w:themeColor="text1"/>
          <w:sz w:val="32"/>
          <w:szCs w:val="32"/>
          <w:rtl/>
        </w:rPr>
        <w:t>المطلب الأول</w:t>
      </w:r>
      <w:bookmarkEnd w:id="19"/>
    </w:p>
    <w:p w14:paraId="4E01B153" w14:textId="77777777" w:rsidR="00807AA1" w:rsidRDefault="00807AA1" w:rsidP="00807AA1">
      <w:pPr>
        <w:pStyle w:val="3"/>
        <w:jc w:val="center"/>
        <w:rPr>
          <w:rFonts w:asciiTheme="majorBidi" w:hAnsiTheme="majorBidi"/>
          <w:b/>
          <w:bCs/>
          <w:color w:val="000000" w:themeColor="text1"/>
          <w:rtl/>
        </w:rPr>
      </w:pPr>
      <w:bookmarkStart w:id="20" w:name="_Toc237071372"/>
      <w:r>
        <w:rPr>
          <w:rFonts w:asciiTheme="majorBidi" w:hAnsiTheme="majorBidi"/>
          <w:b/>
          <w:bCs/>
          <w:color w:val="000000" w:themeColor="text1"/>
          <w:rtl/>
        </w:rPr>
        <w:t>قصور النصوص التنظيمية</w:t>
      </w:r>
      <w:bookmarkEnd w:id="20"/>
    </w:p>
    <w:p w14:paraId="31FCA647" w14:textId="77777777" w:rsidR="00047425" w:rsidRDefault="00047425" w:rsidP="00807AA1">
      <w:pPr>
        <w:jc w:val="center"/>
        <w:rPr>
          <w:rFonts w:asciiTheme="majorBidi" w:hAnsiTheme="majorBidi" w:cstheme="majorBidi"/>
          <w:b/>
          <w:bCs/>
          <w:color w:val="000000" w:themeColor="text1"/>
          <w:sz w:val="28"/>
          <w:szCs w:val="28"/>
          <w:rtl/>
        </w:rPr>
      </w:pPr>
    </w:p>
    <w:p w14:paraId="4483C590"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E3F0201" w14:textId="77777777" w:rsidR="00047425" w:rsidRDefault="00047425" w:rsidP="00047425">
      <w:pPr>
        <w:jc w:val="right"/>
        <w:rPr>
          <w:rFonts w:asciiTheme="majorBidi" w:hAnsiTheme="majorBidi" w:cstheme="majorBidi"/>
          <w:color w:val="000000" w:themeColor="text1"/>
          <w:sz w:val="24"/>
          <w:szCs w:val="24"/>
          <w:rtl/>
        </w:rPr>
      </w:pPr>
    </w:p>
    <w:p w14:paraId="223C87ED"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0737655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7337971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بعض الباحثين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6AB468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ومن منظور المقارنة، عولج استخدام الذكاء الاصطناعي في الميدان القانوني بمستويين: تشريعٌ ملزم، كما في الاتحاد الأوروبي حيث صدر قانون الذكاء الاصطناعي (الذي أُقرّ رسمياً عام 2024م) قائماً على تصنيف المخاطر، وعدّ الأنظمة المستخدمة في مجال إقامة العدل من الأنظمة عالية المخاطر بما تستتبعه من متطلبات الشفافية والإشراف البشري وإدارة المخاطر؛ وإرشادٌ مهني، كما في الرأي الرسمي رقم (512) الصادر عن اللجنة الدائمة للأخلاقيات بنقابة المحامين الأمريكية (2024م)، الذي قرر واجب الكفاءة التقنية في فهم قدرات أدوات الذكاء الاصطناعي التوليدي وحدودها، وحماية أسرار الموكل عند استخدامها، ومراجعة مخرجاتها قبل الاعتماد عليها.</w:t>
      </w:r>
      <w:r>
        <w:rPr>
          <w:rStyle w:val="af"/>
          <w:rFonts w:asciiTheme="majorBidi" w:hAnsiTheme="majorBidi" w:cstheme="majorBidi"/>
          <w:sz w:val="24"/>
          <w:szCs w:val="24"/>
          <w:rtl/>
        </w:rPr>
        <w:footnoteReference w:id="88"/>
      </w:r>
      <w:r>
        <w:rPr>
          <w:rStyle w:val="af"/>
          <w:rFonts w:asciiTheme="majorBidi" w:hAnsiTheme="majorBidi" w:cstheme="majorBidi"/>
          <w:sz w:val="24"/>
          <w:szCs w:val="24"/>
          <w:rtl/>
        </w:rPr>
        <w:footnoteReference w:id="89"/>
      </w:r>
    </w:p>
    <w:p w14:paraId="63BEBE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27A408CC"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AF2399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بعض الباحثين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1997907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668E4427"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7AD96FF8"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02A97B3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3AE821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766C54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وهيئة المحامين،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34F1C94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3AC467EA" w14:textId="77777777" w:rsidR="00D843CF" w:rsidRPr="00D843CF" w:rsidRDefault="00D843CF" w:rsidP="00D843CF">
      <w:pPr>
        <w:jc w:val="right"/>
        <w:rPr>
          <w:rFonts w:asciiTheme="majorBidi" w:hAnsiTheme="majorBidi" w:cstheme="majorBidi"/>
          <w:color w:val="000000" w:themeColor="text1"/>
          <w:sz w:val="24"/>
          <w:szCs w:val="24"/>
        </w:rPr>
      </w:pPr>
    </w:p>
    <w:p w14:paraId="1BD346CA" w14:textId="77777777" w:rsidR="00047425" w:rsidRPr="00047425" w:rsidRDefault="00047425" w:rsidP="00047425">
      <w:pPr>
        <w:jc w:val="right"/>
        <w:rPr>
          <w:rFonts w:asciiTheme="majorBidi" w:hAnsiTheme="majorBidi" w:cstheme="majorBidi"/>
          <w:color w:val="000000" w:themeColor="text1"/>
          <w:sz w:val="24"/>
          <w:szCs w:val="24"/>
        </w:rPr>
      </w:pPr>
    </w:p>
    <w:p w14:paraId="134F7180"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69C2053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بعض الباحثين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90"/>
      </w:r>
    </w:p>
    <w:p w14:paraId="534F781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بعض الباحثين</w:t>
      </w:r>
      <w:r>
        <w:rPr>
          <w:rStyle w:val="af"/>
          <w:rFonts w:asciiTheme="majorBidi" w:hAnsiTheme="majorBidi" w:cstheme="majorBidi"/>
          <w:color w:val="000000" w:themeColor="text1"/>
          <w:sz w:val="24"/>
          <w:szCs w:val="24"/>
          <w:rtl/>
        </w:rPr>
        <w:footnoteReference w:id="91"/>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بعض الباحثين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2ABE9AB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D4142B4"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ما تنتجه أنظمة الذكاء الاصطناعي من نصوص قانونية، أو مذكرات، أو عقود، لا يُعدّ من الناحية النظامية “مستندًا”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ويرى الباحث أن هذا الغموض يفرغ المخرجات الذكية من القيمة القانونية ما لم يعتمدها المحامي بنفسه </w:t>
      </w:r>
      <w:r>
        <w:rPr>
          <w:rFonts w:asciiTheme="majorBidi" w:hAnsiTheme="majorBidi" w:cstheme="majorBidi"/>
          <w:color w:val="000000" w:themeColor="text1"/>
          <w:sz w:val="24"/>
          <w:szCs w:val="24"/>
          <w:rtl/>
        </w:rPr>
        <w:lastRenderedPageBreak/>
        <w:t>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هذا الوضع يخلق</w:t>
      </w:r>
      <w:r>
        <w:rPr>
          <w:rStyle w:val="af"/>
          <w:rFonts w:asciiTheme="majorBidi" w:hAnsiTheme="majorBidi" w:cstheme="majorBidi"/>
          <w:color w:val="000000" w:themeColor="text1"/>
          <w:sz w:val="24"/>
          <w:szCs w:val="24"/>
          <w:rtl/>
        </w:rPr>
        <w:footnoteReference w:id="92"/>
      </w:r>
      <w:r>
        <w:rPr>
          <w:rFonts w:asciiTheme="majorBidi" w:hAnsiTheme="majorBidi" w:cstheme="majorBidi"/>
          <w:color w:val="000000" w:themeColor="text1"/>
          <w:sz w:val="24"/>
          <w:szCs w:val="24"/>
          <w:rtl/>
        </w:rPr>
        <w:t xml:space="preserve">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7BA8DB63"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الباحث أن الغموض</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يُلاحَظ أن الدول التي سبقت</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17F569AA" w14:textId="77777777" w:rsidR="00D150CD" w:rsidRPr="00AF1E9F"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b/>
          <w:bCs/>
          <w:color w:val="000000" w:themeColor="text1"/>
          <w:sz w:val="24"/>
          <w:szCs w:val="24"/>
          <w:rtl/>
        </w:rPr>
        <w:br/>
      </w:r>
      <w:r w:rsidRPr="00AF1E9F">
        <w:rPr>
          <w:rFonts w:asciiTheme="majorBidi" w:hAnsiTheme="majorBidi" w:cstheme="majorBidi"/>
          <w:color w:val="000000" w:themeColor="text1"/>
          <w:sz w:val="24"/>
          <w:szCs w:val="24"/>
          <w:rtl/>
        </w:rPr>
        <w:t>يؤكد بعض الباحثين أن إدراج تعريف شامل للذكاء الاصطناعي في النظام السعودي لم يعد ترفًا علميًا، بل ضرورة مهنية لحماية العدالة وضبط الممارسة القانونية.</w:t>
      </w:r>
      <w:r w:rsidRPr="00AF1E9F">
        <w:rPr>
          <w:rFonts w:asciiTheme="majorBidi" w:hAnsiTheme="majorBidi" w:cstheme="majorBidi"/>
          <w:color w:val="000000" w:themeColor="text1"/>
          <w:sz w:val="24"/>
          <w:szCs w:val="24"/>
          <w:rtl/>
        </w:rPr>
        <w:br/>
        <w:t>ويدعو إلى صياغة تعريف يتسق مع البيئة السعودية، يربط بين المفهوم التقني والمفهوم الفقهي للنظام، بحيث لا يتعارض مع مبادئ الشريعة الإسلامية التي تقوم بعض الباحثينها الأنظمة العدلية.</w:t>
      </w:r>
      <w:r w:rsidRPr="00AF1E9F">
        <w:rPr>
          <w:rFonts w:asciiTheme="majorBidi" w:hAnsiTheme="majorBidi" w:cstheme="majorBidi"/>
          <w:color w:val="000000" w:themeColor="text1"/>
          <w:sz w:val="24"/>
          <w:szCs w:val="24"/>
          <w:rtl/>
        </w:rPr>
        <w:b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sidRPr="00AF1E9F">
        <w:rPr>
          <w:rStyle w:val="af"/>
          <w:rFonts w:asciiTheme="majorBidi" w:hAnsiTheme="majorBidi" w:cstheme="majorBidi"/>
          <w:color w:val="000000" w:themeColor="text1"/>
          <w:sz w:val="24"/>
          <w:szCs w:val="24"/>
          <w:rtl/>
        </w:rPr>
        <w:footnoteReference w:id="95"/>
      </w:r>
    </w:p>
    <w:p w14:paraId="3CE36C9C" w14:textId="77777777" w:rsidR="00D150CD" w:rsidRPr="00AF1E9F" w:rsidRDefault="00D150CD" w:rsidP="00D150CD">
      <w:pPr>
        <w:ind w:left="360"/>
        <w:jc w:val="right"/>
        <w:rPr>
          <w:rFonts w:asciiTheme="majorBidi" w:hAnsiTheme="majorBidi" w:cstheme="majorBidi"/>
          <w:color w:val="000000" w:themeColor="text1"/>
          <w:sz w:val="24"/>
          <w:szCs w:val="24"/>
        </w:rPr>
      </w:pPr>
      <w:r w:rsidRPr="00AF1E9F">
        <w:rPr>
          <w:rFonts w:asciiTheme="majorBidi" w:hAnsiTheme="majorBidi" w:cstheme="majorBidi"/>
          <w:color w:val="000000" w:themeColor="text1"/>
          <w:sz w:val="24"/>
          <w:szCs w:val="24"/>
          <w:rtl/>
        </w:rPr>
        <w:t>أثر غياب التعريف على العدالة الرقمية والتحول المهني</w:t>
      </w:r>
      <w:r w:rsidRPr="00AF1E9F">
        <w:rPr>
          <w:rFonts w:asciiTheme="majorBidi" w:hAnsiTheme="majorBidi" w:cstheme="majorBidi"/>
          <w:color w:val="000000" w:themeColor="text1"/>
          <w:sz w:val="24"/>
          <w:szCs w:val="24"/>
          <w:rtl/>
        </w:rPr>
        <w:br/>
        <w:t>يرى الباحث أن الأنظمة الرقمية داخل القضاء السعودي تتوسع بوتيرة أسرع من التشريعات التي تنظمها، مما يخلق فجوة بين الواقع القانوني والنص النظامي.</w:t>
      </w:r>
      <w:r w:rsidRPr="00AF1E9F">
        <w:rPr>
          <w:rStyle w:val="af"/>
          <w:rFonts w:asciiTheme="majorBidi" w:hAnsiTheme="majorBidi" w:cstheme="majorBidi"/>
          <w:color w:val="000000" w:themeColor="text1"/>
          <w:sz w:val="24"/>
          <w:szCs w:val="24"/>
          <w:rtl/>
        </w:rPr>
        <w:footnoteReference w:id="96"/>
      </w:r>
      <w:r w:rsidRPr="00AF1E9F">
        <w:rPr>
          <w:rFonts w:asciiTheme="majorBidi" w:hAnsiTheme="majorBidi" w:cstheme="majorBidi"/>
          <w:color w:val="000000" w:themeColor="text1"/>
          <w:sz w:val="24"/>
          <w:szCs w:val="24"/>
          <w:rtl/>
        </w:rPr>
        <w:b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sidRPr="00AF1E9F">
        <w:rPr>
          <w:rFonts w:asciiTheme="majorBidi" w:hAnsiTheme="majorBidi" w:cstheme="majorBidi"/>
          <w:color w:val="000000" w:themeColor="text1"/>
          <w:sz w:val="24"/>
          <w:szCs w:val="24"/>
          <w:rtl/>
        </w:rPr>
        <w:b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p>
    <w:p w14:paraId="7BCA6BF1" w14:textId="77777777" w:rsidR="00807AA1" w:rsidRDefault="00807AA1" w:rsidP="00807AA1">
      <w:pPr>
        <w:jc w:val="right"/>
        <w:rPr>
          <w:rFonts w:asciiTheme="majorBidi" w:hAnsiTheme="majorBidi" w:cstheme="majorBidi"/>
          <w:color w:val="000000" w:themeColor="text1"/>
          <w:sz w:val="24"/>
          <w:szCs w:val="24"/>
        </w:rPr>
      </w:pPr>
    </w:p>
    <w:p w14:paraId="1F9C0380"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3F3EFE3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وعلى صعيد المرجعية الرسمية، أصدرت الهيئة السعودية للبيانات والذكاء الاصطناعي في سبتمبر 2023م وثيقة "مبادئ أخلاقيات الذكاء الاصطناعي" التي حددت سبعة مبادئ جوهرية لضمان تطوير هذه التقنيات واستخدامها بصورة مسؤولة وأخلاقية، شملت النزاهة والإنصاف، والخصوصية والأمن، والإنسانية، والمنافع 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97"/>
      </w:r>
    </w:p>
    <w:p w14:paraId="6EAB9770"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ويلاحظ الباحث أن مكاتب المحاماة تتعامل</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47DD8F8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b/>
          <w:bCs/>
          <w:color w:val="000000" w:themeColor="text1"/>
          <w:sz w:val="24"/>
          <w:szCs w:val="24"/>
          <w:rtl/>
        </w:rPr>
        <w:br/>
      </w:r>
      <w:r w:rsidRPr="00AF1E9F">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بصفتها الجهة التنظيمية، ووزارة العدل بصفتها المشرفة على مهنة المحاماة.</w:t>
      </w:r>
      <w:r w:rsidRPr="00AF1E9F">
        <w:rPr>
          <w:rFonts w:asciiTheme="majorBidi" w:hAnsiTheme="majorBidi" w:cstheme="majorBidi"/>
          <w:color w:val="000000" w:themeColor="text1"/>
          <w:sz w:val="24"/>
          <w:szCs w:val="24"/>
          <w:rtl/>
        </w:rPr>
        <w:br/>
        <w:t>وترى بعض الدراسات بعض الباحثين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sidRPr="00AF1E9F">
        <w:rPr>
          <w:rFonts w:asciiTheme="majorBidi" w:hAnsiTheme="majorBidi" w:cstheme="majorBidi"/>
          <w:color w:val="000000" w:themeColor="text1"/>
          <w:sz w:val="24"/>
          <w:szCs w:val="24"/>
          <w:rtl/>
        </w:rPr>
        <w:b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p>
    <w:p w14:paraId="19D756C1"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7EC7F"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بعض الباحثين</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17A8C1CB"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401F53C0"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بعض الباحثين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0CDCBFC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بعض الباحثين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0BB5CC4D" w14:textId="77777777" w:rsidR="00F237E4" w:rsidRDefault="00F237E4" w:rsidP="00807AA1">
      <w:pPr>
        <w:jc w:val="right"/>
        <w:rPr>
          <w:rFonts w:asciiTheme="majorBidi" w:hAnsiTheme="majorBidi" w:cstheme="majorBidi"/>
          <w:color w:val="000000" w:themeColor="text1"/>
          <w:sz w:val="24"/>
          <w:szCs w:val="24"/>
        </w:rPr>
      </w:pPr>
    </w:p>
    <w:p w14:paraId="586B5062"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27F79219"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مركز الدراسات والبحوث القانونية في دراسته المعنونة بـ«استخدام الذكاء الاصطناعي في المحاكم السعودية»،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00"/>
      </w:r>
    </w:p>
    <w:p w14:paraId="5FACA26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بعض الباحثين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7CDEEA4F"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b/>
          <w:bCs/>
          <w:color w:val="000000" w:themeColor="text1"/>
          <w:sz w:val="24"/>
          <w:szCs w:val="24"/>
          <w:rtl/>
        </w:rPr>
        <w:br/>
      </w:r>
      <w:r w:rsidRPr="00AF1E9F">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sidRPr="00AF1E9F">
        <w:rPr>
          <w:rFonts w:asciiTheme="majorBidi" w:hAnsiTheme="majorBidi" w:cstheme="majorBidi"/>
          <w:color w:val="000000" w:themeColor="text1"/>
          <w:sz w:val="24"/>
          <w:szCs w:val="24"/>
          <w:rtl/>
        </w:rPr>
        <w:br/>
        <w:t>تؤكد فاطمة بعض الباحثين في دراستها عن العدالة الناجزة أن التحول الرقمي في قطاع القضاء لا يمكن أن</w:t>
      </w:r>
      <w:r>
        <w:rPr>
          <w:rFonts w:asciiTheme="majorBidi" w:hAnsiTheme="majorBidi" w:cstheme="majorBidi"/>
          <w:b/>
          <w:bCs/>
          <w:color w:val="000000" w:themeColor="text1"/>
          <w:sz w:val="24"/>
          <w:szCs w:val="24"/>
          <w:rtl/>
        </w:rPr>
        <w:t xml:space="preserve"> </w:t>
      </w:r>
      <w:r w:rsidRPr="00AF1E9F">
        <w:rPr>
          <w:rFonts w:asciiTheme="majorBidi" w:hAnsiTheme="majorBidi" w:cstheme="majorBidi"/>
          <w:color w:val="000000" w:themeColor="text1"/>
          <w:sz w:val="24"/>
          <w:szCs w:val="24"/>
          <w:rtl/>
        </w:rPr>
        <w:lastRenderedPageBreak/>
        <w:t>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sidRPr="00AF1E9F">
        <w:rPr>
          <w:rFonts w:asciiTheme="majorBidi" w:hAnsiTheme="majorBidi" w:cstheme="majorBidi"/>
          <w:color w:val="000000" w:themeColor="text1"/>
          <w:sz w:val="24"/>
          <w:szCs w:val="24"/>
          <w:rtl/>
        </w:rPr>
        <w:b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p>
    <w:p w14:paraId="0ECFCEF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بعض الباحثين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554298F0"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التونسي والمعلم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Style w:val="af"/>
          <w:rFonts w:asciiTheme="majorBidi" w:hAnsiTheme="majorBidi" w:cstheme="majorBidi"/>
          <w:sz w:val="24"/>
          <w:szCs w:val="24"/>
          <w:rtl/>
        </w:rPr>
        <w:footnoteReference w:id="101"/>
      </w:r>
    </w:p>
    <w:p w14:paraId="76F22186"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41FD18ED"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بحدود تأطير المسؤولية المهنية، يرى الباحث ضرورة مراعاة مبدأ التعادل؛ بمعنى ألا تكون المسؤولية المفروضة على المحامي المستخدم للذكاء الاصطناعي أشد من المسؤولية المفروضة على المحامي الذي لم يستخدمه وارتكب الخطأ ذاته بطريقة تقليدية، لأن التشديد غير المتناسب قد يُثبّط التحول الرقمي الذي تستهدفه رؤية 2030.</w:t>
      </w:r>
    </w:p>
    <w:p w14:paraId="25B210B2"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إطار المسؤولية المهنية الجنائية، يرى الباحث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p>
    <w:p w14:paraId="3B3732EA"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بعض الباحثين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p>
    <w:p w14:paraId="4FA901F7"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وبالمقابل، يرى الباحث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102"/>
      </w:r>
    </w:p>
    <w:p w14:paraId="21BD3B19"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باب تأطير المسؤولية المهنية، ميّز بعض الباحثين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w:t>
      </w:r>
      <w:r>
        <w:rPr>
          <w:rFonts w:asciiTheme="majorBidi" w:hAnsiTheme="majorBidi" w:cstheme="majorBidi"/>
          <w:sz w:val="24"/>
          <w:szCs w:val="24"/>
          <w:rtl/>
        </w:rPr>
        <w:lastRenderedPageBreak/>
        <w:t>المحامي الرقمي الكفء الذي يُضيف إلى المعيار الأول اشتراط الكفاءة في انتقاء أنظمة الذكاء الاصطناعي وتقييم مخرجاتها ونقد توصياتها.</w:t>
      </w:r>
    </w:p>
    <w:p w14:paraId="7390E3CE"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بعض الباحثين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188038BE"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0A0DA1E0" w14:textId="77777777" w:rsidR="003835A4" w:rsidRPr="00AF1E9F" w:rsidRDefault="003835A4" w:rsidP="000D4B35">
      <w:pPr>
        <w:ind w:left="360"/>
        <w:jc w:val="right"/>
        <w:rPr>
          <w:rFonts w:asciiTheme="majorBidi" w:hAnsiTheme="majorBidi" w:cstheme="majorBidi"/>
          <w:b/>
          <w:bCs/>
          <w:color w:val="000000" w:themeColor="text1"/>
          <w:sz w:val="24"/>
          <w:szCs w:val="24"/>
        </w:rPr>
      </w:pPr>
      <w:r w:rsidRPr="00AF1E9F">
        <w:rPr>
          <w:rFonts w:asciiTheme="majorBidi" w:hAnsiTheme="majorBidi" w:cstheme="majorBidi"/>
          <w:b/>
          <w:bCs/>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sidRPr="00AF1E9F">
        <w:rPr>
          <w:rFonts w:asciiTheme="majorBidi" w:hAnsiTheme="majorBidi" w:cstheme="majorBidi"/>
          <w:b/>
          <w:bCs/>
          <w:color w:val="000000" w:themeColor="text1"/>
          <w:sz w:val="24"/>
          <w:szCs w:val="24"/>
        </w:rPr>
        <w:t>:</w:t>
      </w:r>
    </w:p>
    <w:p w14:paraId="4807C17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6C963A8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ويرى الباحث أن هذا التوثيق يمثل ضمانة أساسية ضد الأخطاء التقنية غير المتعمدة.</w:t>
      </w:r>
    </w:p>
    <w:p w14:paraId="5A4FA195"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اعتبار الإخلال بضوابط التقنية — متى ترتب عليه ضرر للموكل — صورة من صور الإهمال المهني الجسيم. ويستند هذا الاتجاه إلى ما قرره بعض الباحثين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3BF6C3D8" w14:textId="77777777" w:rsidR="003835A4" w:rsidRPr="00AF1E9F" w:rsidRDefault="003835A4" w:rsidP="000D4B35">
      <w:pPr>
        <w:ind w:left="360"/>
        <w:jc w:val="right"/>
        <w:rPr>
          <w:rFonts w:asciiTheme="majorBidi" w:hAnsiTheme="majorBidi" w:cstheme="majorBidi"/>
          <w:b/>
          <w:bCs/>
          <w:color w:val="000000" w:themeColor="text1"/>
          <w:sz w:val="24"/>
          <w:szCs w:val="24"/>
        </w:rPr>
      </w:pPr>
      <w:r w:rsidRPr="00AF1E9F">
        <w:rPr>
          <w:rFonts w:asciiTheme="majorBidi" w:hAnsiTheme="majorBidi" w:cstheme="majorBidi"/>
          <w:b/>
          <w:bCs/>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sidRPr="00AF1E9F">
        <w:rPr>
          <w:rFonts w:asciiTheme="majorBidi" w:hAnsiTheme="majorBidi" w:cstheme="majorBidi"/>
          <w:b/>
          <w:bCs/>
          <w:color w:val="000000" w:themeColor="text1"/>
          <w:sz w:val="24"/>
          <w:szCs w:val="24"/>
        </w:rPr>
        <w:t>:</w:t>
      </w:r>
    </w:p>
    <w:p w14:paraId="04C412D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أولاً: معيار الموثوقية التقنية: هل استخدم المحامي نظامًا معتمدًا ومرخصًا داخل المملكة؟ وهل تجاهل التحذيرات المرتبطة باستخدام منصات غير آمنة؟</w:t>
      </w:r>
    </w:p>
    <w:p w14:paraId="7113354A"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ثانياً: معيار التحقق البشري: هل اكتفى المحامي بنقل مخرجات النظام دون مراجعة بشرية أو مقارنة بالسوابق القضائية؟</w:t>
      </w:r>
    </w:p>
    <w:p w14:paraId="08F055C4"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ثالثاً: معيار سلامة البيانات: هل أدخل بيانات الموكل في نظام ذكي يخزن المعلومات خارج المملكة دون تقويم للمخاطر وفق دليل سدايا؟</w:t>
      </w:r>
    </w:p>
    <w:p w14:paraId="0716F9AD"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رابعاً: معيار الإفصاح: هل أخفى المحامي عن الموكل أو المحكمة أنه استخدم نظامًا ذكيًا في توليد المستند؟ وهل أدى ذلك إلى تضليل أو خلل في الثقة المهنية؟</w:t>
      </w:r>
    </w:p>
    <w:p w14:paraId="1775218A" w14:textId="77777777" w:rsidR="003835A4" w:rsidRPr="00AF1E9F" w:rsidRDefault="003835A4" w:rsidP="003835A4">
      <w:pPr>
        <w:ind w:left="360"/>
        <w:jc w:val="right"/>
        <w:rPr>
          <w:rFonts w:asciiTheme="majorBidi" w:hAnsiTheme="majorBidi" w:cstheme="majorBidi"/>
          <w:color w:val="000000" w:themeColor="text1"/>
          <w:sz w:val="24"/>
          <w:szCs w:val="24"/>
        </w:rPr>
      </w:pPr>
      <w:r w:rsidRPr="00AF1E9F">
        <w:rPr>
          <w:rFonts w:asciiTheme="majorBidi" w:hAnsiTheme="majorBidi" w:cstheme="majorBidi"/>
          <w:color w:val="000000" w:themeColor="text1"/>
          <w:sz w:val="24"/>
          <w:szCs w:val="24"/>
          <w:rtl/>
        </w:rPr>
        <w:t>خامساً: 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sidRPr="00AF1E9F">
        <w:rPr>
          <w:rFonts w:asciiTheme="majorBidi" w:hAnsiTheme="majorBidi" w:cstheme="majorBidi"/>
          <w:color w:val="000000" w:themeColor="text1"/>
          <w:sz w:val="24"/>
          <w:szCs w:val="24"/>
        </w:rPr>
        <w:t>.</w:t>
      </w:r>
    </w:p>
    <w:p w14:paraId="03946DC0"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ومن المقرر أن المحامي يظل مسؤولًا عن كل ما يقدمه للجهات العدلية، سواء كان ناتجًا عن عمله الشخصي أو عن نظام ذكي استعان به.</w:t>
      </w:r>
    </w:p>
    <w:p w14:paraId="7042FE38"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551F8F45"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36C83DAF"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يلاحظ رجب في دراسته عن تأطير أخلاقيات الذكاء الاصطناعي أن الأخلاقيات لا تكتسب قوتها الحقيقية في الواقع إلا حين يستتبعها تنظيمٌ لأدوات الحوكمة وتعزيزٌ للرقابة، وهو ما يقتضي الانتقال من النص الأخلاقي العام إلى القاعدة الملزمة.</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3AF3207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b/>
          <w:bCs/>
          <w:color w:val="000000" w:themeColor="text1"/>
          <w:sz w:val="24"/>
          <w:szCs w:val="24"/>
          <w:rtl/>
        </w:rPr>
        <w:br/>
      </w:r>
      <w:r w:rsidRPr="00AF1E9F">
        <w:rPr>
          <w:rFonts w:asciiTheme="majorBidi" w:hAnsiTheme="majorBidi" w:cstheme="majorBidi"/>
          <w:color w:val="000000" w:themeColor="text1"/>
          <w:sz w:val="24"/>
          <w:szCs w:val="24"/>
          <w:rtl/>
        </w:rPr>
        <w:t>ويلاحظ الباحث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sidRPr="00AF1E9F">
        <w:rPr>
          <w:rFonts w:asciiTheme="majorBidi" w:hAnsiTheme="majorBidi" w:cstheme="majorBidi"/>
          <w:color w:val="000000" w:themeColor="text1"/>
          <w:sz w:val="24"/>
          <w:szCs w:val="24"/>
          <w:rtl/>
        </w:rPr>
        <w:b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p>
    <w:p w14:paraId="1C31506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2AE6F4E2" w14:textId="77777777" w:rsidR="00957EC0" w:rsidRDefault="00957EC0" w:rsidP="00807AA1">
      <w:pPr>
        <w:jc w:val="right"/>
        <w:rPr>
          <w:rFonts w:asciiTheme="majorBidi" w:hAnsiTheme="majorBidi" w:cstheme="majorBidi"/>
          <w:color w:val="000000" w:themeColor="text1"/>
          <w:sz w:val="24"/>
          <w:szCs w:val="24"/>
        </w:rPr>
      </w:pPr>
    </w:p>
    <w:p w14:paraId="6C96568E" w14:textId="77777777" w:rsidR="00AF1E9F" w:rsidRDefault="00AF1E9F" w:rsidP="00807AA1">
      <w:pPr>
        <w:jc w:val="right"/>
        <w:rPr>
          <w:rFonts w:asciiTheme="majorBidi" w:hAnsiTheme="majorBidi" w:cstheme="majorBidi"/>
          <w:color w:val="000000" w:themeColor="text1"/>
          <w:sz w:val="24"/>
          <w:szCs w:val="24"/>
        </w:rPr>
      </w:pPr>
    </w:p>
    <w:p w14:paraId="794D5E09"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خامسًا: غياب الإطار الرقابي المهني لاستخدام التقنية في مكاتب المحاماة</w:t>
      </w:r>
    </w:p>
    <w:p w14:paraId="281D7A9A"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DF53F3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بعض الباحثين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1485D4B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ما إذا كان استخدام نظام معين يُعد مقبولًا مهنيًا أم لا. ويحذر الباحث هنا من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p>
    <w:p w14:paraId="6D3EB79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ويشير رجب في دراسته المقارنة حول دور الدولة في تأطير أخلاقيات الذكاء الاصطناعي إلى أن تأطير الأخلاقيات لا يتحقق بمجرد النصوص العامة، وإنما بما يستتبعه من تنظيم أدوات الحوكمة وتعزيز الرقابة المؤسسية والقضائية على الاستخدام.</w:t>
      </w:r>
      <w:r>
        <w:rPr>
          <w:rStyle w:val="af"/>
          <w:rFonts w:asciiTheme="majorBidi" w:hAnsiTheme="majorBidi" w:cstheme="majorBidi"/>
          <w:color w:val="000000" w:themeColor="text1"/>
          <w:sz w:val="24"/>
          <w:szCs w:val="24"/>
          <w:rtl/>
        </w:rPr>
        <w:footnoteReference w:id="104"/>
      </w:r>
      <w:r>
        <w:rPr>
          <w:rFonts w:asciiTheme="majorBidi" w:hAnsiTheme="majorBidi" w:cstheme="majorBidi"/>
          <w:color w:val="000000" w:themeColor="text1"/>
          <w:sz w:val="24"/>
          <w:szCs w:val="24"/>
          <w:rtl/>
        </w:rPr>
        <w:t xml:space="preserve">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1A1500E8"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جانب آخر، يبين بعض الباحثين 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32D085D8"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بعض الباحثين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الهيئة السعودية للمحامين،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04AB86D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436091A4" w14:textId="77777777" w:rsidR="00957EC0" w:rsidRDefault="00957EC0" w:rsidP="00807AA1">
      <w:pPr>
        <w:jc w:val="right"/>
        <w:rPr>
          <w:rFonts w:asciiTheme="majorBidi" w:hAnsiTheme="majorBidi" w:cstheme="majorBidi"/>
          <w:color w:val="000000" w:themeColor="text1"/>
          <w:sz w:val="24"/>
          <w:szCs w:val="24"/>
        </w:rPr>
      </w:pPr>
    </w:p>
    <w:p w14:paraId="6AC00882" w14:textId="77777777" w:rsidR="00957EC0" w:rsidRPr="00D41CB7" w:rsidRDefault="00957EC0" w:rsidP="00957EC0">
      <w:pPr>
        <w:pStyle w:val="3"/>
        <w:jc w:val="center"/>
        <w:rPr>
          <w:rFonts w:asciiTheme="majorBidi" w:hAnsiTheme="majorBidi"/>
          <w:b/>
          <w:bCs/>
          <w:color w:val="000000" w:themeColor="text1"/>
          <w:sz w:val="32"/>
          <w:szCs w:val="32"/>
        </w:rPr>
      </w:pPr>
      <w:bookmarkStart w:id="21" w:name="_Toc237071373"/>
      <w:r>
        <w:rPr>
          <w:rFonts w:asciiTheme="majorBidi" w:hAnsiTheme="majorBidi" w:hint="cs"/>
          <w:b/>
          <w:bCs/>
          <w:color w:val="000000" w:themeColor="text1"/>
          <w:sz w:val="32"/>
          <w:szCs w:val="32"/>
          <w:rtl/>
        </w:rPr>
        <w:t>المطلب الثاني</w:t>
      </w:r>
      <w:bookmarkEnd w:id="21"/>
    </w:p>
    <w:p w14:paraId="64134B73" w14:textId="77777777" w:rsidR="00957EC0" w:rsidRDefault="00957EC0" w:rsidP="00957EC0">
      <w:pPr>
        <w:pStyle w:val="3"/>
        <w:jc w:val="center"/>
        <w:rPr>
          <w:rFonts w:asciiTheme="majorBidi" w:hAnsiTheme="majorBidi"/>
          <w:b/>
          <w:bCs/>
          <w:color w:val="000000" w:themeColor="text1"/>
          <w:rtl/>
        </w:rPr>
      </w:pPr>
      <w:bookmarkStart w:id="22" w:name="_Toc237071374"/>
      <w:r>
        <w:rPr>
          <w:rFonts w:asciiTheme="majorBidi" w:hAnsiTheme="majorBidi" w:hint="cs"/>
          <w:b/>
          <w:bCs/>
          <w:color w:val="000000" w:themeColor="text1"/>
          <w:rtl/>
        </w:rPr>
        <w:t>آثار الغياب التنظيمي للذكاء الاصطناعي على ممارسة مهنة المحاماة</w:t>
      </w:r>
      <w:bookmarkEnd w:id="22"/>
    </w:p>
    <w:p w14:paraId="53426E04"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3683773B"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وقد استعرض بعض الباحثين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05"/>
      </w:r>
    </w:p>
    <w:p w14:paraId="6C81DBDC"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b/>
          <w:bCs/>
          <w:color w:val="000000" w:themeColor="text1"/>
          <w:sz w:val="24"/>
          <w:szCs w:val="24"/>
          <w:rtl/>
        </w:rPr>
        <w:br/>
      </w:r>
      <w:r w:rsidRPr="00AF1E9F">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ويرى الباحث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sidRPr="00AF1E9F">
        <w:rPr>
          <w:rFonts w:asciiTheme="majorBidi" w:hAnsiTheme="majorBidi" w:cstheme="majorBidi"/>
          <w:color w:val="000000" w:themeColor="text1"/>
          <w:sz w:val="24"/>
          <w:szCs w:val="24"/>
          <w:rtl/>
        </w:rPr>
        <w:b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p>
    <w:p w14:paraId="4CDC876C"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434427DB" w14:textId="77777777" w:rsidR="00B16B4E" w:rsidRDefault="00000000" w:rsidP="00AF1E9F">
      <w:pPr>
        <w:jc w:val="right"/>
        <w:rPr>
          <w:rFonts w:asciiTheme="majorBidi" w:hAnsiTheme="majorBidi" w:cstheme="majorBidi"/>
          <w:sz w:val="24"/>
          <w:szCs w:val="24"/>
          <w:rtl/>
        </w:rPr>
      </w:pPr>
      <w:r>
        <w:rPr>
          <w:rFonts w:asciiTheme="majorBidi" w:hAnsiTheme="majorBidi" w:cstheme="majorBidi"/>
          <w:sz w:val="24"/>
          <w:szCs w:val="24"/>
          <w:rtl/>
        </w:rPr>
        <w:lastRenderedPageBreak/>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06"/>
      </w:r>
    </w:p>
    <w:p w14:paraId="28B9CC6F" w14:textId="77777777" w:rsidR="00B16B4E"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بعض الباحثين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07"/>
      </w:r>
    </w:p>
    <w:p w14:paraId="7AE489EC"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2C8C2D81"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18BA70A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437F7DE5" w14:textId="77777777" w:rsidR="003835A4" w:rsidRPr="003835A4" w:rsidRDefault="003835A4" w:rsidP="003835A4">
      <w:pPr>
        <w:jc w:val="right"/>
        <w:rPr>
          <w:rFonts w:asciiTheme="majorBidi" w:hAnsiTheme="majorBidi" w:cstheme="majorBidi"/>
          <w:color w:val="000000" w:themeColor="text1"/>
          <w:sz w:val="24"/>
          <w:szCs w:val="24"/>
          <w:rtl/>
        </w:rPr>
      </w:pPr>
    </w:p>
    <w:p w14:paraId="0D0D96E2"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5D6203AA"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ويُضيف بعض الباحثين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p>
    <w:p w14:paraId="14336701"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ويرى الباحث أن غياب المعايير المهنية التقنية يؤدي إلى تفاوت حاد في جودة الخدمة القانونية داخل السوق؛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بعض الباحثين، في بحثه عن حماية التصرفات القانونية وإثباتها عبر تطبيقات الذكاء الاصطناعي، يلفت النظر </w:t>
      </w:r>
      <w:r>
        <w:rPr>
          <w:rFonts w:asciiTheme="majorBidi" w:hAnsiTheme="majorBidi" w:cstheme="majorBidi"/>
          <w:sz w:val="24"/>
          <w:szCs w:val="24"/>
          <w:rtl/>
        </w:rPr>
        <w:lastRenderedPageBreak/>
        <w:t>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3034777"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7FD9593F"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tl/>
        </w:rPr>
        <w:br/>
        <w:t>ومن الواقع المشهود أن القاضي أصبح يتلقى 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Pr>
          <w:rFonts w:asciiTheme="majorBidi" w:hAnsiTheme="majorBidi" w:cstheme="majorBidi"/>
          <w:sz w:val="24"/>
          <w:szCs w:val="24"/>
          <w:rtl/>
        </w:rPr>
        <w:b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p>
    <w:p w14:paraId="5041CEDB" w14:textId="77777777" w:rsidR="00D57654" w:rsidRDefault="00000000" w:rsidP="00E33F20">
      <w:pPr>
        <w:jc w:val="right"/>
        <w:rPr>
          <w:rFonts w:asciiTheme="majorBidi" w:hAnsiTheme="majorBidi" w:cstheme="majorBidi"/>
          <w:sz w:val="24"/>
          <w:szCs w:val="24"/>
          <w:rtl/>
        </w:rPr>
      </w:pPr>
      <w:r>
        <w:rPr>
          <w:rFonts w:asciiTheme="majorBidi" w:hAnsiTheme="majorBidi" w:cstheme="majorBidi"/>
          <w:sz w:val="24"/>
          <w:szCs w:val="24"/>
          <w:rtl/>
        </w:rPr>
        <w:t>وفي هذا الصدد، انتهت دراسة التونسي والمعلم إلى أنه لا يوجد إطار تنظيمي مستقل في المملكة يُيسِّر عمليات الإثبات بما يتوافق مع طبيعة العمل الصادر من أنظمة الذكاء الاصطناعي</w:t>
      </w:r>
      <w:r>
        <w:rPr>
          <w:rStyle w:val="af"/>
          <w:rFonts w:asciiTheme="majorBidi" w:hAnsiTheme="majorBidi" w:cstheme="majorBidi"/>
          <w:sz w:val="24"/>
          <w:szCs w:val="24"/>
          <w:rtl/>
        </w:rPr>
        <w:footnoteReference w:id="108"/>
      </w:r>
      <w:r>
        <w:rPr>
          <w:rFonts w:asciiTheme="majorBidi" w:hAnsiTheme="majorBidi" w:cstheme="majorBidi"/>
          <w:sz w:val="24"/>
          <w:szCs w:val="24"/>
          <w:rtl/>
        </w:rPr>
        <w:t>. ويرى الباحث أن غياب النص الصريح يفتح المجال لتقديرٍ قضائي متفاوت في قبول المخرجات الذكية أو ردّها، بما قد يخل بوحدة المعاملة القضائية للمتقاضين.</w:t>
      </w:r>
    </w:p>
    <w:p w14:paraId="07A982E6" w14:textId="77777777" w:rsidR="00D57654" w:rsidRDefault="00000000" w:rsidP="00E33F20">
      <w:pPr>
        <w:jc w:val="right"/>
        <w:rPr>
          <w:rFonts w:asciiTheme="majorBidi" w:hAnsiTheme="majorBidi" w:cstheme="majorBidi"/>
          <w:sz w:val="24"/>
          <w:szCs w:val="24"/>
          <w:rtl/>
        </w:rPr>
      </w:pPr>
      <w:r>
        <w:rPr>
          <w:rFonts w:asciiTheme="majorBidi" w:hAnsiTheme="majorBidi" w:cstheme="majorBidi"/>
          <w:sz w:val="24"/>
          <w:szCs w:val="24"/>
          <w:rtl/>
        </w:rPr>
        <w:t>ويلاحظ الباحث أن القاضي – في ظل هذا الغياب – يجد نفسه أمام مفارقة منهجية: فالمذكرة المعدّة بمساعدة الذكاء الاصطناعي قد تكون أكثر استيعابًا وتوثيقًا من المذكرة التقليدية، غير أنه يفتقر إلى معيار نظامي يضبط طريقة قبولها وتقييمها.</w:t>
      </w:r>
    </w:p>
    <w:p w14:paraId="0D0F752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250DB9C6" w14:textId="77777777" w:rsidR="00D57654" w:rsidRDefault="00000000" w:rsidP="00E33F20">
      <w:pPr>
        <w:jc w:val="right"/>
        <w:rPr>
          <w:rFonts w:asciiTheme="majorBidi" w:hAnsiTheme="majorBidi" w:cstheme="majorBidi"/>
          <w:sz w:val="24"/>
          <w:szCs w:val="24"/>
          <w:rtl/>
        </w:rPr>
      </w:pPr>
      <w:r>
        <w:rPr>
          <w:rFonts w:asciiTheme="majorBidi" w:hAnsiTheme="majorBidi" w:cstheme="majorBidi"/>
          <w:sz w:val="24"/>
          <w:szCs w:val="24"/>
          <w:rtl/>
        </w:rPr>
        <w:t>ويُلاحَظ في الممارسة العربية نمطٌ متكرر لدى المحامين المستخدمين للذكاء الاصطناعي، يتمثل في الالتفاف على الغياب التنظيمي عبر تبني ممارسات غير رسمية تعوّض النص الغائب؛ وهو نمط وإن بدا عمليًا في المدى القصير، فإنه يفضي إلى تضارب السوابق المهنية وانعدام معيار موحّد للجودة والمساءلة.</w:t>
      </w:r>
    </w:p>
    <w:p w14:paraId="1A9CB6A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هذه الممارسات غير الرسمية قد تتسع مع الوقت لتشكّل عرفًا تقنيًا غير مكتوب داخل المهنة، وهو أمر بالغ </w:t>
      </w:r>
      <w:r>
        <w:rPr>
          <w:rFonts w:asciiTheme="majorBidi" w:hAnsiTheme="majorBidi" w:cstheme="majorBidi"/>
          <w:sz w:val="24"/>
          <w:szCs w:val="24"/>
          <w:rtl/>
        </w:rPr>
        <w:lastRenderedPageBreak/>
        <w:t>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0917D05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71A0E28F"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تحليل آليات استعادة الثقة المهزوزة، اقترح بعض الباحثين منظومة شفافية قضائية رقمية تُلزم الجهات القضائية بالإفصاح عن الأنظمة الذكية التي توظّفها، وتُوفر للمتقاضين ملخصاً مبسطاً عن آليات عمل هذه الأنظمة وحدودها، وتُتيح آلية للطعن في قراءة النظام إذا رأى المتقاضي أن النتيجة الخوارزمية انطوت على تحيز غير مبرر.</w:t>
      </w:r>
      <w:r>
        <w:rPr>
          <w:rtl/>
        </w:rPr>
        <w:footnoteReference w:id="109"/>
      </w:r>
    </w:p>
    <w:p w14:paraId="44208E4C"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يُلاحظ أن كثيراً من المتقاضين قد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p>
    <w:p w14:paraId="2FFFC750"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بناء الأنظمة الذكية يواجه مشكلات قد تكون مؤثرة في مصداقية نتائجها، وفي مقدمتها مشكلة «الصندوق الأسود»؛ إذ لا تتضح كيفية معالجة النظام للبيانات المدخلة وصولاً إلى نتائجه، ويصعب تبعاً لذلك على الخصم أن يفنّد مخرجاً بُنيت معطياته داخل صندوق خوارزمي مغلق لا يمكن فحصه.</w:t>
      </w:r>
      <w:r>
        <w:rPr>
          <w:rtl/>
        </w:rPr>
        <w:footnoteReference w:id="110"/>
      </w:r>
    </w:p>
    <w:p w14:paraId="028E096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E0B76E2"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38DC740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7C5B01CF"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4A614BEC" w14:textId="77777777" w:rsidR="004F7A59" w:rsidRDefault="004F7A59" w:rsidP="000D4B35">
      <w:pPr>
        <w:jc w:val="right"/>
        <w:rPr>
          <w:rFonts w:asciiTheme="majorBidi" w:hAnsiTheme="majorBidi" w:cstheme="majorBidi"/>
          <w:b/>
          <w:bCs/>
          <w:sz w:val="24"/>
          <w:szCs w:val="24"/>
        </w:rPr>
      </w:pPr>
    </w:p>
    <w:p w14:paraId="11AA81F7" w14:textId="77777777" w:rsidR="00E82B9E" w:rsidRDefault="00E82B9E" w:rsidP="000D4B35">
      <w:pPr>
        <w:jc w:val="right"/>
        <w:rPr>
          <w:rFonts w:asciiTheme="majorBidi" w:hAnsiTheme="majorBidi" w:cstheme="majorBidi"/>
          <w:b/>
          <w:bCs/>
          <w:sz w:val="24"/>
          <w:szCs w:val="24"/>
        </w:rPr>
      </w:pPr>
    </w:p>
    <w:p w14:paraId="5548A36A" w14:textId="77777777" w:rsidR="00E82B9E" w:rsidRPr="000003D3" w:rsidRDefault="00E82B9E" w:rsidP="000D4B35">
      <w:pPr>
        <w:jc w:val="right"/>
        <w:rPr>
          <w:rFonts w:asciiTheme="majorBidi" w:hAnsiTheme="majorBidi" w:cstheme="majorBidi"/>
          <w:b/>
          <w:bCs/>
          <w:sz w:val="24"/>
          <w:szCs w:val="24"/>
        </w:rPr>
      </w:pPr>
    </w:p>
    <w:p w14:paraId="5EB20CAC"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6F9D034A"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لما أسفر عنه هذا المبحث، يرى بعض الباحثين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r>
        <w:rPr>
          <w:rtl/>
        </w:rPr>
        <w:footnoteReference w:id="111"/>
      </w:r>
    </w:p>
    <w:p w14:paraId="759421CB" w14:textId="77777777" w:rsidR="00D57654" w:rsidRDefault="00000000"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بعض الباحثين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12"/>
      </w:r>
    </w:p>
    <w:p w14:paraId="4EE168F3"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38840406" w14:textId="77777777" w:rsidR="00D57654" w:rsidRDefault="00000000" w:rsidP="00E33F20">
      <w:pPr>
        <w:jc w:val="right"/>
        <w:rPr>
          <w:rFonts w:asciiTheme="majorBidi" w:hAnsiTheme="majorBidi" w:cstheme="majorBidi"/>
          <w:sz w:val="24"/>
          <w:szCs w:val="24"/>
          <w:rtl/>
        </w:rPr>
      </w:pPr>
      <w:r>
        <w:rPr>
          <w:rFonts w:asciiTheme="majorBidi" w:hAnsiTheme="majorBidi" w:cstheme="majorBidi"/>
          <w:sz w:val="24"/>
          <w:szCs w:val="24"/>
          <w:rtl/>
        </w:rPr>
        <w:t>ويمكن القول إن ثقة المتقاضين في العدالة الرقمية تقوم على بُعدين متمايزين: أولهما يتصل بالإجراءات ذاتها من حيث شفافيتها واتساقها وسرعة الفصل في الدعاوى، وثانيهما يتصل بعدالة الأحكام الصادرة عنها. فالذكاء الاصطناعي قد يدعم البُعد الأول بما يوفره من اتساق وسرعة، وبما يتيحه نشر الأحكام إلكترونياً من شفافية تزرع الثقة في القضاء، غير أن الخلل التقني أو تحيز البيانات قد يفضي إلى أحكام غير عادلة تنال من قبول الأفراد للأنظمة القضائية وثقتهم بها، وهو ما حدا بالميثاق الأخلاقي الأوروبي لاستخدام الذكاء الاصطناعي في الأنظمة القضائية الصادر عن مجلس أوروبا عام 2018م إلى تقرير مبادئ الشفافية والحياد وعدم التمييز ضماناً لهذه الثقة.</w:t>
      </w:r>
      <w:r>
        <w:rPr>
          <w:rtl/>
        </w:rPr>
        <w:footnoteReference w:id="113"/>
      </w:r>
    </w:p>
    <w:p w14:paraId="3B9B3A8A"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بعض الباحثين أن الدول التي أفصحت مبكراً عن توظيف الذكاء الاصطناعي في منظومتها القضائية واجهت مقاومة شعبية أولية تلاشت تدريجياً حين لمس المتقاضون تحسناً </w:t>
      </w:r>
      <w:r>
        <w:rPr>
          <w:rFonts w:asciiTheme="majorBidi" w:hAnsiTheme="majorBidi" w:cstheme="majorBidi"/>
          <w:sz w:val="24"/>
          <w:szCs w:val="24"/>
          <w:rtl/>
        </w:rPr>
        <w:lastRenderedPageBreak/>
        <w:t>فعلياً في سرعة البت بالقضايا وعدالة توزيع المواعيد، مما يُشير إلى أن الشفافية والنتائج الملموسة هما الكفيلان ببناء ثقة مستدامة في العدالة الرقمية.</w:t>
      </w:r>
    </w:p>
    <w:p w14:paraId="4D218A3D" w14:textId="77777777" w:rsidR="00D57654" w:rsidRDefault="00000000"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بعض الباحثين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p>
    <w:p w14:paraId="1AC1124A"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BE76956"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77C0FAE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416586A5" w14:textId="77777777" w:rsidR="000003D3" w:rsidRPr="000003D3" w:rsidRDefault="000003D3" w:rsidP="000D4B35">
      <w:pPr>
        <w:jc w:val="right"/>
        <w:rPr>
          <w:rFonts w:asciiTheme="majorBidi" w:hAnsiTheme="majorBidi" w:cstheme="majorBidi"/>
          <w:sz w:val="24"/>
          <w:szCs w:val="24"/>
        </w:rPr>
      </w:pPr>
    </w:p>
    <w:p w14:paraId="6EEB39FC"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511C74C7"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4BB8D66D" w14:textId="77777777" w:rsidR="00C41E32" w:rsidRDefault="00000000" w:rsidP="000D4B35">
      <w:pPr>
        <w:bidi/>
        <w:jc w:val="both"/>
        <w:rPr>
          <w:rFonts w:asciiTheme="majorBidi" w:hAnsiTheme="majorBidi" w:cstheme="majorBidi"/>
          <w:sz w:val="24"/>
          <w:szCs w:val="24"/>
          <w:rtl/>
        </w:rPr>
      </w:pPr>
      <w:r>
        <w:rPr>
          <w:rFonts w:asciiTheme="majorBidi" w:hAnsiTheme="majorBidi" w:cstheme="majorBidi"/>
          <w:sz w:val="24"/>
          <w:szCs w:val="24"/>
          <w:rtl/>
        </w:rPr>
        <w:lastRenderedPageBreak/>
        <w:t>وفي تأكيد نتائج هذا التحليل، خلص بعض الباحثين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14"/>
      </w:r>
    </w:p>
    <w:p w14:paraId="0D06EF2A"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5E11D062"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6C742D4B"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بعض الباحثين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p>
    <w:p w14:paraId="3F6199A6" w14:textId="77777777" w:rsidR="00624037" w:rsidRPr="00E33F20" w:rsidRDefault="00624037" w:rsidP="00624037">
      <w:pPr>
        <w:pStyle w:val="1"/>
        <w:pageBreakBefore/>
        <w:jc w:val="center"/>
        <w:rPr>
          <w:rFonts w:asciiTheme="majorBidi" w:hAnsiTheme="majorBidi"/>
          <w:b/>
          <w:bCs/>
          <w:color w:val="002060"/>
          <w:sz w:val="32"/>
          <w:szCs w:val="32"/>
        </w:rPr>
      </w:pPr>
      <w:bookmarkStart w:id="23" w:name="_Toc237071375"/>
      <w:r w:rsidRPr="00E33F20">
        <w:rPr>
          <w:rFonts w:asciiTheme="majorBidi" w:hAnsiTheme="majorBidi"/>
          <w:b/>
          <w:bCs/>
          <w:color w:val="002060"/>
          <w:sz w:val="32"/>
          <w:szCs w:val="32"/>
          <w:rtl/>
        </w:rPr>
        <w:lastRenderedPageBreak/>
        <w:t xml:space="preserve">الفصل </w:t>
      </w:r>
      <w:r w:rsidRPr="00E33F20">
        <w:rPr>
          <w:rFonts w:asciiTheme="majorBidi" w:hAnsiTheme="majorBidi" w:hint="cs"/>
          <w:b/>
          <w:bCs/>
          <w:color w:val="002060"/>
          <w:sz w:val="32"/>
          <w:szCs w:val="32"/>
          <w:rtl/>
        </w:rPr>
        <w:t>الثاني</w:t>
      </w:r>
      <w:bookmarkEnd w:id="23"/>
    </w:p>
    <w:p w14:paraId="1E5055D1" w14:textId="77777777" w:rsidR="00624037" w:rsidRPr="00E33F20" w:rsidRDefault="00994DA4" w:rsidP="00994DA4">
      <w:pPr>
        <w:pStyle w:val="1"/>
        <w:jc w:val="center"/>
        <w:rPr>
          <w:rFonts w:asciiTheme="majorBidi" w:hAnsiTheme="majorBidi"/>
          <w:b/>
          <w:bCs/>
          <w:color w:val="002060"/>
          <w:sz w:val="28"/>
          <w:szCs w:val="28"/>
        </w:rPr>
      </w:pPr>
      <w:bookmarkStart w:id="24" w:name="_Toc237071376"/>
      <w:r w:rsidRPr="00E33F20">
        <w:rPr>
          <w:rFonts w:asciiTheme="majorBidi" w:hAnsiTheme="majorBidi" w:hint="cs"/>
          <w:b/>
          <w:bCs/>
          <w:color w:val="002060"/>
          <w:sz w:val="28"/>
          <w:szCs w:val="28"/>
          <w:rtl/>
        </w:rPr>
        <w:t>ا</w:t>
      </w:r>
      <w:r w:rsidRPr="00E33F20">
        <w:rPr>
          <w:rFonts w:asciiTheme="majorBidi" w:hAnsiTheme="majorBidi"/>
          <w:b/>
          <w:bCs/>
          <w:color w:val="002060"/>
          <w:sz w:val="28"/>
          <w:szCs w:val="28"/>
          <w:rtl/>
        </w:rPr>
        <w:t>لتكييف القانوني والفقهي لمخرجات الذكاء الاصطناعي والمسؤولية النظامية والمهنية للمحامي عند توظيفها في مكاتب المحاماة</w:t>
      </w:r>
      <w:bookmarkEnd w:id="24"/>
    </w:p>
    <w:p w14:paraId="0AF8E49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15"/>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0966D233"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489A915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16"/>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6CC7AEB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17"/>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الأسيوطي</w:t>
      </w:r>
      <w:r>
        <w:rPr>
          <w:rStyle w:val="af"/>
          <w:rFonts w:asciiTheme="majorBidi" w:hAnsiTheme="majorBidi" w:cstheme="majorBidi"/>
          <w:sz w:val="24"/>
          <w:szCs w:val="24"/>
          <w:rtl/>
        </w:rPr>
        <w:footnoteReference w:id="118"/>
      </w:r>
      <w:r>
        <w:rPr>
          <w:rFonts w:asciiTheme="majorBidi" w:hAnsiTheme="majorBidi" w:cstheme="majorBidi"/>
          <w:sz w:val="24"/>
          <w:szCs w:val="24"/>
          <w:rtl/>
        </w:rPr>
        <w:t xml:space="preserve">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p>
    <w:p w14:paraId="4387A8EF"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19"/>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4668A0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تتراوح بين إنكار الشخصية القانونية المستقلة للذكاء الاصطناعي وإبقاء المسؤولية لصيقة بمن يمارس الرقابة عليه، والدعوة إلى تدخل تشريعي يضبط المسؤولية المهنية الناشئة عن استخدامه، على ما سيأتي تفصيله في مواضعه من هذا الفصل</w:t>
      </w:r>
      <w:r>
        <w:rPr>
          <w:rStyle w:val="af"/>
          <w:rFonts w:asciiTheme="majorBidi" w:hAnsiTheme="majorBidi" w:cstheme="majorBidi"/>
          <w:sz w:val="24"/>
          <w:szCs w:val="24"/>
          <w:rtl/>
        </w:rPr>
        <w:footnoteReference w:id="120"/>
      </w:r>
      <w:r>
        <w:rPr>
          <w:rFonts w:asciiTheme="majorBidi" w:hAnsiTheme="majorBidi" w:cstheme="majorBidi"/>
          <w:sz w:val="24"/>
          <w:szCs w:val="24"/>
          <w:rtl/>
        </w:rPr>
        <w:t>.</w:t>
      </w:r>
    </w:p>
    <w:p w14:paraId="36E91478"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مرسي</w:t>
      </w:r>
      <w:r>
        <w:rPr>
          <w:rStyle w:val="af"/>
          <w:rFonts w:asciiTheme="majorBidi" w:hAnsiTheme="majorBidi" w:cstheme="majorBidi"/>
          <w:sz w:val="24"/>
          <w:szCs w:val="24"/>
          <w:rtl/>
        </w:rPr>
        <w:footnoteReference w:id="121"/>
      </w:r>
      <w:r>
        <w:rPr>
          <w:rFonts w:asciiTheme="majorBidi" w:hAnsiTheme="majorBidi" w:cstheme="majorBidi"/>
          <w:sz w:val="24"/>
          <w:szCs w:val="24"/>
          <w:rtl/>
        </w:rPr>
        <w:t xml:space="preserve"> مدى ملاءمة عقود الذكاء الاصطناعي المبرمة عبر تقنية البلوك تشين لقانون العقود، مؤكدًا أن الإشكال لا يكمن في الوسيلة التقنية ذاتها، بل في مدى تحقق الإرادة النظامية وانعكاسها الصحيح في صيغة العقد. كما بيّنت دراسة علي سعاد حسني </w:t>
      </w:r>
      <w:r>
        <w:rPr>
          <w:rStyle w:val="af"/>
          <w:rFonts w:asciiTheme="majorBidi" w:hAnsiTheme="majorBidi" w:cstheme="majorBidi"/>
          <w:sz w:val="24"/>
          <w:szCs w:val="24"/>
          <w:rtl/>
        </w:rPr>
        <w:footnoteReference w:id="122"/>
      </w:r>
      <w:r>
        <w:rPr>
          <w:rFonts w:asciiTheme="majorBidi" w:hAnsiTheme="majorBidi" w:cstheme="majorBidi"/>
          <w:sz w:val="24"/>
          <w:szCs w:val="24"/>
          <w:rtl/>
        </w:rPr>
        <w:t xml:space="preserve">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p>
    <w:p w14:paraId="26C31098"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بعض الباحثين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24605842"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w:t>
      </w:r>
      <w:r>
        <w:rPr>
          <w:rStyle w:val="af"/>
          <w:rFonts w:asciiTheme="majorBidi" w:hAnsiTheme="majorBidi" w:cstheme="majorBidi"/>
          <w:sz w:val="24"/>
          <w:szCs w:val="24"/>
          <w:rtl/>
        </w:rPr>
        <w:footnoteReference w:id="123"/>
      </w:r>
      <w:r>
        <w:rPr>
          <w:rFonts w:asciiTheme="majorBidi" w:hAnsiTheme="majorBidi" w:cstheme="majorBidi"/>
          <w:sz w:val="24"/>
          <w:szCs w:val="24"/>
          <w:rtl/>
        </w:rPr>
        <w:t>، كما شدد إطار تبني الذكاء الاصطناعي على حوكمة الاستخدام ووضوح الأدوار والمسؤوليات داخل الجهات. ويُفهم من ذلك أن الاتجاه الوطني لا يميل إلى إسناد الفعل إلى التقنية ذاتها، بل إلى تثبيت المسؤولية في يد الإنسان.</w:t>
      </w:r>
    </w:p>
    <w:p w14:paraId="1F26A8E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292B7AD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بعض الباحثين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24"/>
      </w:r>
    </w:p>
    <w:p w14:paraId="041475C8"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تطور معيار العناية المهنية في ظل الذكاء الاصطناعي، خلص بعض الباحثين إلى أن هذا المعيار يشهد تحولاً من معيار المحامي الذي يُتقن القانون إلى معيار المحامي الذي يُتقن القانون ويُحسن توظيف أدواته الرقمية بمسؤولية، مُستشهداً بأن بعض نقابات المحامين الأوروبية بات يُدرج الكفاءة الرقمية ضمن متطلبات الترخيص المهني وشروط التجديد الدوري.</w:t>
      </w:r>
    </w:p>
    <w:p w14:paraId="1FF72DCF"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بعض الباحثين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p>
    <w:p w14:paraId="68A521DB"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lastRenderedPageBreak/>
        <w:t>وتجدر الإشارة هنا إلى تطور معيار العناية المهنية في الممارسة المقارنة؛ إذ يرصد الباحث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25"/>
      </w:r>
    </w:p>
    <w:p w14:paraId="2210CF9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79F87F1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4D3067C7" w14:textId="77777777" w:rsidR="00624037" w:rsidRDefault="00624037" w:rsidP="00624037">
      <w:pPr>
        <w:jc w:val="right"/>
        <w:rPr>
          <w:rFonts w:asciiTheme="majorBidi" w:hAnsiTheme="majorBidi" w:cstheme="majorBidi"/>
          <w:sz w:val="24"/>
          <w:szCs w:val="24"/>
        </w:rPr>
      </w:pPr>
    </w:p>
    <w:p w14:paraId="550A0FA3" w14:textId="77777777" w:rsidR="00624037" w:rsidRDefault="00624037" w:rsidP="00624037">
      <w:pPr>
        <w:rPr>
          <w:rFonts w:asciiTheme="majorBidi" w:hAnsiTheme="majorBidi" w:cstheme="majorBidi"/>
          <w:sz w:val="24"/>
          <w:szCs w:val="24"/>
        </w:rPr>
      </w:pPr>
    </w:p>
    <w:p w14:paraId="7E06D1F4" w14:textId="77777777" w:rsidR="00624037" w:rsidRDefault="00624037" w:rsidP="00624037">
      <w:pPr>
        <w:jc w:val="right"/>
        <w:rPr>
          <w:rFonts w:asciiTheme="majorBidi" w:hAnsiTheme="majorBidi" w:cstheme="majorBidi"/>
          <w:sz w:val="24"/>
          <w:szCs w:val="24"/>
        </w:rPr>
      </w:pPr>
    </w:p>
    <w:p w14:paraId="66B17380" w14:textId="77777777" w:rsidR="00624037" w:rsidRPr="000A2E06" w:rsidRDefault="00624037" w:rsidP="00624037">
      <w:pPr>
        <w:pStyle w:val="2"/>
        <w:jc w:val="center"/>
        <w:rPr>
          <w:rFonts w:asciiTheme="majorBidi" w:hAnsiTheme="majorBidi"/>
          <w:b/>
          <w:bCs/>
        </w:rPr>
      </w:pPr>
      <w:bookmarkStart w:id="25" w:name="_Toc237071377"/>
      <w:r>
        <w:rPr>
          <w:rFonts w:asciiTheme="majorBidi" w:hAnsiTheme="majorBidi"/>
          <w:b/>
          <w:bCs/>
          <w:rtl/>
        </w:rPr>
        <w:t>المبحث الأول</w:t>
      </w:r>
      <w:bookmarkEnd w:id="25"/>
    </w:p>
    <w:p w14:paraId="40A8EB10" w14:textId="77777777" w:rsidR="00624037" w:rsidRPr="000A2E06" w:rsidRDefault="00624037" w:rsidP="00624037">
      <w:pPr>
        <w:pStyle w:val="2"/>
        <w:jc w:val="center"/>
        <w:rPr>
          <w:rFonts w:asciiTheme="majorBidi" w:hAnsiTheme="majorBidi"/>
          <w:b/>
          <w:bCs/>
        </w:rPr>
      </w:pPr>
      <w:bookmarkStart w:id="26" w:name="_Toc237071378"/>
      <w:r>
        <w:rPr>
          <w:rFonts w:asciiTheme="majorBidi" w:hAnsiTheme="majorBidi"/>
          <w:b/>
          <w:bCs/>
          <w:rtl/>
        </w:rPr>
        <w:t>التكييف النظامي والفقهي للمخرجات الذكية</w:t>
      </w:r>
      <w:bookmarkEnd w:id="26"/>
    </w:p>
    <w:p w14:paraId="2B4E9E6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02209EB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26"/>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38762B53"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w:t>
      </w:r>
      <w:r>
        <w:rPr>
          <w:rFonts w:asciiTheme="majorBidi" w:hAnsiTheme="majorBidi" w:cstheme="majorBidi"/>
          <w:sz w:val="24"/>
          <w:szCs w:val="24"/>
          <w:rtl/>
        </w:rPr>
        <w:lastRenderedPageBreak/>
        <w:t>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2868DC42"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27"/>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59D696EF"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بعض الباحثين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28"/>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18692931"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(1444هـ/2023م)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29"/>
      </w:r>
    </w:p>
    <w:p w14:paraId="155DF287"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502DE196" w14:textId="77777777" w:rsidR="00D57654" w:rsidRDefault="00000000" w:rsidP="000D4B35">
      <w:pPr>
        <w:jc w:val="right"/>
        <w:rPr>
          <w:rFonts w:asciiTheme="majorBidi" w:hAnsiTheme="majorBidi" w:cstheme="majorBidi"/>
          <w:sz w:val="24"/>
          <w:szCs w:val="24"/>
          <w:rtl/>
        </w:rPr>
      </w:pPr>
      <w:r>
        <w:rPr>
          <w:rFonts w:asciiTheme="majorBidi" w:hAnsiTheme="majorBidi" w:cstheme="majorBidi"/>
          <w:sz w:val="24"/>
          <w:szCs w:val="24"/>
          <w:rtl/>
        </w:rPr>
        <w:t>ويتأكد هذا القيد بما توجبه المادة (الحادية عشرة) من نظام حماية البيانات الشخصية من أن يكون الغرض من جمع البيانات محددًا وذا علاقة مباشرة بأغراض جهة التحكم، مع التزام مبدأ التناسب بين حجم البيانات المُعالَجة والغرض القانوني المشروع من معالجتها</w:t>
      </w:r>
      <w:r>
        <w:rPr>
          <w:rStyle w:val="af"/>
          <w:rFonts w:asciiTheme="majorBidi" w:hAnsiTheme="majorBidi" w:cstheme="majorBidi"/>
          <w:sz w:val="24"/>
          <w:szCs w:val="24"/>
          <w:rtl/>
        </w:rPr>
        <w:footnoteReference w:id="130"/>
      </w:r>
      <w:r>
        <w:rPr>
          <w:rFonts w:asciiTheme="majorBidi" w:hAnsiTheme="majorBidi" w:cstheme="majorBidi"/>
          <w:sz w:val="24"/>
          <w:szCs w:val="24"/>
          <w:rtl/>
        </w:rPr>
        <w:t>.</w:t>
      </w:r>
    </w:p>
    <w:p w14:paraId="0B34085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وتتصل هذه الالتزامات بالإطار الوطني لحوكمة الذكاء الاصطناعي المشار إليه في تمهيد هذا الفصل؛ وما أكدته وثائق سدايا من مبادئ المساءلة والشفافية ووضوح الأدوار والمسؤوليات</w:t>
      </w:r>
      <w:r>
        <w:rPr>
          <w:rStyle w:val="af"/>
          <w:rFonts w:asciiTheme="majorBidi" w:hAnsiTheme="majorBidi" w:cstheme="majorBidi"/>
          <w:sz w:val="24"/>
          <w:szCs w:val="24"/>
          <w:rtl/>
        </w:rPr>
        <w:footnoteReference w:id="131"/>
      </w:r>
      <w:r>
        <w:rPr>
          <w:rFonts w:asciiTheme="majorBidi" w:hAnsiTheme="majorBidi" w:cstheme="majorBidi"/>
          <w:sz w:val="24"/>
          <w:szCs w:val="24"/>
          <w:rtl/>
        </w:rPr>
        <w:t>.</w:t>
      </w:r>
    </w:p>
    <w:p w14:paraId="6630CB1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عالجت الدراسات القانونية الحديثة هذه المسألة من زوايا متعددة؛ فيرى اتجاهٌ أن الذكاء الاصطناعي لا يُعد شخصًا قانونيًا مستقلًا، وأن المسؤولية تبقى لصيقة بالمستخدم أو المشغل الذي يمارس الرقابة عليه. وفي سياق موازٍ، نبه عبد اللطيف إلى أن هذه التطورات تستدعي تدخلاً من جانب القانون لمواجهتها وضبط المسؤولية </w:t>
      </w:r>
      <w:r>
        <w:rPr>
          <w:rFonts w:asciiTheme="majorBidi" w:hAnsiTheme="majorBidi" w:cstheme="majorBidi"/>
          <w:sz w:val="24"/>
          <w:szCs w:val="24"/>
          <w:rtl/>
        </w:rPr>
        <w:lastRenderedPageBreak/>
        <w:t>المهنية الناشئة عن استخدام الأنظمة الذكية</w:t>
      </w:r>
      <w:r>
        <w:rPr>
          <w:rStyle w:val="af"/>
          <w:rFonts w:asciiTheme="majorBidi" w:hAnsiTheme="majorBidi" w:cstheme="majorBidi"/>
          <w:sz w:val="24"/>
          <w:szCs w:val="24"/>
          <w:rtl/>
        </w:rPr>
        <w:footnoteReference w:id="132"/>
      </w:r>
      <w:r>
        <w:rPr>
          <w:rFonts w:asciiTheme="majorBidi" w:hAnsiTheme="majorBidi" w:cstheme="majorBidi"/>
          <w:sz w:val="24"/>
          <w:szCs w:val="24"/>
          <w:rtl/>
        </w:rPr>
        <w:t>. كما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w:t>
      </w:r>
    </w:p>
    <w:p w14:paraId="750561ED"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6A8AB3D0"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66210FFF"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1D6F96E2" w14:textId="77777777" w:rsidR="00355E75" w:rsidRDefault="00355E75" w:rsidP="00624037">
      <w:pPr>
        <w:jc w:val="right"/>
        <w:rPr>
          <w:rFonts w:asciiTheme="majorBidi" w:hAnsiTheme="majorBidi" w:cstheme="majorBidi"/>
          <w:sz w:val="24"/>
          <w:szCs w:val="24"/>
          <w:rtl/>
        </w:rPr>
      </w:pPr>
    </w:p>
    <w:p w14:paraId="5CFC2F7F" w14:textId="77777777" w:rsidR="00355E75" w:rsidRDefault="00355E75" w:rsidP="00624037">
      <w:pPr>
        <w:jc w:val="right"/>
        <w:rPr>
          <w:rFonts w:asciiTheme="majorBidi" w:hAnsiTheme="majorBidi" w:cstheme="majorBidi"/>
          <w:sz w:val="24"/>
          <w:szCs w:val="24"/>
        </w:rPr>
      </w:pPr>
    </w:p>
    <w:p w14:paraId="51B6FB58" w14:textId="77777777" w:rsidR="004E4D2E" w:rsidRDefault="004E4D2E" w:rsidP="00624037">
      <w:pPr>
        <w:jc w:val="right"/>
        <w:rPr>
          <w:rFonts w:asciiTheme="majorBidi" w:hAnsiTheme="majorBidi" w:cstheme="majorBidi"/>
          <w:sz w:val="24"/>
          <w:szCs w:val="24"/>
        </w:rPr>
      </w:pPr>
    </w:p>
    <w:p w14:paraId="73D5417F" w14:textId="77777777" w:rsidR="004E4D2E" w:rsidRDefault="004E4D2E" w:rsidP="00624037">
      <w:pPr>
        <w:jc w:val="right"/>
        <w:rPr>
          <w:rFonts w:asciiTheme="majorBidi" w:hAnsiTheme="majorBidi" w:cstheme="majorBidi"/>
          <w:sz w:val="24"/>
          <w:szCs w:val="24"/>
        </w:rPr>
      </w:pPr>
    </w:p>
    <w:p w14:paraId="573E9FDE" w14:textId="77777777" w:rsidR="004E4D2E" w:rsidRDefault="004E4D2E" w:rsidP="00624037">
      <w:pPr>
        <w:jc w:val="right"/>
        <w:rPr>
          <w:rFonts w:asciiTheme="majorBidi" w:hAnsiTheme="majorBidi" w:cstheme="majorBidi"/>
          <w:sz w:val="24"/>
          <w:szCs w:val="24"/>
        </w:rPr>
      </w:pPr>
    </w:p>
    <w:p w14:paraId="1887F5DF" w14:textId="77777777" w:rsidR="00BB08F4" w:rsidRDefault="00BB08F4" w:rsidP="00624037">
      <w:pPr>
        <w:jc w:val="right"/>
        <w:rPr>
          <w:rFonts w:asciiTheme="majorBidi" w:hAnsiTheme="majorBidi" w:cstheme="majorBidi"/>
          <w:sz w:val="24"/>
          <w:szCs w:val="24"/>
          <w:rtl/>
        </w:rPr>
      </w:pPr>
    </w:p>
    <w:p w14:paraId="32F026E8" w14:textId="77777777" w:rsidR="00624037" w:rsidRPr="000A2E06" w:rsidRDefault="00624037" w:rsidP="00624037">
      <w:pPr>
        <w:jc w:val="right"/>
        <w:rPr>
          <w:rFonts w:asciiTheme="majorBidi" w:hAnsiTheme="majorBidi" w:cstheme="majorBidi"/>
          <w:sz w:val="24"/>
          <w:szCs w:val="24"/>
        </w:rPr>
      </w:pPr>
    </w:p>
    <w:p w14:paraId="42116347" w14:textId="77777777" w:rsidR="00624037" w:rsidRPr="00850F57" w:rsidRDefault="00624037" w:rsidP="00624037">
      <w:pPr>
        <w:pStyle w:val="3"/>
        <w:jc w:val="center"/>
        <w:rPr>
          <w:rFonts w:asciiTheme="majorBidi" w:hAnsiTheme="majorBidi"/>
          <w:b/>
          <w:bCs/>
          <w:sz w:val="32"/>
          <w:szCs w:val="32"/>
        </w:rPr>
      </w:pPr>
      <w:bookmarkStart w:id="27" w:name="_Toc237071379"/>
      <w:r>
        <w:rPr>
          <w:rFonts w:asciiTheme="majorBidi" w:hAnsiTheme="majorBidi"/>
          <w:b/>
          <w:bCs/>
          <w:sz w:val="32"/>
          <w:szCs w:val="32"/>
          <w:rtl/>
        </w:rPr>
        <w:t>المطلب الأول</w:t>
      </w:r>
      <w:bookmarkEnd w:id="27"/>
    </w:p>
    <w:p w14:paraId="301A8232" w14:textId="77777777" w:rsidR="00624037" w:rsidRDefault="00624037" w:rsidP="00624037">
      <w:pPr>
        <w:pStyle w:val="3"/>
        <w:jc w:val="center"/>
        <w:rPr>
          <w:rFonts w:asciiTheme="majorBidi" w:hAnsiTheme="majorBidi"/>
          <w:b/>
          <w:bCs/>
          <w:sz w:val="32"/>
          <w:szCs w:val="32"/>
          <w:rtl/>
        </w:rPr>
      </w:pPr>
      <w:bookmarkStart w:id="28" w:name="_Toc237071380"/>
      <w:r>
        <w:rPr>
          <w:rFonts w:asciiTheme="majorBidi" w:hAnsiTheme="majorBidi"/>
          <w:b/>
          <w:bCs/>
          <w:sz w:val="32"/>
          <w:szCs w:val="32"/>
          <w:rtl/>
        </w:rPr>
        <w:t>حجية العقود والتقارير القانونية المنتجة آليًا</w:t>
      </w:r>
      <w:bookmarkEnd w:id="28"/>
    </w:p>
    <w:p w14:paraId="0401851F" w14:textId="77777777" w:rsidR="00624037" w:rsidRPr="00850F57" w:rsidRDefault="00624037" w:rsidP="00624037">
      <w:pPr>
        <w:jc w:val="center"/>
        <w:rPr>
          <w:rFonts w:asciiTheme="majorBidi" w:hAnsiTheme="majorBidi" w:cstheme="majorBidi"/>
          <w:b/>
          <w:bCs/>
          <w:sz w:val="32"/>
          <w:szCs w:val="32"/>
        </w:rPr>
      </w:pPr>
    </w:p>
    <w:p w14:paraId="495C9847"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004AC77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4FD2FA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6BEA350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301F6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3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4D56E718"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19EC7277" w14:textId="77777777" w:rsidR="00624037" w:rsidRPr="00850F57" w:rsidRDefault="00624037" w:rsidP="00624037">
      <w:pPr>
        <w:jc w:val="right"/>
        <w:rPr>
          <w:rFonts w:asciiTheme="majorBidi" w:hAnsiTheme="majorBidi" w:cstheme="majorBidi"/>
          <w:sz w:val="24"/>
          <w:szCs w:val="24"/>
        </w:rPr>
      </w:pPr>
    </w:p>
    <w:p w14:paraId="1EF0048B"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8EAFCA5"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معالجةَ القانون للأفعال الضارة الصادرة عن أنظمة الذكاء الاصطناعي بإرجاعها إلى وكيلٍ بشري عنها — منتجًا كان أو مبرمجًا أو مستخدمًا — وتوزيع المسؤولية عنها بين أسسٍ عقدية وتقصيرية وموضوعية؛ وهو ما يؤكد أن القانون ما زال يُعوّل على الإنسان بوصفه المرجع الأول في تحمُّل الحقوق والالتزامات الناجمة عن استخدام هذه التقنيات.</w:t>
      </w:r>
      <w:r>
        <w:rPr>
          <w:rStyle w:val="af"/>
          <w:rFonts w:asciiTheme="majorBidi" w:hAnsiTheme="majorBidi" w:cstheme="majorBidi"/>
          <w:sz w:val="24"/>
          <w:szCs w:val="24"/>
          <w:rtl/>
        </w:rPr>
        <w:footnoteReference w:id="134"/>
      </w:r>
    </w:p>
    <w:p w14:paraId="69EB2FF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7E9BF177"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3F8B612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w:t>
      </w:r>
      <w:r>
        <w:rPr>
          <w:rStyle w:val="af"/>
          <w:rFonts w:asciiTheme="majorBidi" w:hAnsiTheme="majorBidi" w:cstheme="majorBidi"/>
          <w:sz w:val="24"/>
          <w:szCs w:val="24"/>
          <w:rtl/>
        </w:rPr>
        <w:footnoteReference w:id="13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p>
    <w:p w14:paraId="611B3058"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 xml:space="preserve">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w:t>
      </w:r>
      <w:r>
        <w:rPr>
          <w:rFonts w:asciiTheme="majorBidi" w:hAnsiTheme="majorBidi" w:cstheme="majorBidi"/>
          <w:sz w:val="24"/>
          <w:szCs w:val="24"/>
          <w:rtl/>
        </w:rPr>
        <w:lastRenderedPageBreak/>
        <w:t>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6B1A80A0" w14:textId="77777777" w:rsidR="00624037" w:rsidRPr="00850F57" w:rsidRDefault="00624037" w:rsidP="00624037">
      <w:pPr>
        <w:jc w:val="right"/>
        <w:rPr>
          <w:rFonts w:asciiTheme="majorBidi" w:hAnsiTheme="majorBidi" w:cstheme="majorBidi"/>
          <w:sz w:val="24"/>
          <w:szCs w:val="24"/>
        </w:rPr>
      </w:pPr>
    </w:p>
    <w:p w14:paraId="72C5601A"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1904A787"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w:t>
      </w:r>
      <w:r>
        <w:rPr>
          <w:rStyle w:val="af"/>
          <w:rFonts w:asciiTheme="majorBidi" w:hAnsiTheme="majorBidi" w:cstheme="majorBidi"/>
          <w:sz w:val="24"/>
          <w:szCs w:val="24"/>
          <w:rtl/>
        </w:rPr>
        <w:footnoteReference w:id="13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p>
    <w:p w14:paraId="629BB70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0AC9E20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بعض الباحثين</w:t>
      </w:r>
      <w:r>
        <w:rPr>
          <w:rStyle w:val="af"/>
          <w:rFonts w:asciiTheme="majorBidi" w:hAnsiTheme="majorBidi" w:cstheme="majorBidi"/>
          <w:sz w:val="24"/>
          <w:szCs w:val="24"/>
          <w:rtl/>
        </w:rPr>
        <w:footnoteReference w:id="13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7DF1403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2B399317"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5ACC9ED0" w14:textId="77777777" w:rsidR="00624037" w:rsidRDefault="00624037" w:rsidP="00624037">
      <w:pPr>
        <w:jc w:val="right"/>
        <w:rPr>
          <w:rFonts w:asciiTheme="majorBidi" w:hAnsiTheme="majorBidi" w:cstheme="majorBidi"/>
          <w:sz w:val="24"/>
          <w:szCs w:val="24"/>
        </w:rPr>
      </w:pPr>
    </w:p>
    <w:p w14:paraId="76F57A02" w14:textId="77777777" w:rsidR="004E4D2E" w:rsidRDefault="004E4D2E" w:rsidP="00624037">
      <w:pPr>
        <w:jc w:val="right"/>
        <w:rPr>
          <w:rFonts w:asciiTheme="majorBidi" w:hAnsiTheme="majorBidi" w:cstheme="majorBidi"/>
          <w:sz w:val="24"/>
          <w:szCs w:val="24"/>
        </w:rPr>
      </w:pPr>
    </w:p>
    <w:p w14:paraId="4256A6DF" w14:textId="77777777" w:rsidR="00624037" w:rsidRPr="00850F57" w:rsidRDefault="00624037" w:rsidP="00624037">
      <w:pPr>
        <w:jc w:val="right"/>
        <w:rPr>
          <w:rFonts w:asciiTheme="majorBidi" w:hAnsiTheme="majorBidi" w:cstheme="majorBidi"/>
          <w:sz w:val="24"/>
          <w:szCs w:val="24"/>
        </w:rPr>
      </w:pPr>
    </w:p>
    <w:p w14:paraId="114C9481"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رابعًا: العقود الذكية والتنفيذ المؤتمت</w:t>
      </w:r>
    </w:p>
    <w:p w14:paraId="41E9C406" w14:textId="77777777" w:rsidR="00841BC7" w:rsidRPr="00E33F20" w:rsidRDefault="00000000" w:rsidP="00BB08F4">
      <w:pPr>
        <w:spacing w:after="200" w:line="276" w:lineRule="auto"/>
        <w:jc w:val="right"/>
        <w:rPr>
          <w:rFonts w:asciiTheme="majorBidi" w:hAnsiTheme="majorBidi" w:cstheme="majorBidi"/>
          <w:color w:val="000000" w:themeColor="text1"/>
          <w:sz w:val="24"/>
          <w:szCs w:val="24"/>
        </w:rPr>
      </w:pPr>
      <w:r w:rsidRPr="00E33F20">
        <w:rPr>
          <w:rFonts w:asciiTheme="majorBidi" w:hAnsiTheme="majorBidi" w:cstheme="majorBidi"/>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4011E5A2"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38"/>
      </w:r>
    </w:p>
    <w:p w14:paraId="09A34E53"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lastRenderedPageBreak/>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39"/>
      </w:r>
    </w:p>
    <w:p w14:paraId="59006AC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بعض الباحثين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40"/>
      </w:r>
      <w:r>
        <w:rPr>
          <w:rFonts w:asciiTheme="majorBidi" w:hAnsiTheme="majorBidi" w:cstheme="majorBidi"/>
          <w:sz w:val="24"/>
          <w:szCs w:val="24"/>
          <w:rtl/>
        </w:rPr>
        <w:t>. كما أكد بعض الباحثين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000DC0C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p>
    <w:p w14:paraId="2AA902EF"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30E25B99" w14:textId="77777777" w:rsidR="00624037" w:rsidRPr="00850F57" w:rsidRDefault="00624037" w:rsidP="00624037">
      <w:pPr>
        <w:jc w:val="right"/>
        <w:rPr>
          <w:rFonts w:asciiTheme="majorBidi" w:hAnsiTheme="majorBidi" w:cstheme="majorBidi"/>
          <w:sz w:val="24"/>
          <w:szCs w:val="24"/>
          <w:rtl/>
        </w:rPr>
      </w:pPr>
    </w:p>
    <w:p w14:paraId="76E0DCB6"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2B80340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705962A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بعض الباحثين مسألة الاعتراف بالشخصية القانونية للذكاء الاصطناعي، وانتهى إلى أن منح التقنية ذمة مستقلة يقتضي إعادة بناء جوهرية لمفاهيم الأهلية والنسبة. ويبدو أن الأقرب للتكييف هو اعتبار النظام الذكي أداة تنفيذية تُنسب آثارها إلى من فعّلها.</w:t>
      </w:r>
    </w:p>
    <w:p w14:paraId="3029DC7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50FC4FC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7A8E1B46"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38B9484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3716FC1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07D2344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أشار بعض الباحثين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262C88E5"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158C91C2" w14:textId="77777777" w:rsidR="00624037" w:rsidRPr="00850F57" w:rsidRDefault="00624037" w:rsidP="00624037">
      <w:pPr>
        <w:jc w:val="right"/>
        <w:rPr>
          <w:rFonts w:asciiTheme="majorBidi" w:hAnsiTheme="majorBidi" w:cstheme="majorBidi"/>
          <w:sz w:val="24"/>
          <w:szCs w:val="24"/>
          <w:rtl/>
        </w:rPr>
      </w:pPr>
    </w:p>
    <w:p w14:paraId="4CC08DC7"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120BDE0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6C51074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بحث عبد اللطيف مسألة ضبط المسؤولية في ظل استخدام الأنظمة الذكية، مؤكداً ضرورة بناء إطار يوازن بين الاستفادة من التقنية وتحديد تبعة مخاطرها</w:t>
      </w:r>
      <w:r>
        <w:rPr>
          <w:rStyle w:val="af"/>
          <w:rFonts w:asciiTheme="majorBidi" w:hAnsiTheme="majorBidi" w:cstheme="majorBidi"/>
          <w:sz w:val="24"/>
          <w:szCs w:val="24"/>
          <w:rtl/>
        </w:rPr>
        <w:footnoteReference w:id="14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7B9242F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351F8227" w14:textId="77777777" w:rsidR="00624037" w:rsidRPr="00850F57" w:rsidRDefault="00624037" w:rsidP="00624037">
      <w:pPr>
        <w:jc w:val="right"/>
        <w:rPr>
          <w:rFonts w:asciiTheme="majorBidi" w:hAnsiTheme="majorBidi" w:cstheme="majorBidi"/>
          <w:sz w:val="24"/>
          <w:szCs w:val="24"/>
        </w:rPr>
      </w:pPr>
    </w:p>
    <w:p w14:paraId="14D0E13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2C5CED0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3FDC43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ومن ثم فإن التقرير القانوني – سواء أكان بشريًا أم مدعومًا بخوارزمية – لا يتمتع بقوة إلزامية بذاته، بل يخضع للتقدير القضائي.</w:t>
      </w:r>
    </w:p>
    <w:p w14:paraId="395C4A7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24A0A53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 محمود وعناني من الإفراط في الاعتماد على التحليل الخوارزمي في العمل القضائي، لما قد يسببه من إضعاف للاجتهاد القضائي</w:t>
      </w:r>
      <w:r>
        <w:rPr>
          <w:rStyle w:val="af"/>
          <w:rFonts w:asciiTheme="majorBidi" w:hAnsiTheme="majorBidi" w:cstheme="majorBidi"/>
          <w:sz w:val="24"/>
          <w:szCs w:val="24"/>
          <w:rtl/>
        </w:rPr>
        <w:footnoteReference w:id="142"/>
      </w:r>
      <w:r>
        <w:rPr>
          <w:rFonts w:asciiTheme="majorBidi" w:hAnsiTheme="majorBidi" w:cstheme="majorBidi"/>
          <w:sz w:val="24"/>
          <w:szCs w:val="24"/>
          <w:rtl/>
        </w:rPr>
        <w:t>.</w:t>
      </w:r>
    </w:p>
    <w:p w14:paraId="41EE485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6D599E32" w14:textId="77777777" w:rsidR="00624037" w:rsidRPr="00850F57" w:rsidRDefault="00624037" w:rsidP="00624037">
      <w:pPr>
        <w:jc w:val="right"/>
        <w:rPr>
          <w:rFonts w:asciiTheme="majorBidi" w:hAnsiTheme="majorBidi" w:cstheme="majorBidi"/>
          <w:sz w:val="24"/>
          <w:szCs w:val="24"/>
        </w:rPr>
      </w:pPr>
    </w:p>
    <w:p w14:paraId="2216E2A5"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19EC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w:t>
      </w:r>
    </w:p>
    <w:p w14:paraId="5035BD31"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1D3337F5"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50F6652E" w14:textId="77777777" w:rsidR="00624037" w:rsidRPr="00850F57" w:rsidRDefault="00624037" w:rsidP="00624037">
      <w:pPr>
        <w:jc w:val="right"/>
        <w:rPr>
          <w:rFonts w:asciiTheme="majorBidi" w:hAnsiTheme="majorBidi" w:cstheme="majorBidi"/>
          <w:sz w:val="24"/>
          <w:szCs w:val="24"/>
        </w:rPr>
      </w:pPr>
    </w:p>
    <w:p w14:paraId="179471E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34E161E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45750E3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التكوين الإرادي وفق نظام المعاملات المدنية</w:t>
      </w:r>
      <w:r>
        <w:rPr>
          <w:rStyle w:val="af"/>
          <w:rFonts w:asciiTheme="majorBidi" w:hAnsiTheme="majorBidi" w:cstheme="majorBidi"/>
          <w:sz w:val="24"/>
          <w:szCs w:val="24"/>
          <w:rtl/>
        </w:rPr>
        <w:footnoteReference w:id="143"/>
      </w:r>
      <w:r>
        <w:rPr>
          <w:rFonts w:asciiTheme="majorBidi" w:hAnsiTheme="majorBidi" w:cstheme="majorBidi"/>
          <w:sz w:val="24"/>
          <w:szCs w:val="24"/>
          <w:rtl/>
        </w:rPr>
        <w:t>.</w:t>
      </w:r>
    </w:p>
    <w:p w14:paraId="36AE47A4"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النسبة وسلامة الوسيط وفق نظام الإثبات</w:t>
      </w:r>
      <w:r>
        <w:rPr>
          <w:rStyle w:val="af"/>
          <w:rFonts w:asciiTheme="majorBidi" w:hAnsiTheme="majorBidi" w:cstheme="majorBidi"/>
          <w:sz w:val="24"/>
          <w:szCs w:val="24"/>
          <w:rtl/>
        </w:rPr>
        <w:footnoteReference w:id="144"/>
      </w:r>
      <w:r>
        <w:rPr>
          <w:rFonts w:asciiTheme="majorBidi" w:hAnsiTheme="majorBidi" w:cstheme="majorBidi"/>
          <w:sz w:val="24"/>
          <w:szCs w:val="24"/>
          <w:rtl/>
        </w:rPr>
        <w:t>.</w:t>
      </w:r>
    </w:p>
    <w:p w14:paraId="56FF3040"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والتحقق، استئناسًا بما قرره الأسيوطي من أن ثقة القاضي بالسجل الرقمي رهينةُ انتظام أسلوب تسجيله.</w:t>
      </w:r>
      <w:r>
        <w:rPr>
          <w:rStyle w:val="af"/>
          <w:rFonts w:asciiTheme="majorBidi" w:hAnsiTheme="majorBidi" w:cstheme="majorBidi"/>
          <w:sz w:val="24"/>
          <w:szCs w:val="24"/>
          <w:rtl/>
        </w:rPr>
        <w:footnoteReference w:id="145"/>
      </w:r>
    </w:p>
    <w:p w14:paraId="16EAE0A4"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46"/>
      </w:r>
      <w:r>
        <w:rPr>
          <w:rFonts w:asciiTheme="majorBidi" w:hAnsiTheme="majorBidi" w:cstheme="majorBidi"/>
          <w:sz w:val="24"/>
          <w:szCs w:val="24"/>
          <w:rtl/>
        </w:rPr>
        <w:t>.</w:t>
      </w:r>
    </w:p>
    <w:p w14:paraId="4BB8C1CE"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47"/>
      </w:r>
    </w:p>
    <w:p w14:paraId="09EFC798"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4EC8B7D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0541474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3457A9D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lastRenderedPageBreak/>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21C3291"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2ECCAFC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7D7F591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بعض الباحثين 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198A1A0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62165C3B"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0EDD38C6" w14:textId="77777777" w:rsidR="00624037" w:rsidRPr="00F20C0E" w:rsidRDefault="00624037" w:rsidP="00624037">
      <w:pPr>
        <w:jc w:val="right"/>
        <w:rPr>
          <w:rFonts w:asciiTheme="majorBidi" w:hAnsiTheme="majorBidi" w:cstheme="majorBidi"/>
          <w:sz w:val="24"/>
          <w:szCs w:val="24"/>
          <w:rtl/>
        </w:rPr>
      </w:pPr>
    </w:p>
    <w:p w14:paraId="57D7C8A3"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0C3904B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0276786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15F51F4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ويحذر الباحث من تحويل التحليل الإحصائي إلى بديل عن الاستدلال القانوني؛ فالقضاء لا يقوم على حساب الاحتمالات، بل على تطبيق النص على الواقعة الثابتة.</w:t>
      </w:r>
    </w:p>
    <w:p w14:paraId="77BD617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75153C5" w14:textId="77777777" w:rsidR="00624037" w:rsidRPr="00F20C0E" w:rsidRDefault="00624037" w:rsidP="00624037">
      <w:pPr>
        <w:jc w:val="right"/>
        <w:rPr>
          <w:rFonts w:asciiTheme="majorBidi" w:hAnsiTheme="majorBidi" w:cstheme="majorBidi"/>
          <w:sz w:val="24"/>
          <w:szCs w:val="24"/>
        </w:rPr>
      </w:pPr>
    </w:p>
    <w:p w14:paraId="46078D4C"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2AC4898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50DDEA78"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6C78EE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أشار بعض الباحثين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48"/>
      </w:r>
      <w:r>
        <w:rPr>
          <w:rFonts w:asciiTheme="majorBidi" w:hAnsiTheme="majorBidi" w:cstheme="majorBidi"/>
          <w:sz w:val="24"/>
          <w:szCs w:val="24"/>
        </w:rPr>
        <w:t>.</w:t>
      </w:r>
    </w:p>
    <w:p w14:paraId="765A478C"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0077CEC2" w14:textId="77777777" w:rsidR="00624037" w:rsidRPr="00F20C0E" w:rsidRDefault="00624037" w:rsidP="00624037">
      <w:pPr>
        <w:jc w:val="right"/>
        <w:rPr>
          <w:rFonts w:asciiTheme="majorBidi" w:hAnsiTheme="majorBidi" w:cstheme="majorBidi"/>
          <w:sz w:val="24"/>
          <w:szCs w:val="24"/>
        </w:rPr>
      </w:pPr>
    </w:p>
    <w:p w14:paraId="0F439690"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2EF3BAA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02B494EB"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4C1B883"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أولاً: وضوح حدود النظام المستخدم</w:t>
      </w:r>
      <w:r>
        <w:rPr>
          <w:rFonts w:asciiTheme="majorBidi" w:hAnsiTheme="majorBidi" w:cstheme="majorBidi"/>
          <w:sz w:val="24"/>
          <w:szCs w:val="24"/>
        </w:rPr>
        <w:t>.</w:t>
      </w:r>
    </w:p>
    <w:p w14:paraId="76D05BD2"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ثانياً: قدرة المستخدم على تفسير النتيجة والدفاع عنها</w:t>
      </w:r>
      <w:r>
        <w:rPr>
          <w:rFonts w:asciiTheme="majorBidi" w:hAnsiTheme="majorBidi" w:cstheme="majorBidi"/>
          <w:sz w:val="24"/>
          <w:szCs w:val="24"/>
        </w:rPr>
        <w:t>.</w:t>
      </w:r>
    </w:p>
    <w:p w14:paraId="325F7D2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1451105F" w14:textId="77777777" w:rsidR="00624037" w:rsidRPr="00F20C0E" w:rsidRDefault="00624037" w:rsidP="00624037">
      <w:pPr>
        <w:jc w:val="right"/>
        <w:rPr>
          <w:rFonts w:asciiTheme="majorBidi" w:hAnsiTheme="majorBidi" w:cstheme="majorBidi"/>
          <w:sz w:val="24"/>
          <w:szCs w:val="24"/>
        </w:rPr>
      </w:pPr>
    </w:p>
    <w:p w14:paraId="04EDBFC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2FE27EF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1F2DD5D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3C71B2E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وهو ما يعني أن الحجية لا يمكن فصلها عن البنية المؤسسية التي أنتجت المخرج</w:t>
      </w:r>
      <w:r>
        <w:rPr>
          <w:rStyle w:val="af"/>
          <w:rFonts w:asciiTheme="majorBidi" w:hAnsiTheme="majorBidi" w:cstheme="majorBidi"/>
          <w:sz w:val="24"/>
          <w:szCs w:val="24"/>
          <w:rtl/>
        </w:rPr>
        <w:footnoteReference w:id="149"/>
      </w:r>
      <w:r>
        <w:rPr>
          <w:rFonts w:asciiTheme="majorBidi" w:hAnsiTheme="majorBidi" w:cstheme="majorBidi"/>
          <w:sz w:val="24"/>
          <w:szCs w:val="24"/>
          <w:rtl/>
        </w:rPr>
        <w:t>.</w:t>
      </w:r>
    </w:p>
    <w:p w14:paraId="70EA5124"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6837B581" w14:textId="77777777" w:rsidR="00624037" w:rsidRPr="00F20C0E" w:rsidRDefault="00624037" w:rsidP="00624037">
      <w:pPr>
        <w:jc w:val="right"/>
        <w:rPr>
          <w:rFonts w:asciiTheme="majorBidi" w:hAnsiTheme="majorBidi" w:cstheme="majorBidi"/>
          <w:sz w:val="24"/>
          <w:szCs w:val="24"/>
        </w:rPr>
      </w:pPr>
    </w:p>
    <w:p w14:paraId="3C3B1791"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203D94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28B2B309"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وقد تناول بجاد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w:t>
      </w:r>
      <w:r>
        <w:rPr>
          <w:rFonts w:asciiTheme="majorBidi" w:hAnsiTheme="majorBidi" w:cstheme="majorBidi"/>
          <w:sz w:val="24"/>
          <w:szCs w:val="24"/>
          <w:rtl/>
        </w:rPr>
        <w:lastRenderedPageBreak/>
        <w:t>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150"/>
      </w:r>
    </w:p>
    <w:p w14:paraId="6A8B35F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79A2FCF4"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7CCF18DE"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أولاً: اندماج واعٍ في إرادة بشرية مسؤولة</w:t>
      </w:r>
      <w:r>
        <w:rPr>
          <w:rFonts w:asciiTheme="majorBidi" w:hAnsiTheme="majorBidi" w:cstheme="majorBidi"/>
          <w:sz w:val="24"/>
          <w:szCs w:val="24"/>
        </w:rPr>
        <w:t>.</w:t>
      </w:r>
    </w:p>
    <w:p w14:paraId="2FFA0325"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ثانياً: قابلية مهنية للفحص والتفسير</w:t>
      </w:r>
      <w:r>
        <w:rPr>
          <w:rFonts w:asciiTheme="majorBidi" w:hAnsiTheme="majorBidi" w:cstheme="majorBidi"/>
          <w:sz w:val="24"/>
          <w:szCs w:val="24"/>
        </w:rPr>
        <w:t>.</w:t>
      </w:r>
    </w:p>
    <w:p w14:paraId="25577E15" w14:textId="77777777" w:rsidR="00624037" w:rsidRPr="00F20C0E" w:rsidRDefault="00624037">
      <w:pPr>
        <w:jc w:val="right"/>
        <w:rPr>
          <w:rFonts w:asciiTheme="majorBidi" w:hAnsiTheme="majorBidi" w:cstheme="majorBidi"/>
          <w:sz w:val="24"/>
          <w:szCs w:val="24"/>
        </w:rPr>
      </w:pPr>
      <w:r>
        <w:rPr>
          <w:rFonts w:asciiTheme="majorBidi" w:hAnsiTheme="majorBidi" w:cstheme="majorBidi"/>
          <w:sz w:val="24"/>
          <w:szCs w:val="24"/>
          <w:rtl/>
        </w:rPr>
        <w:t>ثالثاً: خضوع لضوابط حوكمة البيانات والمسؤولية المؤسسية</w:t>
      </w:r>
      <w:r>
        <w:rPr>
          <w:rFonts w:asciiTheme="majorBidi" w:hAnsiTheme="majorBidi" w:cstheme="majorBidi"/>
          <w:sz w:val="24"/>
          <w:szCs w:val="24"/>
        </w:rPr>
        <w:t>.</w:t>
      </w:r>
    </w:p>
    <w:p w14:paraId="288CA4B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69836C8" w14:textId="77777777" w:rsidR="00624037" w:rsidRDefault="00624037" w:rsidP="00624037">
      <w:pPr>
        <w:jc w:val="right"/>
        <w:rPr>
          <w:rFonts w:asciiTheme="majorBidi" w:hAnsiTheme="majorBidi" w:cstheme="majorBidi"/>
          <w:sz w:val="24"/>
          <w:szCs w:val="24"/>
        </w:rPr>
      </w:pPr>
    </w:p>
    <w:p w14:paraId="087A6DE0" w14:textId="77777777" w:rsidR="003048E3" w:rsidRDefault="003048E3" w:rsidP="00624037">
      <w:pPr>
        <w:jc w:val="right"/>
        <w:rPr>
          <w:rFonts w:asciiTheme="majorBidi" w:hAnsiTheme="majorBidi" w:cstheme="majorBidi"/>
          <w:sz w:val="24"/>
          <w:szCs w:val="24"/>
        </w:rPr>
      </w:pPr>
    </w:p>
    <w:p w14:paraId="5BD5EE55" w14:textId="77777777" w:rsidR="003048E3" w:rsidRDefault="003048E3" w:rsidP="00624037">
      <w:pPr>
        <w:jc w:val="right"/>
        <w:rPr>
          <w:rFonts w:asciiTheme="majorBidi" w:hAnsiTheme="majorBidi" w:cstheme="majorBidi"/>
          <w:sz w:val="24"/>
          <w:szCs w:val="24"/>
        </w:rPr>
      </w:pPr>
    </w:p>
    <w:p w14:paraId="3925296B" w14:textId="77777777" w:rsidR="00CF598B" w:rsidRDefault="00CF598B" w:rsidP="00624037">
      <w:pPr>
        <w:jc w:val="right"/>
        <w:rPr>
          <w:rFonts w:asciiTheme="majorBidi" w:hAnsiTheme="majorBidi" w:cstheme="majorBidi"/>
          <w:sz w:val="24"/>
          <w:szCs w:val="24"/>
        </w:rPr>
      </w:pPr>
    </w:p>
    <w:p w14:paraId="61B2AEFB" w14:textId="77777777" w:rsidR="00CF598B" w:rsidRDefault="00CF598B" w:rsidP="00624037">
      <w:pPr>
        <w:jc w:val="right"/>
        <w:rPr>
          <w:rFonts w:asciiTheme="majorBidi" w:hAnsiTheme="majorBidi" w:cstheme="majorBidi"/>
          <w:sz w:val="24"/>
          <w:szCs w:val="24"/>
        </w:rPr>
      </w:pPr>
    </w:p>
    <w:p w14:paraId="1EEFCD78" w14:textId="77777777" w:rsidR="00624037" w:rsidRPr="00F20C0E" w:rsidRDefault="00624037" w:rsidP="00624037">
      <w:pPr>
        <w:pStyle w:val="3"/>
        <w:jc w:val="center"/>
        <w:rPr>
          <w:rFonts w:asciiTheme="majorBidi" w:hAnsiTheme="majorBidi"/>
          <w:b/>
          <w:bCs/>
          <w:sz w:val="32"/>
          <w:szCs w:val="32"/>
        </w:rPr>
      </w:pPr>
      <w:bookmarkStart w:id="29" w:name="_Toc237071381"/>
      <w:r>
        <w:rPr>
          <w:rFonts w:asciiTheme="majorBidi" w:hAnsiTheme="majorBidi"/>
          <w:b/>
          <w:bCs/>
          <w:sz w:val="32"/>
          <w:szCs w:val="32"/>
          <w:rtl/>
        </w:rPr>
        <w:t>المطلب الثاني</w:t>
      </w:r>
      <w:bookmarkEnd w:id="29"/>
    </w:p>
    <w:p w14:paraId="70AA38DA" w14:textId="77777777" w:rsidR="00624037" w:rsidRPr="00F20C0E" w:rsidRDefault="00624037" w:rsidP="00624037">
      <w:pPr>
        <w:pStyle w:val="3"/>
        <w:jc w:val="center"/>
        <w:rPr>
          <w:rFonts w:asciiTheme="majorBidi" w:hAnsiTheme="majorBidi"/>
          <w:b/>
          <w:bCs/>
          <w:sz w:val="32"/>
          <w:szCs w:val="32"/>
        </w:rPr>
      </w:pPr>
      <w:bookmarkStart w:id="30" w:name="_Toc237071382"/>
      <w:r>
        <w:rPr>
          <w:rFonts w:asciiTheme="majorBidi" w:hAnsiTheme="majorBidi"/>
          <w:b/>
          <w:bCs/>
          <w:sz w:val="32"/>
          <w:szCs w:val="32"/>
          <w:rtl/>
        </w:rPr>
        <w:t>مشروعية استخدامها أمام الجهات القضائية مع الإشارة إلى بعض التجارب الدولية</w:t>
      </w:r>
      <w:bookmarkEnd w:id="30"/>
    </w:p>
    <w:p w14:paraId="4D53EF3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280DF4AB"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3A70011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غير أن هذا الإقرار لا يعني أن كل مخرج تقني يُقبل أمام القضاء دون قيد، بل يظل خاضعًا لمعيار المشروعية الإجرائية والموضوعية.</w:t>
      </w:r>
    </w:p>
    <w:p w14:paraId="75E789D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4E9F711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w:t>
      </w:r>
    </w:p>
    <w:p w14:paraId="55C36357"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151"/>
      </w:r>
    </w:p>
    <w:p w14:paraId="43C6D978"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3E91BAC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77B6D9C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p>
    <w:p w14:paraId="3CCE7D3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الأسيوطي أن للقاضي أن يثق بالمحررات المنشأة رقميًا إذا كان تسجيلها قد تم وفق أسلوب منظم، مع عدم إمكان استبعاد احتمال الخطأ أو العيب في عملية نقل المعلومات والبيانات.</w:t>
      </w:r>
      <w:r>
        <w:rPr>
          <w:rStyle w:val="af"/>
          <w:rFonts w:asciiTheme="majorBidi" w:hAnsiTheme="majorBidi" w:cstheme="majorBidi"/>
          <w:sz w:val="24"/>
          <w:szCs w:val="24"/>
          <w:rtl/>
        </w:rPr>
        <w:footnoteReference w:id="152"/>
      </w:r>
      <w:r>
        <w:rPr>
          <w:rFonts w:asciiTheme="majorBidi" w:hAnsiTheme="majorBidi" w:cstheme="majorBidi"/>
          <w:sz w:val="24"/>
          <w:szCs w:val="24"/>
          <w:rtl/>
        </w:rPr>
        <w:t xml:space="preserve">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58A5940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قرر عبد اللطيف – في سياق نظير من المسؤولية المهنية – أن المهني الذي يملك القرار النهائي يظل مسؤولاً عن العمل الذي تساعده فيه الأنظمة الذكية</w:t>
      </w:r>
      <w:r>
        <w:rPr>
          <w:rStyle w:val="af"/>
          <w:rFonts w:asciiTheme="majorBidi" w:hAnsiTheme="majorBidi" w:cstheme="majorBidi"/>
          <w:sz w:val="24"/>
          <w:szCs w:val="24"/>
          <w:rtl/>
        </w:rPr>
        <w:footnoteReference w:id="153"/>
      </w:r>
      <w:r>
        <w:rPr>
          <w:rFonts w:asciiTheme="majorBidi" w:hAnsiTheme="majorBidi" w:cstheme="majorBidi"/>
          <w:sz w:val="24"/>
          <w:szCs w:val="24"/>
          <w:rtl/>
        </w:rPr>
        <w:t>.</w:t>
      </w:r>
    </w:p>
    <w:p w14:paraId="632D62A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ويعني ذلك أن مشروعية الاستخدام أمام القضاء لا تنفصل عن بقاء العنصر البشري في موقع السيطرة والتحكم، وهو ما يتفق مع ما أكدته وثيقة مبادئ أخلاقيات الذكاء الاصطناعي من ضرورة الإشراف البشري الفعّال وقابلية </w:t>
      </w:r>
      <w:r>
        <w:rPr>
          <w:rFonts w:asciiTheme="majorBidi" w:hAnsiTheme="majorBidi" w:cstheme="majorBidi"/>
          <w:sz w:val="24"/>
          <w:szCs w:val="24"/>
          <w:rtl/>
        </w:rPr>
        <w:lastRenderedPageBreak/>
        <w:t>تفسير المخرجات وتحمل المسؤولية عن نتائجها، وما شدد عليه إطار تبني الذكاء الاصطناعي من حوكمة الاستخدام ووضوح الأدوار والمسؤوليات</w:t>
      </w:r>
      <w:r>
        <w:rPr>
          <w:rStyle w:val="af"/>
          <w:rFonts w:asciiTheme="majorBidi" w:hAnsiTheme="majorBidi" w:cstheme="majorBidi"/>
          <w:sz w:val="24"/>
          <w:szCs w:val="24"/>
          <w:rtl/>
        </w:rPr>
        <w:footnoteReference w:id="154"/>
      </w:r>
      <w:r>
        <w:rPr>
          <w:rFonts w:asciiTheme="majorBidi" w:hAnsiTheme="majorBidi" w:cstheme="majorBidi"/>
          <w:sz w:val="24"/>
          <w:szCs w:val="24"/>
          <w:rtl/>
        </w:rPr>
        <w:t>.</w:t>
      </w:r>
    </w:p>
    <w:p w14:paraId="5F2DA542"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 (AI Act) 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 ويعكس هذا الاتجاه إدراكًا تشريعيًا لحساسية البيئة القضائية، وضرورة وضع ضوابط خاصة لاستخدام التقنية فيها</w:t>
      </w:r>
      <w:r>
        <w:rPr>
          <w:rStyle w:val="af"/>
          <w:rFonts w:asciiTheme="majorBidi" w:hAnsiTheme="majorBidi" w:cstheme="majorBidi"/>
          <w:sz w:val="24"/>
          <w:szCs w:val="24"/>
          <w:rtl/>
        </w:rPr>
        <w:footnoteReference w:id="155"/>
      </w:r>
      <w:r>
        <w:rPr>
          <w:rFonts w:asciiTheme="majorBidi" w:hAnsiTheme="majorBidi" w:cstheme="majorBidi"/>
          <w:sz w:val="24"/>
          <w:szCs w:val="24"/>
          <w:rtl/>
        </w:rPr>
        <w:t>.</w:t>
      </w:r>
    </w:p>
    <w:p w14:paraId="7529CEF5"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وبالنظر إلى اتجاه التنظيم الأوروبي في قانون الذكاء الاصطناعي، لاحظ بعض الباحثين أن هذا القانون يُرسي نظام المساءلة القائمة على الخطر بدلاً من نظام المساءلة القائمة على الخطأ بالنسبة لأنظمة الذكاء الاصطناعي ذات المخاطر العالية، وأن هذا التحول المفاهيمي يتيح للمتضررين تعويضاً أيسر إثباتاً وأكثر اتساقاً مع مبدأ العدالة التوزيعية.</w:t>
      </w:r>
      <w:r>
        <w:rPr>
          <w:rtl/>
        </w:rPr>
        <w:footnoteReference w:id="156"/>
      </w:r>
    </w:p>
    <w:p w14:paraId="5FF5821D"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 السياق المقارن، أشار بعض الباحثين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157"/>
      </w:r>
    </w:p>
    <w:p w14:paraId="688D8F24"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بعض الباحثين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p>
    <w:p w14:paraId="19B9348B" w14:textId="77777777" w:rsidR="00D57654" w:rsidRDefault="00000000" w:rsidP="004E4D2E">
      <w:pPr>
        <w:jc w:val="right"/>
        <w:rPr>
          <w:rFonts w:asciiTheme="majorBidi" w:hAnsiTheme="majorBidi" w:cstheme="majorBidi"/>
          <w:sz w:val="24"/>
          <w:szCs w:val="24"/>
          <w:rtl/>
        </w:rPr>
      </w:pPr>
      <w:r>
        <w:rPr>
          <w:rFonts w:asciiTheme="majorBidi" w:hAnsiTheme="majorBidi" w:cstheme="majorBidi"/>
          <w:sz w:val="24"/>
          <w:szCs w:val="24"/>
          <w:rtl/>
        </w:rPr>
        <w:t>وفيما يتصل بالاستعانة بالأنظمة الذكية في القرائن الموصلة إلى الحكم، تقرر الجلعود أن ذلك عائد إلى نظر القاضي وما يراه مؤثراً في تسبيب الحكم، وأن الأخذ بأدلة هذه الأنظمة مشروط بأن تكون عالية الجودة تضمن عدم التحريف والتحيز، مصرَّحاً بها من الجهات العليا، متصفة بالشفافية والقابلية للشرح والتفسير — فلا يُعتمد على مخرجاتها انفراداً دون إعمال القاضي نظره.</w:t>
      </w:r>
      <w:r>
        <w:rPr>
          <w:rtl/>
        </w:rPr>
        <w:footnoteReference w:id="158"/>
      </w:r>
    </w:p>
    <w:p w14:paraId="71217184"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2B0CB78F"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أرى أن مشروعية استخدام المخرجات الذكية أمام الجهات القضائية في النظام السعودي تقوم على مبدأ «القبول المنضبط»، لا القبول المطلق ولا الرفض المطلق؛ فهي مقبولة متى تبنّاها محامٍ مسؤول عن </w:t>
      </w:r>
      <w:r>
        <w:rPr>
          <w:rFonts w:asciiTheme="majorBidi" w:hAnsiTheme="majorBidi" w:cstheme="majorBidi" w:hint="cs"/>
          <w:b/>
          <w:bCs/>
          <w:sz w:val="24"/>
          <w:szCs w:val="24"/>
          <w:rtl/>
        </w:rPr>
        <w:lastRenderedPageBreak/>
        <w:t>وعي، وكانت قابلة للفحص والمناقشة أمام الخصم، وخاضعة لسلطة القاضي في التقدير، ومتسقة مع ضوابط الشفافية والمسؤولية المقررة في الوثائق الوطنية.</w:t>
      </w:r>
    </w:p>
    <w:p w14:paraId="21EAC44A"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46790E78"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2D2CE54A" w14:textId="77777777" w:rsidR="00624037" w:rsidRDefault="00624037" w:rsidP="004E4D2E">
      <w:pPr>
        <w:jc w:val="right"/>
        <w:rPr>
          <w:rFonts w:asciiTheme="majorBidi" w:hAnsiTheme="majorBidi" w:cstheme="majorBidi"/>
          <w:sz w:val="24"/>
          <w:szCs w:val="24"/>
        </w:rPr>
      </w:pPr>
    </w:p>
    <w:p w14:paraId="2E651D9A"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t>الضوابط الإجرائية لمشروعية تقديم المخرجات الذكية أمام القضاء</w:t>
      </w:r>
    </w:p>
    <w:p w14:paraId="782D6EFD"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0207DC25"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غير أن هذه السلطة التقديرية لا تعني أن كل وسيلة إلكترونية مقبولة بذاتها، بل تظل خاضعة لمعيار الفحص القضائي.</w:t>
      </w:r>
    </w:p>
    <w:p w14:paraId="0295313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308DC02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بعض الباحثين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159"/>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9129433"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68CC4583" w14:textId="77777777" w:rsidR="00624037" w:rsidRPr="00B4002A" w:rsidRDefault="00624037" w:rsidP="00624037">
      <w:pPr>
        <w:jc w:val="right"/>
        <w:rPr>
          <w:rFonts w:asciiTheme="majorBidi" w:hAnsiTheme="majorBidi" w:cstheme="majorBidi"/>
          <w:sz w:val="24"/>
          <w:szCs w:val="24"/>
        </w:rPr>
      </w:pPr>
    </w:p>
    <w:p w14:paraId="7F939C63"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5CE36E16"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وهذا يعني أن المخرجات الذكية – مهما بلغت درجة تطورها – لا يمكن أن تكون ملزمة للقاضي بذاتها.</w:t>
      </w:r>
    </w:p>
    <w:p w14:paraId="1C032008"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ولذا يجب الحذر من تحول التحليل الخوارزمي إلى مرجع حاسم في العمل القضائي، لما قد يترتب عليه من تآكل دور الاجتهاد القضائي.</w:t>
      </w:r>
    </w:p>
    <w:p w14:paraId="3EF084C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C23D1FE"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753BBA1D" w14:textId="77777777" w:rsidR="00624037" w:rsidRDefault="00624037" w:rsidP="00624037">
      <w:pPr>
        <w:jc w:val="right"/>
        <w:rPr>
          <w:rFonts w:asciiTheme="majorBidi" w:hAnsiTheme="majorBidi" w:cstheme="majorBidi"/>
          <w:sz w:val="24"/>
          <w:szCs w:val="24"/>
        </w:rPr>
      </w:pPr>
    </w:p>
    <w:p w14:paraId="0F5FD742" w14:textId="77777777" w:rsidR="00CF598B" w:rsidRDefault="00CF598B" w:rsidP="00624037">
      <w:pPr>
        <w:jc w:val="right"/>
        <w:rPr>
          <w:rFonts w:asciiTheme="majorBidi" w:hAnsiTheme="majorBidi" w:cstheme="majorBidi"/>
          <w:sz w:val="24"/>
          <w:szCs w:val="24"/>
        </w:rPr>
      </w:pPr>
    </w:p>
    <w:p w14:paraId="6AD1C808" w14:textId="77777777" w:rsidR="00CF598B" w:rsidRPr="00B4002A" w:rsidRDefault="00CF598B" w:rsidP="00624037">
      <w:pPr>
        <w:jc w:val="right"/>
        <w:rPr>
          <w:rFonts w:asciiTheme="majorBidi" w:hAnsiTheme="majorBidi" w:cstheme="majorBidi"/>
          <w:sz w:val="24"/>
          <w:szCs w:val="24"/>
        </w:rPr>
      </w:pPr>
    </w:p>
    <w:p w14:paraId="0CF3B892"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7CFC6E9C"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7B2C520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160"/>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6E52C99A"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790CFFAB"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02B94487" w14:textId="77777777" w:rsidR="00624037" w:rsidRPr="00B4002A" w:rsidRDefault="00624037" w:rsidP="00624037">
      <w:pPr>
        <w:jc w:val="right"/>
        <w:rPr>
          <w:rFonts w:asciiTheme="majorBidi" w:hAnsiTheme="majorBidi" w:cstheme="majorBidi"/>
          <w:sz w:val="24"/>
          <w:szCs w:val="24"/>
          <w:rtl/>
        </w:rPr>
      </w:pPr>
    </w:p>
    <w:p w14:paraId="188696D5"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7E552E29"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كما شدد إطار تبني الذكاء الاصطناعي على ضرورة وضوح الأدوار والمسؤوليات</w:t>
      </w:r>
      <w:r>
        <w:rPr>
          <w:rStyle w:val="af"/>
          <w:rFonts w:asciiTheme="majorBidi" w:hAnsiTheme="majorBidi" w:cstheme="majorBidi"/>
          <w:sz w:val="24"/>
          <w:szCs w:val="24"/>
          <w:rtl/>
        </w:rPr>
        <w:footnoteReference w:id="161"/>
      </w:r>
      <w:r>
        <w:rPr>
          <w:rFonts w:asciiTheme="majorBidi" w:hAnsiTheme="majorBidi" w:cstheme="majorBidi"/>
          <w:sz w:val="24"/>
          <w:szCs w:val="24"/>
          <w:rtl/>
        </w:rPr>
        <w:t>.</w:t>
      </w:r>
    </w:p>
    <w:p w14:paraId="24D8E85C"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3056E8D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1303F2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02F37EF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25B256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DB7699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505AB00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سلامة النسبة وصحة المصدر</w:t>
      </w:r>
      <w:r>
        <w:rPr>
          <w:rFonts w:asciiTheme="majorBidi" w:hAnsiTheme="majorBidi" w:cstheme="majorBidi"/>
          <w:sz w:val="24"/>
          <w:szCs w:val="24"/>
        </w:rPr>
        <w:t>.</w:t>
      </w:r>
    </w:p>
    <w:p w14:paraId="421FE525"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قدرة المحكمة على تقدير الدليل في ضوء ظروف الدعوى.</w:t>
      </w:r>
    </w:p>
    <w:p w14:paraId="5CA685C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وبتطبيق هذين المعيارين على المخرجات الذكية، يمكن استخلاص ضوابط عملية أهمها</w:t>
      </w:r>
      <w:r>
        <w:rPr>
          <w:rFonts w:asciiTheme="majorBidi" w:hAnsiTheme="majorBidi" w:cstheme="majorBidi"/>
          <w:sz w:val="24"/>
          <w:szCs w:val="24"/>
        </w:rPr>
        <w:t>:</w:t>
      </w:r>
    </w:p>
    <w:p w14:paraId="7B67B64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54C8B37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بعض الباحثين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162"/>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32997E79"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4595C22C" w14:textId="77777777" w:rsidR="00624037" w:rsidRPr="002E352F" w:rsidRDefault="00624037" w:rsidP="00624037">
      <w:pPr>
        <w:jc w:val="right"/>
        <w:rPr>
          <w:rFonts w:asciiTheme="majorBidi" w:hAnsiTheme="majorBidi" w:cstheme="majorBidi"/>
          <w:sz w:val="24"/>
          <w:szCs w:val="24"/>
        </w:rPr>
      </w:pPr>
    </w:p>
    <w:p w14:paraId="1D46E023"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4311638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0D22F59A"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w:t>
      </w:r>
      <w:r>
        <w:rPr>
          <w:rStyle w:val="af"/>
          <w:rFonts w:asciiTheme="majorBidi" w:hAnsiTheme="majorBidi" w:cstheme="majorBidi"/>
          <w:sz w:val="24"/>
          <w:szCs w:val="24"/>
          <w:rtl/>
        </w:rPr>
        <w:footnoteReference w:id="163"/>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p>
    <w:p w14:paraId="1134CF18"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 وفي هذا السياق، فإن استخدام أدوات تنبؤية أو تحليل احتمالي قد يثير إشكالات أعمق تتعلق بقرينة البراءة.</w:t>
      </w:r>
    </w:p>
    <w:p w14:paraId="31F97D6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ويرى الباحث أن الاعتماد</w:t>
      </w:r>
      <w:r>
        <w:rPr>
          <w:rStyle w:val="af"/>
          <w:rFonts w:asciiTheme="majorBidi" w:hAnsiTheme="majorBidi" w:cstheme="majorBidi"/>
          <w:sz w:val="24"/>
          <w:szCs w:val="24"/>
          <w:rtl/>
        </w:rPr>
        <w:footnoteReference w:id="164"/>
      </w:r>
      <w:r>
        <w:rPr>
          <w:rFonts w:asciiTheme="majorBidi" w:hAnsiTheme="majorBidi" w:cstheme="majorBidi"/>
          <w:sz w:val="24"/>
          <w:szCs w:val="24"/>
          <w:rtl/>
        </w:rPr>
        <w:t xml:space="preserve">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4B4C75F0"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lastRenderedPageBreak/>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165"/>
      </w:r>
    </w:p>
    <w:p w14:paraId="4F5567C1"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1A7A42B7"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ويرى الباحث أن المجال المدني يتيح هامشًا أوسع لاستخدام مخرجات الذكاء الاصطناعي مقارنةً بالمجال الجزائي؛ نظرًا لاختلاف درجات الإثبات المطلوبة في كل منهما، بما يقتضي ضوابط أشد صرامة على توظيف الأنظمة الذكية في مسائل الاتهام والعقوبة، اتساقًا مع المبدأ الشرعي القاضي بدرء الحدود بالشبهات.</w:t>
      </w:r>
    </w:p>
    <w:p w14:paraId="5F5E13A9" w14:textId="77777777" w:rsidR="00624037" w:rsidRPr="002E352F" w:rsidRDefault="00624037" w:rsidP="00624037">
      <w:pPr>
        <w:jc w:val="right"/>
        <w:rPr>
          <w:rFonts w:asciiTheme="majorBidi" w:hAnsiTheme="majorBidi" w:cstheme="majorBidi"/>
          <w:sz w:val="24"/>
          <w:szCs w:val="24"/>
        </w:rPr>
      </w:pPr>
    </w:p>
    <w:p w14:paraId="3725288A"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2791106C"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بعض الباحثين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166"/>
      </w:r>
    </w:p>
    <w:p w14:paraId="032FD45B" w14:textId="77777777" w:rsidR="00D57654"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انتهت الجلعود إلى عدم جواز تولي النظام الذكي القضاء استقلالاً؛ لعدم تحقق شروط القاضي التي قررها الفقهاء، وإلى جواز استعانة القاضي به تخريجاً على استشارة القاضي لغيره من العلماء، بشرط ألا يُسلِّم لما يُظهره له النظام من نتيجة، بل يُعمل جهده ويأخذ بما غلب على ظنه — فيبقى تقدير الدليل وتكييف الواقعة بيد القاضي الإنسان.</w:t>
      </w:r>
      <w:r>
        <w:rPr>
          <w:rtl/>
        </w:rPr>
        <w:footnoteReference w:id="167"/>
      </w:r>
    </w:p>
    <w:p w14:paraId="5CF267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5A81F4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وهذا التفسير يتطلب قراءة سياقية لا يمكن اختزالها في تحليل بيانات.</w:t>
      </w:r>
    </w:p>
    <w:p w14:paraId="4694AB3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5078A44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3F4264EC" w14:textId="77777777" w:rsidR="00624037" w:rsidRDefault="00624037" w:rsidP="00624037">
      <w:pPr>
        <w:jc w:val="right"/>
        <w:rPr>
          <w:rFonts w:asciiTheme="majorBidi" w:hAnsiTheme="majorBidi" w:cstheme="majorBidi"/>
          <w:sz w:val="24"/>
          <w:szCs w:val="24"/>
        </w:rPr>
      </w:pPr>
    </w:p>
    <w:p w14:paraId="4F1FEE3A" w14:textId="77777777" w:rsidR="00E33F20" w:rsidRDefault="00E33F20" w:rsidP="00624037">
      <w:pPr>
        <w:jc w:val="right"/>
        <w:rPr>
          <w:rFonts w:asciiTheme="majorBidi" w:hAnsiTheme="majorBidi" w:cstheme="majorBidi"/>
          <w:sz w:val="24"/>
          <w:szCs w:val="24"/>
        </w:rPr>
      </w:pPr>
    </w:p>
    <w:p w14:paraId="6A8B8DB3" w14:textId="77777777" w:rsidR="00E33F20" w:rsidRPr="002E352F" w:rsidRDefault="00E33F20" w:rsidP="00624037">
      <w:pPr>
        <w:jc w:val="right"/>
        <w:rPr>
          <w:rFonts w:asciiTheme="majorBidi" w:hAnsiTheme="majorBidi" w:cstheme="majorBidi"/>
          <w:sz w:val="24"/>
          <w:szCs w:val="24"/>
          <w:rtl/>
        </w:rPr>
      </w:pPr>
    </w:p>
    <w:p w14:paraId="71268F9E"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lastRenderedPageBreak/>
        <w:t>التمهيد للبعد المقارن: لماذا نحتاج إلى التجارب الدولية؟</w:t>
      </w:r>
    </w:p>
    <w:p w14:paraId="6F60911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493AB87F"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6CC4B481"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يرى الباحث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p>
    <w:p w14:paraId="514DA6EF"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بعض الباحثين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p>
    <w:p w14:paraId="2B09F239" w14:textId="77777777" w:rsidR="00D57654" w:rsidRDefault="00000000"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بعض الباحثين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p>
    <w:p w14:paraId="379E2E8D"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4A6CB9C1" w14:textId="77777777" w:rsidR="00624037" w:rsidRDefault="00624037" w:rsidP="00624037">
      <w:pPr>
        <w:jc w:val="right"/>
        <w:rPr>
          <w:rFonts w:asciiTheme="majorBidi" w:hAnsiTheme="majorBidi" w:cstheme="majorBidi"/>
          <w:sz w:val="24"/>
          <w:szCs w:val="24"/>
        </w:rPr>
      </w:pPr>
    </w:p>
    <w:p w14:paraId="481EF57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66BC5D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6365886F"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 (AI Act) 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Style w:val="af"/>
          <w:rFonts w:asciiTheme="majorBidi" w:hAnsiTheme="majorBidi" w:cstheme="majorBidi"/>
          <w:sz w:val="24"/>
          <w:szCs w:val="24"/>
          <w:rtl/>
        </w:rPr>
        <w:footnoteReference w:id="168"/>
      </w:r>
      <w:r>
        <w:rPr>
          <w:rFonts w:asciiTheme="majorBidi" w:hAnsiTheme="majorBidi" w:cstheme="majorBidi"/>
          <w:sz w:val="24"/>
          <w:szCs w:val="24"/>
          <w:rtl/>
        </w:rPr>
        <w:t>.</w:t>
      </w:r>
    </w:p>
    <w:p w14:paraId="492FE39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4D39F1F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وجود إشراف بشري فعّال</w:t>
      </w:r>
      <w:r>
        <w:rPr>
          <w:rFonts w:asciiTheme="majorBidi" w:hAnsiTheme="majorBidi" w:cstheme="majorBidi"/>
          <w:sz w:val="24"/>
          <w:szCs w:val="24"/>
        </w:rPr>
        <w:t>.</w:t>
      </w:r>
    </w:p>
    <w:p w14:paraId="430464BA"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ضمان جودة البيانات المستخدمة في التدريب</w:t>
      </w:r>
      <w:r>
        <w:rPr>
          <w:rFonts w:asciiTheme="majorBidi" w:hAnsiTheme="majorBidi" w:cstheme="majorBidi"/>
          <w:sz w:val="24"/>
          <w:szCs w:val="24"/>
        </w:rPr>
        <w:t>.</w:t>
      </w:r>
    </w:p>
    <w:p w14:paraId="1A98FECD"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توثيق آلية عمل النظام</w:t>
      </w:r>
      <w:r>
        <w:rPr>
          <w:rFonts w:asciiTheme="majorBidi" w:hAnsiTheme="majorBidi" w:cstheme="majorBidi"/>
          <w:sz w:val="24"/>
          <w:szCs w:val="24"/>
        </w:rPr>
        <w:t>.</w:t>
      </w:r>
    </w:p>
    <w:p w14:paraId="7A73C008"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lastRenderedPageBreak/>
        <w:t>رابعاً: تمكين الأطراف من الطعن في النتائج الآلية</w:t>
      </w:r>
      <w:r>
        <w:rPr>
          <w:rFonts w:asciiTheme="majorBidi" w:hAnsiTheme="majorBidi" w:cstheme="majorBidi"/>
          <w:sz w:val="24"/>
          <w:szCs w:val="24"/>
        </w:rPr>
        <w:t>.</w:t>
      </w:r>
    </w:p>
    <w:p w14:paraId="459AF0A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640E6F4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w:t>
      </w:r>
      <w:r>
        <w:rPr>
          <w:rStyle w:val="af"/>
          <w:rFonts w:asciiTheme="majorBidi" w:hAnsiTheme="majorBidi" w:cstheme="majorBidi"/>
          <w:sz w:val="24"/>
          <w:szCs w:val="24"/>
          <w:rtl/>
        </w:rPr>
        <w:footnoteReference w:id="169"/>
      </w:r>
      <w:r>
        <w:rPr>
          <w:rFonts w:asciiTheme="majorBidi" w:hAnsiTheme="majorBidi" w:cstheme="majorBidi"/>
          <w:sz w:val="24"/>
          <w:szCs w:val="24"/>
          <w:rtl/>
        </w:rPr>
        <w:t>.</w:t>
      </w:r>
    </w:p>
    <w:p w14:paraId="18CF3336"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FEC583C" w14:textId="77777777" w:rsidR="00624037" w:rsidRPr="002E352F" w:rsidRDefault="00624037" w:rsidP="00624037">
      <w:pPr>
        <w:jc w:val="right"/>
        <w:rPr>
          <w:rFonts w:asciiTheme="majorBidi" w:hAnsiTheme="majorBidi" w:cstheme="majorBidi"/>
          <w:sz w:val="24"/>
          <w:szCs w:val="24"/>
        </w:rPr>
      </w:pPr>
    </w:p>
    <w:p w14:paraId="0901E9CA"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2972A4C1"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170"/>
      </w:r>
    </w:p>
    <w:p w14:paraId="2E2746B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33CFF88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4C7F038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3FB81941"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14ADB512" w14:textId="77777777" w:rsidR="00624037" w:rsidRPr="002E352F" w:rsidRDefault="00624037" w:rsidP="00624037">
      <w:pPr>
        <w:jc w:val="right"/>
        <w:rPr>
          <w:rFonts w:asciiTheme="majorBidi" w:hAnsiTheme="majorBidi" w:cstheme="majorBidi"/>
          <w:sz w:val="24"/>
          <w:szCs w:val="24"/>
        </w:rPr>
      </w:pPr>
    </w:p>
    <w:p w14:paraId="670840F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42B02961" w14:textId="77777777" w:rsidR="00B16B4E" w:rsidRDefault="00000000"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171"/>
      </w:r>
    </w:p>
    <w:p w14:paraId="7B30412E" w14:textId="77777777" w:rsidR="00B16B4E" w:rsidRDefault="00000000">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172"/>
      </w:r>
    </w:p>
    <w:p w14:paraId="054184D7"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3D91DAC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Style w:val="af"/>
          <w:rFonts w:asciiTheme="majorBidi" w:hAnsiTheme="majorBidi" w:cstheme="majorBidi"/>
          <w:sz w:val="24"/>
          <w:szCs w:val="24"/>
          <w:rtl/>
        </w:rPr>
        <w:footnoteReference w:id="173"/>
      </w:r>
      <w:r>
        <w:rPr>
          <w:rFonts w:asciiTheme="majorBidi" w:hAnsiTheme="majorBidi" w:cstheme="majorBidi"/>
          <w:sz w:val="24"/>
          <w:szCs w:val="24"/>
          <w:rtl/>
        </w:rPr>
        <w:t>.</w:t>
      </w:r>
    </w:p>
    <w:p w14:paraId="1F833114"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06FEA0DD"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16DF488" w14:textId="77777777" w:rsidR="00624037" w:rsidRPr="002E352F" w:rsidRDefault="00624037" w:rsidP="00624037">
      <w:pPr>
        <w:jc w:val="right"/>
        <w:rPr>
          <w:rFonts w:asciiTheme="majorBidi" w:hAnsiTheme="majorBidi" w:cstheme="majorBidi"/>
          <w:sz w:val="24"/>
          <w:szCs w:val="24"/>
        </w:rPr>
      </w:pPr>
    </w:p>
    <w:p w14:paraId="224AF2B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304EA403"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53F6C3C8"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بقاء القرار القضائي بيد الإنسان</w:t>
      </w:r>
      <w:r>
        <w:rPr>
          <w:rFonts w:asciiTheme="majorBidi" w:hAnsiTheme="majorBidi" w:cstheme="majorBidi"/>
          <w:sz w:val="24"/>
          <w:szCs w:val="24"/>
        </w:rPr>
        <w:t>.</w:t>
      </w:r>
    </w:p>
    <w:p w14:paraId="3CC1AE71"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ثانياً: قابلية المخرجات للفحص والمراجعة</w:t>
      </w:r>
      <w:r>
        <w:rPr>
          <w:rFonts w:asciiTheme="majorBidi" w:hAnsiTheme="majorBidi" w:cstheme="majorBidi"/>
          <w:sz w:val="24"/>
          <w:szCs w:val="24"/>
        </w:rPr>
        <w:t>.</w:t>
      </w:r>
    </w:p>
    <w:p w14:paraId="6D4DF645"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وضوح المسؤولية عن النتائج</w:t>
      </w:r>
      <w:r>
        <w:rPr>
          <w:rFonts w:asciiTheme="majorBidi" w:hAnsiTheme="majorBidi" w:cstheme="majorBidi"/>
          <w:sz w:val="24"/>
          <w:szCs w:val="24"/>
        </w:rPr>
        <w:t>.</w:t>
      </w:r>
    </w:p>
    <w:p w14:paraId="62EDB15F"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وبقاء المسؤولية المهنية على عاتق مقدم العمل القانوني</w:t>
      </w:r>
      <w:r>
        <w:rPr>
          <w:rStyle w:val="af"/>
          <w:rFonts w:asciiTheme="majorBidi" w:hAnsiTheme="majorBidi" w:cstheme="majorBidi"/>
          <w:sz w:val="24"/>
          <w:szCs w:val="24"/>
          <w:rtl/>
        </w:rPr>
        <w:footnoteReference w:id="174"/>
      </w:r>
      <w:r>
        <w:rPr>
          <w:rFonts w:asciiTheme="majorBidi" w:hAnsiTheme="majorBidi" w:cstheme="majorBidi"/>
          <w:sz w:val="24"/>
          <w:szCs w:val="24"/>
          <w:rtl/>
        </w:rPr>
        <w:t>، ووجوب الشفافية والمساءلة في استخدام الذكاء الاصطناعي.</w:t>
      </w:r>
    </w:p>
    <w:p w14:paraId="53BA708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غير أن البيئة السعودية تتميز بخصوصيات، منها</w:t>
      </w:r>
      <w:r>
        <w:rPr>
          <w:rFonts w:asciiTheme="majorBidi" w:hAnsiTheme="majorBidi" w:cstheme="majorBidi"/>
          <w:sz w:val="24"/>
          <w:szCs w:val="24"/>
        </w:rPr>
        <w:t>:</w:t>
      </w:r>
    </w:p>
    <w:p w14:paraId="327C2E9B"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عدم وجود نظام سوابق ملزمة</w:t>
      </w:r>
      <w:r>
        <w:rPr>
          <w:rFonts w:asciiTheme="majorBidi" w:hAnsiTheme="majorBidi" w:cstheme="majorBidi"/>
          <w:sz w:val="24"/>
          <w:szCs w:val="24"/>
        </w:rPr>
        <w:t>.</w:t>
      </w:r>
    </w:p>
    <w:p w14:paraId="6114CD4B"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ثانياً: مركزية الاجتهاد القضائي</w:t>
      </w:r>
      <w:r>
        <w:rPr>
          <w:rFonts w:asciiTheme="majorBidi" w:hAnsiTheme="majorBidi" w:cstheme="majorBidi"/>
          <w:sz w:val="24"/>
          <w:szCs w:val="24"/>
        </w:rPr>
        <w:t>.</w:t>
      </w:r>
    </w:p>
    <w:p w14:paraId="7614A00B"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يرى الباحث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175"/>
      </w:r>
    </w:p>
    <w:p w14:paraId="104CB21F"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بعض الباحثين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176"/>
      </w:r>
    </w:p>
    <w:p w14:paraId="695A06EE"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3DC8D717"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خرّجت الجلعود تطبيقات الذكاء الاصطناعي في المجال القضائي على «عون القاضي»؛ بجامع أن كلاً منهما من السبل المعينة للقاضي على أداء مهمته، وأجابت عن الاعتراض باشتراط الفقهاء الإسلامَ والعدالة والعقل في العون بأن ما اشترطوه يُحمل على أعوان زمانهم ولا يقصر الإعانة على البشر، منتهيةً إلى أن الفقه الإسلامي يمتلك أدوات التخريج الكافية لاستيعاب هذه الإشكاليات المستحدثة.</w:t>
      </w:r>
      <w:r>
        <w:rPr>
          <w:rtl/>
        </w:rPr>
        <w:footnoteReference w:id="177"/>
      </w:r>
    </w:p>
    <w:p w14:paraId="5CF06625"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بعض الباحثين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178"/>
      </w:r>
    </w:p>
    <w:p w14:paraId="0D8B7CA6" w14:textId="77777777" w:rsidR="00D57654" w:rsidRDefault="00000000"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بعض الدراسات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p>
    <w:p w14:paraId="3B39B2AA"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2F87ECBD" w14:textId="77777777" w:rsidR="00624037" w:rsidRPr="002E352F" w:rsidRDefault="00624037" w:rsidP="00786384">
      <w:pPr>
        <w:jc w:val="right"/>
        <w:rPr>
          <w:rFonts w:asciiTheme="majorBidi" w:hAnsiTheme="majorBidi" w:cstheme="majorBidi"/>
          <w:sz w:val="24"/>
          <w:szCs w:val="24"/>
        </w:rPr>
      </w:pPr>
    </w:p>
    <w:p w14:paraId="0C91E55B" w14:textId="77777777" w:rsidR="00624037" w:rsidRPr="002E352F" w:rsidRDefault="00BB08F4"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و </w:t>
      </w:r>
      <w:r>
        <w:rPr>
          <w:rFonts w:asciiTheme="majorBidi" w:hAnsiTheme="majorBidi" w:cstheme="majorBidi"/>
          <w:b/>
          <w:bCs/>
          <w:sz w:val="24"/>
          <w:szCs w:val="24"/>
          <w:rtl/>
        </w:rPr>
        <w:t>من خلال التحليل النظامي والمقارن</w:t>
      </w:r>
      <w:r>
        <w:rPr>
          <w:rFonts w:asciiTheme="majorBidi" w:hAnsiTheme="majorBidi" w:cstheme="majorBidi" w:hint="cs"/>
          <w:b/>
          <w:bCs/>
          <w:sz w:val="24"/>
          <w:szCs w:val="24"/>
          <w:rtl/>
        </w:rPr>
        <w:t xml:space="preserve"> لهذا المطلب</w:t>
      </w:r>
      <w:r>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Pr>
          <w:rFonts w:asciiTheme="majorBidi" w:hAnsiTheme="majorBidi" w:cstheme="majorBidi"/>
          <w:sz w:val="24"/>
          <w:szCs w:val="24"/>
        </w:rPr>
        <w:t>:</w:t>
      </w:r>
    </w:p>
    <w:p w14:paraId="54188D9A"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أولاً: احترام ضمانات التقاضي</w:t>
      </w:r>
      <w:r>
        <w:rPr>
          <w:rFonts w:asciiTheme="majorBidi" w:hAnsiTheme="majorBidi" w:cstheme="majorBidi"/>
          <w:sz w:val="24"/>
          <w:szCs w:val="24"/>
        </w:rPr>
        <w:t>.</w:t>
      </w:r>
    </w:p>
    <w:p w14:paraId="4CFD39F7"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lastRenderedPageBreak/>
        <w:t>ثانياً: بقاء سلطة القاضي في التقدير</w:t>
      </w:r>
      <w:r>
        <w:rPr>
          <w:rFonts w:asciiTheme="majorBidi" w:hAnsiTheme="majorBidi" w:cstheme="majorBidi"/>
          <w:sz w:val="24"/>
          <w:szCs w:val="24"/>
        </w:rPr>
        <w:t>.</w:t>
      </w:r>
    </w:p>
    <w:p w14:paraId="29A59D96"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ثالثاً: تحمل المحامي لمسؤوليته المهنية</w:t>
      </w:r>
      <w:r>
        <w:rPr>
          <w:rFonts w:asciiTheme="majorBidi" w:hAnsiTheme="majorBidi" w:cstheme="majorBidi"/>
          <w:sz w:val="24"/>
          <w:szCs w:val="24"/>
        </w:rPr>
        <w:t>.</w:t>
      </w:r>
    </w:p>
    <w:p w14:paraId="519B49B3" w14:textId="77777777" w:rsidR="00624037" w:rsidRPr="002E352F" w:rsidRDefault="00624037">
      <w:pPr>
        <w:jc w:val="right"/>
        <w:rPr>
          <w:rFonts w:asciiTheme="majorBidi" w:hAnsiTheme="majorBidi" w:cstheme="majorBidi"/>
          <w:sz w:val="24"/>
          <w:szCs w:val="24"/>
        </w:rPr>
      </w:pPr>
      <w:r>
        <w:rPr>
          <w:rFonts w:asciiTheme="majorBidi" w:hAnsiTheme="majorBidi" w:cstheme="majorBidi"/>
          <w:sz w:val="24"/>
          <w:szCs w:val="24"/>
          <w:rtl/>
        </w:rPr>
        <w:t>رابعاً: خضوع التقنية لمبادئ الشفافية والمساءلة</w:t>
      </w:r>
      <w:r>
        <w:rPr>
          <w:rFonts w:asciiTheme="majorBidi" w:hAnsiTheme="majorBidi" w:cstheme="majorBidi"/>
          <w:sz w:val="24"/>
          <w:szCs w:val="24"/>
        </w:rPr>
        <w:t>.</w:t>
      </w:r>
    </w:p>
    <w:p w14:paraId="4D67396F"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0C133643" w14:textId="77777777" w:rsidR="00624037" w:rsidRDefault="00624037" w:rsidP="00624037">
      <w:pPr>
        <w:jc w:val="right"/>
        <w:rPr>
          <w:rFonts w:asciiTheme="majorBidi" w:hAnsiTheme="majorBidi" w:cstheme="majorBidi"/>
          <w:sz w:val="24"/>
          <w:szCs w:val="24"/>
          <w:rtl/>
        </w:rPr>
      </w:pPr>
    </w:p>
    <w:p w14:paraId="58156122" w14:textId="77777777" w:rsidR="00CF598B" w:rsidRPr="00A845BC" w:rsidRDefault="00CF598B" w:rsidP="00CF598B">
      <w:pPr>
        <w:jc w:val="center"/>
        <w:rPr>
          <w:rFonts w:asciiTheme="majorBidi" w:hAnsiTheme="majorBidi" w:cstheme="majorBidi"/>
          <w:sz w:val="32"/>
          <w:szCs w:val="32"/>
          <w:rtl/>
        </w:rPr>
      </w:pPr>
    </w:p>
    <w:p w14:paraId="473C496A" w14:textId="77777777" w:rsidR="00CF598B" w:rsidRPr="00A845BC" w:rsidRDefault="00CF598B" w:rsidP="00CF598B">
      <w:pPr>
        <w:pStyle w:val="2"/>
        <w:jc w:val="center"/>
        <w:rPr>
          <w:rFonts w:asciiTheme="majorBidi" w:hAnsiTheme="majorBidi"/>
          <w:b/>
          <w:bCs/>
        </w:rPr>
      </w:pPr>
      <w:bookmarkStart w:id="31" w:name="_Toc237071383"/>
      <w:r>
        <w:rPr>
          <w:rFonts w:asciiTheme="majorBidi" w:hAnsiTheme="majorBidi"/>
          <w:b/>
          <w:bCs/>
          <w:rtl/>
        </w:rPr>
        <w:t>المبحث الثاني</w:t>
      </w:r>
      <w:bookmarkEnd w:id="31"/>
    </w:p>
    <w:p w14:paraId="6ED94F35" w14:textId="77777777" w:rsidR="00CF598B" w:rsidRPr="00A845BC" w:rsidRDefault="00CF598B" w:rsidP="00CF598B">
      <w:pPr>
        <w:pStyle w:val="2"/>
        <w:jc w:val="center"/>
        <w:rPr>
          <w:rFonts w:asciiTheme="majorBidi" w:hAnsiTheme="majorBidi"/>
          <w:b/>
          <w:bCs/>
          <w:sz w:val="24"/>
          <w:szCs w:val="24"/>
        </w:rPr>
      </w:pPr>
      <w:bookmarkStart w:id="32" w:name="_Toc237071384"/>
      <w:r>
        <w:rPr>
          <w:rFonts w:asciiTheme="majorBidi" w:hAnsiTheme="majorBidi"/>
          <w:b/>
          <w:bCs/>
          <w:rtl/>
        </w:rPr>
        <w:t>المسؤولية القانونية والمهنية عن استخدام تقنيات الذكاء الاصطناعي في مكاتب المحاماة</w:t>
      </w:r>
      <w:bookmarkEnd w:id="32"/>
    </w:p>
    <w:p w14:paraId="21C08D1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72F11699"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25FCDFB9"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179"/>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180"/>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711F84A9"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1313A08"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w:t>
      </w:r>
      <w:r>
        <w:rPr>
          <w:rFonts w:asciiTheme="majorBidi" w:hAnsiTheme="majorBidi" w:cstheme="majorBidi"/>
          <w:sz w:val="24"/>
          <w:szCs w:val="24"/>
          <w:rtl/>
        </w:rPr>
        <w:lastRenderedPageBreak/>
        <w:t>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388C41D0"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77C59A88"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72C648AB"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3BDEAC4D" w14:textId="77777777" w:rsidR="00CF598B" w:rsidRPr="00A845BC" w:rsidRDefault="00CF598B" w:rsidP="00CF598B">
      <w:pPr>
        <w:jc w:val="right"/>
        <w:rPr>
          <w:rFonts w:asciiTheme="majorBidi" w:hAnsiTheme="majorBidi" w:cstheme="majorBidi"/>
          <w:sz w:val="24"/>
          <w:szCs w:val="24"/>
        </w:rPr>
      </w:pPr>
    </w:p>
    <w:p w14:paraId="6884DA44"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181"/>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4BB649CE"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بعض الباحثين</w:t>
      </w:r>
      <w:r>
        <w:rPr>
          <w:rStyle w:val="af"/>
          <w:rFonts w:asciiTheme="majorBidi" w:hAnsiTheme="majorBidi" w:cstheme="majorBidi"/>
          <w:sz w:val="24"/>
          <w:szCs w:val="24"/>
          <w:rtl/>
        </w:rPr>
        <w:footnoteReference w:id="182"/>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2B3A3B47"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400EBA8" w14:textId="77777777" w:rsidR="00CF598B" w:rsidRDefault="00CF598B" w:rsidP="00CF598B">
      <w:pPr>
        <w:jc w:val="right"/>
        <w:rPr>
          <w:rFonts w:asciiTheme="majorBidi" w:hAnsiTheme="majorBidi" w:cstheme="majorBidi"/>
          <w:sz w:val="24"/>
          <w:szCs w:val="24"/>
          <w:rtl/>
        </w:rPr>
      </w:pPr>
    </w:p>
    <w:p w14:paraId="625D7634" w14:textId="77777777" w:rsidR="00CF598B" w:rsidRPr="00A845BC" w:rsidRDefault="00CF598B" w:rsidP="00CF598B">
      <w:pPr>
        <w:jc w:val="right"/>
        <w:rPr>
          <w:rFonts w:asciiTheme="majorBidi" w:hAnsiTheme="majorBidi" w:cstheme="majorBidi"/>
          <w:sz w:val="24"/>
          <w:szCs w:val="24"/>
        </w:rPr>
      </w:pPr>
    </w:p>
    <w:p w14:paraId="368C9191"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49B93800"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61A6270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3E34E96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0EEAD96E"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62A40F99" w14:textId="77777777" w:rsidR="00CF598B" w:rsidRPr="00A845BC" w:rsidRDefault="00CF598B" w:rsidP="00CF598B">
      <w:pPr>
        <w:jc w:val="right"/>
        <w:rPr>
          <w:rFonts w:asciiTheme="majorBidi" w:hAnsiTheme="majorBidi" w:cstheme="majorBidi"/>
          <w:sz w:val="24"/>
          <w:szCs w:val="24"/>
          <w:rtl/>
        </w:rPr>
      </w:pPr>
    </w:p>
    <w:p w14:paraId="4AF75B17"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0E6E5A86" w14:textId="77777777" w:rsidR="00FE66C9" w:rsidRPr="002E352F" w:rsidRDefault="00FE66C9" w:rsidP="00FE66C9">
      <w:pPr>
        <w:jc w:val="right"/>
        <w:rPr>
          <w:rFonts w:asciiTheme="majorBidi" w:hAnsiTheme="majorBidi" w:cstheme="majorBidi"/>
          <w:sz w:val="24"/>
          <w:szCs w:val="24"/>
        </w:rPr>
      </w:pPr>
    </w:p>
    <w:p w14:paraId="3A938000" w14:textId="77777777" w:rsidR="00FE66C9" w:rsidRPr="00A845BC" w:rsidRDefault="00FE66C9" w:rsidP="00FE66C9">
      <w:pPr>
        <w:pStyle w:val="3"/>
        <w:jc w:val="center"/>
        <w:rPr>
          <w:rFonts w:asciiTheme="majorBidi" w:hAnsiTheme="majorBidi"/>
          <w:b/>
          <w:bCs/>
          <w:sz w:val="32"/>
          <w:szCs w:val="32"/>
        </w:rPr>
      </w:pPr>
      <w:bookmarkStart w:id="33" w:name="_Toc237071385"/>
      <w:r>
        <w:rPr>
          <w:rFonts w:asciiTheme="majorBidi" w:hAnsiTheme="majorBidi"/>
          <w:b/>
          <w:bCs/>
          <w:sz w:val="32"/>
          <w:szCs w:val="32"/>
          <w:rtl/>
        </w:rPr>
        <w:t>المطلب الأول</w:t>
      </w:r>
      <w:bookmarkEnd w:id="33"/>
    </w:p>
    <w:p w14:paraId="47A2581E" w14:textId="77777777" w:rsidR="004F0491" w:rsidRDefault="00FE66C9" w:rsidP="004F0491">
      <w:pPr>
        <w:pStyle w:val="3"/>
        <w:jc w:val="center"/>
        <w:rPr>
          <w:rFonts w:asciiTheme="majorBidi" w:hAnsiTheme="majorBidi"/>
          <w:b/>
          <w:bCs/>
          <w:sz w:val="32"/>
          <w:szCs w:val="32"/>
        </w:rPr>
      </w:pPr>
      <w:bookmarkStart w:id="34" w:name="_Toc237071386"/>
      <w:r>
        <w:rPr>
          <w:rFonts w:asciiTheme="majorBidi" w:hAnsiTheme="majorBidi"/>
          <w:b/>
          <w:bCs/>
          <w:sz w:val="32"/>
          <w:szCs w:val="32"/>
          <w:rtl/>
        </w:rPr>
        <w:t>المسؤولية المدنية والمهنية للمحامي عند استخدام الذكاء الاصطناعي</w:t>
      </w:r>
      <w:bookmarkEnd w:id="34"/>
    </w:p>
    <w:p w14:paraId="3A1B41C1" w14:textId="77777777" w:rsidR="004F0491" w:rsidRDefault="004F0491" w:rsidP="004F0491">
      <w:pPr>
        <w:jc w:val="center"/>
        <w:rPr>
          <w:rFonts w:asciiTheme="majorBidi" w:hAnsiTheme="majorBidi" w:cstheme="majorBidi"/>
          <w:b/>
          <w:bCs/>
          <w:sz w:val="32"/>
          <w:szCs w:val="32"/>
        </w:rPr>
      </w:pPr>
    </w:p>
    <w:p w14:paraId="42B64E33"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66E2C022"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183"/>
      </w:r>
    </w:p>
    <w:p w14:paraId="23F1CEBE"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w:t>
      </w:r>
      <w:r>
        <w:rPr>
          <w:rFonts w:asciiTheme="majorBidi" w:hAnsiTheme="majorBidi" w:cstheme="majorBidi"/>
          <w:sz w:val="24"/>
          <w:szCs w:val="24"/>
          <w:rtl/>
        </w:rPr>
        <w:lastRenderedPageBreak/>
        <w:t>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184"/>
      </w:r>
    </w:p>
    <w:p w14:paraId="0E95023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05823AB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وقد قرر نظام المحاماة في مادته (الحادية عشرة) أن على المحامي مزاولة مهنته "وفقاً للأصول الشرعية والأنظمة المرعية" وبما يقتضيه ذلك من التزام بواجبات المهنة، وجاءت اللائحة التنفيذية مؤكدةً على مضمون هذا الالتزام من خلال تقرير واجب المحافظة على مصالح الموكل وبذل العناية اللازمة في الأداء. ويكتسب هذا الإطار أهميته لأنه يضع أساسًا يُفيد بأن “العناية” ليست خيارًا مهنيًا، بل واجب نظامي يُرتّب آثارًا عند الإخلال</w:t>
      </w:r>
      <w:r>
        <w:rPr>
          <w:rStyle w:val="af"/>
          <w:rFonts w:asciiTheme="majorBidi" w:hAnsiTheme="majorBidi" w:cstheme="majorBidi"/>
          <w:sz w:val="24"/>
          <w:szCs w:val="24"/>
          <w:rtl/>
        </w:rPr>
        <w:footnoteReference w:id="185"/>
      </w:r>
      <w:r>
        <w:rPr>
          <w:rFonts w:asciiTheme="majorBidi" w:hAnsiTheme="majorBidi" w:cstheme="majorBidi"/>
          <w:sz w:val="24"/>
          <w:szCs w:val="24"/>
          <w:rtl/>
        </w:rPr>
        <w:t>.</w:t>
      </w:r>
    </w:p>
    <w:p w14:paraId="70125BC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وعلى مستوى القواعد العامة، يقرر نظام المعاملات المدنية أن كل خطأ سبب ضررًا للغير يُلزم من ارتكبه بالتعويض. وبذلك تلتقي مسؤولية المحامي مع النموذج المدني العام القائم على: الخطأ – الضرر – السببية</w:t>
      </w:r>
      <w:r>
        <w:rPr>
          <w:rStyle w:val="af"/>
          <w:rFonts w:asciiTheme="majorBidi" w:hAnsiTheme="majorBidi" w:cstheme="majorBidi"/>
          <w:sz w:val="24"/>
          <w:szCs w:val="24"/>
          <w:rtl/>
        </w:rPr>
        <w:footnoteReference w:id="186"/>
      </w:r>
      <w:r>
        <w:rPr>
          <w:rFonts w:asciiTheme="majorBidi" w:hAnsiTheme="majorBidi" w:cstheme="majorBidi"/>
          <w:sz w:val="24"/>
          <w:szCs w:val="24"/>
          <w:rtl/>
        </w:rPr>
        <w:t>. غير أن إدخال الذكاء الاصطناعي إلى أعمال البحث والصياغة والتحليل يخلق سؤالًا محوريًا:هل يتغير “موضع الإسناد” إذا كان المخرج القانوني قد تولّد عبر خوارزمية؟</w:t>
      </w:r>
    </w:p>
    <w:p w14:paraId="0B5907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71797BB8" w14:textId="77777777" w:rsidR="004F0491" w:rsidRPr="00E33F20"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أطروحة الإبقاء على الإسناد للمحامي (الاعتماد والتقديم)</w:t>
      </w:r>
      <w:r>
        <w:rPr>
          <w:rFonts w:asciiTheme="majorBidi" w:hAnsiTheme="majorBidi" w:cstheme="majorBidi"/>
          <w:b/>
          <w:bCs/>
          <w:sz w:val="24"/>
          <w:szCs w:val="24"/>
          <w:rtl/>
        </w:rPr>
        <w:br/>
      </w:r>
      <w:r w:rsidRPr="00E33F20">
        <w:rPr>
          <w:rFonts w:asciiTheme="majorBidi" w:hAnsiTheme="majorBidi" w:cstheme="majorBidi"/>
          <w:sz w:val="24"/>
          <w:szCs w:val="24"/>
          <w:rtl/>
        </w:rPr>
        <w:t>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بالوضع النظامي الراهن الذي لا يعترف للأنظمة الذكية بذمة مالية مستقلة، فيبقى الإسناد للأشخاص الطبيعيين أو الاعتباريين، ولا تتحول «الآلة» إلى مركز للمسؤولية في ذاتها؛ وذلك على الرغم من دعوة بعض الباحثين – ومنهم المالكي في عرضه لنظريتي الاعتراف بالشخصية القانونية للذكاء الاصطناعي وإنكارها – إلى استحداث شخصية قانونية خاصة به مستقبلاً على غرار الشخصية الاعتبارية للشركات</w:t>
      </w:r>
      <w:r w:rsidRPr="00E33F20">
        <w:rPr>
          <w:rStyle w:val="af"/>
          <w:rFonts w:asciiTheme="majorBidi" w:hAnsiTheme="majorBidi" w:cstheme="majorBidi"/>
          <w:sz w:val="24"/>
          <w:szCs w:val="24"/>
          <w:rtl/>
        </w:rPr>
        <w:footnoteReference w:id="187"/>
      </w:r>
      <w:r w:rsidRPr="00E33F20">
        <w:rPr>
          <w:rFonts w:asciiTheme="majorBidi" w:hAnsiTheme="majorBidi" w:cstheme="majorBidi"/>
          <w:sz w:val="24"/>
          <w:szCs w:val="24"/>
          <w:rtl/>
        </w:rPr>
        <w:t>.</w:t>
      </w:r>
    </w:p>
    <w:p w14:paraId="5C8C39E1"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A954648" w14:textId="77777777"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Pr>
          <w:rFonts w:asciiTheme="majorBidi" w:hAnsiTheme="majorBidi" w:cstheme="majorBidi"/>
          <w:b/>
          <w:bCs/>
          <w:sz w:val="24"/>
          <w:szCs w:val="24"/>
          <w:rtl/>
        </w:rPr>
        <w:t>تحمل تبعة الرأي القانوني</w:t>
      </w:r>
      <w:r>
        <w:rPr>
          <w:rFonts w:asciiTheme="majorBidi" w:hAnsiTheme="majorBidi" w:cstheme="majorBidi"/>
          <w:sz w:val="24"/>
          <w:szCs w:val="24"/>
          <w:rtl/>
        </w:rPr>
        <w:t xml:space="preserve">، وتقدير المخاطر، والتحقق من الملاءمة. </w:t>
      </w:r>
      <w:r>
        <w:rPr>
          <w:rFonts w:asciiTheme="majorBidi" w:hAnsiTheme="majorBidi" w:cstheme="majorBidi"/>
          <w:sz w:val="24"/>
          <w:szCs w:val="24"/>
          <w:rtl/>
        </w:rPr>
        <w:lastRenderedPageBreak/>
        <w:t>فالذكاء الاصطناعي – مهما بلغ – يظل في نهاية المطاف “أداة استدلال” أو “مُعينًا” لا “ضميرًا مهنيًا” ولا “جهة إفتاء قانوني” تُنهي النقاش أو تحسم الإسناد</w:t>
      </w:r>
      <w:r>
        <w:rPr>
          <w:rFonts w:asciiTheme="majorBidi" w:hAnsiTheme="majorBidi" w:cstheme="majorBidi"/>
          <w:sz w:val="24"/>
          <w:szCs w:val="24"/>
        </w:rPr>
        <w:t>.</w:t>
      </w:r>
    </w:p>
    <w:p w14:paraId="1BB5EDF5" w14:textId="77777777" w:rsidR="004F0491" w:rsidRPr="00AD56AA" w:rsidRDefault="004F0491" w:rsidP="004F0491">
      <w:pPr>
        <w:rPr>
          <w:rFonts w:asciiTheme="majorBidi" w:hAnsiTheme="majorBidi" w:cstheme="majorBidi"/>
          <w:sz w:val="24"/>
          <w:szCs w:val="24"/>
        </w:rPr>
      </w:pPr>
    </w:p>
    <w:p w14:paraId="2D769384"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188"/>
      </w:r>
    </w:p>
    <w:p w14:paraId="3905FBA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35951C0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ويشير إسماعيل إلى أن التقنيات الحديثة تعيد تشكيل أدوار المحامين والقضاة، بحيث لا تقتصر الكفاءة المهنية على المعرفة القانونية التقليدية، بل تمتد إلى القدرة على توظيف الأدوات التقنية بصورة صحيحة ومُحكمة</w:t>
      </w:r>
      <w:r>
        <w:rPr>
          <w:rStyle w:val="af"/>
          <w:rFonts w:asciiTheme="majorBidi" w:hAnsiTheme="majorBidi" w:cstheme="majorBidi"/>
          <w:sz w:val="24"/>
          <w:szCs w:val="24"/>
          <w:rtl/>
        </w:rPr>
        <w:footnoteReference w:id="189"/>
      </w:r>
      <w:r>
        <w:rPr>
          <w:rFonts w:asciiTheme="majorBidi" w:hAnsiTheme="majorBidi" w:cstheme="majorBidi"/>
          <w:sz w:val="24"/>
          <w:szCs w:val="24"/>
          <w:rtl/>
        </w:rPr>
        <w:t>. ويترتب على ذلك واجبٌ على المستخدم المهني يتمثل في التحقق من ملاءمة الأداة ودقة مخرجاتها قبل الاعتماد عليها؛ لأن الاعتماد غير المتحقق يفرغ واجب العناية من مضمونه.</w:t>
      </w:r>
    </w:p>
    <w:p w14:paraId="3461F06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2C502C1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1AB7EFD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D79705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ثالثاً: 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56D6790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رابعاً: 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7CEE5583"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5E537D79"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4401609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03E3BF0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5324232B" w14:textId="77777777" w:rsidR="004F0491" w:rsidRPr="00AD56AA" w:rsidRDefault="004F0491" w:rsidP="004F0491">
      <w:pPr>
        <w:rPr>
          <w:rFonts w:asciiTheme="majorBidi" w:hAnsiTheme="majorBidi" w:cstheme="majorBidi"/>
          <w:sz w:val="24"/>
          <w:szCs w:val="24"/>
        </w:rPr>
      </w:pPr>
    </w:p>
    <w:p w14:paraId="2C66083B"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61569094"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وعلى الصعيد المقارن، أكدت لعقرب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w:t>
      </w:r>
      <w:r>
        <w:rPr>
          <w:rFonts w:asciiTheme="majorBidi" w:hAnsiTheme="majorBidi" w:cstheme="majorBidi"/>
          <w:sz w:val="24"/>
          <w:szCs w:val="24"/>
          <w:rtl/>
        </w:rPr>
        <w:lastRenderedPageBreak/>
        <w:t>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190"/>
      </w:r>
    </w:p>
    <w:p w14:paraId="50F573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734D978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ويرى الباحث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يرى الباحث — استئناساً بتفرقة عبد اللطيف بين مخاطر الهيكل التي يسأل عنها الصانع ومخاطر السلوك التي يسأل عنها المستخدم —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Style w:val="af"/>
          <w:rFonts w:asciiTheme="majorBidi" w:hAnsiTheme="majorBidi" w:cstheme="majorBidi"/>
          <w:sz w:val="24"/>
          <w:szCs w:val="24"/>
          <w:rtl/>
        </w:rPr>
        <w:footnoteReference w:id="191"/>
      </w:r>
      <w:r>
        <w:rPr>
          <w:rFonts w:asciiTheme="majorBidi" w:hAnsiTheme="majorBidi" w:cstheme="majorBidi"/>
          <w:sz w:val="24"/>
          <w:szCs w:val="24"/>
          <w:rtl/>
        </w:rPr>
        <w:t>.</w:t>
      </w:r>
    </w:p>
    <w:p w14:paraId="02BA9273"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4A91040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درجة شيوع التقنية في الوسط المهني (هل أصبحت معيارًا مؤسسيًا؟)</w:t>
      </w:r>
      <w:r>
        <w:rPr>
          <w:rFonts w:asciiTheme="majorBidi" w:hAnsiTheme="majorBidi" w:cstheme="majorBidi"/>
          <w:sz w:val="24"/>
          <w:szCs w:val="24"/>
        </w:rPr>
        <w:t>.</w:t>
      </w:r>
    </w:p>
    <w:p w14:paraId="3854F1A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طبيعة المسألة محل العمل (روتينية أم دقيقة عالية المخاطر)</w:t>
      </w:r>
      <w:r>
        <w:rPr>
          <w:rFonts w:asciiTheme="majorBidi" w:hAnsiTheme="majorBidi" w:cstheme="majorBidi"/>
          <w:sz w:val="24"/>
          <w:szCs w:val="24"/>
        </w:rPr>
        <w:t>.</w:t>
      </w:r>
    </w:p>
    <w:p w14:paraId="2DC7E52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وضوح قيود النظام والتحذيرات (هل نبهت المنصة إلى حدودها؟)</w:t>
      </w:r>
      <w:r>
        <w:rPr>
          <w:rFonts w:asciiTheme="majorBidi" w:hAnsiTheme="majorBidi" w:cstheme="majorBidi"/>
          <w:sz w:val="24"/>
          <w:szCs w:val="24"/>
        </w:rPr>
        <w:t>.</w:t>
      </w:r>
    </w:p>
    <w:p w14:paraId="68AF775D" w14:textId="77777777" w:rsidR="004F0491" w:rsidRPr="00AC662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مستوى المراجعة البشرية والتحقق (هل اكتفى بالنسخ؟ أم راجع واستوثق؟)</w:t>
      </w:r>
      <w:r>
        <w:rPr>
          <w:rFonts w:asciiTheme="majorBidi" w:hAnsiTheme="majorBidi" w:cstheme="majorBidi"/>
          <w:sz w:val="24"/>
          <w:szCs w:val="24"/>
        </w:rPr>
        <w:t>..</w:t>
      </w:r>
    </w:p>
    <w:p w14:paraId="2E831556" w14:textId="77777777" w:rsidR="004F0491" w:rsidRPr="00AD56AA" w:rsidRDefault="004F0491" w:rsidP="004F0491">
      <w:pPr>
        <w:rPr>
          <w:rFonts w:asciiTheme="majorBidi" w:hAnsiTheme="majorBidi" w:cstheme="majorBidi"/>
          <w:sz w:val="24"/>
          <w:szCs w:val="24"/>
        </w:rPr>
      </w:pPr>
    </w:p>
    <w:p w14:paraId="75D642F4"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بحث أوجه هذه التفرقة، تناول بحث عبد اللطيف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192"/>
      </w:r>
    </w:p>
    <w:p w14:paraId="37D38C1E" w14:textId="42ACAF10" w:rsidR="004F0491" w:rsidRPr="00AD56AA" w:rsidRDefault="004F0491" w:rsidP="00E33F20">
      <w:pPr>
        <w:jc w:val="right"/>
        <w:rPr>
          <w:rFonts w:asciiTheme="majorBidi" w:hAnsiTheme="majorBidi" w:cstheme="majorBidi"/>
          <w:sz w:val="24"/>
          <w:szCs w:val="24"/>
          <w:rtl/>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sidR="00E33F20">
        <w:rPr>
          <w:rFonts w:asciiTheme="majorBidi" w:hAnsiTheme="majorBidi" w:cstheme="majorBidi" w:hint="cs"/>
          <w:sz w:val="24"/>
          <w:szCs w:val="24"/>
          <w:rtl/>
        </w:rPr>
        <w:t>:</w:t>
      </w:r>
    </w:p>
    <w:p w14:paraId="49B32FF1" w14:textId="4EECA3F2"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sidR="002A1329">
        <w:rPr>
          <w:rFonts w:asciiTheme="majorBidi" w:hAnsiTheme="majorBidi" w:cstheme="majorBidi" w:hint="cs"/>
          <w:sz w:val="24"/>
          <w:szCs w:val="24"/>
          <w:rtl/>
        </w:rPr>
        <w:t>:</w:t>
      </w:r>
    </w:p>
    <w:p w14:paraId="7A43109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خلل في قاعدة البيانات أو مصادرها</w:t>
      </w:r>
      <w:r>
        <w:rPr>
          <w:rFonts w:asciiTheme="majorBidi" w:hAnsiTheme="majorBidi" w:cstheme="majorBidi"/>
          <w:sz w:val="24"/>
          <w:szCs w:val="24"/>
        </w:rPr>
        <w:t>.</w:t>
      </w:r>
    </w:p>
    <w:p w14:paraId="79E10543"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اعتماد تشريعات غير محدثة أو غير سعودية</w:t>
      </w:r>
      <w:r>
        <w:rPr>
          <w:rFonts w:asciiTheme="majorBidi" w:hAnsiTheme="majorBidi" w:cstheme="majorBidi"/>
          <w:sz w:val="24"/>
          <w:szCs w:val="24"/>
        </w:rPr>
        <w:t>.</w:t>
      </w:r>
    </w:p>
    <w:p w14:paraId="4893DE64"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انحراف خوارزمي في التحليل أو ترتيب الأولويات</w:t>
      </w:r>
      <w:r>
        <w:rPr>
          <w:rFonts w:asciiTheme="majorBidi" w:hAnsiTheme="majorBidi" w:cstheme="majorBidi"/>
          <w:sz w:val="24"/>
          <w:szCs w:val="24"/>
        </w:rPr>
        <w:t>.</w:t>
      </w:r>
    </w:p>
    <w:p w14:paraId="6BC77053"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lastRenderedPageBreak/>
        <w:t>رابعاً: توليد إحالات غير صحيحة أو “سوابق وهمية</w:t>
      </w:r>
      <w:r>
        <w:rPr>
          <w:rFonts w:asciiTheme="majorBidi" w:hAnsiTheme="majorBidi" w:cstheme="majorBidi"/>
          <w:sz w:val="24"/>
          <w:szCs w:val="24"/>
        </w:rPr>
        <w:t>”.</w:t>
      </w:r>
    </w:p>
    <w:p w14:paraId="5D2D23BA" w14:textId="1548C194" w:rsidR="004F0491" w:rsidRPr="00AD56AA" w:rsidRDefault="004F0491" w:rsidP="004F0491">
      <w:pPr>
        <w:jc w:val="right"/>
        <w:rPr>
          <w:rFonts w:asciiTheme="majorBidi" w:hAnsiTheme="majorBidi" w:cstheme="majorBidi"/>
          <w:sz w:val="24"/>
          <w:szCs w:val="24"/>
          <w:rtl/>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sidR="002A1329">
        <w:rPr>
          <w:rFonts w:asciiTheme="majorBidi" w:hAnsiTheme="majorBidi" w:cstheme="majorBidi" w:hint="cs"/>
          <w:sz w:val="24"/>
          <w:szCs w:val="24"/>
          <w:rtl/>
        </w:rPr>
        <w:t xml:space="preserve"> :</w:t>
      </w:r>
    </w:p>
    <w:p w14:paraId="27C06EE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اعتماد المخرج دون مراجعة</w:t>
      </w:r>
      <w:r>
        <w:rPr>
          <w:rFonts w:asciiTheme="majorBidi" w:hAnsiTheme="majorBidi" w:cstheme="majorBidi"/>
          <w:sz w:val="24"/>
          <w:szCs w:val="24"/>
        </w:rPr>
        <w:t>.</w:t>
      </w:r>
    </w:p>
    <w:p w14:paraId="1C6BC06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إدخال بيانات ناقصة أو مضللة</w:t>
      </w:r>
      <w:r>
        <w:rPr>
          <w:rFonts w:asciiTheme="majorBidi" w:hAnsiTheme="majorBidi" w:cstheme="majorBidi"/>
          <w:sz w:val="24"/>
          <w:szCs w:val="24"/>
        </w:rPr>
        <w:t>.</w:t>
      </w:r>
    </w:p>
    <w:p w14:paraId="6CC10E8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سوء اختيار الأداة (غير مخصصة للبيئة السعودية/غير آمنة)</w:t>
      </w:r>
      <w:r>
        <w:rPr>
          <w:rFonts w:asciiTheme="majorBidi" w:hAnsiTheme="majorBidi" w:cstheme="majorBidi"/>
          <w:sz w:val="24"/>
          <w:szCs w:val="24"/>
        </w:rPr>
        <w:t>.</w:t>
      </w:r>
    </w:p>
    <w:p w14:paraId="4556319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تجاهل تحذيرات الاستخدام أو استعمال الأداة خارج نطاقها</w:t>
      </w:r>
      <w:r>
        <w:rPr>
          <w:rFonts w:asciiTheme="majorBidi" w:hAnsiTheme="majorBidi" w:cstheme="majorBidi"/>
          <w:sz w:val="24"/>
          <w:szCs w:val="24"/>
        </w:rPr>
        <w:t>.</w:t>
      </w:r>
    </w:p>
    <w:p w14:paraId="16B9800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ويثير تعقيدُ الخوارزميات ما يمكن تسميته «انقطاع الصلة الإدراكية»؛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صفة مهنية ويستند إليه في ممارسة حق الموكل، فيصبح الإسناد قائمًا من زاوية “الاعتماد” حتى لو تعذر إدراك “كيفية التوليد” بالكامل.</w:t>
      </w:r>
    </w:p>
    <w:p w14:paraId="6571E81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وبالبناء على ما عرضه المالكي من قيام الحراسة على السلطة الفعلية في التوجيه والرقابة، يرى الباحث أن معيار “السيطرة أو الرقابة الفعلية” أصلح</w:t>
      </w:r>
      <w:r>
        <w:rPr>
          <w:rStyle w:val="af"/>
          <w:rFonts w:asciiTheme="majorBidi" w:hAnsiTheme="majorBidi" w:cstheme="majorBidi"/>
          <w:b/>
          <w:bCs/>
          <w:sz w:val="24"/>
          <w:szCs w:val="24"/>
          <w:rtl/>
        </w:rPr>
        <w:footnoteReference w:id="193"/>
      </w:r>
      <w:r>
        <w:rPr>
          <w:rFonts w:asciiTheme="majorBidi" w:hAnsiTheme="majorBidi" w:cstheme="majorBidi"/>
          <w:sz w:val="24"/>
          <w:szCs w:val="24"/>
          <w:rtl/>
        </w:rPr>
        <w:t>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5DE14F69" w14:textId="09DEBD4B"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sidR="009D7D1A">
        <w:rPr>
          <w:rFonts w:asciiTheme="majorBidi" w:hAnsiTheme="majorBidi" w:cstheme="majorBidi" w:hint="cs"/>
          <w:b/>
          <w:bCs/>
          <w:sz w:val="24"/>
          <w:szCs w:val="24"/>
          <w:rtl/>
        </w:rPr>
        <w:t>:</w:t>
      </w:r>
    </w:p>
    <w:p w14:paraId="27B04A8F"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 xml:space="preserve">أولاً: 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31291A81" w14:textId="77777777" w:rsidR="004F0491" w:rsidRPr="00AD56AA" w:rsidRDefault="004F0491" w:rsidP="004F0491">
      <w:pPr>
        <w:bidi/>
        <w:jc w:val="both"/>
        <w:rPr>
          <w:rFonts w:asciiTheme="majorBidi" w:hAnsiTheme="majorBidi" w:cstheme="majorBidi"/>
          <w:sz w:val="24"/>
          <w:szCs w:val="24"/>
        </w:rPr>
      </w:pPr>
      <w:r>
        <w:rPr>
          <w:rFonts w:asciiTheme="majorBidi" w:hAnsiTheme="majorBidi" w:cstheme="majorBidi"/>
          <w:sz w:val="24"/>
          <w:szCs w:val="24"/>
          <w:rtl/>
        </w:rPr>
        <w:t xml:space="preserve">ثانياً: 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10EA9671" w14:textId="41109B72"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129A1CC9" w14:textId="77777777" w:rsidR="004F0491" w:rsidRPr="00AD56AA" w:rsidRDefault="004F0491" w:rsidP="004F0491">
      <w:pPr>
        <w:jc w:val="right"/>
        <w:rPr>
          <w:rFonts w:asciiTheme="majorBidi" w:hAnsiTheme="majorBidi" w:cstheme="majorBidi"/>
          <w:sz w:val="24"/>
          <w:szCs w:val="24"/>
        </w:rPr>
      </w:pPr>
    </w:p>
    <w:p w14:paraId="3D4EF32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tl/>
        </w:rPr>
        <w:br/>
        <w:t>تذهب الخميسي إلى توسيع زاوية النظر في المسؤولية المدنية عند صعوبة تحديد مصدر الخلل بدقة، لأن التقنية تُنتج أحيانًا ضررًا دون إمكانية سهلة لإسناده لفاعل واحد</w:t>
      </w:r>
      <w:r>
        <w:rPr>
          <w:rStyle w:val="af"/>
          <w:rFonts w:asciiTheme="majorBidi" w:hAnsiTheme="majorBidi" w:cstheme="majorBidi"/>
          <w:sz w:val="24"/>
          <w:szCs w:val="24"/>
          <w:rtl/>
        </w:rPr>
        <w:footnoteReference w:id="194"/>
      </w:r>
      <w:r>
        <w:rPr>
          <w:rFonts w:asciiTheme="majorBidi" w:hAnsiTheme="majorBidi" w:cstheme="majorBidi"/>
          <w:sz w:val="24"/>
          <w:szCs w:val="24"/>
          <w:rtl/>
        </w:rPr>
        <w:t>. ويشير رجب إلى أن تأطير أخلاقيات الذكاء الاصطناعي يستتبع تنظيم أدوات الحوكمة وتعزيز الرقابة المؤسسية بما يتناسب مع تعقيد التقنية وتداخل الأطراف.</w:t>
      </w:r>
      <w:r>
        <w:rPr>
          <w:rStyle w:val="af"/>
          <w:rFonts w:asciiTheme="majorBidi" w:hAnsiTheme="majorBidi" w:cstheme="majorBidi"/>
          <w:sz w:val="24"/>
          <w:szCs w:val="24"/>
          <w:rtl/>
        </w:rPr>
        <w:footnoteReference w:id="195"/>
      </w:r>
    </w:p>
    <w:p w14:paraId="18D4135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1AF6AC1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الإبقاء على الخطأ بوصفه إخلالًا بواجب العناية</w:t>
      </w:r>
      <w:r>
        <w:rPr>
          <w:rFonts w:asciiTheme="majorBidi" w:hAnsiTheme="majorBidi" w:cstheme="majorBidi"/>
          <w:sz w:val="24"/>
          <w:szCs w:val="24"/>
        </w:rPr>
        <w:t>.</w:t>
      </w:r>
    </w:p>
    <w:p w14:paraId="04351D78"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lastRenderedPageBreak/>
        <w:t>ثانياً: إعادة تعريف العناية لتشمل البعد التقني والحوكمة</w:t>
      </w:r>
      <w:r>
        <w:rPr>
          <w:rFonts w:asciiTheme="majorBidi" w:hAnsiTheme="majorBidi" w:cstheme="majorBidi"/>
          <w:sz w:val="24"/>
          <w:szCs w:val="24"/>
        </w:rPr>
        <w:t>.</w:t>
      </w:r>
    </w:p>
    <w:p w14:paraId="04B824AB"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مراعاة “التوقع المعقول للضرر” عند تقدير المسؤولية</w:t>
      </w:r>
      <w:r>
        <w:rPr>
          <w:rFonts w:asciiTheme="majorBidi" w:hAnsiTheme="majorBidi" w:cstheme="majorBidi"/>
          <w:sz w:val="24"/>
          <w:szCs w:val="24"/>
        </w:rPr>
        <w:t>.</w:t>
      </w:r>
    </w:p>
    <w:p w14:paraId="27635DB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التمييز بين الاعتماد المساعد والاعتماد الكلي</w:t>
      </w:r>
      <w:r>
        <w:rPr>
          <w:rFonts w:asciiTheme="majorBidi" w:hAnsiTheme="majorBidi" w:cstheme="majorBidi"/>
          <w:sz w:val="24"/>
          <w:szCs w:val="24"/>
        </w:rPr>
        <w:t>.</w:t>
      </w:r>
    </w:p>
    <w:p w14:paraId="2A0EBB5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2353F70" w14:textId="77777777" w:rsidR="004F0491" w:rsidRPr="00A845BC" w:rsidRDefault="004F0491" w:rsidP="004F0491">
      <w:pPr>
        <w:rPr>
          <w:rFonts w:asciiTheme="majorBidi" w:hAnsiTheme="majorBidi" w:cstheme="majorBidi"/>
          <w:sz w:val="24"/>
          <w:szCs w:val="24"/>
          <w:rtl/>
        </w:rPr>
      </w:pPr>
    </w:p>
    <w:p w14:paraId="1FCF6ED3"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73DB64E6"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42BABA00"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عدم التحقق من تحديث النظام ومصادره</w:t>
      </w:r>
      <w:r>
        <w:rPr>
          <w:rFonts w:asciiTheme="majorBidi" w:hAnsiTheme="majorBidi" w:cstheme="majorBidi"/>
          <w:sz w:val="24"/>
          <w:szCs w:val="24"/>
        </w:rPr>
        <w:t>.</w:t>
      </w:r>
    </w:p>
    <w:p w14:paraId="107E61F4"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عدم التأكد من مستوى أمان المنصة (خصوصًا مع البيانات الحساسة)</w:t>
      </w:r>
      <w:r>
        <w:rPr>
          <w:rFonts w:asciiTheme="majorBidi" w:hAnsiTheme="majorBidi" w:cstheme="majorBidi"/>
          <w:sz w:val="24"/>
          <w:szCs w:val="24"/>
        </w:rPr>
        <w:t>.</w:t>
      </w:r>
    </w:p>
    <w:p w14:paraId="5B8079D9"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استخدام حلول غير معتمدة أو غير واضحة الشروط</w:t>
      </w:r>
      <w:r>
        <w:rPr>
          <w:rFonts w:asciiTheme="majorBidi" w:hAnsiTheme="majorBidi" w:cstheme="majorBidi"/>
          <w:sz w:val="24"/>
          <w:szCs w:val="24"/>
        </w:rPr>
        <w:t>.</w:t>
      </w:r>
    </w:p>
    <w:p w14:paraId="6ACF5A1D"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غياب سياسة داخلية تضبط استخدام الذكاء الاصطناعي</w:t>
      </w:r>
      <w:r>
        <w:rPr>
          <w:rFonts w:asciiTheme="majorBidi" w:hAnsiTheme="majorBidi" w:cstheme="majorBidi"/>
          <w:sz w:val="24"/>
          <w:szCs w:val="24"/>
        </w:rPr>
        <w:t>.</w:t>
      </w:r>
    </w:p>
    <w:p w14:paraId="2FC0F40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وتؤكد وثيقة مبادئ أخلاقيات الذكاء الاصطناعي مبدأ “المساءلة” و”الشفافية” بما يفترض أن الجهة المستخدمة يجب أن تفهم حدود النظام وأن تتحمل أثر قرارات الاستخدام</w:t>
      </w:r>
      <w:r>
        <w:rPr>
          <w:rStyle w:val="af"/>
          <w:rFonts w:asciiTheme="majorBidi" w:hAnsiTheme="majorBidi" w:cstheme="majorBidi"/>
          <w:sz w:val="24"/>
          <w:szCs w:val="24"/>
          <w:rtl/>
        </w:rPr>
        <w:footnoteReference w:id="196"/>
      </w:r>
      <w:r>
        <w:rPr>
          <w:rFonts w:asciiTheme="majorBidi" w:hAnsiTheme="majorBidi" w:cstheme="majorBidi"/>
          <w:sz w:val="24"/>
          <w:szCs w:val="24"/>
          <w:rtl/>
        </w:rPr>
        <w:t>. كما يشدد إطار تبني الذكاء الاصطناعي على حوكمة إدخال التقنية داخل المؤسسات وإدارة المخاطر وتحديد المسؤوليات</w:t>
      </w:r>
      <w:r>
        <w:rPr>
          <w:rStyle w:val="af"/>
          <w:rFonts w:asciiTheme="majorBidi" w:hAnsiTheme="majorBidi" w:cstheme="majorBidi"/>
          <w:sz w:val="24"/>
          <w:szCs w:val="24"/>
          <w:rtl/>
        </w:rPr>
        <w:footnoteReference w:id="197"/>
      </w:r>
      <w:r>
        <w:rPr>
          <w:rFonts w:asciiTheme="majorBidi" w:hAnsiTheme="majorBidi" w:cstheme="majorBidi"/>
          <w:sz w:val="24"/>
          <w:szCs w:val="24"/>
          <w:rtl/>
        </w:rPr>
        <w:t>. وإذا أسقطنا ذلك على مكاتب المحاماة، فإن واجب الإشراف يأخذ صورة عملية مثل:</w:t>
      </w:r>
    </w:p>
    <w:p w14:paraId="185ECD85"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سياسات داخلية لاستخدام الذكاء الاصطناعي (متى يستخدم؟ ومتى يُمنع؟)</w:t>
      </w:r>
      <w:r>
        <w:rPr>
          <w:rFonts w:asciiTheme="majorBidi" w:hAnsiTheme="majorBidi" w:cstheme="majorBidi"/>
          <w:sz w:val="24"/>
          <w:szCs w:val="24"/>
        </w:rPr>
        <w:t>.</w:t>
      </w:r>
    </w:p>
    <w:p w14:paraId="07FF2F67"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تدريب الموظفين على قيود الأدوات ومخاطرها</w:t>
      </w:r>
      <w:r>
        <w:rPr>
          <w:rFonts w:asciiTheme="majorBidi" w:hAnsiTheme="majorBidi" w:cstheme="majorBidi"/>
          <w:sz w:val="24"/>
          <w:szCs w:val="24"/>
        </w:rPr>
        <w:t>.</w:t>
      </w:r>
    </w:p>
    <w:p w14:paraId="63CA2BD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تحديد نطاق البيانات المسموح إدخالها (خصوصية/سرية/حساسية)</w:t>
      </w:r>
      <w:r>
        <w:rPr>
          <w:rFonts w:asciiTheme="majorBidi" w:hAnsiTheme="majorBidi" w:cstheme="majorBidi"/>
          <w:sz w:val="24"/>
          <w:szCs w:val="24"/>
        </w:rPr>
        <w:t>.</w:t>
      </w:r>
    </w:p>
    <w:p w14:paraId="5E013531"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مراجعة عقود مزودي التقنية (المسؤولية، الضمانات، مكان التخزين)</w:t>
      </w:r>
      <w:r>
        <w:rPr>
          <w:rFonts w:asciiTheme="majorBidi" w:hAnsiTheme="majorBidi" w:cstheme="majorBidi"/>
          <w:sz w:val="24"/>
          <w:szCs w:val="24"/>
        </w:rPr>
        <w:t>.</w:t>
      </w:r>
    </w:p>
    <w:p w14:paraId="6F628153"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310835E7" w14:textId="77777777" w:rsidR="004F0491" w:rsidRPr="00AD56AA" w:rsidRDefault="004F0491" w:rsidP="004F0491">
      <w:pPr>
        <w:rPr>
          <w:rFonts w:asciiTheme="majorBidi" w:hAnsiTheme="majorBidi" w:cstheme="majorBidi"/>
          <w:sz w:val="24"/>
          <w:szCs w:val="24"/>
        </w:rPr>
      </w:pPr>
    </w:p>
    <w:p w14:paraId="2308B65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2048C04A"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أولاً: تخزن البيانات على خوادم خارج المملكة</w:t>
      </w:r>
      <w:r>
        <w:rPr>
          <w:rFonts w:asciiTheme="majorBidi" w:hAnsiTheme="majorBidi" w:cstheme="majorBidi"/>
          <w:sz w:val="24"/>
          <w:szCs w:val="24"/>
        </w:rPr>
        <w:t>.</w:t>
      </w:r>
    </w:p>
    <w:p w14:paraId="22059AB2"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تعالج معلومات حساسة دون تشفير أو ضوابط</w:t>
      </w:r>
      <w:r>
        <w:rPr>
          <w:rFonts w:asciiTheme="majorBidi" w:hAnsiTheme="majorBidi" w:cstheme="majorBidi"/>
          <w:sz w:val="24"/>
          <w:szCs w:val="24"/>
        </w:rPr>
        <w:t>.</w:t>
      </w:r>
    </w:p>
    <w:p w14:paraId="4C0C60E6"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t>ثالثاً: تُستغل فيها البيانات لتحسين نماذج أو خدمات دون إذن واضح</w:t>
      </w:r>
      <w:r>
        <w:rPr>
          <w:rFonts w:asciiTheme="majorBidi" w:hAnsiTheme="majorBidi" w:cstheme="majorBidi"/>
          <w:sz w:val="24"/>
          <w:szCs w:val="24"/>
        </w:rPr>
        <w:t>.</w:t>
      </w:r>
    </w:p>
    <w:p w14:paraId="11EE4747" w14:textId="77777777" w:rsidR="004F0491" w:rsidRPr="00AD56AA" w:rsidRDefault="004F0491" w:rsidP="004F0491">
      <w:pPr>
        <w:bidi/>
        <w:rPr>
          <w:rFonts w:asciiTheme="majorBidi" w:hAnsiTheme="majorBidi" w:cstheme="majorBidi"/>
          <w:sz w:val="24"/>
          <w:szCs w:val="24"/>
        </w:rPr>
      </w:pPr>
      <w:r>
        <w:rPr>
          <w:rFonts w:asciiTheme="majorBidi" w:hAnsiTheme="majorBidi" w:cstheme="majorBidi"/>
          <w:sz w:val="24"/>
          <w:szCs w:val="24"/>
          <w:rtl/>
        </w:rPr>
        <w:lastRenderedPageBreak/>
        <w:t>رابعاً: تتعرض لاختراقات أو تسربات</w:t>
      </w:r>
      <w:r>
        <w:rPr>
          <w:rFonts w:asciiTheme="majorBidi" w:hAnsiTheme="majorBidi" w:cstheme="majorBidi"/>
          <w:sz w:val="24"/>
          <w:szCs w:val="24"/>
        </w:rPr>
        <w:t>.</w:t>
      </w:r>
    </w:p>
    <w:p w14:paraId="7D311B9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يتداخل نظام حماية البيانات الشخصية الذي يلزم الجهة المعالجة باتخاذ التدابير الفنية والتنظيمية المناسبة لحماية البيانات. كما يلفت الأسيوطي</w:t>
      </w:r>
      <w:r>
        <w:rPr>
          <w:rStyle w:val="af"/>
          <w:rFonts w:asciiTheme="majorBidi" w:hAnsiTheme="majorBidi" w:cstheme="majorBidi"/>
          <w:sz w:val="24"/>
          <w:szCs w:val="24"/>
          <w:rtl/>
        </w:rPr>
        <w:footnoteReference w:id="198"/>
      </w:r>
      <w:r>
        <w:rPr>
          <w:rFonts w:asciiTheme="majorBidi" w:hAnsiTheme="majorBidi" w:cstheme="majorBidi"/>
          <w:sz w:val="24"/>
          <w:szCs w:val="24"/>
          <w:rtl/>
        </w:rPr>
        <w:t xml:space="preserve"> إلى أن القيمة القانونية للمستند الرقمي وموثوقيته تتأثر بصلابة بيئته التقنية، وأن حماية البيانات ليست ترفًا تقنيًا بل جزء من ضمان الحجية والثقة.</w:t>
      </w:r>
    </w:p>
    <w:p w14:paraId="5FFCAE3F"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BB595D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0042CCC7" w14:textId="77777777" w:rsidR="004F0491" w:rsidRPr="00AD56AA" w:rsidRDefault="004F0491" w:rsidP="004F0491">
      <w:pPr>
        <w:rPr>
          <w:rFonts w:asciiTheme="majorBidi" w:hAnsiTheme="majorBidi" w:cstheme="majorBidi"/>
          <w:sz w:val="24"/>
          <w:szCs w:val="24"/>
        </w:rPr>
      </w:pPr>
    </w:p>
    <w:p w14:paraId="1DB69615" w14:textId="77777777" w:rsidR="004F0491" w:rsidRPr="003A3742" w:rsidRDefault="004F0491" w:rsidP="009D7D1A">
      <w:pPr>
        <w:jc w:val="right"/>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0A8686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ترتبط هذه النقطة بمبدأ “المساءلة والشفافية” الذي تؤكد عليه وثائق الحوكمة الأخلاقية للذكاء الاصطناعي، وبمنطق العناية المهنية الذي يجعل الموكل طرفًا يجب ألا يُفاجأ بمخاطر خفية تمس بياناته أو مسار قضيته. وفي نفس الاتجاه، يوصي رجب بتبنّي نهجٍ متوازن في تنظيم الذكاء الاصطناعي يقوم على تقييم المخاطر والشفافية وإدارة البيانات، على غرار المنهج الذي اعتمده قانون الاتحاد الأوروبي.</w:t>
      </w:r>
      <w:r>
        <w:rPr>
          <w:rStyle w:val="af"/>
          <w:rFonts w:asciiTheme="majorBidi" w:hAnsiTheme="majorBidi" w:cstheme="majorBidi"/>
          <w:sz w:val="24"/>
          <w:szCs w:val="24"/>
          <w:rtl/>
        </w:rPr>
        <w:footnoteReference w:id="199"/>
      </w:r>
    </w:p>
    <w:p w14:paraId="57BA88F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2A2653FD"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موكل يرفض تخزين بياناته في منصات سحابية أو خارجية، لكنه لم يُستأذن</w:t>
      </w:r>
      <w:r>
        <w:rPr>
          <w:rFonts w:asciiTheme="majorBidi" w:hAnsiTheme="majorBidi" w:cstheme="majorBidi"/>
          <w:sz w:val="24"/>
          <w:szCs w:val="24"/>
        </w:rPr>
        <w:t>.</w:t>
      </w:r>
    </w:p>
    <w:p w14:paraId="1B70DC71"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3C5921F"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موكل يتضرر من مخرج خاطئ ثم يُفاجأ بأن مصدره “نظام آلي” لم يوافق على استخدامه</w:t>
      </w:r>
      <w:r>
        <w:rPr>
          <w:rFonts w:asciiTheme="majorBidi" w:hAnsiTheme="majorBidi" w:cstheme="majorBidi"/>
          <w:sz w:val="24"/>
          <w:szCs w:val="24"/>
        </w:rPr>
        <w:t>.</w:t>
      </w:r>
    </w:p>
    <w:p w14:paraId="5D839C8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1D17FAA0"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 xml:space="preserve">أولاً: 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3BF685F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7B7E5D9F" w14:textId="77777777" w:rsidR="004F0491" w:rsidRPr="003A3742" w:rsidRDefault="004F0491" w:rsidP="004F0491">
      <w:pPr>
        <w:rPr>
          <w:rFonts w:asciiTheme="majorBidi" w:hAnsiTheme="majorBidi" w:cstheme="majorBidi"/>
          <w:sz w:val="24"/>
          <w:szCs w:val="24"/>
        </w:rPr>
      </w:pPr>
    </w:p>
    <w:p w14:paraId="39DA977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1F2AAF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ولا يقف الإشكال عند الخطأ الفردي، بل يمتد إلى طبيعة الأنظمة ذاتها التي تتعلم من بيانات قد تكون غير متوازنة أو غير ممثِّلة تمثيلاً كافياً، فينعكس ذلك على نتائجها انعكاساً منهجياً يصعب اكتشافه بالمراجعة العابرة. ومن زاوية أخرى، يشير إسماعيل إلى أن التقنيات الحديثة تعيد تشكيل أدوار المحامين والقضاة وتغيّر الأدوار القانونية التقليدية</w:t>
      </w:r>
      <w:r>
        <w:rPr>
          <w:rStyle w:val="af"/>
          <w:rFonts w:asciiTheme="majorBidi" w:hAnsiTheme="majorBidi" w:cstheme="majorBidi"/>
          <w:sz w:val="24"/>
          <w:szCs w:val="24"/>
          <w:rtl/>
        </w:rPr>
        <w:footnoteReference w:id="200"/>
      </w:r>
      <w:r>
        <w:rPr>
          <w:rFonts w:asciiTheme="majorBidi" w:hAnsiTheme="majorBidi" w:cstheme="majorBidi"/>
          <w:sz w:val="24"/>
          <w:szCs w:val="24"/>
          <w:rtl/>
        </w:rPr>
        <w:t>، وهو ما يعني ضمناً أن الكفاءة المهنية باتت تشمل القدرة على اكتشاف الانحرافات المنهجية لا مجرد اكتشاف الأخطاء الصريحة.</w:t>
      </w:r>
    </w:p>
    <w:p w14:paraId="2596B38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2172396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36110BD2"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6FF443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49E9C6E7" w14:textId="77777777" w:rsidR="004F0491" w:rsidRPr="003A3742" w:rsidRDefault="004F0491" w:rsidP="004F0491">
      <w:pPr>
        <w:rPr>
          <w:rFonts w:asciiTheme="majorBidi" w:hAnsiTheme="majorBidi" w:cstheme="majorBidi"/>
          <w:sz w:val="24"/>
          <w:szCs w:val="24"/>
        </w:rPr>
      </w:pPr>
    </w:p>
    <w:p w14:paraId="28807797"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6378B65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01"/>
      </w:r>
    </w:p>
    <w:p w14:paraId="28F91E2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780758A5" w14:textId="77777777" w:rsidR="004F0491" w:rsidRPr="003A3742" w:rsidRDefault="004F0491" w:rsidP="000D1E49">
      <w:pPr>
        <w:jc w:val="right"/>
        <w:rPr>
          <w:rFonts w:asciiTheme="majorBidi" w:hAnsiTheme="majorBidi" w:cstheme="majorBidi"/>
          <w:sz w:val="24"/>
          <w:szCs w:val="24"/>
        </w:rPr>
      </w:pPr>
      <w:r>
        <w:rPr>
          <w:rFonts w:asciiTheme="majorBidi" w:hAnsiTheme="majorBidi" w:cstheme="majorBidi"/>
          <w:sz w:val="24"/>
          <w:szCs w:val="24"/>
          <w:rtl/>
        </w:rPr>
        <w:t>ويبرز هنا دور نظام الإثبات الذي يقوم – في جوهره – على ضبط وسائل الإثبات وقيمتها الحجية وشروط قبولها. وبناءً عليه، فإن المخرجات الذكية قد تُثار بشأنها إشكالات مثل:</w:t>
      </w:r>
    </w:p>
    <w:p w14:paraId="4CE0A9E7"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أولاً: هل يُعد المستند المولد آليًا “محررًا” له حجية؟</w:t>
      </w:r>
    </w:p>
    <w:p w14:paraId="61E2D56A"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ثانياً: هل يمكن الاعتراض عليه لعدم وضوح مصدره أو مساره أو لاحتمال العبث به؟</w:t>
      </w:r>
    </w:p>
    <w:p w14:paraId="56221CD2"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b/>
          <w:bCs/>
          <w:sz w:val="24"/>
          <w:szCs w:val="24"/>
          <w:rtl/>
        </w:rPr>
        <w:t>ثالثاً: هل يملك المحامي إثبات سلامة الإجراءات التقنية التي أنتجته؟</w:t>
      </w:r>
    </w:p>
    <w:p w14:paraId="75B891E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02"/>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44C26785" w14:textId="77777777" w:rsidR="004F0491" w:rsidRPr="003A3742" w:rsidRDefault="004F0491" w:rsidP="004F0491">
      <w:pPr>
        <w:rPr>
          <w:rFonts w:asciiTheme="majorBidi" w:hAnsiTheme="majorBidi" w:cstheme="majorBidi"/>
          <w:sz w:val="24"/>
          <w:szCs w:val="24"/>
        </w:rPr>
      </w:pPr>
    </w:p>
    <w:p w14:paraId="710A251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2D3CEF8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ويسند هذا الاتجاهَ ما عرضه المالكي من أن الحارس هو من له السلطة الفعلية على الشيء توجيهاً ورقابةً؛</w:t>
      </w:r>
      <w:r>
        <w:rPr>
          <w:rStyle w:val="af"/>
          <w:rFonts w:asciiTheme="majorBidi" w:hAnsiTheme="majorBidi" w:cstheme="majorBidi"/>
          <w:b/>
          <w:bCs/>
          <w:sz w:val="24"/>
          <w:szCs w:val="24"/>
          <w:rtl/>
        </w:rPr>
        <w:footnoteReference w:id="203"/>
      </w:r>
      <w:r>
        <w:rPr>
          <w:rFonts w:asciiTheme="majorBidi" w:hAnsiTheme="majorBidi" w:cstheme="majorBidi"/>
          <w:sz w:val="24"/>
          <w:szCs w:val="24"/>
          <w:rtl/>
        </w:rPr>
        <w:t>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15BD7BFD"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لكن في المقابل – وكما سبقت الإشارة – فإن تحميل المستخدم تبعة كل خلل تقني على نحو مطلق أمرٌ غير متوازن، بما يقتضي توزيعًا مسؤولًا للمخاطر عند ثبوت قصور المزوِّد أو خلل تقني لا يمكن للمستخدم كشفه</w:t>
      </w:r>
      <w:r>
        <w:rPr>
          <w:rStyle w:val="af"/>
          <w:rFonts w:asciiTheme="majorBidi" w:hAnsiTheme="majorBidi" w:cstheme="majorBidi"/>
          <w:sz w:val="24"/>
          <w:szCs w:val="24"/>
          <w:rtl/>
        </w:rPr>
        <w:footnoteReference w:id="204"/>
      </w:r>
      <w:r>
        <w:rPr>
          <w:rFonts w:asciiTheme="majorBidi" w:hAnsiTheme="majorBidi" w:cstheme="majorBidi"/>
          <w:sz w:val="24"/>
          <w:szCs w:val="24"/>
          <w:rtl/>
        </w:rPr>
        <w:t>.</w:t>
      </w:r>
    </w:p>
    <w:p w14:paraId="214A550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3BABD4C4"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4A0E2F08"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1D2F18D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32D93FF5" w14:textId="77777777" w:rsidR="004F0491" w:rsidRPr="003A3742" w:rsidRDefault="004F0491" w:rsidP="004F0491">
      <w:pPr>
        <w:rPr>
          <w:rFonts w:asciiTheme="majorBidi" w:hAnsiTheme="majorBidi" w:cstheme="majorBidi"/>
          <w:sz w:val="24"/>
          <w:szCs w:val="24"/>
          <w:rtl/>
        </w:rPr>
      </w:pPr>
    </w:p>
    <w:p w14:paraId="53776EE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27E63FA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 سجل القرار المهني (Decision Log) أو “أثر المراجعة” (Audit Trail) بوصفه قرينة عملية على قيام العناية. وهذا يتسق مع الاتجاهات المؤسسية في حوكمة الذكاء الاصطناعي التي تؤكد على التنظيم والتوثيق ووضوح الأدوار. كما يتصل ذلك بما يثيره تعقيد الأنظمة الذكية من صعوبة إحاطة المستخدم بمنطق عملها؛ إذ لا يُعالَج هذا التعقيد بإعفاء المسؤول من المسؤولية، بل بإيجاد أدوات توثيق تساعد على بيان ما تم فعله وما تم إغفاله عند استخدام الأداة.</w:t>
      </w:r>
    </w:p>
    <w:p w14:paraId="4725ACA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0B5E9171"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أولاً: ما الغرض من استخدام الأداة في هذه المسألة تحديدًا؟</w:t>
      </w:r>
    </w:p>
    <w:p w14:paraId="45FE43B0"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ثانياً: ما نوع البيانات التي أُدخلت؟ وهل أُزيلت منها المعلومات الحساسة؟</w:t>
      </w:r>
    </w:p>
    <w:p w14:paraId="46779426"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ثالثاً: هل تم التحقق من مصادر النصوص النظامية/السوابق؟</w:t>
      </w:r>
    </w:p>
    <w:p w14:paraId="747B4E24"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t>رابعاً: ما الذي تم تعديله يدويًا؟ وما الذي تم رفضه؟ ولماذا؟</w:t>
      </w:r>
    </w:p>
    <w:p w14:paraId="3971C133" w14:textId="77777777" w:rsidR="004F0491" w:rsidRPr="003A3742" w:rsidRDefault="004F0491" w:rsidP="004F0491">
      <w:pPr>
        <w:bidi/>
        <w:rPr>
          <w:rFonts w:asciiTheme="majorBidi" w:hAnsiTheme="majorBidi" w:cstheme="majorBidi"/>
          <w:sz w:val="24"/>
          <w:szCs w:val="24"/>
        </w:rPr>
      </w:pPr>
      <w:r>
        <w:rPr>
          <w:rFonts w:asciiTheme="majorBidi" w:hAnsiTheme="majorBidi" w:cstheme="majorBidi"/>
          <w:sz w:val="24"/>
          <w:szCs w:val="24"/>
          <w:rtl/>
        </w:rPr>
        <w:lastRenderedPageBreak/>
        <w:t>خامساً: من اعتمد النسخة النهائية؟ ومتى؟</w:t>
      </w:r>
    </w:p>
    <w:p w14:paraId="5C0DA0C3" w14:textId="77777777"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11DD2D83" w14:textId="77777777"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6D27B7CE" w14:textId="77777777" w:rsidR="00FE66C9" w:rsidRDefault="00FE66C9" w:rsidP="00CF67E5">
      <w:pPr>
        <w:jc w:val="center"/>
        <w:rPr>
          <w:rFonts w:asciiTheme="majorBidi" w:hAnsiTheme="majorBidi" w:cstheme="majorBidi"/>
          <w:sz w:val="24"/>
          <w:szCs w:val="24"/>
        </w:rPr>
      </w:pPr>
    </w:p>
    <w:p w14:paraId="27C34309" w14:textId="77777777" w:rsidR="00CF67E5" w:rsidRDefault="00CF67E5" w:rsidP="00CF67E5">
      <w:pPr>
        <w:pStyle w:val="3"/>
        <w:jc w:val="center"/>
        <w:rPr>
          <w:b/>
          <w:bCs/>
        </w:rPr>
      </w:pPr>
      <w:bookmarkStart w:id="35" w:name="_Toc237071387"/>
      <w:r>
        <w:rPr>
          <w:rFonts w:hint="cs"/>
          <w:b/>
          <w:bCs/>
          <w:sz w:val="32"/>
          <w:szCs w:val="32"/>
          <w:rtl/>
        </w:rPr>
        <w:t>المطلب الثاني</w:t>
      </w:r>
      <w:bookmarkEnd w:id="35"/>
    </w:p>
    <w:p w14:paraId="08EF8B03" w14:textId="77777777" w:rsidR="00CF67E5" w:rsidRDefault="00CF67E5" w:rsidP="00CF67E5">
      <w:pPr>
        <w:pStyle w:val="3"/>
        <w:jc w:val="center"/>
        <w:rPr>
          <w:b/>
          <w:bCs/>
        </w:rPr>
      </w:pPr>
      <w:bookmarkStart w:id="36" w:name="_Toc237071388"/>
      <w:r>
        <w:rPr>
          <w:rFonts w:hint="cs"/>
          <w:b/>
          <w:bCs/>
          <w:rtl/>
        </w:rPr>
        <w:t>مسؤولية المطوِّر، والمستخدم، ومقدِّم التقنية</w:t>
      </w:r>
      <w:bookmarkEnd w:id="36"/>
    </w:p>
    <w:p w14:paraId="68B4A44A" w14:textId="77777777" w:rsidR="00CF67E5" w:rsidRDefault="00CF67E5" w:rsidP="00CF67E5">
      <w:pPr>
        <w:jc w:val="center"/>
        <w:rPr>
          <w:b/>
          <w:bCs/>
        </w:rPr>
      </w:pPr>
      <w:r>
        <w:rPr>
          <w:rFonts w:hint="cs"/>
          <w:b/>
          <w:bCs/>
          <w:rtl/>
        </w:rPr>
        <w:t>من المسؤولية الفردية إلى المسؤولية متعددة الأطراف</w:t>
      </w:r>
    </w:p>
    <w:p w14:paraId="750F9F8B" w14:textId="77777777" w:rsidR="00CF67E5" w:rsidRDefault="00CF67E5" w:rsidP="00CF67E5"/>
    <w:p w14:paraId="7368909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D7F6BF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في الفقه المعاصر، يذهب بعض الباحثين إلى أن تعقيد الخوارزميات وتعدد الأطراف المتدخلة في تشغيلها يجعلان ردَّ الضرر إلى فاعل واحد محدد أمراً عسيراً.</w:t>
      </w:r>
      <w:r>
        <w:rPr>
          <w:rFonts w:asciiTheme="majorBidi" w:hAnsiTheme="majorBidi" w:cstheme="majorBidi"/>
          <w:sz w:val="24"/>
          <w:szCs w:val="24"/>
          <w:vertAlign w:val="superscript"/>
          <w:rtl/>
        </w:rPr>
        <w:footnoteReference w:id="205"/>
      </w:r>
    </w:p>
    <w:p w14:paraId="6C5E83E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وفي المقابل، يُؤكِّد بعض الباحثين أن هذا التشتت لا ينبغي أن يتحوَّل إلى وسيلة لإفراغ المسؤولية من مضمونها، بل يجب البحث عن الطرف الأقرب إلى السيطرة الفعلية على مصدر الخطر.</w:t>
      </w:r>
      <w:r>
        <w:rPr>
          <w:rFonts w:asciiTheme="majorBidi" w:hAnsiTheme="majorBidi" w:cstheme="majorBidi"/>
          <w:sz w:val="24"/>
          <w:szCs w:val="24"/>
          <w:vertAlign w:val="superscript"/>
          <w:rtl/>
        </w:rPr>
        <w:footnoteReference w:id="206"/>
      </w:r>
    </w:p>
    <w:p w14:paraId="00F626B5"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7E37AAD1" w14:textId="77777777" w:rsidR="00CF67E5" w:rsidRPr="00CF67E5" w:rsidRDefault="00CF67E5" w:rsidP="00CF67E5">
      <w:pPr>
        <w:jc w:val="right"/>
        <w:rPr>
          <w:rFonts w:asciiTheme="majorBidi" w:hAnsiTheme="majorBidi" w:cstheme="majorBidi"/>
          <w:sz w:val="24"/>
          <w:szCs w:val="24"/>
        </w:rPr>
      </w:pPr>
    </w:p>
    <w:p w14:paraId="38A1158E"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أولًا: مسؤولية مطوِّر الخوارزمية — ثلاثة أوجه للمساءلة</w:t>
      </w:r>
    </w:p>
    <w:p w14:paraId="16C4B0B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Pr>
          <w:rFonts w:asciiTheme="majorBidi" w:hAnsiTheme="majorBidi" w:cstheme="majorBidi"/>
          <w:sz w:val="24"/>
          <w:szCs w:val="24"/>
          <w:vertAlign w:val="superscript"/>
          <w:rtl/>
        </w:rPr>
        <w:footnoteReference w:id="207"/>
      </w:r>
    </w:p>
    <w:p w14:paraId="12BD3FC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وتتوزع مسؤولية المطوِّر على ثلاثة أوجه جوهرية:</w:t>
      </w:r>
    </w:p>
    <w:p w14:paraId="01450F4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عيب التصميم (Structural Defect): </w:t>
      </w:r>
      <w:r>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Pr>
          <w:rFonts w:asciiTheme="majorBidi" w:hAnsiTheme="majorBidi" w:cstheme="majorBidi"/>
          <w:sz w:val="24"/>
          <w:szCs w:val="24"/>
          <w:vertAlign w:val="superscript"/>
          <w:rtl/>
        </w:rPr>
        <w:footnoteReference w:id="208"/>
      </w:r>
    </w:p>
    <w:p w14:paraId="51673FE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lastRenderedPageBreak/>
        <w:t xml:space="preserve">عيب التدريب والبيانات (Training/Data Defect): </w:t>
      </w:r>
      <w:r>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010A599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قصور التحذير والإفصاح (Duty to Warn): </w:t>
      </w:r>
      <w:r>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Pr>
          <w:rFonts w:asciiTheme="majorBidi" w:hAnsiTheme="majorBidi" w:cstheme="majorBidi"/>
          <w:sz w:val="24"/>
          <w:szCs w:val="24"/>
          <w:vertAlign w:val="superscript"/>
          <w:rtl/>
        </w:rPr>
        <w:footnoteReference w:id="209"/>
      </w:r>
    </w:p>
    <w:p w14:paraId="051C5D7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2C3A3CA7" w14:textId="77777777" w:rsidR="00CF67E5" w:rsidRPr="00CF67E5" w:rsidRDefault="00CF67E5" w:rsidP="00CF67E5">
      <w:pPr>
        <w:jc w:val="right"/>
        <w:rPr>
          <w:rFonts w:asciiTheme="majorBidi" w:hAnsiTheme="majorBidi" w:cstheme="majorBidi"/>
          <w:sz w:val="24"/>
          <w:szCs w:val="24"/>
        </w:rPr>
      </w:pPr>
    </w:p>
    <w:p w14:paraId="5135AE43"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ثانيًا: مسؤولية مقدِّم التقنية — من تشغيل المنصة إلى حراسة البيانات</w:t>
      </w:r>
    </w:p>
    <w:p w14:paraId="136B27D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ويُعدُّ توسيع دائرة المسؤولية لتشمل جهات تطوير الأنظمة الذكية ومقدمي المنصات التقنية اتجاهًا تشريعيًا متناميًا في الأنظمة المقارنة؛ ومن أظهر تطبيقاته توزيعُ لائحة الاتحاد الأوروبي الالتزاماتِ بين مقدمي الأنظمة وناشريها.</w:t>
      </w:r>
      <w:r>
        <w:rPr>
          <w:rFonts w:asciiTheme="majorBidi" w:hAnsiTheme="majorBidi" w:cstheme="majorBidi"/>
          <w:sz w:val="24"/>
          <w:szCs w:val="24"/>
          <w:vertAlign w:val="superscript"/>
          <w:rtl/>
        </w:rPr>
        <w:footnoteReference w:id="210"/>
      </w:r>
    </w:p>
    <w:p w14:paraId="10E4C0B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مقدِّم التقنية في ثلاثة محاور:</w:t>
      </w:r>
    </w:p>
    <w:p w14:paraId="32C31E1A"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أمن البيانات وسريتها: </w:t>
      </w:r>
      <w:r>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Pr>
          <w:rFonts w:asciiTheme="majorBidi" w:hAnsiTheme="majorBidi" w:cstheme="majorBidi"/>
          <w:sz w:val="24"/>
          <w:szCs w:val="24"/>
          <w:vertAlign w:val="superscript"/>
          <w:rtl/>
        </w:rPr>
        <w:footnoteReference w:id="211"/>
      </w:r>
    </w:p>
    <w:p w14:paraId="0266A69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سلامة التشغيل والاعتمادية: </w:t>
      </w:r>
      <w:r>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Pr>
          <w:rFonts w:asciiTheme="majorBidi" w:hAnsiTheme="majorBidi" w:cstheme="majorBidi"/>
          <w:sz w:val="24"/>
          <w:szCs w:val="24"/>
          <w:vertAlign w:val="superscript"/>
          <w:rtl/>
        </w:rPr>
        <w:footnoteReference w:id="212"/>
      </w:r>
    </w:p>
    <w:p w14:paraId="371090F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حدود شروط الإعفاء التعاقدية: </w:t>
      </w:r>
      <w:r>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1197405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728BE879" w14:textId="77777777" w:rsidR="00CF67E5" w:rsidRPr="00CF67E5" w:rsidRDefault="00CF67E5" w:rsidP="00CF67E5">
      <w:pPr>
        <w:jc w:val="right"/>
        <w:rPr>
          <w:rFonts w:asciiTheme="majorBidi" w:hAnsiTheme="majorBidi" w:cstheme="majorBidi"/>
          <w:sz w:val="24"/>
          <w:szCs w:val="24"/>
        </w:rPr>
      </w:pPr>
    </w:p>
    <w:p w14:paraId="7C6263DD"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ثالثًا: مسؤولية المستخدم المهني وفق معيار الرقابة الفعلية وقابلية الاكتشاف</w:t>
      </w:r>
    </w:p>
    <w:p w14:paraId="659E038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Pr>
          <w:rFonts w:asciiTheme="majorBidi" w:hAnsiTheme="majorBidi" w:cstheme="majorBidi"/>
          <w:sz w:val="24"/>
          <w:szCs w:val="24"/>
          <w:vertAlign w:val="superscript"/>
          <w:rtl/>
        </w:rPr>
        <w:footnoteReference w:id="213"/>
      </w:r>
    </w:p>
    <w:p w14:paraId="79F94D3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Pr>
          <w:rFonts w:asciiTheme="majorBidi" w:hAnsiTheme="majorBidi" w:cstheme="majorBidi"/>
          <w:sz w:val="24"/>
          <w:szCs w:val="24"/>
          <w:vertAlign w:val="superscript"/>
          <w:rtl/>
        </w:rPr>
        <w:footnoteReference w:id="214"/>
      </w:r>
    </w:p>
    <w:p w14:paraId="6C134F21"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الخطأ الظاهر: </w:t>
      </w:r>
      <w:r>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3BCF886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الخلل الخفي البنيوي: </w:t>
      </w:r>
      <w:r>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23B14C3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63C57733" w14:textId="77777777" w:rsidR="00CF67E5" w:rsidRPr="00CF67E5" w:rsidRDefault="00CF67E5" w:rsidP="00CF67E5">
      <w:pPr>
        <w:jc w:val="right"/>
        <w:rPr>
          <w:rFonts w:asciiTheme="majorBidi" w:hAnsiTheme="majorBidi" w:cstheme="majorBidi"/>
          <w:sz w:val="24"/>
          <w:szCs w:val="24"/>
        </w:rPr>
      </w:pPr>
    </w:p>
    <w:p w14:paraId="297AD996"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رابعًا: التضامن والنسبية في توزيع المسؤولية — ثلاث مدارس للإسناد</w:t>
      </w:r>
    </w:p>
    <w:p w14:paraId="68FA2535"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Pr>
          <w:rFonts w:asciiTheme="majorBidi" w:hAnsiTheme="majorBidi" w:cstheme="majorBidi"/>
          <w:sz w:val="24"/>
          <w:szCs w:val="24"/>
          <w:vertAlign w:val="superscript"/>
          <w:rtl/>
        </w:rPr>
        <w:footnoteReference w:id="215"/>
      </w:r>
    </w:p>
    <w:p w14:paraId="5F725AA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الاعتماد النهائي (Decision-based liability): </w:t>
      </w:r>
      <w:r>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p>
    <w:p w14:paraId="410D01A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التصميم (Design-based liability): </w:t>
      </w:r>
      <w:r>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Pr>
          <w:rFonts w:asciiTheme="majorBidi" w:hAnsiTheme="majorBidi" w:cstheme="majorBidi"/>
          <w:sz w:val="24"/>
          <w:szCs w:val="24"/>
          <w:vertAlign w:val="superscript"/>
          <w:rtl/>
        </w:rPr>
        <w:footnoteReference w:id="216"/>
      </w:r>
    </w:p>
    <w:p w14:paraId="2B04371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السيطرة والرقابة الفعلية (Control-based liability) — المدرسة الراجحة: </w:t>
      </w:r>
      <w:r>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p>
    <w:p w14:paraId="5BC2FAC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621C44D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7189D90C" w14:textId="77777777" w:rsidR="00CF67E5" w:rsidRPr="00CF67E5" w:rsidRDefault="00CF67E5" w:rsidP="00CF67E5">
      <w:pPr>
        <w:jc w:val="right"/>
        <w:rPr>
          <w:rFonts w:asciiTheme="majorBidi" w:hAnsiTheme="majorBidi" w:cstheme="majorBidi"/>
          <w:sz w:val="24"/>
          <w:szCs w:val="24"/>
        </w:rPr>
      </w:pPr>
    </w:p>
    <w:p w14:paraId="5058A59B"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خامسًا: التجربة الأوروبية مرجعًا مقارنًا — قانون الذكاء الاصطناعي (EU AI Act 2024)</w:t>
      </w:r>
    </w:p>
    <w:p w14:paraId="73D61C1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Pr>
          <w:rFonts w:asciiTheme="majorBidi" w:hAnsiTheme="majorBidi" w:cstheme="majorBidi"/>
          <w:sz w:val="24"/>
          <w:szCs w:val="24"/>
          <w:vertAlign w:val="superscript"/>
          <w:rtl/>
        </w:rPr>
        <w:footnoteReference w:id="217"/>
      </w:r>
    </w:p>
    <w:p w14:paraId="77FFECE6" w14:textId="77777777" w:rsidR="00CF67E5" w:rsidRPr="000D1E49" w:rsidRDefault="00CF67E5" w:rsidP="00CF67E5">
      <w:pPr>
        <w:jc w:val="right"/>
        <w:rPr>
          <w:rFonts w:asciiTheme="majorBidi" w:hAnsiTheme="majorBidi" w:cstheme="majorBidi"/>
          <w:b/>
          <w:bCs/>
          <w:sz w:val="24"/>
          <w:szCs w:val="24"/>
        </w:rPr>
      </w:pPr>
      <w:r w:rsidRPr="000D1E49">
        <w:rPr>
          <w:rFonts w:asciiTheme="majorBidi" w:hAnsiTheme="majorBidi" w:cstheme="majorBidi"/>
          <w:b/>
          <w:bCs/>
          <w:sz w:val="24"/>
          <w:szCs w:val="24"/>
          <w:rtl/>
        </w:rPr>
        <w:t>وتكشف التجربة الأوروبية عن ثلاثة دروس جوهرية للمنظومة السعودية:</w:t>
      </w:r>
    </w:p>
    <w:p w14:paraId="30303841" w14:textId="77777777" w:rsidR="00CF67E5" w:rsidRPr="00CF67E5" w:rsidRDefault="00CF67E5" w:rsidP="00A02FE3">
      <w:pPr>
        <w:bidi/>
        <w:spacing w:line="259" w:lineRule="auto"/>
        <w:ind w:left="360"/>
        <w:rPr>
          <w:rFonts w:asciiTheme="majorBidi" w:hAnsiTheme="majorBidi" w:cstheme="majorBidi"/>
          <w:sz w:val="24"/>
          <w:szCs w:val="24"/>
        </w:rPr>
      </w:pPr>
      <w:r>
        <w:rPr>
          <w:rFonts w:asciiTheme="majorBidi" w:hAnsiTheme="majorBidi" w:cstheme="majorBidi"/>
          <w:sz w:val="24"/>
          <w:szCs w:val="24"/>
          <w:rtl/>
        </w:rPr>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Pr>
          <w:rFonts w:asciiTheme="majorBidi" w:hAnsiTheme="majorBidi" w:cstheme="majorBidi"/>
          <w:sz w:val="24"/>
          <w:szCs w:val="24"/>
          <w:vertAlign w:val="superscript"/>
          <w:rtl/>
        </w:rPr>
        <w:footnoteReference w:id="218"/>
      </w:r>
    </w:p>
    <w:p w14:paraId="44EAE377"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أولاً: 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Pr>
          <w:rFonts w:asciiTheme="majorBidi" w:hAnsiTheme="majorBidi" w:cstheme="majorBidi"/>
          <w:sz w:val="24"/>
          <w:szCs w:val="24"/>
          <w:vertAlign w:val="superscript"/>
          <w:rtl/>
        </w:rPr>
        <w:footnoteReference w:id="219"/>
      </w:r>
    </w:p>
    <w:p w14:paraId="02251B8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ثانياً: 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649D0472" w14:textId="77777777" w:rsidR="00CF67E5" w:rsidRPr="00CF67E5" w:rsidRDefault="00CF67E5" w:rsidP="000D1E49">
      <w:pPr>
        <w:jc w:val="right"/>
        <w:rPr>
          <w:rFonts w:asciiTheme="majorBidi" w:hAnsiTheme="majorBidi" w:cstheme="majorBidi"/>
          <w:sz w:val="24"/>
          <w:szCs w:val="24"/>
        </w:rPr>
      </w:pPr>
      <w:r>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Pr>
          <w:rFonts w:asciiTheme="majorBidi" w:hAnsiTheme="majorBidi" w:cstheme="majorBidi"/>
          <w:sz w:val="24"/>
          <w:szCs w:val="24"/>
          <w:vertAlign w:val="superscript"/>
          <w:rtl/>
        </w:rPr>
        <w:footnoteReference w:id="220"/>
      </w:r>
    </w:p>
    <w:p w14:paraId="76C0686C" w14:textId="77777777" w:rsidR="00CF67E5" w:rsidRPr="00CF67E5" w:rsidRDefault="00CF67E5" w:rsidP="00CF67E5">
      <w:pPr>
        <w:jc w:val="right"/>
        <w:rPr>
          <w:rFonts w:asciiTheme="majorBidi" w:hAnsiTheme="majorBidi" w:cstheme="majorBidi"/>
          <w:sz w:val="24"/>
          <w:szCs w:val="24"/>
        </w:rPr>
      </w:pPr>
    </w:p>
    <w:p w14:paraId="4E72F45D"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سادسًا: نحو تصور تنظيمي متوازن في السياق السعودي</w:t>
      </w:r>
    </w:p>
    <w:p w14:paraId="2B157AD0"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p>
    <w:p w14:paraId="72154E08"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أولاً: 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365F8C4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ثانياً: 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Pr>
          <w:rFonts w:asciiTheme="majorBidi" w:hAnsiTheme="majorBidi" w:cstheme="majorBidi"/>
          <w:sz w:val="24"/>
          <w:szCs w:val="24"/>
          <w:vertAlign w:val="superscript"/>
          <w:rtl/>
        </w:rPr>
        <w:footnoteReference w:id="221"/>
      </w:r>
    </w:p>
    <w:p w14:paraId="0A94837E"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lastRenderedPageBreak/>
        <w:t>ثالثاً: 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Pr>
          <w:rFonts w:asciiTheme="majorBidi" w:hAnsiTheme="majorBidi" w:cstheme="majorBidi"/>
          <w:sz w:val="24"/>
          <w:szCs w:val="24"/>
          <w:vertAlign w:val="superscript"/>
          <w:rtl/>
        </w:rPr>
        <w:footnoteReference w:id="222"/>
      </w:r>
    </w:p>
    <w:p w14:paraId="7E851F22"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رابعاً: 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54085B8E" w14:textId="77777777" w:rsidR="00CF67E5" w:rsidRPr="00CF67E5" w:rsidRDefault="00CF67E5" w:rsidP="00A02FE3">
      <w:pPr>
        <w:bidi/>
        <w:spacing w:line="259" w:lineRule="auto"/>
        <w:rPr>
          <w:rFonts w:asciiTheme="majorBidi" w:hAnsiTheme="majorBidi" w:cstheme="majorBidi"/>
          <w:sz w:val="24"/>
          <w:szCs w:val="24"/>
        </w:rPr>
      </w:pPr>
      <w:r>
        <w:rPr>
          <w:rFonts w:asciiTheme="majorBidi" w:hAnsiTheme="majorBidi" w:cstheme="majorBidi"/>
          <w:sz w:val="24"/>
          <w:szCs w:val="24"/>
          <w:rtl/>
        </w:rPr>
        <w:t>خامساً: 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Pr>
          <w:rFonts w:asciiTheme="majorBidi" w:hAnsiTheme="majorBidi" w:cstheme="majorBidi"/>
          <w:sz w:val="24"/>
          <w:szCs w:val="24"/>
          <w:vertAlign w:val="superscript"/>
          <w:rtl/>
        </w:rPr>
        <w:footnoteReference w:id="223"/>
      </w:r>
    </w:p>
    <w:p w14:paraId="5FAD2855" w14:textId="77777777" w:rsidR="00CF67E5" w:rsidRPr="00CF67E5" w:rsidRDefault="00CF67E5" w:rsidP="00A02FE3">
      <w:pPr>
        <w:jc w:val="right"/>
        <w:rPr>
          <w:rFonts w:asciiTheme="majorBidi" w:hAnsiTheme="majorBidi" w:cstheme="majorBidi"/>
          <w:sz w:val="24"/>
          <w:szCs w:val="24"/>
        </w:rPr>
      </w:pPr>
      <w:r>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10F1253D" w14:textId="77777777" w:rsidR="00CF67E5" w:rsidRPr="00CF67E5" w:rsidRDefault="00CF67E5" w:rsidP="00A02FE3">
      <w:pPr>
        <w:jc w:val="right"/>
        <w:rPr>
          <w:rFonts w:asciiTheme="majorBidi" w:hAnsiTheme="majorBidi" w:cstheme="majorBidi"/>
          <w:sz w:val="24"/>
          <w:szCs w:val="24"/>
        </w:rPr>
      </w:pPr>
    </w:p>
    <w:p w14:paraId="0E2E5F45" w14:textId="77777777"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1B79D6D6"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2C339C05" w14:textId="77777777"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52F54235" w14:textId="77777777"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25F9D5A7" w14:textId="77777777" w:rsidR="00A02FE3" w:rsidRPr="003A3742" w:rsidRDefault="00A02FE3" w:rsidP="00CF598B">
      <w:pPr>
        <w:ind w:left="720"/>
        <w:jc w:val="right"/>
        <w:rPr>
          <w:rFonts w:asciiTheme="majorBidi" w:hAnsiTheme="majorBidi" w:cstheme="majorBidi"/>
          <w:sz w:val="24"/>
          <w:szCs w:val="24"/>
          <w:rtl/>
        </w:rPr>
      </w:pPr>
    </w:p>
    <w:p w14:paraId="7C863ECE" w14:textId="77777777"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Pr>
          <w:rFonts w:asciiTheme="majorBidi" w:hAnsiTheme="majorBidi" w:cstheme="majorBidi" w:hint="cs"/>
          <w:sz w:val="24"/>
          <w:szCs w:val="24"/>
          <w:rtl/>
        </w:rPr>
        <w:t>.</w:t>
      </w:r>
    </w:p>
    <w:p w14:paraId="45246E8E"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لقد انتهى هذا الفصل</w:t>
      </w:r>
      <w:r>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21B21208"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76A8B95"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D79A254"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1E554A2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4909B71E" w14:textId="77777777" w:rsidR="00C41E32" w:rsidRDefault="00000000">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Pr>
          <w:rFonts w:asciiTheme="majorBidi" w:hAnsiTheme="majorBidi" w:cstheme="majorBidi" w:hint="cs"/>
          <w:sz w:val="24"/>
          <w:szCs w:val="24"/>
          <w:rtl/>
        </w:rPr>
        <w:t>ترى</w:t>
      </w:r>
      <w:r>
        <w:rPr>
          <w:rFonts w:asciiTheme="majorBidi" w:hAnsiTheme="majorBidi" w:cstheme="majorBidi"/>
          <w:sz w:val="24"/>
          <w:szCs w:val="24"/>
          <w:rtl/>
        </w:rPr>
        <w:t xml:space="preserve"> </w:t>
      </w:r>
      <w:r>
        <w:rPr>
          <w:rFonts w:asciiTheme="majorBidi" w:hAnsiTheme="majorBidi" w:cstheme="majorBidi" w:hint="cs"/>
          <w:sz w:val="24"/>
          <w:szCs w:val="24"/>
          <w:rtl/>
        </w:rPr>
        <w:t>الدراسات القانونية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24"/>
      </w:r>
    </w:p>
    <w:p w14:paraId="130AD6C6" w14:textId="77777777" w:rsidR="00C61595" w:rsidRDefault="00000000">
      <w:pPr>
        <w:pStyle w:val="1"/>
        <w:pageBreakBefore/>
        <w:spacing w:before="240" w:after="200" w:line="276" w:lineRule="auto"/>
        <w:jc w:val="center"/>
        <w:rPr>
          <w:rFonts w:asciiTheme="majorBidi" w:hAnsiTheme="majorBidi"/>
          <w:b/>
          <w:bCs/>
          <w:sz w:val="32"/>
          <w:szCs w:val="32"/>
          <w:rtl/>
        </w:rPr>
      </w:pPr>
      <w:bookmarkStart w:id="37" w:name="_Toc237071389"/>
      <w:r>
        <w:rPr>
          <w:rFonts w:asciiTheme="majorBidi" w:hAnsiTheme="majorBidi"/>
          <w:b/>
          <w:bCs/>
          <w:sz w:val="32"/>
          <w:szCs w:val="32"/>
          <w:rtl/>
        </w:rPr>
        <w:lastRenderedPageBreak/>
        <w:t>الفصل الثالث</w:t>
      </w:r>
      <w:bookmarkEnd w:id="37"/>
    </w:p>
    <w:p w14:paraId="21DE19E3" w14:textId="77777777" w:rsidR="00C61595" w:rsidRDefault="00000000">
      <w:pPr>
        <w:pStyle w:val="1"/>
        <w:spacing w:after="200" w:line="276" w:lineRule="auto"/>
        <w:jc w:val="center"/>
        <w:rPr>
          <w:rFonts w:asciiTheme="majorBidi" w:hAnsiTheme="majorBidi"/>
          <w:b/>
          <w:bCs/>
          <w:sz w:val="30"/>
          <w:szCs w:val="30"/>
          <w:rtl/>
        </w:rPr>
      </w:pPr>
      <w:bookmarkStart w:id="38" w:name="_Toc237071390"/>
      <w:r>
        <w:rPr>
          <w:rFonts w:asciiTheme="majorBidi" w:hAnsiTheme="majorBidi"/>
          <w:b/>
          <w:bCs/>
          <w:sz w:val="30"/>
          <w:szCs w:val="30"/>
          <w:rtl/>
        </w:rPr>
        <w:t>واقع وتحديات استخدام الذكاء الاصطناعي في مكاتب المحاماة في المملكة العربية السعودية</w:t>
      </w:r>
      <w:bookmarkEnd w:id="38"/>
    </w:p>
    <w:p w14:paraId="6093D688"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تمهيد وتقسيم:</w:t>
      </w:r>
    </w:p>
    <w:p w14:paraId="2299FAA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ثم مناقشة التكييف القانوني والفقهي للمخرجات الذكية وتحديد المسؤولية المهنية المترتبة على توظيفها. وقد كشف ذلك التحليل عن فجوة واضحة بين ما يفرزه الواقع التقني المتسارع وما توفره الأنظمة القائمة من إطار ضابط.</w:t>
      </w:r>
    </w:p>
    <w:p w14:paraId="0832551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ويأتي هذا الفصل لينتقل من المستوى التشريعي النظري إلى المستوى التطبيقي، إذ يرصد واقع استخدام تقنيات الذكاء الاصطناعي داخل مكاتب المحاماة السعودية، ويُخضع هذا الاستخدام لمحكّات الأنظمة السعودية القائمة، ثم يقف عند أنماط الاستخدام الفردي غير المنظم وما يرتبه من مخاطر نظامية ومهنية، وينتهي إلى قراءة مقارنة واستشرافية تمهد للإطار التنظيمي المقترح في الفصل الرابع. وبذلك يجيب هذا الفصل عن التساؤل الثالث من تساؤلات الدراسة المتعلق برصد واقع الاستخدام غير المنظم لتقنيات الذكاء الاصطناعي في المجال القانوني السعودي.</w:t>
      </w:r>
    </w:p>
    <w:p w14:paraId="0DF79E4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وبناءً على ما تقدم، قُسِّم هذا الفصل إلى ثلاثة مباحث على النحو الآتي:</w:t>
      </w:r>
    </w:p>
    <w:p w14:paraId="6F7F45A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الأول: واقع التطبيقات المهنية لأدوات الذكاء الاصطناعي في السوق القانوني السعودي.</w:t>
      </w:r>
    </w:p>
    <w:p w14:paraId="00A1202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الثاني: أنماط الاستخدام الفردي غير المنظم وتكييفه النظامي.</w:t>
      </w:r>
    </w:p>
    <w:p w14:paraId="405AEFB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المبحث الثالث: التنظيم المقارن والتحديات المستقبلية لتنظيم الذكاء الاصطناعي القانوني في المملكة.</w:t>
      </w:r>
    </w:p>
    <w:p w14:paraId="7BAA9212" w14:textId="77777777" w:rsidR="00C61595" w:rsidRDefault="00000000">
      <w:pPr>
        <w:pStyle w:val="2"/>
        <w:spacing w:before="360" w:after="200" w:line="276" w:lineRule="auto"/>
        <w:jc w:val="center"/>
        <w:rPr>
          <w:rFonts w:asciiTheme="majorBidi" w:hAnsiTheme="majorBidi"/>
          <w:b/>
          <w:bCs/>
          <w:sz w:val="28"/>
          <w:szCs w:val="28"/>
          <w:rtl/>
        </w:rPr>
      </w:pPr>
      <w:bookmarkStart w:id="39" w:name="_Toc237071391"/>
      <w:r>
        <w:rPr>
          <w:rFonts w:asciiTheme="majorBidi" w:hAnsiTheme="majorBidi"/>
          <w:b/>
          <w:bCs/>
          <w:sz w:val="28"/>
          <w:szCs w:val="28"/>
          <w:rtl/>
        </w:rPr>
        <w:t>المبحث الأول</w:t>
      </w:r>
      <w:bookmarkEnd w:id="39"/>
    </w:p>
    <w:p w14:paraId="59B2C55B" w14:textId="77777777" w:rsidR="00C61595" w:rsidRDefault="00000000">
      <w:pPr>
        <w:pStyle w:val="2"/>
        <w:spacing w:after="200" w:line="276" w:lineRule="auto"/>
        <w:jc w:val="center"/>
        <w:rPr>
          <w:rFonts w:asciiTheme="majorBidi" w:hAnsiTheme="majorBidi"/>
          <w:b/>
          <w:bCs/>
          <w:sz w:val="26"/>
          <w:szCs w:val="26"/>
          <w:rtl/>
        </w:rPr>
      </w:pPr>
      <w:bookmarkStart w:id="40" w:name="_Toc237071392"/>
      <w:r>
        <w:rPr>
          <w:rFonts w:asciiTheme="majorBidi" w:hAnsiTheme="majorBidi"/>
          <w:b/>
          <w:bCs/>
          <w:sz w:val="26"/>
          <w:szCs w:val="26"/>
          <w:rtl/>
        </w:rPr>
        <w:t>واقع التطبيقات المهنية لأدوات الذكاء الاصطناعي في السوق القانوني السعودي</w:t>
      </w:r>
      <w:bookmarkEnd w:id="40"/>
    </w:p>
    <w:p w14:paraId="3A4A27F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يُعنى هذا المبحث بالوقوف على الواقع الفعلي لتوظيف تقنيات الذكاء الاصطناعي في مكاتب المحاماة السعودية، وتقييم مدى انسجام هذا التوظيف مع المنظومة النظامية القائمة. وقد قُسِّم إلى أربعة مطالب: يتناول المطلب الأول التمييز بين الذكاء الاصطناعي القانوني وما يختلط به من تقنيات، ويعرض المطلب الثاني لأدوات الذكاء الاصطناعي المتداولة في مكاتب المحاماة السعودية، ويقف المطلب الثالث على مدى توافق استخدام هذه الأدوات مع الأنظمة السعودية، ويختص المطلب الرابع بالتكييف النظامي للعقود الذكية بوصفها أبرز المستحدثات التقنية الملتبسة بموضوع الدراسة.</w:t>
      </w:r>
    </w:p>
    <w:p w14:paraId="49EC5539" w14:textId="77777777" w:rsidR="00C61595" w:rsidRDefault="00000000">
      <w:pPr>
        <w:pStyle w:val="3"/>
        <w:spacing w:before="240" w:after="200" w:line="276" w:lineRule="auto"/>
        <w:jc w:val="center"/>
        <w:rPr>
          <w:rFonts w:asciiTheme="majorBidi" w:hAnsiTheme="majorBidi"/>
          <w:b/>
          <w:bCs/>
          <w:sz w:val="26"/>
          <w:szCs w:val="26"/>
          <w:rtl/>
        </w:rPr>
      </w:pPr>
      <w:bookmarkStart w:id="41" w:name="_Toc237071393"/>
      <w:r>
        <w:rPr>
          <w:rFonts w:asciiTheme="majorBidi" w:hAnsiTheme="majorBidi"/>
          <w:b/>
          <w:bCs/>
          <w:sz w:val="26"/>
          <w:szCs w:val="26"/>
          <w:rtl/>
        </w:rPr>
        <w:t>المطلب الأول</w:t>
      </w:r>
      <w:bookmarkEnd w:id="41"/>
    </w:p>
    <w:p w14:paraId="0A8E366A" w14:textId="77777777" w:rsidR="00C61595" w:rsidRDefault="00000000">
      <w:pPr>
        <w:pStyle w:val="3"/>
        <w:spacing w:after="200" w:line="276" w:lineRule="auto"/>
        <w:jc w:val="center"/>
        <w:rPr>
          <w:rFonts w:asciiTheme="majorBidi" w:hAnsiTheme="majorBidi"/>
          <w:b/>
          <w:bCs/>
          <w:sz w:val="24"/>
          <w:szCs w:val="24"/>
          <w:rtl/>
        </w:rPr>
      </w:pPr>
      <w:bookmarkStart w:id="42" w:name="_Toc237071394"/>
      <w:r>
        <w:rPr>
          <w:rFonts w:asciiTheme="majorBidi" w:hAnsiTheme="majorBidi"/>
          <w:b/>
          <w:bCs/>
          <w:sz w:val="24"/>
          <w:szCs w:val="24"/>
          <w:rtl/>
        </w:rPr>
        <w:t>التمييز بين الذكاء الاصطناعي القانوني وما يختلط به من تقنيات</w:t>
      </w:r>
      <w:bookmarkEnd w:id="42"/>
    </w:p>
    <w:p w14:paraId="0CCA37A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يُلاحظ جانب من الفقه أن كثيراً من الدراسات القانونية العربية تقع في خلطٍ مفاهيمي حين تُدرج تحت مسمى "الذكاء الاصطناعي" أصنافاً من التقنيات تختلف اختلافاً جوهرياً في طبيعتها وآلية عملها وحجم المخاطر القانونية المترتبة </w:t>
      </w:r>
      <w:r>
        <w:rPr>
          <w:rFonts w:asciiTheme="majorBidi" w:hAnsiTheme="majorBidi" w:cstheme="majorBidi"/>
          <w:sz w:val="24"/>
          <w:szCs w:val="24"/>
          <w:rtl/>
        </w:rPr>
        <w:lastRenderedPageBreak/>
        <w:t>على استخدامها.</w:t>
      </w:r>
      <w:r>
        <w:rPr>
          <w:rFonts w:asciiTheme="majorBidi" w:hAnsiTheme="majorBidi" w:cstheme="majorBidi"/>
          <w:sz w:val="24"/>
          <w:szCs w:val="24"/>
          <w:vertAlign w:val="superscript"/>
          <w:rtl/>
        </w:rPr>
        <w:footnoteReference w:id="225"/>
      </w:r>
      <w:r>
        <w:rPr>
          <w:rFonts w:asciiTheme="majorBidi" w:hAnsiTheme="majorBidi" w:cstheme="majorBidi"/>
          <w:sz w:val="24"/>
          <w:szCs w:val="24"/>
          <w:rtl/>
        </w:rPr>
        <w:t xml:space="preserve"> وهذا التمييز ليس ترفاً نظرياً؛ إذ يترتب عليه اختلاف الحكم النظامي واختلاف قواعد المسؤولية، على ما سيأتي بيانه. ويمكن رد هذه التقنيات إلى ثلاثة أصناف:</w:t>
      </w:r>
    </w:p>
    <w:p w14:paraId="44C5F5E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الذكاء الاصطناعي القانوني بصورتيه التنبؤية والتوليدية</w:t>
      </w:r>
    </w:p>
    <w:p w14:paraId="7976AE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ويشمل أنظمة التعلم الآلي والنماذج اللغوية الكبيرة (Large Language Models) القادرة على تحليل بيانات ضخمة، واستنباط الأنماط، وتوليد نصوص قانونية جديدة، والتنبؤ باتجاهات الأحكام استناداً إلى السوابق القضائية. وهذا الصنف هو موضوع الدراسة في جوهره، وهو الذي يفرز أدق الإشكاليات النظامية وأكثرها تعقيداً؛ لأن مخرجاته احتمالية غير مبرمجة سلفاً، ولا يمكن التنبؤ بها على وجه اليقين حتى من مطوِّر النموذج ذاته. وقد تبنّت سدايا هذا التحديد رسمياً في أحدث وثائقها؛ إذ عرّفت النموذج التوليدي بأنه نموذج تعلم آلة يمكنه إنشاء محتوى جديد – نصوصاً وصوراً وأصواتاً ورموزاً ومقاطع مرئية – عن طريق تفسير الأوامر التي يقدمها المستخدمون، وأداء مهام تتطلب في الأصل قدرات معرفية بشرية</w:t>
      </w:r>
      <w:r>
        <w:rPr>
          <w:rStyle w:val="af"/>
          <w:rFonts w:asciiTheme="majorBidi" w:hAnsiTheme="majorBidi" w:cstheme="majorBidi"/>
          <w:sz w:val="24"/>
          <w:szCs w:val="24"/>
          <w:rtl/>
        </w:rPr>
        <w:footnoteReference w:id="226"/>
      </w:r>
      <w:r>
        <w:rPr>
          <w:rFonts w:asciiTheme="majorBidi" w:hAnsiTheme="majorBidi" w:cstheme="majorBidi"/>
          <w:sz w:val="24"/>
          <w:szCs w:val="24"/>
          <w:rtl/>
        </w:rPr>
        <w:t>.</w:t>
      </w:r>
    </w:p>
    <w:p w14:paraId="590C7975"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البرمجيات القانونية التقليدية</w:t>
      </w:r>
    </w:p>
    <w:p w14:paraId="4E9C5C9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وتشمل أنظمة إدارة القضايا، وتتبع المواعيد، والفوترة، وإدارة الوثائق. وهذه أدوات تنظيمية وإدارية تنفذ تعليمات ثابتة مبرمجة مسبقاً، ولا تتعلم ذاتياً ولا تولِّد مضموناً جديداً من تلقاء نفسها. ومن ثم فإن المحامي الذي يستخدم برنامجاً محلياً لإدارة القضايا لا يواجه الإشكاليات النظامية ذاتها التي يواجهها من يُدخل بيانات موكله في نموذج لغوي كبير متصل بخوادم خارجية؛ فالفارق بين الصنفين فارق في طبيعة المخاطر لا في درجتها فحسب.</w:t>
      </w:r>
    </w:p>
    <w:p w14:paraId="5F98D396"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العقود الذكية</w:t>
      </w:r>
    </w:p>
    <w:p w14:paraId="04FA0D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وهي في حقيقتها التقنية أكواد برمجية ذاتية التنفيذ (Self-executing Code) مثبتة على سلاسل الكتل (Blockchain)، تنفذ شرطاً محدداً سلفاً على صيغة: إذا تحقق الشرط نُفِّذ الأمر المرتبط به. وهي ليست من الذكاء الاصطناعي في شيء؛ فهي لا تتعلم ولا تحلل بيانات ولا تولِّد نصوصاً. ويؤكد الباحث — دفعاً لهذا الخلط — أن العقد الذكي لا يقوم على نماذج لغوية أو تعلم ذاتي، بل على رمز برمجي ثابت، وإن كان الذكاء الاصطناعي وتقنية سلاسل الكتل قد يتقاطعان في بعض التطبيقات المتقدمة فإن ذلك يظل استثناءً تطبيقياً لا قاعدة تقنية.</w:t>
      </w:r>
      <w:r>
        <w:rPr>
          <w:rFonts w:asciiTheme="majorBidi" w:hAnsiTheme="majorBidi" w:cstheme="majorBidi"/>
          <w:sz w:val="24"/>
          <w:szCs w:val="24"/>
          <w:vertAlign w:val="superscript"/>
          <w:rtl/>
        </w:rPr>
        <w:footnoteReference w:id="227"/>
      </w:r>
    </w:p>
    <w:p w14:paraId="07DD9E8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الأثر القانوني المترتب على هذا التمييز</w:t>
      </w:r>
    </w:p>
    <w:p w14:paraId="5C16E9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يرى الباحث أن هذا الخلط ليس مجرد هفوة أكاديمية، بل تترتب عليه نتائج نظامية خطيرة؛ فإخضاع الأصناف الثلاثة لأحكام موحدة يفضي إما إلى إفراط في تنظيم برمجيات بسيطة لا تحمل مخاطر حقيقية، وإما إلى تساهل في تنظيم أنظمة ذكية عالية المخاطر.</w:t>
      </w:r>
      <w:r>
        <w:rPr>
          <w:rFonts w:asciiTheme="majorBidi" w:hAnsiTheme="majorBidi" w:cstheme="majorBidi"/>
          <w:sz w:val="24"/>
          <w:szCs w:val="24"/>
          <w:vertAlign w:val="superscript"/>
          <w:rtl/>
        </w:rPr>
        <w:footnoteReference w:id="228"/>
      </w:r>
      <w:r>
        <w:rPr>
          <w:rFonts w:asciiTheme="majorBidi" w:hAnsiTheme="majorBidi" w:cstheme="majorBidi"/>
          <w:sz w:val="24"/>
          <w:szCs w:val="24"/>
          <w:rtl/>
        </w:rPr>
        <w:t xml:space="preserve"> وعليه، فلا بد للمشرّع السعودي وللهيئة السعودية للمحامين – عند إقرار ضوابط استخدام التقنية في المهنة – من التفرقة بين الأنظمة القائمة على التعلم الذاتي والنماذج الاحتمالية من جهة، والبرمجيات القائمة على قواعد ثابتة من جهة أخرى، تمهيداً لتطبيق متطلبات تنظيمية متدرجة بحسب درجة المخاطر، على غرار المنهج الذي تبنّاه المشرّع الأوروبي في لائحة الذكاء الاصطناعي.</w:t>
      </w:r>
      <w:r>
        <w:rPr>
          <w:rFonts w:asciiTheme="majorBidi" w:hAnsiTheme="majorBidi" w:cstheme="majorBidi"/>
          <w:sz w:val="24"/>
          <w:szCs w:val="24"/>
          <w:vertAlign w:val="superscript"/>
          <w:rtl/>
        </w:rPr>
        <w:footnoteReference w:id="229"/>
      </w:r>
      <w:r>
        <w:rPr>
          <w:rFonts w:asciiTheme="majorBidi" w:hAnsiTheme="majorBidi" w:cstheme="majorBidi"/>
          <w:sz w:val="24"/>
          <w:szCs w:val="24"/>
          <w:rtl/>
        </w:rPr>
        <w:t xml:space="preserve"> وتتبنى الدراسة في هذا الفصل وما يليه هذا التصنيف الثلاثي إلى أن يتقرر تعريف تشريعي صريح يميز بين هذه الأصناف.</w:t>
      </w:r>
    </w:p>
    <w:p w14:paraId="7603BCEC" w14:textId="77777777" w:rsidR="00C61595" w:rsidRDefault="00000000">
      <w:pPr>
        <w:pStyle w:val="3"/>
        <w:spacing w:before="240" w:after="200" w:line="276" w:lineRule="auto"/>
        <w:jc w:val="center"/>
        <w:rPr>
          <w:rFonts w:asciiTheme="majorBidi" w:hAnsiTheme="majorBidi"/>
          <w:b/>
          <w:bCs/>
          <w:sz w:val="26"/>
          <w:szCs w:val="26"/>
          <w:rtl/>
        </w:rPr>
      </w:pPr>
      <w:bookmarkStart w:id="43" w:name="_Toc237071395"/>
      <w:r>
        <w:rPr>
          <w:rFonts w:asciiTheme="majorBidi" w:hAnsiTheme="majorBidi"/>
          <w:b/>
          <w:bCs/>
          <w:sz w:val="26"/>
          <w:szCs w:val="26"/>
          <w:rtl/>
        </w:rPr>
        <w:lastRenderedPageBreak/>
        <w:t>المطلب الثاني</w:t>
      </w:r>
      <w:bookmarkEnd w:id="43"/>
    </w:p>
    <w:p w14:paraId="08739AA8" w14:textId="77777777" w:rsidR="00C61595" w:rsidRDefault="00000000">
      <w:pPr>
        <w:pStyle w:val="3"/>
        <w:spacing w:after="200" w:line="276" w:lineRule="auto"/>
        <w:jc w:val="center"/>
        <w:rPr>
          <w:rFonts w:asciiTheme="majorBidi" w:hAnsiTheme="majorBidi"/>
          <w:b/>
          <w:bCs/>
          <w:sz w:val="24"/>
          <w:szCs w:val="24"/>
          <w:rtl/>
        </w:rPr>
      </w:pPr>
      <w:bookmarkStart w:id="44" w:name="_Toc237071396"/>
      <w:r>
        <w:rPr>
          <w:rFonts w:asciiTheme="majorBidi" w:hAnsiTheme="majorBidi"/>
          <w:b/>
          <w:bCs/>
          <w:sz w:val="24"/>
          <w:szCs w:val="24"/>
          <w:rtl/>
        </w:rPr>
        <w:t>أدوات الذكاء الاصطناعي المتداولة في مكاتب المحاماة السعودية</w:t>
      </w:r>
      <w:bookmarkEnd w:id="44"/>
    </w:p>
    <w:p w14:paraId="5600C8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شهد السوق القانوني السعودي في الفترة الممتدة بين عامي 2020م و2026م تحولاً نوعياً في طبيعة الأدوات التقنية المستخدمة داخل مكاتب المحاماة؛ إذ انتقل الاستخدام من الوسائل الإدارية البسيطة إلى أدوات ذات طابع تحليلي واستدلالي تعتمد على تعلم الآلة ومعالجة اللغة الطبيعية. وأسهم في تسريع هذا التحول الانتشار العالمي الواسع للأدوات التوليدية منذ نهاية عام 2022م، ورقمنة الخدمات العدلية في المملكة عبر منصة ناجز، وبرامج التحول الرقمي المرتبطة برؤية المملكة 2030.</w:t>
      </w:r>
      <w:r>
        <w:rPr>
          <w:rFonts w:asciiTheme="majorBidi" w:hAnsiTheme="majorBidi" w:cstheme="majorBidi"/>
          <w:sz w:val="24"/>
          <w:szCs w:val="24"/>
          <w:vertAlign w:val="superscript"/>
          <w:rtl/>
        </w:rPr>
        <w:footnoteReference w:id="230"/>
      </w:r>
      <w:r>
        <w:rPr>
          <w:rFonts w:asciiTheme="majorBidi" w:hAnsiTheme="majorBidi" w:cstheme="majorBidi"/>
          <w:sz w:val="24"/>
          <w:szCs w:val="24"/>
          <w:rtl/>
        </w:rPr>
        <w:t xml:space="preserve"> ويعرض هذا المطلب لتصنيف هذه الأدوات، ثم لتوزع استخدامها، ثم لخصائصها التقنية المؤثرة في التقييم النظامي.</w:t>
      </w:r>
    </w:p>
    <w:p w14:paraId="7711A87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الأدوات التوليدية العامة</w:t>
      </w:r>
    </w:p>
    <w:p w14:paraId="7B798DD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تهيمن على هذه الفئة النماذج اللغوية الكبيرة ذات الاستخدام العام التي دخلت مكاتب المحاماة السعودية على نطاق واسع دون تخصيص قانوني مسبق، ويتصدرها نموذج ChatGPT الصادر عن شركة OpenAI، ونموذج Gemini من Google، ونموذج Copilot من Microsoft المدمج في حزمة Microsoft 365، إضافة إلى نموذج Claude من شركة Anthropic الذي يتميز بمعالجة المستندات الطويلة. وتستخدم هذه الأدوات في السياق القانوني السعودي أساساً في صياغة مسودات العقود الأولية، وتلخيص الأحكام والنصوص النظامية الطويلة، وترجمة الوثائق القانونية بين العربية والإنجليزية، وإعداد الردود الأولية على مراسلات الجهات.</w:t>
      </w:r>
    </w:p>
    <w:p w14:paraId="01424CA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وتؤكد بعض الدراسات أن هذه الأدوات العامة تُستخدم في البيئة القانونية السعودية دون مراعاة كافية لمتطلبات نظام حماية البيانات الشخصية، لا سيما أن كثيراً منها يرسل البيانات المُدخلة إلى خوادم تقع خارج المملكة، وأن المحامين في الغالب لا يفصحون لموكليهم عن استخدامها في معالجة ملفاتهم.</w:t>
      </w:r>
    </w:p>
    <w:p w14:paraId="6782EE97"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الأدوات القانونية المتخصصة</w:t>
      </w:r>
    </w:p>
    <w:p w14:paraId="25080DD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وهي أدوات صممت أصلاً للبيئة القانونية، وتعتمد على نماذج مدرَّبة على بيانات قانونية ضخمة، ومن أبرزها في السياق العالمي: أداة Harvey AI المتخصصة في أعمال المحاماة التجارية، وأداة Luminance البريطانية لتحليل العقود وفحص المستندات في صفقات الاندماج والاستحواذ، وأداة Kira Systems للاستخراج الآلي للبنود التعاقدية، والوحدات الذكية المدمجة في منصتي Thomson Reuters (Westlaw) وLexisNexis للبحث في السوابق. وتتعامل معها في المملكة أساساً المكاتب الكبرى والمكاتب الدولية العاملة فيها. وتشير بعض الدراسات إلى أن هذه الأدوات ترفع إنتاجية المحامين في المهام التكرارية كمراجعة العقود وفحص الوثائق رفعاً ملموساً،</w:t>
      </w:r>
      <w:r>
        <w:rPr>
          <w:rFonts w:asciiTheme="majorBidi" w:hAnsiTheme="majorBidi" w:cstheme="majorBidi"/>
          <w:sz w:val="24"/>
          <w:szCs w:val="24"/>
          <w:vertAlign w:val="superscript"/>
          <w:rtl/>
        </w:rPr>
        <w:footnoteReference w:id="231"/>
      </w:r>
      <w:r>
        <w:rPr>
          <w:rFonts w:asciiTheme="majorBidi" w:hAnsiTheme="majorBidi" w:cstheme="majorBidi"/>
          <w:sz w:val="24"/>
          <w:szCs w:val="24"/>
          <w:rtl/>
        </w:rPr>
        <w:t xml:space="preserve"> غير أنها لم تخضع حتى تاريخه لأي اعتماد نظامي في المنظومة السعودية، كما أن دعمها للغة العربية وللمنظومة التشريعية السعودية ما يزال محدوداً.</w:t>
      </w:r>
    </w:p>
    <w:p w14:paraId="4107E77E"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المنصات المحلية والنماذج العربية الناشئة</w:t>
      </w:r>
    </w:p>
    <w:p w14:paraId="6748A65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ظهرت في المنطقة نماذج ومنصات تسعى إلى معالجة القصور اللغوي والتشريعي في النماذج الغربية. فعلى صعيد النماذج العربية، طُوِّر في دولة الإمارات نموذج "جيس" (Jais) عام 2023م مدرَّباً على بيانات عربية واسعة، وطوّرت الهيئة السعودية للبيانات والذكاء الاصطناعي النموذج اللغوي العربي "علّام" (ALLaM) الذي أتيح عبر منصات حوسبة عالمية، ويحمل إمكانات واعدة للتطبيقات القانونية العربية، كما ظهر نموذج AceGPT الذي شاركت في تطويره جامعة الملك عبدالله للعلوم والتقنية (كاوست) بالتعاون مع جهات بحثية، بتركيز على الفهم الثقافي واللغوي العربي. وعلى الصعيد المؤسسي المحلي، استوعبت منصة ناجز التابعة لوزارة العدل عدداً من الوظائف الإجرائية الآلية، كالتوجيه الآلي للقضايا وتحديد الاختصاص والإخطار بالمواعيد، أوضح بعض الباحثين التابع لوزارة العدل أن الغالبية العظمى من الخدمات العدلية باتت تقدم إلكترونياً، بما يجعل الكفاءة التقنية للمحامي </w:t>
      </w:r>
      <w:r>
        <w:rPr>
          <w:rFonts w:asciiTheme="majorBidi" w:hAnsiTheme="majorBidi" w:cstheme="majorBidi"/>
          <w:sz w:val="24"/>
          <w:szCs w:val="24"/>
          <w:rtl/>
        </w:rPr>
        <w:lastRenderedPageBreak/>
        <w:t>ركيزة أساسية في مزاولة المهنة. ويلاحظ أن أغلب هذه الوظائف المحلية تقوم على أنظمة قاعدية محددة السيناريوهات أكثر من قيامها على نماذج تعلم آلي كاملة، فتكون مخاطرها النظامية أدنى.</w:t>
      </w:r>
      <w:r>
        <w:rPr>
          <w:rStyle w:val="af"/>
          <w:rFonts w:asciiTheme="majorBidi" w:hAnsiTheme="majorBidi" w:cstheme="majorBidi"/>
          <w:sz w:val="24"/>
          <w:szCs w:val="24"/>
          <w:rtl/>
        </w:rPr>
        <w:footnoteReference w:id="232"/>
      </w:r>
    </w:p>
    <w:p w14:paraId="2623880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وإلى جانب المنصات الحكومية، برزت في السوق السعودية منصات قانونية تجارية قائمة على الذكاء الاصطناعي تقدم خدماتها فعلاً للممارسين والجهات؛ من أبرزها منصة «قانونية» (Qanoniah) التابعة لشركة عدالة لتقنية نظم المعلومات، وهي محرك بحث قانوني يوظف الذكاء الاصطناعي في البحث داخل ما يزيد على مائة ألف وثيقة قانونية سعودية من الأنظمة واللوائح والسوابق والتعاميم، وتتعامل معها جهات حكومية وشركات كبرى ومكاتب محاماة دولية عاملة في المملكة</w:t>
      </w:r>
      <w:r>
        <w:rPr>
          <w:rStyle w:val="af"/>
          <w:rFonts w:asciiTheme="majorBidi" w:hAnsiTheme="majorBidi" w:cstheme="majorBidi"/>
          <w:sz w:val="24"/>
          <w:szCs w:val="24"/>
          <w:rtl/>
        </w:rPr>
        <w:footnoteReference w:id="233"/>
      </w:r>
      <w:r>
        <w:rPr>
          <w:rFonts w:asciiTheme="majorBidi" w:hAnsiTheme="majorBidi" w:cstheme="majorBidi"/>
          <w:sz w:val="24"/>
          <w:szCs w:val="24"/>
          <w:rtl/>
        </w:rPr>
        <w:t>؛ ومنصة «شورى» التي تقدم مساعداً قانونياً ذكياً للإجابة الفورية عن الأسئلة القانونية وأدوات لصياغة العقود ومراجعتها وإدارة القضايا</w:t>
      </w:r>
      <w:r>
        <w:rPr>
          <w:rStyle w:val="af"/>
          <w:rFonts w:asciiTheme="majorBidi" w:hAnsiTheme="majorBidi" w:cstheme="majorBidi"/>
          <w:sz w:val="24"/>
          <w:szCs w:val="24"/>
          <w:rtl/>
        </w:rPr>
        <w:footnoteReference w:id="234"/>
      </w:r>
      <w:r>
        <w:rPr>
          <w:rFonts w:asciiTheme="majorBidi" w:hAnsiTheme="majorBidi" w:cstheme="majorBidi"/>
          <w:sz w:val="24"/>
          <w:szCs w:val="24"/>
          <w:rtl/>
        </w:rPr>
        <w:t>؛ ومنصة «عدالة» للاستشارات القانونية الذكية</w:t>
      </w:r>
      <w:r>
        <w:rPr>
          <w:rStyle w:val="af"/>
          <w:rFonts w:asciiTheme="majorBidi" w:hAnsiTheme="majorBidi" w:cstheme="majorBidi"/>
          <w:sz w:val="24"/>
          <w:szCs w:val="24"/>
          <w:rtl/>
        </w:rPr>
        <w:footnoteReference w:id="235"/>
      </w:r>
      <w:r>
        <w:rPr>
          <w:rFonts w:asciiTheme="majorBidi" w:hAnsiTheme="majorBidi" w:cstheme="majorBidi"/>
          <w:sz w:val="24"/>
          <w:szCs w:val="24"/>
          <w:rtl/>
        </w:rPr>
        <w:t>. ويرى الباحث أن وجود هذه المنصات العاملة فعلاً يقطع بأن الظاهرة محل الدراسة لم تعد احتمالاً مستقبلياً بل واقعاً سوقياً قائماً في المملكة، وأن ما يقدم منها إجابات قانونية مباشرة لغير المتخصصين يقع في قلب إشكالية التمييز بين المعلومة القانونية العامة والاستشارة القانونية الخاضعة للترخيص، المقررة في المبحث الثاني من هذا الفصل؛ بما يعزز الحاجة إلى إطار اعتماد واضح لهذه الفئة من الخدمات.</w:t>
      </w:r>
    </w:p>
    <w:tbl>
      <w:tblPr>
        <w:bidiVisual/>
        <w:tblW w:w="8300"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1250"/>
        <w:gridCol w:w="1500"/>
        <w:gridCol w:w="1100"/>
        <w:gridCol w:w="1350"/>
        <w:gridCol w:w="1500"/>
        <w:gridCol w:w="1600"/>
      </w:tblGrid>
      <w:tr w:rsidR="00C61595" w14:paraId="05975756" w14:textId="77777777">
        <w:tc>
          <w:tcPr>
            <w:tcW w:w="1250" w:type="dxa"/>
            <w:shd w:val="clear" w:color="auto" w:fill="F2F2F2"/>
          </w:tcPr>
          <w:p w14:paraId="69212739"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الأداة</w:t>
            </w:r>
          </w:p>
        </w:tc>
        <w:tc>
          <w:tcPr>
            <w:tcW w:w="1500" w:type="dxa"/>
            <w:shd w:val="clear" w:color="auto" w:fill="F2F2F2"/>
          </w:tcPr>
          <w:p w14:paraId="37EA9F95"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المطوِّر</w:t>
            </w:r>
          </w:p>
        </w:tc>
        <w:tc>
          <w:tcPr>
            <w:tcW w:w="1100" w:type="dxa"/>
            <w:shd w:val="clear" w:color="auto" w:fill="F2F2F2"/>
          </w:tcPr>
          <w:p w14:paraId="3EF8E3DB"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دعم العربية</w:t>
            </w:r>
          </w:p>
        </w:tc>
        <w:tc>
          <w:tcPr>
            <w:tcW w:w="1350" w:type="dxa"/>
            <w:shd w:val="clear" w:color="auto" w:fill="F2F2F2"/>
          </w:tcPr>
          <w:p w14:paraId="6D4A2265"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التخصص القانوني</w:t>
            </w:r>
          </w:p>
        </w:tc>
        <w:tc>
          <w:tcPr>
            <w:tcW w:w="1500" w:type="dxa"/>
            <w:shd w:val="clear" w:color="auto" w:fill="F2F2F2"/>
          </w:tcPr>
          <w:p w14:paraId="501674BA"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معالجة المستندات الطويلة</w:t>
            </w:r>
          </w:p>
        </w:tc>
        <w:tc>
          <w:tcPr>
            <w:tcW w:w="1600" w:type="dxa"/>
            <w:shd w:val="clear" w:color="auto" w:fill="F2F2F2"/>
          </w:tcPr>
          <w:p w14:paraId="0888DD1D" w14:textId="77777777" w:rsidR="00C61595" w:rsidRDefault="00000000">
            <w:pPr>
              <w:bidi/>
              <w:spacing w:after="0" w:line="240" w:lineRule="auto"/>
              <w:jc w:val="center"/>
              <w:rPr>
                <w:rFonts w:asciiTheme="majorBidi" w:hAnsiTheme="majorBidi" w:cstheme="majorBidi"/>
                <w:b/>
                <w:bCs/>
                <w:sz w:val="20"/>
                <w:szCs w:val="20"/>
                <w:rtl/>
              </w:rPr>
            </w:pPr>
            <w:r>
              <w:rPr>
                <w:rFonts w:asciiTheme="majorBidi" w:hAnsiTheme="majorBidi" w:cstheme="majorBidi"/>
                <w:b/>
                <w:bCs/>
                <w:sz w:val="20"/>
                <w:szCs w:val="20"/>
                <w:rtl/>
              </w:rPr>
              <w:t>الاستخدام الأنسب</w:t>
            </w:r>
          </w:p>
        </w:tc>
      </w:tr>
      <w:tr w:rsidR="00C61595" w14:paraId="15FC0445" w14:textId="77777777">
        <w:tc>
          <w:tcPr>
            <w:tcW w:w="1250" w:type="dxa"/>
          </w:tcPr>
          <w:p w14:paraId="19FE41C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ChatGPT</w:t>
            </w:r>
          </w:p>
        </w:tc>
        <w:tc>
          <w:tcPr>
            <w:tcW w:w="1500" w:type="dxa"/>
          </w:tcPr>
          <w:p w14:paraId="4A2D55D7"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OpenAI (أمريكية)</w:t>
            </w:r>
          </w:p>
        </w:tc>
        <w:tc>
          <w:tcPr>
            <w:tcW w:w="1100" w:type="dxa"/>
          </w:tcPr>
          <w:p w14:paraId="4842F2F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w:t>
            </w:r>
          </w:p>
        </w:tc>
        <w:tc>
          <w:tcPr>
            <w:tcW w:w="1350" w:type="dxa"/>
          </w:tcPr>
          <w:p w14:paraId="4B6EFF9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7C4FF6E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محدودة</w:t>
            </w:r>
          </w:p>
        </w:tc>
        <w:tc>
          <w:tcPr>
            <w:tcW w:w="1600" w:type="dxa"/>
          </w:tcPr>
          <w:p w14:paraId="22BF0A5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المراسلات والصياغة الأولية</w:t>
            </w:r>
          </w:p>
        </w:tc>
      </w:tr>
      <w:tr w:rsidR="00C61595" w14:paraId="0B80ED43" w14:textId="77777777">
        <w:tc>
          <w:tcPr>
            <w:tcW w:w="1250" w:type="dxa"/>
          </w:tcPr>
          <w:p w14:paraId="003C970C"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Claude</w:t>
            </w:r>
          </w:p>
        </w:tc>
        <w:tc>
          <w:tcPr>
            <w:tcW w:w="1500" w:type="dxa"/>
          </w:tcPr>
          <w:p w14:paraId="2F7B61E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Anthropic (أمريكية)</w:t>
            </w:r>
          </w:p>
        </w:tc>
        <w:tc>
          <w:tcPr>
            <w:tcW w:w="1100" w:type="dxa"/>
          </w:tcPr>
          <w:p w14:paraId="2B66C94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متوسط–جيد</w:t>
            </w:r>
          </w:p>
        </w:tc>
        <w:tc>
          <w:tcPr>
            <w:tcW w:w="1350" w:type="dxa"/>
          </w:tcPr>
          <w:p w14:paraId="2143CD0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411C8C0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7F341119"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مراجعة العقود الطويلة</w:t>
            </w:r>
          </w:p>
        </w:tc>
      </w:tr>
      <w:tr w:rsidR="00C61595" w14:paraId="46FB8D22" w14:textId="77777777">
        <w:tc>
          <w:tcPr>
            <w:tcW w:w="1250" w:type="dxa"/>
          </w:tcPr>
          <w:p w14:paraId="6C1ADC82"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Gemini</w:t>
            </w:r>
          </w:p>
        </w:tc>
        <w:tc>
          <w:tcPr>
            <w:tcW w:w="1500" w:type="dxa"/>
          </w:tcPr>
          <w:p w14:paraId="5D8A57C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Google (أمريكية)</w:t>
            </w:r>
          </w:p>
        </w:tc>
        <w:tc>
          <w:tcPr>
            <w:tcW w:w="1100" w:type="dxa"/>
          </w:tcPr>
          <w:p w14:paraId="1F55F3D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w:t>
            </w:r>
          </w:p>
        </w:tc>
        <w:tc>
          <w:tcPr>
            <w:tcW w:w="1350" w:type="dxa"/>
          </w:tcPr>
          <w:p w14:paraId="3F7744D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5D988A26"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3FF8CDCA"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التوثيق والتقارير المكتبية</w:t>
            </w:r>
          </w:p>
        </w:tc>
      </w:tr>
      <w:tr w:rsidR="00C61595" w14:paraId="2C72A0B5" w14:textId="77777777">
        <w:tc>
          <w:tcPr>
            <w:tcW w:w="1250" w:type="dxa"/>
          </w:tcPr>
          <w:p w14:paraId="3B62278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Copilot</w:t>
            </w:r>
          </w:p>
        </w:tc>
        <w:tc>
          <w:tcPr>
            <w:tcW w:w="1500" w:type="dxa"/>
          </w:tcPr>
          <w:p w14:paraId="3F92EEC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Microsoft (أمريكية)</w:t>
            </w:r>
          </w:p>
        </w:tc>
        <w:tc>
          <w:tcPr>
            <w:tcW w:w="1100" w:type="dxa"/>
          </w:tcPr>
          <w:p w14:paraId="02E05EB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w:t>
            </w:r>
          </w:p>
        </w:tc>
        <w:tc>
          <w:tcPr>
            <w:tcW w:w="1350" w:type="dxa"/>
          </w:tcPr>
          <w:p w14:paraId="749E019E"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6CB10F9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5FB13607"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بيئات Microsoft 365</w:t>
            </w:r>
          </w:p>
        </w:tc>
      </w:tr>
      <w:tr w:rsidR="00C61595" w14:paraId="0E549C62" w14:textId="77777777">
        <w:tc>
          <w:tcPr>
            <w:tcW w:w="1250" w:type="dxa"/>
          </w:tcPr>
          <w:p w14:paraId="448C046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Harvey AI</w:t>
            </w:r>
          </w:p>
        </w:tc>
        <w:tc>
          <w:tcPr>
            <w:tcW w:w="1500" w:type="dxa"/>
          </w:tcPr>
          <w:p w14:paraId="4A91327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Harvey (أمريكية)</w:t>
            </w:r>
          </w:p>
        </w:tc>
        <w:tc>
          <w:tcPr>
            <w:tcW w:w="1100" w:type="dxa"/>
          </w:tcPr>
          <w:p w14:paraId="3F4ACE29"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ضعيف</w:t>
            </w:r>
          </w:p>
        </w:tc>
        <w:tc>
          <w:tcPr>
            <w:tcW w:w="1350" w:type="dxa"/>
          </w:tcPr>
          <w:p w14:paraId="33D3D23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قانوني متخصص</w:t>
            </w:r>
          </w:p>
        </w:tc>
        <w:tc>
          <w:tcPr>
            <w:tcW w:w="1500" w:type="dxa"/>
          </w:tcPr>
          <w:p w14:paraId="6033465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عالية</w:t>
            </w:r>
          </w:p>
        </w:tc>
        <w:tc>
          <w:tcPr>
            <w:tcW w:w="1600" w:type="dxa"/>
          </w:tcPr>
          <w:p w14:paraId="2A1F503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العقود والسوابق بالإنجليزية</w:t>
            </w:r>
          </w:p>
        </w:tc>
      </w:tr>
      <w:tr w:rsidR="00C61595" w14:paraId="30450D9C" w14:textId="77777777">
        <w:tc>
          <w:tcPr>
            <w:tcW w:w="1250" w:type="dxa"/>
          </w:tcPr>
          <w:p w14:paraId="5F0005A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جيس (Jais)</w:t>
            </w:r>
          </w:p>
        </w:tc>
        <w:tc>
          <w:tcPr>
            <w:tcW w:w="1500" w:type="dxa"/>
          </w:tcPr>
          <w:p w14:paraId="1EE5143C"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تطوير إماراتي</w:t>
            </w:r>
          </w:p>
        </w:tc>
        <w:tc>
          <w:tcPr>
            <w:tcW w:w="1100" w:type="dxa"/>
          </w:tcPr>
          <w:p w14:paraId="5546095A"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7AE1AD7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3EC7A988"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0CBFAC63"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النصوص القانونية العربية</w:t>
            </w:r>
          </w:p>
        </w:tc>
      </w:tr>
      <w:tr w:rsidR="00C61595" w14:paraId="63741F71" w14:textId="77777777">
        <w:tc>
          <w:tcPr>
            <w:tcW w:w="1250" w:type="dxa"/>
          </w:tcPr>
          <w:p w14:paraId="6427E3A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علّام (ALLaM)</w:t>
            </w:r>
          </w:p>
        </w:tc>
        <w:tc>
          <w:tcPr>
            <w:tcW w:w="1500" w:type="dxa"/>
          </w:tcPr>
          <w:p w14:paraId="695455A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سدايا (سعودية)</w:t>
            </w:r>
          </w:p>
        </w:tc>
        <w:tc>
          <w:tcPr>
            <w:tcW w:w="1100" w:type="dxa"/>
          </w:tcPr>
          <w:p w14:paraId="6367C4E8"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1EF9EA2D"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عام</w:t>
            </w:r>
          </w:p>
        </w:tc>
        <w:tc>
          <w:tcPr>
            <w:tcW w:w="1500" w:type="dxa"/>
          </w:tcPr>
          <w:p w14:paraId="7499776B"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جيدة</w:t>
            </w:r>
          </w:p>
        </w:tc>
        <w:tc>
          <w:tcPr>
            <w:tcW w:w="1600" w:type="dxa"/>
          </w:tcPr>
          <w:p w14:paraId="3E87311E"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التطبيقات العربية والسعودية</w:t>
            </w:r>
          </w:p>
        </w:tc>
      </w:tr>
      <w:tr w:rsidR="00C61595" w14:paraId="6318B2BC" w14:textId="77777777">
        <w:tc>
          <w:tcPr>
            <w:tcW w:w="1250" w:type="dxa"/>
          </w:tcPr>
          <w:p w14:paraId="78E72031"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AceGPT</w:t>
            </w:r>
          </w:p>
        </w:tc>
        <w:tc>
          <w:tcPr>
            <w:tcW w:w="1500" w:type="dxa"/>
          </w:tcPr>
          <w:p w14:paraId="55CAF874"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بحثي (بمشاركة كاوست)</w:t>
            </w:r>
          </w:p>
        </w:tc>
        <w:tc>
          <w:tcPr>
            <w:tcW w:w="1100" w:type="dxa"/>
          </w:tcPr>
          <w:p w14:paraId="66AA4F55"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ممتاز</w:t>
            </w:r>
          </w:p>
        </w:tc>
        <w:tc>
          <w:tcPr>
            <w:tcW w:w="1350" w:type="dxa"/>
          </w:tcPr>
          <w:p w14:paraId="2EB25DE0"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عربي–إسلامي</w:t>
            </w:r>
          </w:p>
        </w:tc>
        <w:tc>
          <w:tcPr>
            <w:tcW w:w="1500" w:type="dxa"/>
          </w:tcPr>
          <w:p w14:paraId="0BC826BB"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متوسطة</w:t>
            </w:r>
          </w:p>
        </w:tc>
        <w:tc>
          <w:tcPr>
            <w:tcW w:w="1600" w:type="dxa"/>
          </w:tcPr>
          <w:p w14:paraId="18828AEF" w14:textId="77777777" w:rsidR="00C61595" w:rsidRDefault="00000000">
            <w:pPr>
              <w:bidi/>
              <w:spacing w:after="0" w:line="240" w:lineRule="auto"/>
              <w:jc w:val="center"/>
              <w:rPr>
                <w:rFonts w:asciiTheme="majorBidi" w:hAnsiTheme="majorBidi" w:cstheme="majorBidi"/>
                <w:sz w:val="20"/>
                <w:szCs w:val="20"/>
                <w:rtl/>
              </w:rPr>
            </w:pPr>
            <w:r>
              <w:rPr>
                <w:rFonts w:asciiTheme="majorBidi" w:hAnsiTheme="majorBidi" w:cstheme="majorBidi"/>
                <w:sz w:val="20"/>
                <w:szCs w:val="20"/>
                <w:rtl/>
              </w:rPr>
              <w:t>البحث القانوني العربي</w:t>
            </w:r>
          </w:p>
        </w:tc>
      </w:tr>
    </w:tbl>
    <w:p w14:paraId="458DD42D" w14:textId="77777777" w:rsidR="00C61595" w:rsidRDefault="00000000">
      <w:pPr>
        <w:bidi/>
        <w:spacing w:after="200" w:line="276" w:lineRule="auto"/>
        <w:jc w:val="center"/>
        <w:rPr>
          <w:rFonts w:asciiTheme="majorBidi" w:hAnsiTheme="majorBidi" w:cstheme="majorBidi"/>
          <w:sz w:val="20"/>
          <w:szCs w:val="20"/>
          <w:rtl/>
        </w:rPr>
      </w:pPr>
      <w:r>
        <w:rPr>
          <w:rFonts w:asciiTheme="majorBidi" w:hAnsiTheme="majorBidi" w:cstheme="majorBidi"/>
          <w:sz w:val="20"/>
          <w:szCs w:val="20"/>
          <w:rtl/>
        </w:rPr>
        <w:t>جدول مقارن لأبرز أدوات الذكاء الاصطناعي المتداولة في السياق القانوني. المصدر: إعداد الباحث استناداً إلى الوثائق المعلنة للمنتجات، 1447هـ/2026م.</w:t>
      </w:r>
    </w:p>
    <w:p w14:paraId="6D11A22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ويتضح من الجدول المقارن أن الأدوات القانونية المتخصصة كـHarvey AI تفتقر إلى دعم كافٍ للغة العربية، مما يقيد توظيفها في السياق السعودي، في حين تقدم النماذج العربية الناشئة كعلّام وجيس أساساً واعداً لذكاء اصطناعي قانوني عربي، يُنتظر نضجه خلال السنوات القادمة في إطار مبادرات التحول الرقمي الوطنية.</w:t>
      </w:r>
    </w:p>
    <w:p w14:paraId="5887A4C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توزع الاستخدام بحسب حجم المكاتب</w:t>
      </w:r>
    </w:p>
    <w:p w14:paraId="66C8B5F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لا يتوزع استخدام هذه الأدوات في السوق السعودي توزعاً متساوياً، بل يرتبط بحجم المكتب وطبيعة موكليه، ويمكن رصد ثلاثة أنماط: (1) المكاتب الكبرى والشركات المهنية متعددة الجنسيات، وتعتمد على الأدوات </w:t>
      </w:r>
      <w:r>
        <w:rPr>
          <w:rFonts w:asciiTheme="majorBidi" w:hAnsiTheme="majorBidi" w:cstheme="majorBidi"/>
          <w:sz w:val="24"/>
          <w:szCs w:val="24"/>
          <w:rtl/>
        </w:rPr>
        <w:lastRenderedPageBreak/>
        <w:t>المتخصصة بموجب اشتراكات مؤسسية، مع رقابة داخلية وبروتوكولات مكتوبة، وهي الأقل إشكالية نسبياً. (2) المكاتب المتوسطة، وتعتمد غالباً على الأدوات التوليدية العامة إلى جانب برمجيات إدارة القضايا، ويتسم استخدامها بالتفاوت وغياب السياسات الداخلية، وهي النمط الأوسع انتشاراً والأكثر حاجة إلى التوجيه التنظيمي. (3) المكاتب الصغيرة والمحامون الأفراد، ويلجؤون إلى النسخ المجانية أو منخفضة الكلفة من الأدوات العامة، وهو النمط الأكثر إثارة للإشكاليات لغياب أي رقابة مؤسسية.</w:t>
      </w:r>
    </w:p>
    <w:p w14:paraId="3CF9988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يرى الباحث أن ضعف التوثيق الرسمي للاستخدام الفعلي لهذه الأدوات في البيئة السعودية يشكل بذاته إشكالية تنظيمية؛ إذ لا يمكن رسم سياسة تنظيمية دقيقة دون بيانات إحصائية موثوقة تكشف حجم الانتشار وأنماطه. ومن مهام الباحث أيضاً لفت النظر إلى أن من أولويات المرحلة قيام سدايا والهيئة السعودية للمحامين بمسح ميداني شامل لتقييم حجم الاعتماد على هذه الأدوات في مكاتب المحاماة السعودية.</w:t>
      </w:r>
    </w:p>
    <w:p w14:paraId="4E5C4330"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الخصائص التقنية المؤثرة في التقييم النظامي</w:t>
      </w:r>
    </w:p>
    <w:p w14:paraId="448A565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يقتضي الحكم النظامي الدقيق على هذه الأدوات فهم آلية عملها؛ إذ تعتمد النماذج اللغوية الكبيرة على بنية إحصائية تولِّد النص الأكثر رجحاناً في السياق اللغوي المعطى، دون فهم معرفي حقيقي للمضمون. ويترتب على ذلك ثلاث خصائص ذات أثر نظامي مباشر:</w:t>
      </w:r>
    </w:p>
    <w:p w14:paraId="0A20040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ظاهرة الهلوسة (Hallucination): وهي إنتاج النموذج معلومات تبدو متسقة وموثوقة لكنها مخترعة أو محرفة، ومن صورها في المجال القانوني: الاستشهاد بأحكام قضائية لا وجود لها، ونسبة نصوص إلى مواد نظامية لا تحملها. وقد وثّقت دراسة محكّمة صادرة عن باحثين في جامعة ستانفورد أن النماذج اللغوية العامة تهلوس في الأسئلة القانونية بنسب تتراوح بين 58% و88% بحسب النموذج ونوع المهمة،</w:t>
      </w:r>
      <w:r>
        <w:rPr>
          <w:rFonts w:asciiTheme="majorBidi" w:hAnsiTheme="majorBidi" w:cstheme="majorBidi"/>
          <w:sz w:val="24"/>
          <w:szCs w:val="24"/>
          <w:vertAlign w:val="superscript"/>
          <w:rtl/>
        </w:rPr>
        <w:footnoteReference w:id="236"/>
      </w:r>
      <w:r>
        <w:rPr>
          <w:rFonts w:asciiTheme="majorBidi" w:hAnsiTheme="majorBidi" w:cstheme="majorBidi"/>
          <w:sz w:val="24"/>
          <w:szCs w:val="24"/>
          <w:rtl/>
        </w:rPr>
        <w:t xml:space="preserve"> فيما وثّقت دراسة لاحقة أن أدوات البحث القانوني المتخصصة المدعومة بتقنية التوليد المعزز بالاسترجاع (RAG) تخفض هذه النسبة دون أن تزيلها، إذ سجلت نحو 17% إلى 33% من الإجابات المعيبة.</w:t>
      </w:r>
      <w:r>
        <w:rPr>
          <w:rFonts w:asciiTheme="majorBidi" w:hAnsiTheme="majorBidi" w:cstheme="majorBidi"/>
          <w:sz w:val="24"/>
          <w:szCs w:val="24"/>
          <w:vertAlign w:val="superscript"/>
          <w:rtl/>
        </w:rPr>
        <w:footnoteReference w:id="237"/>
      </w:r>
    </w:p>
    <w:p w14:paraId="6DF1DA8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ولم يعد الاعتراف بهذه الظاهرة مقصوراً على الأدبيات الأجنبية؛ فقد أقرّت بها الجهة التنظيمية السعودية المختصة ذاتها: إذ عدّت وثيقة مبادئ الذكاء الاصطناعي التوليدي للجهات الحكومية الصادرة عن سدايا (2025م) التضليلَ الناشئ عن «الهلوسة» من الأخطار الشائعة للتقنية، ووصفته بتقديم معلومات غير صحيحة كلياً أو جزئياً تعرض المستخدم للخداع، ونصّت صراحة على أن المحتوى المولَّد «ليس موثوقاً به ويحتاج إلى إكماله بمعلومات من مصادر موثوقة»، وقررت أن المستخدم يظل مسؤولاً عن المحتوى الذي يعتمده وأن عليه تحريره ومراجعته بغض النظر عن مصدره</w:t>
      </w:r>
      <w:r>
        <w:rPr>
          <w:rStyle w:val="af"/>
          <w:rFonts w:asciiTheme="majorBidi" w:hAnsiTheme="majorBidi" w:cstheme="majorBidi"/>
          <w:sz w:val="24"/>
          <w:szCs w:val="24"/>
          <w:rtl/>
        </w:rPr>
        <w:footnoteReference w:id="238"/>
      </w:r>
      <w:r>
        <w:rPr>
          <w:rFonts w:asciiTheme="majorBidi" w:hAnsiTheme="majorBidi" w:cstheme="majorBidi"/>
          <w:sz w:val="24"/>
          <w:szCs w:val="24"/>
          <w:rtl/>
        </w:rPr>
        <w:t>. ويرى الباحث أن في هذا الإقرار الرسمي حسماً لأي جدل حول جدية هذه الخاصية في السياق السعودي؛ فإذا كانت الدولة توجب على موظفيها التحقق من كل مخرج توليدي قبل الاعتداد به، فالمحامي – وهو مؤتمن على حقوق موكليه ومصالحهم – أولى بهذا الواجب من باب أولى.</w:t>
      </w:r>
    </w:p>
    <w:p w14:paraId="09475D0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انقطاع المعرفة (Knowledge Cutoff): فلكل نموذج تاريخ انتهاء لبيانات تدريبه لا يعرف ما استجد بعده من أنظمة وتعديلات وأحكام، وهو قصور بالغ الخطورة في بيئة تشريعية متسارعة التحديث كالبيئة السعودية التي شهدت في سنوات قليلة صدور نظام الإثبات ونظام المعاملات المدنية ونظام حماية البيانات الشخصية وتعديلات نظام المحاماة.</w:t>
      </w:r>
    </w:p>
    <w:p w14:paraId="11C7CEC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3– ضعف التمثيل العربي والسعودي في بيانات التدريب: فغالبية هذه النماذج دُرِّبت على بيانات إنجليزية بالدرجة الأولى، والعربية لغة اشتقاقية ذات ثراء صرفي يجعل معالجتها الحاسوبية أعسر، يضاف إلى ذلك أن المصطلح القانوني السعودي يجمع بين المصطلح الفقهي الإسلامي (كالمصلحة المرسلة وسد الذرائع وقاعدة لا ضرر ولا </w:t>
      </w:r>
      <w:r>
        <w:rPr>
          <w:rFonts w:asciiTheme="majorBidi" w:hAnsiTheme="majorBidi" w:cstheme="majorBidi"/>
          <w:sz w:val="24"/>
          <w:szCs w:val="24"/>
          <w:rtl/>
        </w:rPr>
        <w:lastRenderedPageBreak/>
        <w:t>ضرار) والمصطلح التشريعي الحديث، مما يفوّت على النماذج غير المتخصصة الفوارق الدلالية الدقيقة، ويجعل نسبة الخطأ في المسائل السعودية أعلى منها في الأنظمة القانونية الممثلة تمثيلاً واسعاً في بيانات التدريب.</w:t>
      </w:r>
    </w:p>
    <w:p w14:paraId="395357F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ويخلص الباحث من ذلك إلى نتيجة تنظيمية محددة: أي ضوابط سعودية مقبلة لاستخدام الذكاء الاصطناعي في المهنة لا بد أن تفرّق بين الأدوات المدرَّبة على البيانات القانونية العربية والسعودية تحديداً، وأدوات الاستخدام العام، بتطبيق متطلبات اعتماد وتحقق أشد على الأخيرة عند استخدامها في السياق القانوني السعودي.</w:t>
      </w:r>
    </w:p>
    <w:p w14:paraId="4D63869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سادساً: تطبيقات الذكاء الاصطناعي في مجالات قانونية سعودية بعينها</w:t>
      </w:r>
    </w:p>
    <w:p w14:paraId="7E2FF89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ويرى الباحث أن النظر في مجالات التطبيق يكشف خصوصيات تغيب في التحليل العام، ويمكن إجمالها – على سبيل الإسقاط التحليلي لما تقدم عرضه من أدوات وخصائص – في أربعة مجالات: (1) المنازعات العمالية: وهي في تقدير الباحث من أكثر المجالات قابليةً للمعالجة الذكية لتكرار مسائلها وتشابه وقائعها؛ إذ يمكن توظيف الأدوات في فحص عقود العمل وحساب مستحقات نهاية الخدمة وتحليل اتجاهات الأحكام، غير أن خصوصية أحكام العمالة الوافدة والعمالة المنزلية في النظام السعودي قلّما تجد تمثيلاً كافياً في بيانات النماذج العالمية، فتلزم فيها مراجعة بشرية أدق. (2) المعاملات التجارية والاستثمارية: وهي المجال الذي تنتشر فيه فعلاً منصات تحليل العقود واستخراج بنودها الجوهرية، على نحو ما وثقته الدراسات من أدوات مراجعة العقود والبحث القانوني الذكي</w:t>
      </w:r>
      <w:r>
        <w:rPr>
          <w:rStyle w:val="af"/>
          <w:rFonts w:asciiTheme="majorBidi" w:hAnsiTheme="majorBidi" w:cstheme="majorBidi"/>
          <w:sz w:val="24"/>
          <w:szCs w:val="24"/>
          <w:rtl/>
        </w:rPr>
        <w:footnoteReference w:id="239"/>
      </w:r>
      <w:r>
        <w:rPr>
          <w:rFonts w:asciiTheme="majorBidi" w:hAnsiTheme="majorBidi" w:cstheme="majorBidi"/>
          <w:sz w:val="24"/>
          <w:szCs w:val="24"/>
          <w:rtl/>
        </w:rPr>
        <w:t>، ويبقى الإشكال الأبرز فيها حساسية البيانات التجارية السرية المدخلة في الأدوات على النحو المفصل في المطلب الثالث. (3) المنازعات العقارية: حيث يمكن توظيف الذكاء الاصطناعي في تحليل الصكوك وتتبع سلاسل الملكية، ويقدّر الباحث أن فاعليته فيها رهينة بتخصيص معمق يراعي نظام التسجيل العيني للعقار وأحكام الملكية في الفقه الإسلامي. (4) المجال الجزائي وحقوق الدفاع: وهو أشد المجالات حساسية؛ لما وثقته التجارب المقارنة من مخاطر التحيز في الأدوات التنبؤية الجنائية – وفي مقدمتها نموذج خوارزمية «كومباس» وقضية لوميس الآتي بيانهما –، ويرى الباحث أن المبدأ الشرعي القاضي بدرء الحدود بالشبهات يتعارض جوهرياً مع التسليم بنتائج نموذج احتمالي في الإثبات الجزائي، فيتعين قصر استخدام هذه الأدوات في المجال الجزائي على الوظائف المساعدة غير المؤثرة في تكوين قناعة الحكم.</w:t>
      </w:r>
    </w:p>
    <w:p w14:paraId="4D6F07B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ويجسّد هذا الحذرَ عملياً نموذجُ خوارزمية «كومباس» (COMPAS) الأمريكية، وهي خوارزمية طورتها شركة نورث بوينت لقياس درجة خطورة المتهمين وتقدير احتمال عودتهم للإجرام، توازن بين مدخلات القضية وخمسة عوامل: السلوك الإجرامي، والشخصية والتوجهات، وأسلوب المعيشة، وتاريخ العائلة، والحياة الاجتماعية؛ وقد تبنتها محاكم بعض الولايات الأمريكية – كفلوريدا وميشيغان – في تقدير العقوبة والتدابير الاحترازية</w:t>
      </w:r>
      <w:r>
        <w:rPr>
          <w:rStyle w:val="af"/>
          <w:rFonts w:asciiTheme="majorBidi" w:hAnsiTheme="majorBidi" w:cstheme="majorBidi"/>
          <w:sz w:val="24"/>
          <w:szCs w:val="24"/>
          <w:rtl/>
        </w:rPr>
        <w:footnoteReference w:id="240"/>
      </w:r>
      <w:r>
        <w:rPr>
          <w:rFonts w:asciiTheme="majorBidi" w:hAnsiTheme="majorBidi" w:cstheme="majorBidi"/>
          <w:sz w:val="24"/>
          <w:szCs w:val="24"/>
          <w:rtl/>
        </w:rPr>
        <w:t>. غير أن نتائجها أظهرت ميلاً إلى تقدير احتمالية عودة المدانين السود إلى الإجرام بأعلى مما تقدره للبيض، فاتخذت من لون البشرة معياراً لنتيجة قانونية يفترض أن تكون عامة مجردة</w:t>
      </w:r>
      <w:r>
        <w:rPr>
          <w:rStyle w:val="af"/>
          <w:rFonts w:asciiTheme="majorBidi" w:hAnsiTheme="majorBidi" w:cstheme="majorBidi"/>
          <w:sz w:val="24"/>
          <w:szCs w:val="24"/>
          <w:rtl/>
        </w:rPr>
        <w:footnoteReference w:id="241"/>
      </w:r>
      <w:r>
        <w:rPr>
          <w:rFonts w:asciiTheme="majorBidi" w:hAnsiTheme="majorBidi" w:cstheme="majorBidi"/>
          <w:sz w:val="24"/>
          <w:szCs w:val="24"/>
          <w:rtl/>
        </w:rPr>
        <w:t xml:space="preserve">؛ وهو عين ما وثّقته الجلعود من تحيز أنظمة تقييم مخاطر معاودة الإجرام المشار إليه في الفصل الأول. وقد بلغ هذا الجدل ساحة القضاء في قضية State v. Loomis أمام المحكمة العليا لولاية ويسكونسن (2016م)؛ إذ دفع المتهم بأن الاستعانة بالخوارزمية في تقدير عقوبته تخالف مبدأ فردية الحكم وتقوم على برمجة متحيزة، فردّت المحكمة الدفع مع تقريرها تحفظات بالغة الدلالة: أن شفافية الخوارزمية مطعون فيها لإخفائها أوزان العوامل التي تحتسب على أساسها، وأن نتائجها تستند إلى بيانات مجموعات ينتسب إليها المتهم لا إلى حالته الفردية، وأنها قد تتحيز ضد أقليات بعينها؛ وأكدت بقاء السلطة التقديرية للقاضي في رفض نتيجتها إن رأى فيها مجافاة للعدالة، ووجوب إخضاعها للتمحيص وعدم الاعتماد الكلي </w:t>
      </w:r>
      <w:r>
        <w:rPr>
          <w:rFonts w:asciiTheme="majorBidi" w:hAnsiTheme="majorBidi" w:cstheme="majorBidi"/>
          <w:sz w:val="24"/>
          <w:szCs w:val="24"/>
          <w:rtl/>
        </w:rPr>
        <w:lastRenderedPageBreak/>
        <w:t>عليها</w:t>
      </w:r>
      <w:r>
        <w:rPr>
          <w:rStyle w:val="af"/>
          <w:rFonts w:asciiTheme="majorBidi" w:hAnsiTheme="majorBidi" w:cstheme="majorBidi"/>
          <w:sz w:val="24"/>
          <w:szCs w:val="24"/>
          <w:rtl/>
        </w:rPr>
        <w:footnoteReference w:id="242"/>
      </w:r>
      <w:r>
        <w:rPr>
          <w:rFonts w:asciiTheme="majorBidi" w:hAnsiTheme="majorBidi" w:cstheme="majorBidi"/>
          <w:sz w:val="24"/>
          <w:szCs w:val="24"/>
          <w:rtl/>
        </w:rPr>
        <w:t>. وفي هذا الحكم مصادقة قضائية صريحة على الاتجاه الذي تتبناه هذه الدراسة: الأداة الذكية مستشارٌ يُستأنس بنتيجته، ويبقى القرار وتبعته للإنسان.</w:t>
      </w:r>
    </w:p>
    <w:p w14:paraId="206B3FC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على أن الحذر المنهجي الواجب في الجانب الجزائي لا يعني خلوّه من تطبيقات سعودية قائمة فعلاً؛ فقد وثّقت دراسة منشورة في مجلة «قضاء» المحكّمة أخذ المنظم السعودي بتقنيات الذكاء الاصطناعي في مرحلة تنفيذ العقوبات، وفي مقدمتها السوار الإلكتروني في المراقبة الإلكترونية بديلاً عن العقوبة السالبة للحرية، وانتهت إلى أن هذا التطبيق ينسجم مع مبدأ شرعية الجرائم والعقوبات، ويسهم في تخفيف العبء عن السجون، مع تقرير حق المحكوم عليه في طلب إلغاء المراقبة الإلكترونية إذا ثبت ضررها على صحته أو أسرته أو سلامته</w:t>
      </w:r>
      <w:r>
        <w:rPr>
          <w:rStyle w:val="af"/>
          <w:rFonts w:asciiTheme="majorBidi" w:hAnsiTheme="majorBidi" w:cstheme="majorBidi"/>
          <w:sz w:val="24"/>
          <w:szCs w:val="24"/>
          <w:rtl/>
        </w:rPr>
        <w:footnoteReference w:id="243"/>
      </w:r>
      <w:r>
        <w:rPr>
          <w:rFonts w:asciiTheme="majorBidi" w:hAnsiTheme="majorBidi" w:cstheme="majorBidi"/>
          <w:sz w:val="24"/>
          <w:szCs w:val="24"/>
          <w:rtl/>
        </w:rPr>
        <w:t>.</w:t>
      </w:r>
    </w:p>
    <w:p w14:paraId="03C62E3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وفي مرحلة التحقيق، ناقش تقرير حديث صادر عن ملتقى أسبار – بورقة رئيسة أعدها د. فهد معافا – توظيف الذكاء الاصطناعي في التحقيقات الجنائية في السياق السعودي، فقرر أن التقنية يمكن أن تمثل نقلة نوعية في أداء الأجهزة العدلية إذا جرى تبنيها ضمن إطار قانوني وتنظيمي متوازن يراعي المتطلبات الشرعية والوطنية، وأوصى بجملة تدابير في مقدمتها: تحديد معايير قضائية واضحة لقبول الأدلة المبنية على الذكاء الاصطناعي ضمن إطار تنظيمي وقانوني، وإنشاء مختبر وطني لاعتماد الأدلة الذكية وفحص موثوقية التقنيات المستخدمة جنائياً، وبناء نموذج لغوي سعودي متخصص في المجالين الأمني والقضائي مدرَّب على البيانات الوطنية</w:t>
      </w:r>
      <w:r>
        <w:rPr>
          <w:rStyle w:val="af"/>
          <w:rFonts w:asciiTheme="majorBidi" w:hAnsiTheme="majorBidi" w:cstheme="majorBidi"/>
          <w:sz w:val="24"/>
          <w:szCs w:val="24"/>
          <w:rtl/>
        </w:rPr>
        <w:footnoteReference w:id="244"/>
      </w:r>
      <w:r>
        <w:rPr>
          <w:rFonts w:asciiTheme="majorBidi" w:hAnsiTheme="majorBidi" w:cstheme="majorBidi"/>
          <w:sz w:val="24"/>
          <w:szCs w:val="24"/>
          <w:rtl/>
        </w:rPr>
        <w:t>. ويلحظ الباحث أن هذه التوصية الأخيرة تلتقي مع ما انتهى إليه هذا المطلب من ضرورة التفريق بين الأدوات المدرَّبة على البيانات القانونية السعودية وأدوات الاستخدام العام.</w:t>
      </w:r>
    </w:p>
    <w:p w14:paraId="44138B7D"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سابعاً: حالات الاستخدام المرجعية وأفضل الممارسات في ضوء وثيقة سدايا التوليدية</w:t>
      </w:r>
    </w:p>
    <w:p w14:paraId="3CDB0E7B" w14:textId="77777777" w:rsidR="00C61595" w:rsidRPr="004E4318" w:rsidRDefault="00000000">
      <w:pPr>
        <w:bidi/>
        <w:spacing w:before="120" w:after="200" w:line="276" w:lineRule="auto"/>
        <w:jc w:val="both"/>
        <w:rPr>
          <w:rFonts w:asciiTheme="majorBidi" w:hAnsiTheme="majorBidi" w:cstheme="majorBidi"/>
          <w:sz w:val="24"/>
          <w:szCs w:val="24"/>
          <w:rtl/>
        </w:rPr>
      </w:pPr>
      <w:r w:rsidRPr="004E4318">
        <w:rPr>
          <w:rFonts w:asciiTheme="majorBidi" w:hAnsiTheme="majorBidi" w:cstheme="majorBidi"/>
          <w:sz w:val="24"/>
          <w:szCs w:val="24"/>
          <w:rtl/>
        </w:rPr>
        <w:t>ومما يعين على هذا التقييم ما أوردته وثيقة سدايا لمبادئ الذكاء الاصطناعي التوليدي في ملحقها الأول من حالات استخدام مرجعية تنطبق مناظراتها على العمل القانوني: إنشاء المستندات والخطابات وصياغتها، وتسريع البحث والتحليل بإنشاء الملخصات والتقارير، وتحسين جودة الخدمة عبر روبوتات المحادثة الموجهة للاستفسارات الإجرائية، والترجمة المراعية للسياق والتعبيرات الاصطلاحية – وهي وظيفة ذات قيمة خاصة في بيئة قانونية تتعامل بالعقود الإنجليزية إلى جانب العربية. والمهم نظامياً أن الوثيقة لم تطلق هذه الاستخدامات، بل قرنتها بممارسات تصلح نواةً لواجب عناية في السياق المهني: توفير سياق محدد في صيغة الأوامر، وتحرير المحتوى المولَّد ومراجعته بغض النظر عن مصدره مع بقاء المستخدم مسؤولاً عنه، واستبعاد المعلومات المصنفة من صيغ الأوامر وعدم استخدامها في الموضوعات الحساسة</w:t>
      </w:r>
      <w:r w:rsidRPr="004E4318">
        <w:rPr>
          <w:rStyle w:val="af"/>
          <w:rFonts w:asciiTheme="majorBidi" w:hAnsiTheme="majorBidi" w:cstheme="majorBidi"/>
          <w:sz w:val="24"/>
          <w:szCs w:val="24"/>
          <w:rtl/>
        </w:rPr>
        <w:footnoteReference w:id="245"/>
      </w:r>
      <w:r w:rsidRPr="004E4318">
        <w:rPr>
          <w:rFonts w:asciiTheme="majorBidi" w:hAnsiTheme="majorBidi" w:cstheme="majorBidi"/>
          <w:sz w:val="24"/>
          <w:szCs w:val="24"/>
          <w:rtl/>
        </w:rPr>
        <w:t>. وبهذا المنطق نفسه ينبغي أن تقرأ مكاتب المحاماة أدواتها؛ فليست العبرة بنوع الأداة وحده، بل بإحكام الممارسة المصاحبة لاستخدامها.</w:t>
      </w:r>
    </w:p>
    <w:p w14:paraId="1161BF76" w14:textId="77777777" w:rsidR="00C61595" w:rsidRDefault="00000000">
      <w:pPr>
        <w:pStyle w:val="3"/>
        <w:spacing w:before="240" w:after="200" w:line="276" w:lineRule="auto"/>
        <w:jc w:val="center"/>
        <w:rPr>
          <w:rFonts w:asciiTheme="majorBidi" w:hAnsiTheme="majorBidi"/>
          <w:b/>
          <w:bCs/>
          <w:sz w:val="26"/>
          <w:szCs w:val="26"/>
          <w:rtl/>
        </w:rPr>
      </w:pPr>
      <w:bookmarkStart w:id="45" w:name="_Toc237071397"/>
      <w:r>
        <w:rPr>
          <w:rFonts w:asciiTheme="majorBidi" w:hAnsiTheme="majorBidi"/>
          <w:b/>
          <w:bCs/>
          <w:sz w:val="26"/>
          <w:szCs w:val="26"/>
          <w:rtl/>
        </w:rPr>
        <w:t>المطلب الثالث</w:t>
      </w:r>
      <w:bookmarkEnd w:id="45"/>
    </w:p>
    <w:p w14:paraId="6DFAC14B" w14:textId="77777777" w:rsidR="00C61595" w:rsidRDefault="00000000">
      <w:pPr>
        <w:pStyle w:val="3"/>
        <w:spacing w:after="200" w:line="276" w:lineRule="auto"/>
        <w:jc w:val="center"/>
        <w:rPr>
          <w:rFonts w:asciiTheme="majorBidi" w:hAnsiTheme="majorBidi"/>
          <w:b/>
          <w:bCs/>
          <w:sz w:val="24"/>
          <w:szCs w:val="24"/>
          <w:rtl/>
        </w:rPr>
      </w:pPr>
      <w:bookmarkStart w:id="46" w:name="_Toc237071398"/>
      <w:r>
        <w:rPr>
          <w:rFonts w:asciiTheme="majorBidi" w:hAnsiTheme="majorBidi"/>
          <w:b/>
          <w:bCs/>
          <w:sz w:val="24"/>
          <w:szCs w:val="24"/>
          <w:rtl/>
        </w:rPr>
        <w:t>مدى توافق استخدام أدوات الذكاء الاصطناعي مع الأنظمة السعودية</w:t>
      </w:r>
      <w:bookmarkEnd w:id="46"/>
    </w:p>
    <w:p w14:paraId="47D659A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لا يعني شيوع استخدام هذه الأدوات مشروعيته النظامية. وقد عرضت الدراسة في الفصل الأول الإطار التشريعي لهذه الأنظمة عرضاً تحليلياً، وفصّل الفصل الثاني قواعد المسؤولية الناشئة عنها؛ فلا يعيد هذا المطلب شيئاً من ذلك، وإنما وظيفته تطبيقية محضة: إخضاعُ صور الاستخدام الجاري – التي وثقها المطلبان السابقان – لمحكّات </w:t>
      </w:r>
      <w:r>
        <w:rPr>
          <w:rFonts w:asciiTheme="majorBidi" w:hAnsiTheme="majorBidi" w:cstheme="majorBidi"/>
          <w:sz w:val="24"/>
          <w:szCs w:val="24"/>
          <w:rtl/>
        </w:rPr>
        <w:lastRenderedPageBreak/>
        <w:t>خمسة أنظمة قائمة، والاكتفاءُ بالإحالة إلى ما سبق بيانه، مع إيراد ما تدعو إليه الحاجة من نصوص لم يسبق إثباتها، وما استجد من تطبيقات قضائية.</w:t>
      </w:r>
    </w:p>
    <w:p w14:paraId="053920E0"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في ضوء نظام المحاماة</w:t>
      </w:r>
    </w:p>
    <w:p w14:paraId="7BAEEB5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سبق في الفصل الأول تحليل واجبات المحامي المهنية في نظام المحاماة؛ ويُنزل هذا الموضع اثنين منها على الاستخدام الجاري بنصيهما اللذين لم يسبق إثباتهما:</w:t>
      </w:r>
      <w:r>
        <w:rPr>
          <w:rFonts w:asciiTheme="majorBidi" w:hAnsiTheme="majorBidi" w:cstheme="majorBidi"/>
          <w:sz w:val="24"/>
          <w:szCs w:val="24"/>
          <w:vertAlign w:val="superscript"/>
          <w:rtl/>
        </w:rPr>
        <w:footnoteReference w:id="246"/>
      </w:r>
    </w:p>
    <w:p w14:paraId="0088659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واجب مزاولة المهنة وفق الأصول: إذ تنص المادة (الحادية عشرة) على أنه: "على المحامي مزاولة مهنته وفقاً للأصول الشرعية والأنظمة المرعية، والامتناع عن أي عمل يخل بكرامتها، واحترام القواعد والتعليمات الصادرة في هذا الشأن". ويستوعب هذا النص – بعمومه – واجب العناية المهنية في استخدام الأدوات التقنية؛ فتقديم مذكرة تتضمن استشهادات لم يتحقق المحامي من صحتها إخلال بمقتضى مزاولة المهنة وفق الأصول، بصرف النظر عن الوسيلة التي أُنتجت بها.</w:t>
      </w:r>
    </w:p>
    <w:p w14:paraId="0BAF2A9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واجب السرية المهنية: إذ تنص المادة (الثالثة والعشرون) من النظام على أنه: "لا يجوز للمحامي أن يفشي سراً أؤتمن عليه أو عرفه عن طريق مهنته ولو بعد انتهاء وكالته، ما لم يخالف ذلك مقتضى شرعياً...". ويلاحظ أن النص لم يشترط أن يكون الإفشاء لشخص بشري حتى تقوم المخالفة؛ فإدخال المحامي وقائع قضية موكله ومستنداته في نموذج لغوي خارجي تتاح بياناته للشركة المطوِّرة – وقد تستخدم في تدريب النموذج بحسب شروط الاستخدام – يقع في دائرة الإفشاء المحظور متى تحقق وصول السر إلى غير مأذون له، وهو ما يشير إليه جانب من الفقه بمفهوم "السرية الموسَّعة" التي تمتد إلى كل جهة تتعامل مع بيانات الموكل بأي صورة، برمجية كانت أم بشرية.</w:t>
      </w:r>
      <w:r>
        <w:rPr>
          <w:rFonts w:asciiTheme="majorBidi" w:hAnsiTheme="majorBidi" w:cstheme="majorBidi"/>
          <w:sz w:val="24"/>
          <w:szCs w:val="24"/>
          <w:vertAlign w:val="superscript"/>
          <w:rtl/>
        </w:rPr>
        <w:footnoteReference w:id="247"/>
      </w:r>
    </w:p>
    <w:p w14:paraId="5A02255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ويمتد التحدي الذي تفرضه الأدوات الذكية على هذا الواجب إلى ثلاثة أبعاد: بُعد النقل إلى الغير (وصول البيانات إلى مزوِّد الأداة بوصفه جهة ثالثة)، وبُعد زمن الاحتفاظ (احتفاظ بعض الأدوات بسجلات المحادثات مدداً غير محددة ولأغراض تتجاوز غرض الإدخال)، وبُعد سرية المخرجات ذاتها (إذ يمكن أن يعاد من المخرجات تركيب بيانات الموكل الأصلية). ويرى الباحث أن المخرجات المستنبطة من بيانات الموكل يجب أن تخضع للحماية المقررة للبيانات الأصلية نفسها، فلا يجوز تداولها مع الغير دون إذن الموكل.</w:t>
      </w:r>
    </w:p>
    <w:p w14:paraId="1F60812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حدود المسؤولية عن العاملين بالمكتب: أما مسؤولية المحامي عن أخطاء العاملين لديه – ومنها ما ينشأ عن استخدامهم أدوات ذكية – فلا تجد أساسها في نظام المحاماة ذاته، وإنما في القواعد العامة لمسؤولية المتبوع عن أعمال تابعه المقررة في المادة (التاسعة والعشرين بعد المائة) من نظام المعاملات المدنية، التي تنص على أن: "يكون المتبوع مسؤولاً تجاه المتضرر عن الضرر الذي يحدثه تابعه بخطئه أثناء تأدية عمله أو بسبب هذا العمل، إذا كانت للمتبوع سلطة فعلية في رقابة التابع وتوجيهه".</w:t>
      </w:r>
      <w:r>
        <w:rPr>
          <w:rFonts w:asciiTheme="majorBidi" w:hAnsiTheme="majorBidi" w:cstheme="majorBidi"/>
          <w:sz w:val="24"/>
          <w:szCs w:val="24"/>
          <w:vertAlign w:val="superscript"/>
          <w:rtl/>
        </w:rPr>
        <w:footnoteReference w:id="248"/>
      </w:r>
      <w:r>
        <w:rPr>
          <w:rFonts w:asciiTheme="majorBidi" w:hAnsiTheme="majorBidi" w:cstheme="majorBidi"/>
          <w:sz w:val="24"/>
          <w:szCs w:val="24"/>
          <w:rtl/>
        </w:rPr>
        <w:t xml:space="preserve"> وبمقتضى هذا النص يسأل المحامي صاحب المكتب – والشركة المهنية – عن أضرار الاستخدام المعيب للأدوات الذكية من العاملين والمتدربين لديه متى وقع الخطأ أثناء تأدية العمل أو بسببه.</w:t>
      </w:r>
    </w:p>
    <w:p w14:paraId="5448341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في ضوء نظام حماية البيانات الشخصية</w:t>
      </w:r>
    </w:p>
    <w:p w14:paraId="7102947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سبق في الفصل الأول عرض منظومة الالتزامات التي يرسيها نظام حماية البيانات الشخصية وتعديلاته؛ وتدخل معالجة المحامي بياناتِ موكله عبر أدوات الذكاء الاصطناعي في نطاقها مباشرة، وتتجلى مواطن التعارض التطبيقية في ثلاثة:</w:t>
      </w:r>
    </w:p>
    <w:p w14:paraId="0B078C9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1– اشتراط الموافقة: فبمقتضى المادة (الخامسة) – السابق إثبات نصها في الفصل الأول – لا تجوز المعالجة أو تغيير الغرض منها إلا بموافقة صاحب البيانات، فيما عدا الأحوال المستثناة نظاماً. ونماذج الوكالة المتداولة في </w:t>
      </w:r>
      <w:r>
        <w:rPr>
          <w:rFonts w:asciiTheme="majorBidi" w:hAnsiTheme="majorBidi" w:cstheme="majorBidi"/>
          <w:sz w:val="24"/>
          <w:szCs w:val="24"/>
          <w:rtl/>
        </w:rPr>
        <w:lastRenderedPageBreak/>
        <w:t>المكاتب السعودية لا تتضمن في الغالب تخويلاً صريحاً باستخدام أدوات معالجة خارجية، مما يجعل إدخال بيانات الموكل فيها دون إذنه معالجة تفتقر إلى سندها النظامي.</w:t>
      </w:r>
    </w:p>
    <w:p w14:paraId="3BA8C55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قيد الغرض والحد الأدنى: توجب المادة (الحادية عشرة) أن يكون الغرض من جمع البيانات ذا علاقة مباشرة بأغراض جهة التحكم، وأن يقتصر الجمع على الحد الأدنى اللازم لتحقيق الغرض. وحين تستخدم الأداة الذكية البيانات المدخلة لتدريب نماذجها المستقبلية – وهو ما تجيزه شروط استخدام بعض الأدوات – تخرج المعالجة عن نطاق الغرض المأذون به، ويُعد ذلك بذاته مخالفة مستقلة.</w:t>
      </w:r>
      <w:r>
        <w:rPr>
          <w:rFonts w:asciiTheme="majorBidi" w:hAnsiTheme="majorBidi" w:cstheme="majorBidi"/>
          <w:sz w:val="24"/>
          <w:szCs w:val="24"/>
          <w:vertAlign w:val="superscript"/>
          <w:rtl/>
        </w:rPr>
        <w:footnoteReference w:id="249"/>
      </w:r>
    </w:p>
    <w:p w14:paraId="54A7373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حظر النقل الخارجي إلا بضوابط: تقرر المادة (التاسعة والعشرون) من النظام أنه لا يجوز لجهة التحكم نقل البيانات الشخصية إلى خارج المملكة أو الإفصاح عنها لجهة خارجها إلا لأغراض محددة وبشروط، منها: ألا يمس النقل بالأمن الوطني أو المصالح الحيوية، وتوافر ضمانات كافية للحفاظ على سرية البيانات، والاقتصار على الحد الأدنى منها. ومعالجة البيانات المدخلة في الأدوات الأجنبية تجري على خوادم خارج المملكة، فيتحقق بها النقل الخارجي دون استيفاء الضوابط في الغالب الأعم من صور الاستخدام الفردي. وقد أصدرت سدايا لائحة خاصة بنقل البيانات الشخصية إلى خارج المملكة ودليلاً استرشادياً لتقويم مخاطره يوجه الجهات إلى إجراء تقييم أثر قبل النقل إلى منصات خارجية،</w:t>
      </w:r>
      <w:r>
        <w:rPr>
          <w:rStyle w:val="af"/>
          <w:rFonts w:asciiTheme="majorBidi" w:hAnsiTheme="majorBidi" w:cstheme="majorBidi"/>
          <w:sz w:val="24"/>
          <w:szCs w:val="24"/>
          <w:rtl/>
        </w:rPr>
        <w:footnoteReference w:id="250"/>
      </w:r>
      <w:r>
        <w:rPr>
          <w:rFonts w:asciiTheme="majorBidi" w:hAnsiTheme="majorBidi" w:cstheme="majorBidi"/>
          <w:sz w:val="24"/>
          <w:szCs w:val="24"/>
          <w:rtl/>
        </w:rPr>
        <w:t xml:space="preserve"> وقد قرر النظام – بصيغته المعدلة بالمرسوم الملكي رقم (م/148) وتاريخ 5/9/1444هـ – عقوبات جزائية أشدها السجن والغرامة لإفشاء البيانات الحساسة بقصد الإضرار، وأخضع باقي المخالفات، ومنها مخالفة أحكام النقل الخارجي، لعقوبات إدارية توقعها لجنة مختصة.</w:t>
      </w:r>
      <w:r>
        <w:rPr>
          <w:rStyle w:val="af"/>
          <w:rFonts w:asciiTheme="majorBidi" w:hAnsiTheme="majorBidi" w:cstheme="majorBidi"/>
          <w:sz w:val="24"/>
          <w:szCs w:val="24"/>
          <w:rtl/>
        </w:rPr>
        <w:footnoteReference w:id="251"/>
      </w:r>
    </w:p>
    <w:p w14:paraId="2DFE94B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في ضوء نظام الإثبات ونظام التعاملات الإلكترونية</w:t>
      </w:r>
    </w:p>
    <w:p w14:paraId="1A9D33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نظم نظام الإثبات الصادر بالمرسوم الملكي رقم (م/43) وتاريخ 26/5/1443هـ أحكام الدليل الرقمي في الفصل المخصص له؛ فقرر أن للإثبات بالدليل الرقمي حكم الإثبات بالكتابة، وأن الدليل الرقمي الرسمي له الحجية المقررة للمحرر الرسمي، أما الدليل الرقمي غير الرسمي فيكون حجة على أطراف التعامل – ما لم يثبت خلاف ذلك – في أحوال حددتها المادة (السابعة والخمسون)، منها أن يكون صادراً وفق نظام التعاملات الإلكترونية أو مستفاداً من وسيلة رقمية منصوص عليها في العقد أو موثقة أو مشاعة للعموم، فإن لم يتوافر شيء من ذلك كانت له حجية المحرر العادي.</w:t>
      </w:r>
      <w:r>
        <w:rPr>
          <w:rFonts w:asciiTheme="majorBidi" w:hAnsiTheme="majorBidi" w:cstheme="majorBidi"/>
          <w:sz w:val="24"/>
          <w:szCs w:val="24"/>
          <w:vertAlign w:val="superscript"/>
          <w:rtl/>
        </w:rPr>
        <w:footnoteReference w:id="252"/>
      </w:r>
    </w:p>
    <w:p w14:paraId="1BD59C2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ويترتب على ذلك أن مخرجات الذكاء الاصطناعي لا تُحرم من الحجية لمجرد طبيعتها الآلية – إعمالاً لمبدأ الحياد التقني الذي أرساه نظام التعاملات الإلكترونية الصادر بالمرسوم الملكي رقم (م/18) لعام 1428هـ – غير أن حجيتها تبقى مرهونة بإمكان نسبة المحرر إلى منشئه وسلامة حفظه وقابلية استرجاعه. ويثير ذلك تساؤلاً دقيقاً: هل يُعد المحامي الذي راجع مخرج الأداة وعدّله وتبنّاه "منشئاً" للمحرر؟ الأقرب عند الباحث الإيجاب متى أجرى المحامي مراجعة موضوعية حقيقية ووقّع على المحرر وتحمّل مسؤوليته؛ أما ما قُدِّم كما أنتجته الأداة دون مراجعة فتضطرب نسبته إلى منشئ معين، وتضعف تبعاً لذلك قيمته الإثباتية، ويتحمل مقدمه تبعة ذلك.</w:t>
      </w:r>
    </w:p>
    <w:p w14:paraId="7EC0B7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وقد بدأ القضاء السعودي إرساء هذه الأحكام عملياً؛ إذ وثّقت دراسة سعودية محكّمة حديثة جملة من الأحكام التطبيقية الصادرة عن المحاكم التجارية بعد نفاذ نظام الإثبات، تُعرض منها ثلاث قضايا دالة:</w:t>
      </w:r>
    </w:p>
    <w:p w14:paraId="4245939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القضية الأولى – حجية المراسلات الرقمية في عقد نقل: تقدمت شركة تصميم بدعوى على شركة خدمات لوجستية للمطالبة بقيمة عقد نقل، ونُظرت الدعوى في جلسات مرئية عن بُعد تخلفت فيها المدعى عليها عن الحضور رغم </w:t>
      </w:r>
      <w:r>
        <w:rPr>
          <w:rFonts w:asciiTheme="majorBidi" w:hAnsiTheme="majorBidi" w:cstheme="majorBidi"/>
          <w:sz w:val="24"/>
          <w:szCs w:val="24"/>
          <w:rtl/>
        </w:rPr>
        <w:lastRenderedPageBreak/>
        <w:t>تبلغها؛ فاستندت الدائرة إلى المراسلات الرقمية المقدمة وما تضمنته من إقرار، وأعملت تعريف الدليل الرقمي في المادة (الثالثة والخمسين) وأنواعه في المادة (الرابعة والخمسين) وحجيته المقررة للمحرر العادي في المادة (التاسعة والخمسين) مقروءة مع المادة (التاسعة والعشرين)، وانتهت إلى إلزام المدعى عليها بمبلغ (129,407.26) ريالاً مع أتعاب المحاماة</w:t>
      </w:r>
      <w:r>
        <w:rPr>
          <w:rStyle w:val="af"/>
          <w:rFonts w:asciiTheme="majorBidi" w:hAnsiTheme="majorBidi" w:cstheme="majorBidi"/>
          <w:sz w:val="24"/>
          <w:szCs w:val="24"/>
          <w:rtl/>
        </w:rPr>
        <w:footnoteReference w:id="253"/>
      </w:r>
      <w:r>
        <w:rPr>
          <w:rFonts w:asciiTheme="majorBidi" w:hAnsiTheme="majorBidi" w:cstheme="majorBidi"/>
          <w:sz w:val="24"/>
          <w:szCs w:val="24"/>
          <w:rtl/>
        </w:rPr>
        <w:t>. ووجه الدلالة أن المحكمة رتبت الإلزام الكامل على دليل رقمي خالص لم يجحده الخصم، فأنزلته منزلة المحرر الموقع.</w:t>
      </w:r>
    </w:p>
    <w:p w14:paraId="74C0808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القضية الثانية – الواتساب «وسيلة اتصال» بتفسير قضائي: في دعوى عقد مقاولة، تمسك المدعي بمراسلات عبر تطبيق «واتساب»، فقررت الدائرة أن هذه المراسلة تندرج في نوع «وسائل الاتصال» المنصوص عليه في المادة (الرابعة والخمسين)، وأن للإثبات بها حكم الإثبات بالكتابة وفق المادة (الخامسة والخمسين)، وألزمت المدعى عليها بمبلغ (144,507) ريالات</w:t>
      </w:r>
      <w:r>
        <w:rPr>
          <w:rStyle w:val="af"/>
          <w:rFonts w:asciiTheme="majorBidi" w:hAnsiTheme="majorBidi" w:cstheme="majorBidi"/>
          <w:sz w:val="24"/>
          <w:szCs w:val="24"/>
          <w:rtl/>
        </w:rPr>
        <w:footnoteReference w:id="254"/>
      </w:r>
      <w:r>
        <w:rPr>
          <w:rFonts w:asciiTheme="majorBidi" w:hAnsiTheme="majorBidi" w:cstheme="majorBidi"/>
          <w:sz w:val="24"/>
          <w:szCs w:val="24"/>
          <w:rtl/>
        </w:rPr>
        <w:t>. وقد علّق الخالدي بأن المراسلة عبر واتساب أقرب إلى نوع «المراسلات الرقمية» منها إلى «وسائل الاتصال»، وأنه لا مشاحة في الاصطلاح إذ لا يظهر بين النوعين فرق مؤثر في الحكم — وهو أول تفسير قضائي موثق في هذه الدراسة لتكييف رسائل التطبيقات ضمن أنواع الدليل الرقمي.</w:t>
      </w:r>
    </w:p>
    <w:p w14:paraId="2412815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القضية الثالثة – محادثات واتساب دليلاً في شركة مضاربة: طالبت المدعية باسترداد رأس مال شراكة مضاربة، فثبت للدائرة بموجب خطاب تعهد صادر من المدعى عليه إقراره بإعادة مبلغ (125,000) ريال — وأنزلته منزلة الدليل الكتابي وفق المادة (التاسعة والعشرين) — كما ثبت تسلمه ذهباً بقيمة (75,000) ريال عبر محادثات رقمية ببرنامج «واتساب»، وعدّته دليلاً رقمياً مكتسباً للحجية طبقاً للفقرة (3) من المادة (السابعة والخمسين)؛ فألزمته برد رأس المال كاملاً (200,000) ريال، ورفضت المطالبة بالأرباح لعدم ثبوت ظهورها وتميزها عن رأس المال</w:t>
      </w:r>
      <w:r>
        <w:rPr>
          <w:rStyle w:val="af"/>
          <w:rFonts w:asciiTheme="majorBidi" w:hAnsiTheme="majorBidi" w:cstheme="majorBidi"/>
          <w:sz w:val="24"/>
          <w:szCs w:val="24"/>
          <w:rtl/>
        </w:rPr>
        <w:footnoteReference w:id="255"/>
      </w:r>
      <w:r>
        <w:rPr>
          <w:rFonts w:asciiTheme="majorBidi" w:hAnsiTheme="majorBidi" w:cstheme="majorBidi"/>
          <w:sz w:val="24"/>
          <w:szCs w:val="24"/>
          <w:rtl/>
        </w:rPr>
        <w:t>. ووجه الدلالة هنا تكامل الدليلين الكتابي والرقمي في حكم واحد، وإعمال المحكمة شروط حجية الدليل الرقمي غير الرسمي حرفياً.</w:t>
      </w:r>
    </w:p>
    <w:p w14:paraId="17B67AE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ويعزز هذا الاتجاه حكمٌ تجاري حديث في دعوى توريد قضى بإلزام المدعى عليه بالمبلغ محل المطالبة استناداً إلى مراسلات «واتساب» تعهد فيها بالسداد بعد تزويده بكشف الحساب؛ فقررت الدائرة أن للمراسلات الثابت نسبتها إلى مرسلها حجية المحرر العادي إعمالاً للمادتين (الثلاثين) و(التاسعة والخمسين) من نظام الإثبات، وأن ما تضمنته من تعهد يُعد إقراراً بالمديونية ما لم يثبت المرسل أنه لم يرسلها ولم يكلف أحداً بإرسالها، كما عدّت تخلفَ المدعى عليه عن الحضور دون عذر مقبول قرينةً مؤكدةً على صحة الدعوى ومستنداتها إعمالاً للفقرة (2) من المادة (الحادية والعشرين) من النظام</w:t>
      </w:r>
      <w:r>
        <w:rPr>
          <w:rStyle w:val="af"/>
          <w:rFonts w:asciiTheme="majorBidi" w:hAnsiTheme="majorBidi" w:cstheme="majorBidi"/>
          <w:sz w:val="24"/>
          <w:szCs w:val="24"/>
          <w:rtl/>
        </w:rPr>
        <w:footnoteReference w:id="256"/>
      </w:r>
      <w:r>
        <w:rPr>
          <w:rFonts w:asciiTheme="majorBidi" w:hAnsiTheme="majorBidi" w:cstheme="majorBidi"/>
          <w:sz w:val="24"/>
          <w:szCs w:val="24"/>
          <w:rtl/>
        </w:rPr>
        <w:t>.</w:t>
      </w:r>
    </w:p>
    <w:p w14:paraId="430D9DD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وتتابعت أحكام مماثلة في عقود التوريد وأتعاب المحاماة استناداً إلى المراسلات والبريد الرقمي</w:t>
      </w:r>
      <w:r>
        <w:rPr>
          <w:rStyle w:val="af"/>
          <w:rFonts w:asciiTheme="majorBidi" w:hAnsiTheme="majorBidi" w:cstheme="majorBidi"/>
          <w:sz w:val="24"/>
          <w:szCs w:val="24"/>
          <w:rtl/>
        </w:rPr>
        <w:footnoteReference w:id="257"/>
      </w:r>
      <w:r>
        <w:rPr>
          <w:rFonts w:asciiTheme="majorBidi" w:hAnsiTheme="majorBidi" w:cstheme="majorBidi"/>
          <w:sz w:val="24"/>
          <w:szCs w:val="24"/>
          <w:rtl/>
        </w:rPr>
        <w:t xml:space="preserve">. ويخلص الباحث من هذه التطبيقات إلى ثلاث نتائج: أن هذه القضايا نُظرت في جلسات مرئية عن بُعد ونُشرت أحكامها في البوابة العلمية القضائية، فباتت البيئة العدلية السعودية رقمية التقاضي والإثبات معاً؛ وأن القضاء التجاري رسّخ عملياً حجية المخرجات الرقمية متى استوفت شروط النظام، وهو الأساس ذاته الذي ستُعرض عليه مخرجات الذكاء </w:t>
      </w:r>
      <w:r>
        <w:rPr>
          <w:rFonts w:asciiTheme="majorBidi" w:hAnsiTheme="majorBidi" w:cstheme="majorBidi"/>
          <w:sz w:val="24"/>
          <w:szCs w:val="24"/>
          <w:rtl/>
        </w:rPr>
        <w:lastRenderedPageBreak/>
        <w:t>الاصطناعي عند تقديمها للقضاء؛ وأن المحاكم لم تتردد في التفسير التكييفي لأنواع الدليل الرقمي المستجدة، مما يرجح قابلية المنظومة لاستيعاب المستجد التقني القادم بالمنهج ذاته.</w:t>
      </w:r>
    </w:p>
    <w:p w14:paraId="2680D40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ويسند هذا الاتجاهَ قضاءٌ خليجي وعربي مستقر؛ فقد قضت محكمة التمييز القطرية بأن رسائل البيانات المتبادلة بالبريد الإلكتروني تكتسب – متى توافرت ضوابط التيقن من جهة صدورها وشخص مستقبِلها وعدم التلاعب بها المقررة في المادة (26) من قانون المعاملات والتجارة الإلكترونية القطري رقم (16) لسنة 2010م – حجيةً في الإثبات تتساوى مع المحررات الورقية الموقعة، وتكون عصيةً على مجرد جحد الخصم لمستخرجاتها</w:t>
      </w:r>
      <w:r>
        <w:rPr>
          <w:rStyle w:val="af"/>
          <w:rFonts w:asciiTheme="majorBidi" w:hAnsiTheme="majorBidi" w:cstheme="majorBidi"/>
          <w:sz w:val="24"/>
          <w:szCs w:val="24"/>
          <w:rtl/>
        </w:rPr>
        <w:footnoteReference w:id="258"/>
      </w:r>
      <w:r>
        <w:rPr>
          <w:rFonts w:asciiTheme="majorBidi" w:hAnsiTheme="majorBidi" w:cstheme="majorBidi"/>
          <w:sz w:val="24"/>
          <w:szCs w:val="24"/>
          <w:rtl/>
        </w:rPr>
        <w:t>، كما قضت محكمة النقض المصرية بأن الرسائل الإلكترونية لا تُجحد، وإنما يُطلب أصلها للطعن عليها بالتزوير</w:t>
      </w:r>
      <w:r>
        <w:rPr>
          <w:rStyle w:val="af"/>
          <w:rFonts w:asciiTheme="majorBidi" w:hAnsiTheme="majorBidi" w:cstheme="majorBidi"/>
          <w:sz w:val="24"/>
          <w:szCs w:val="24"/>
          <w:rtl/>
        </w:rPr>
        <w:footnoteReference w:id="259"/>
      </w:r>
      <w:r>
        <w:rPr>
          <w:rFonts w:asciiTheme="majorBidi" w:hAnsiTheme="majorBidi" w:cstheme="majorBidi"/>
          <w:sz w:val="24"/>
          <w:szCs w:val="24"/>
          <w:rtl/>
        </w:rPr>
        <w:t>. وهذه المبادئ – وإن صدرت في شأن المحررات الإلكترونية عموماً – ترسم المسار المتوقع للقضاء السعودي في التعامل مع المخرجات الذكية: قبولٌ مشروط بضوابط النسبة والسلامة، لا رفضٌ لمجرد الطبيعة الآلية.</w:t>
      </w:r>
    </w:p>
    <w:p w14:paraId="6CD4E94C"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في ضوء نظام المعاملات المدنية</w:t>
      </w:r>
    </w:p>
    <w:p w14:paraId="3F06F3F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أما نظام المعاملات المدنية فقد فصّل الفصل الثاني أحكام المساءلة القائمة عليه تفصيلاً – قاعدة المسؤولية عن الفعل الضار (المادة 120)، ومسؤولية المتبوع عن تابعه (المادة 129)، والمسؤولية عن الأشياء التي تتطلب حراستها عناية خاصة (المادة 132) – فلا حاجة إلى إعادته؛ ويقتصر المقام هنا على تقرير محصلته التطبيقية: أن هذه القواعد تصلح أساساً انتقالياً للمساءلة عن أضرار الاستخدام المعيب إلى حين صدور تنظيم خاص؛ فالمحامي الذي يعتمد مخرجات أداة ذكية دون تحقق، فيلحق بموكله ضرراً، يسأل عن تعويضه على أساس الإخلال بواجب الحيطة المعقولة، عقدياً إن وجد عقد وكالة، وتقصيرياً فيما عداه. ويمكن الاستئناس بقواعد الحراسة في مساءلة من له السيطرة الفعلية على منظومة تقنية أحدثت ضرراً.</w:t>
      </w:r>
      <w:r>
        <w:rPr>
          <w:rFonts w:asciiTheme="majorBidi" w:hAnsiTheme="majorBidi" w:cstheme="majorBidi"/>
          <w:sz w:val="24"/>
          <w:szCs w:val="24"/>
          <w:vertAlign w:val="superscript"/>
          <w:rtl/>
        </w:rPr>
        <w:footnoteReference w:id="260"/>
      </w:r>
    </w:p>
    <w:p w14:paraId="08CAC94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في ضوء الإطار التنظيمي لسدايا</w:t>
      </w:r>
    </w:p>
    <w:p w14:paraId="6697EA7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تتولى الهيئة السعودية للبيانات والذكاء الاصطناعي – بموجب ترتيباتها التنظيمية الصادرة بقرار مجلس الوزراء رقم (292) وتاريخ 27/4/1441هـ وتعديلاتها – الاختصاص بشؤون البيانات والذكاء الاصطناعي في المملكة. وقد سبق في الفصل الأول عرض تقويم الفقه لوثيقة مبادئ الأخلاقيات؛ ويُجمل هذا الموضع الإطار في أربع وثائق تشكل معاً إطاراً تنظيمياً "ناعماً" ذا طابع استرشادي، ثم يقوّم قيمتها التطبيقية للقطاع القانوني:</w:t>
      </w:r>
      <w:r>
        <w:rPr>
          <w:rStyle w:val="af"/>
          <w:rFonts w:asciiTheme="majorBidi" w:hAnsiTheme="majorBidi" w:cstheme="majorBidi"/>
          <w:sz w:val="24"/>
          <w:szCs w:val="24"/>
          <w:rtl/>
        </w:rPr>
        <w:footnoteReference w:id="261"/>
      </w:r>
    </w:p>
    <w:p w14:paraId="6D0A39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وثيقة مبادئ أخلاقيات الذكاء الاصطناعي، التي أرست مبادئ الأمان والموثوقية، والعدالة وعدم التحيز، والشفافية، والخصوصية، والمساءلة، ونصت صراحة على أنه: «وينبغي على مسؤول نظام الذكاء الاصطناعي العمل على تقليل المخاطر المحتملة والأضرار غير المقصودة إلى أدنى حد ممكن».</w:t>
      </w:r>
      <w:r>
        <w:rPr>
          <w:rFonts w:asciiTheme="majorBidi" w:hAnsiTheme="majorBidi" w:cstheme="majorBidi"/>
          <w:sz w:val="24"/>
          <w:szCs w:val="24"/>
          <w:vertAlign w:val="superscript"/>
          <w:rtl/>
        </w:rPr>
        <w:footnoteReference w:id="262"/>
      </w:r>
    </w:p>
    <w:p w14:paraId="3C40A02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إطار تبني الذكاء الاصطناعي، الذي حدد ركائز التبني المسؤول في المنظمات، ومنها تأسيس وحدة مختصة وبناء قدرات بشرية مؤهلة.</w:t>
      </w:r>
      <w:r>
        <w:rPr>
          <w:rFonts w:asciiTheme="majorBidi" w:hAnsiTheme="majorBidi" w:cstheme="majorBidi"/>
          <w:sz w:val="24"/>
          <w:szCs w:val="24"/>
          <w:vertAlign w:val="superscript"/>
          <w:rtl/>
        </w:rPr>
        <w:footnoteReference w:id="263"/>
      </w:r>
    </w:p>
    <w:p w14:paraId="164C0D1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الدليل الاسترشادي لتقويم مخاطر نقل البيانات الشخصية إلى خارج المملكة، المشار إليه آنفاً.</w:t>
      </w:r>
      <w:r>
        <w:rPr>
          <w:rFonts w:asciiTheme="majorBidi" w:hAnsiTheme="majorBidi" w:cstheme="majorBidi"/>
          <w:sz w:val="24"/>
          <w:szCs w:val="24"/>
          <w:vertAlign w:val="superscript"/>
          <w:rtl/>
        </w:rPr>
        <w:footnoteReference w:id="264"/>
      </w:r>
    </w:p>
    <w:p w14:paraId="57C47F6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4– وثيقة مبادئ الذكاء الاصطناعي التوليدي للجهات الحكومية، الصادرة في مايو 2025م، وهي أول وثيقة سعودية رسمية تخاطب الذكاء الاصطناعي التوليدي على وجه الخصوص – وهو صنف الأدوات الأوسع تداولاً في الممارسة القانونية محل هذه الدراسة. وتقوم على سبعة مبادئ إلزامية لاستخدام البيانات الحكومية في الأدوات التوليدية: النزاهة والإنصاف، والموثوقية والسلامة، والشفافية والقابلية للتفسير، والمساءلة والمسؤولية، والخصوصية والأمن، والإنسانية، والمنافع الاجتماعية والبيئية</w:t>
      </w:r>
      <w:r>
        <w:rPr>
          <w:rStyle w:val="af"/>
          <w:rFonts w:asciiTheme="majorBidi" w:hAnsiTheme="majorBidi" w:cstheme="majorBidi"/>
          <w:sz w:val="24"/>
          <w:szCs w:val="24"/>
          <w:rtl/>
        </w:rPr>
        <w:footnoteReference w:id="265"/>
      </w:r>
      <w:r>
        <w:rPr>
          <w:rFonts w:asciiTheme="majorBidi" w:hAnsiTheme="majorBidi" w:cstheme="majorBidi"/>
          <w:sz w:val="24"/>
          <w:szCs w:val="24"/>
          <w:rtl/>
        </w:rPr>
        <w:t>. ومن أبرز ما قررته: وجوب الامتناع عن استخدام الذكاء الاصطناعي التوليدي في اتخاذ القرارات الحاسمة المؤثرة على الأفراد، وإخضاع جميع النتائج لمراجعة بشرية تضمن سلامة المخرجات، وقصر الاستخدام على البيانات المصنفة «عامة» وحظر إدخال أي بيانات مصنفة «مقيد» فأعلى في هذه الأدوات، والتحقق من سياسات الخصوصية للأداة قبل اعتمادها. ومع أن الوثيقة موجهة إلى الجهات الحكومية، فإن مفهوم «مستخدمي البيانات الحكومية» فيها يشمل صراحة غير الموظفين ممن يتعاملون مع هذه البيانات أو يعالجونها – كالمقاولين وغيرهم –، وهو وصف يصدق على مكاتب المحاماة فيما تتلقاه من بيانات حكومية بحكم الترافع والتوكل</w:t>
      </w:r>
      <w:r>
        <w:rPr>
          <w:rStyle w:val="af"/>
          <w:rFonts w:asciiTheme="majorBidi" w:hAnsiTheme="majorBidi" w:cstheme="majorBidi"/>
          <w:sz w:val="24"/>
          <w:szCs w:val="24"/>
          <w:rtl/>
        </w:rPr>
        <w:footnoteReference w:id="266"/>
      </w:r>
      <w:r>
        <w:rPr>
          <w:rFonts w:asciiTheme="majorBidi" w:hAnsiTheme="majorBidi" w:cstheme="majorBidi"/>
          <w:sz w:val="24"/>
          <w:szCs w:val="24"/>
          <w:rtl/>
        </w:rPr>
        <w:t>؛ كما تصلح الوثيقة معياراً استرشادياً للعناية المهنية الواجبة يستأنس به عند تقدير مدى تبصّر المحامي في استخدام الأدوات التوليدية.</w:t>
      </w:r>
    </w:p>
    <w:p w14:paraId="7E9F3C4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غير أن القيمة التطبيقية لهذه الوثائق في القطاع القانوني تظل محدودة ما لم تُفصَّل في قواعد ملزمة تحدد آليات الالتزام وجهات الرقابة وجزاءات المخالفة؛ فالوثائق الأخلاقية الاسترشادية نقطة انطلاق ضرورية، لكنها لا تغني عن التشريع الصريح الملزم.</w:t>
      </w:r>
      <w:r>
        <w:rPr>
          <w:rFonts w:asciiTheme="majorBidi" w:hAnsiTheme="majorBidi" w:cstheme="majorBidi"/>
          <w:sz w:val="24"/>
          <w:szCs w:val="24"/>
          <w:vertAlign w:val="superscript"/>
          <w:rtl/>
        </w:rPr>
        <w:footnoteReference w:id="267"/>
      </w:r>
    </w:p>
    <w:p w14:paraId="3DD7E1C8"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سادساً: محصلة التقييم – فجوة ثلاثية المستويات</w:t>
      </w:r>
    </w:p>
    <w:p w14:paraId="1DFD90D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يخلص التحليل السابق إلى فجوة بين الاستخدام الفعلي والضوابط النظامية تتراكب في ثلاثة مستويات: فجوة معرفية، إذ يجهل كثير من المستخدمين الامتدادات النظامية لاستخدامهم؛ وفجوة تطبيقية، إذ لا توجد جهة تراقب فعلياً كيفية استخدام المكاتب لهذه الأدوات وتحاسب على مخالفة الضوابط؛ وفجوة تشريعية، إذ لم تُصمَّم الأنظمة القائمة أصلاً لهذه الظاهرة، فيبقى التفسير الموسع – على ضرورته المرحلية – قاصراً عن مقام النص الصريح. يضاف إلى ذلك إشكال سيادي خاص بالأدوات الأجنبية: فبيانات القضايا تعالج على خوادم خارج الولاية السعودية، ويخضع مزوِّدو الأدوات لتشريعات أجنبية قد تتعارض مع المتطلبات السعودية، ويبقى المزوِّد الأجنبي خارج متناول المساءلة الوطنية فيتركز عبء المسؤولية كله على المحامي المحلي. ويرى الباحث أن الحل التشريعي الملائم هو اشتراط اعتماد الأدوات المستخدمة في القطاع القانوني لدى سدايا، مع اشتراط استضافة البيانات داخل المملكة أو في نطاق ولايتها، على نحو ما اتجهت إليه اللائحة الأوروبية للذكاء الاصطناعي في الأنظمة عالية المخاطر.</w:t>
      </w:r>
      <w:r>
        <w:rPr>
          <w:rFonts w:asciiTheme="majorBidi" w:hAnsiTheme="majorBidi" w:cstheme="majorBidi"/>
          <w:sz w:val="24"/>
          <w:szCs w:val="24"/>
          <w:vertAlign w:val="superscript"/>
          <w:rtl/>
        </w:rPr>
        <w:footnoteReference w:id="268"/>
      </w:r>
    </w:p>
    <w:p w14:paraId="23AA8A7C" w14:textId="77777777" w:rsidR="00C61595" w:rsidRDefault="00000000">
      <w:pPr>
        <w:pStyle w:val="3"/>
        <w:spacing w:before="240" w:after="200" w:line="276" w:lineRule="auto"/>
        <w:jc w:val="center"/>
        <w:rPr>
          <w:rFonts w:asciiTheme="majorBidi" w:hAnsiTheme="majorBidi"/>
          <w:b/>
          <w:bCs/>
          <w:sz w:val="26"/>
          <w:szCs w:val="26"/>
          <w:rtl/>
        </w:rPr>
      </w:pPr>
      <w:bookmarkStart w:id="47" w:name="_Toc237071399"/>
      <w:r>
        <w:rPr>
          <w:rFonts w:asciiTheme="majorBidi" w:hAnsiTheme="majorBidi"/>
          <w:b/>
          <w:bCs/>
          <w:sz w:val="26"/>
          <w:szCs w:val="26"/>
          <w:rtl/>
        </w:rPr>
        <w:t>المطلب الرابع</w:t>
      </w:r>
      <w:bookmarkEnd w:id="47"/>
    </w:p>
    <w:p w14:paraId="608F6C9E" w14:textId="77777777" w:rsidR="00C61595" w:rsidRDefault="00000000">
      <w:pPr>
        <w:pStyle w:val="3"/>
        <w:spacing w:after="200" w:line="276" w:lineRule="auto"/>
        <w:jc w:val="center"/>
        <w:rPr>
          <w:rFonts w:asciiTheme="majorBidi" w:hAnsiTheme="majorBidi"/>
          <w:b/>
          <w:bCs/>
          <w:sz w:val="24"/>
          <w:szCs w:val="24"/>
          <w:rtl/>
        </w:rPr>
      </w:pPr>
      <w:bookmarkStart w:id="48" w:name="_Toc237071400"/>
      <w:r>
        <w:rPr>
          <w:rFonts w:asciiTheme="majorBidi" w:hAnsiTheme="majorBidi"/>
          <w:b/>
          <w:bCs/>
          <w:sz w:val="24"/>
          <w:szCs w:val="24"/>
          <w:rtl/>
        </w:rPr>
        <w:t>التكييف النظامي للعقود الذكية في البيئة السعودية</w:t>
      </w:r>
      <w:bookmarkEnd w:id="48"/>
    </w:p>
    <w:p w14:paraId="7946E4B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سبق تقرير أن العقود الذكية ليست من الذكاء الاصطناعي، غير أن التباسها به في الأدبيات والممارسة يقتضي وقفة مستقلة لتكييفها النظامي. فالعقد الذكي كود برمجي يثبت على سلسلة الكتل بنوداً تنفيذية ذاتية، متى تحقق الشرط المبرمج نُفِّذ الأمر المرتبط به تلقائياً دون تدخل بشري. ويفتقر بهذا التكوين إلى خاصيتين مستقرتين في النظرية العامة للعقد: المرونة التفسيرية، إذ ينفذ الكود حرفياً لا وفق النية المشتركة للمتعاقدين؛ وقابلية التعديل، إذ تجعل طبيعة سلسلة الكتل تعديل العقد بعد نشره بالغ التعقيد.</w:t>
      </w:r>
      <w:r>
        <w:rPr>
          <w:rFonts w:asciiTheme="majorBidi" w:hAnsiTheme="majorBidi" w:cstheme="majorBidi"/>
          <w:sz w:val="24"/>
          <w:szCs w:val="24"/>
          <w:vertAlign w:val="superscript"/>
          <w:rtl/>
        </w:rPr>
        <w:footnoteReference w:id="269"/>
      </w:r>
    </w:p>
    <w:p w14:paraId="2FC1B30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وتثير هذه الخصائص في البيئة السعودية ثلاث إشكاليات: (1) إثبات التراضي: إذ يقوم العقد في نظام المعاملات المدنية – اتساقاً مع الفقه الإسلامي – على الإيجاب والقبول وسلامة الإرادة من العيوب، ويُسأل عما إذا كان إقدام الشخص على تنفيذ الشرط المبرمج (كإيداع مبلغ في محفظة رقمية) قبولاً صحيحاً لبنود ربما لم يحط بها علماً. (2) أحكام العيوب والفسخ: إذ تصطدم آليات الفسخ والإبطال عند ثبوت الغلط أو التدليس أو الإكراه بطبيعة التنفيذ الذاتي غير القابل للعكس، مما يرجح الاستعاضة بالتعويض عن الفسخ العيني حين يتعذر. (3) تعارض الكود مع النص التعاقدي في العقود المزدوجة التي تجمع نصاً تقليدياً وكوداً تنفيذياً، وأيهما يقدَّم عند الاختلاف بوصفه المعبِّر عن إرادة المتعاقدين.</w:t>
      </w:r>
    </w:p>
    <w:p w14:paraId="44A516F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وقد تناولت دراسة سعودية متخصصة في الطبيعة القانونية للعقود الذكية هذه الإشكاليات بالتحليل، فبيّنت أن المنظم السعودي لم يعرّف العقود الذكية بمصطلحها، وإنما أشار إليها ضمنياً في المادة (الحادية عشرة) من نظام التعاملات الإلكترونية، وأن هذه العقود تقتصر على تنفيذ الشروط المبرمجة سلفاً دون قدرة على التفاعل مع الظروف المستجدة، مع تعذُّر تعديل العقد بعد إبرامه؛ وانتهت إلى التوصية بأن يتولى المنظم تعريف العقود الذكية تعريفاً دقيقاً، وبإقامة برامج تدريبية للمحامين والقضاة حول طبيعتها وتقنية سلسلة الكتل التي تقوم عليها</w:t>
      </w:r>
      <w:r>
        <w:rPr>
          <w:rStyle w:val="af"/>
          <w:rFonts w:asciiTheme="majorBidi" w:hAnsiTheme="majorBidi" w:cstheme="majorBidi"/>
          <w:sz w:val="24"/>
          <w:szCs w:val="24"/>
          <w:rtl/>
        </w:rPr>
        <w:footnoteReference w:id="270"/>
      </w:r>
      <w:r>
        <w:rPr>
          <w:rFonts w:asciiTheme="majorBidi" w:hAnsiTheme="majorBidi" w:cstheme="majorBidi"/>
          <w:sz w:val="24"/>
          <w:szCs w:val="24"/>
          <w:rtl/>
        </w:rPr>
        <w:t>.</w:t>
      </w:r>
    </w:p>
    <w:p w14:paraId="34FDC5F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وترى بعض الدراسات السعودية الحديثة أن المنظومة القانونية السعودية تملك بأدواتها القائمة – نظام المعاملات المدنية ونظام التعاملات الإلكترونية ونظام الإثبات – استيعاب ظاهرة العقود الذكية ضمن النظرية العامة للعقد، لكنها تفتقر إلى نصوص تفصيلية تعين شروط الاحتجاج بها ومعايير تسوية منازعاتها.</w:t>
      </w:r>
      <w:r>
        <w:rPr>
          <w:rStyle w:val="af"/>
          <w:rFonts w:asciiTheme="majorBidi" w:hAnsiTheme="majorBidi" w:cstheme="majorBidi"/>
          <w:sz w:val="24"/>
          <w:szCs w:val="24"/>
          <w:rtl/>
        </w:rPr>
        <w:footnoteReference w:id="271"/>
      </w:r>
      <w:r>
        <w:rPr>
          <w:rFonts w:asciiTheme="majorBidi" w:hAnsiTheme="majorBidi" w:cstheme="majorBidi"/>
          <w:sz w:val="24"/>
          <w:szCs w:val="24"/>
          <w:rtl/>
        </w:rPr>
        <w:t xml:space="preserve"> ويرى الباحث أن القضاء السعودي مرشح لمعالجة منازعات العقود الذكية في ضوء النظرية العامة للعقد في الفقه الإسلامي لا عبر مفاهيم مستوردة، وأن التمييز التشريعي بين العقود الذكية القائمة على سلسلة الكتل والنماذج اللغوية القائمة على التعلم الآلي ضرورة لا تقبل المساومة في أي تنظيم مقترح؛ فمعالجتهما بأحكام موحدة تفضي حتماً إلى اضطراب تشريعي وتطبيقي.</w:t>
      </w:r>
    </w:p>
    <w:p w14:paraId="06A09E4D" w14:textId="77777777" w:rsidR="00C61595" w:rsidRDefault="00000000">
      <w:pPr>
        <w:pStyle w:val="2"/>
        <w:spacing w:before="360" w:after="200" w:line="276" w:lineRule="auto"/>
        <w:jc w:val="center"/>
        <w:rPr>
          <w:rFonts w:asciiTheme="majorBidi" w:hAnsiTheme="majorBidi"/>
          <w:b/>
          <w:bCs/>
          <w:sz w:val="28"/>
          <w:szCs w:val="28"/>
          <w:rtl/>
        </w:rPr>
      </w:pPr>
      <w:bookmarkStart w:id="49" w:name="_Toc237071401"/>
      <w:r>
        <w:rPr>
          <w:rFonts w:asciiTheme="majorBidi" w:hAnsiTheme="majorBidi"/>
          <w:b/>
          <w:bCs/>
          <w:sz w:val="28"/>
          <w:szCs w:val="28"/>
          <w:rtl/>
        </w:rPr>
        <w:t>المبحث الثاني</w:t>
      </w:r>
      <w:bookmarkEnd w:id="49"/>
    </w:p>
    <w:p w14:paraId="5AE5B654" w14:textId="77777777" w:rsidR="00C61595" w:rsidRDefault="00000000">
      <w:pPr>
        <w:pStyle w:val="2"/>
        <w:spacing w:after="200" w:line="276" w:lineRule="auto"/>
        <w:jc w:val="center"/>
        <w:rPr>
          <w:rFonts w:asciiTheme="majorBidi" w:hAnsiTheme="majorBidi"/>
          <w:b/>
          <w:bCs/>
          <w:sz w:val="26"/>
          <w:szCs w:val="26"/>
          <w:rtl/>
        </w:rPr>
      </w:pPr>
      <w:bookmarkStart w:id="50" w:name="_Toc237071402"/>
      <w:r>
        <w:rPr>
          <w:rFonts w:asciiTheme="majorBidi" w:hAnsiTheme="majorBidi"/>
          <w:b/>
          <w:bCs/>
          <w:sz w:val="26"/>
          <w:szCs w:val="26"/>
          <w:rtl/>
        </w:rPr>
        <w:t>أنماط الاستخدام الفردي غير المنظم وتكييفه النظامي</w:t>
      </w:r>
      <w:bookmarkEnd w:id="50"/>
    </w:p>
    <w:p w14:paraId="3990A3D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يعالج هذا المبحث الجانب الأكثر إشكالية في موضوع الدراسة، وهو الاستخدام الفردي غير المنظم لتقنيات الذكاء الاصطناعي في السياق القانوني السعودي، ويقصد به توظيف شخص واحد – محامياً كان أو غير محامٍ – أداة ذكاء اصطناعي للحصول على خدمة ذات طابع قانوني خارج الأطر المؤسسية، وفي غياب ضوابط رقابية أو آليات مساءلة. وقد قُسِّم إلى أربعة مطالب: يرصد الأول صور هذا الاستخدام ومخاطره، ويتناول الثاني تكييفه النظامي في ضوء الأنظمة القائمة وتطبيقاته في ضوء القضاء المقارن، ويعالج الثالث توزيع المسؤولية بين أطراف منظومة الذكاء الاصطناعي القانوني، ويختم الرابع بالضبط الاتفاقي للاستخدام عبر شروط عقود العمل بمكاتب المحاماة.</w:t>
      </w:r>
    </w:p>
    <w:p w14:paraId="7CEB059C" w14:textId="77777777" w:rsidR="00C61595" w:rsidRDefault="00000000">
      <w:pPr>
        <w:pStyle w:val="3"/>
        <w:spacing w:before="240" w:after="200" w:line="276" w:lineRule="auto"/>
        <w:jc w:val="center"/>
        <w:rPr>
          <w:rFonts w:asciiTheme="majorBidi" w:hAnsiTheme="majorBidi"/>
          <w:b/>
          <w:bCs/>
          <w:sz w:val="26"/>
          <w:szCs w:val="26"/>
          <w:rtl/>
        </w:rPr>
      </w:pPr>
      <w:bookmarkStart w:id="51" w:name="_Toc237071403"/>
      <w:r>
        <w:rPr>
          <w:rFonts w:asciiTheme="majorBidi" w:hAnsiTheme="majorBidi"/>
          <w:b/>
          <w:bCs/>
          <w:sz w:val="26"/>
          <w:szCs w:val="26"/>
          <w:rtl/>
        </w:rPr>
        <w:t>المطلب الأول</w:t>
      </w:r>
      <w:bookmarkEnd w:id="51"/>
    </w:p>
    <w:p w14:paraId="5F4337F1" w14:textId="77777777" w:rsidR="00C61595" w:rsidRDefault="00000000">
      <w:pPr>
        <w:pStyle w:val="3"/>
        <w:spacing w:after="200" w:line="276" w:lineRule="auto"/>
        <w:jc w:val="center"/>
        <w:rPr>
          <w:rFonts w:asciiTheme="majorBidi" w:hAnsiTheme="majorBidi"/>
          <w:b/>
          <w:bCs/>
          <w:sz w:val="24"/>
          <w:szCs w:val="24"/>
          <w:rtl/>
        </w:rPr>
      </w:pPr>
      <w:bookmarkStart w:id="52" w:name="_Toc237071404"/>
      <w:r>
        <w:rPr>
          <w:rFonts w:asciiTheme="majorBidi" w:hAnsiTheme="majorBidi"/>
          <w:b/>
          <w:bCs/>
          <w:sz w:val="24"/>
          <w:szCs w:val="24"/>
          <w:rtl/>
        </w:rPr>
        <w:t>صور الاستخدام الفردي ومخاطره القانونية والمهنية</w:t>
      </w:r>
      <w:bookmarkEnd w:id="52"/>
    </w:p>
    <w:p w14:paraId="30C6059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صور الاستخدام الفردي</w:t>
      </w:r>
    </w:p>
    <w:p w14:paraId="37D096E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تتوزع صور الاستخدام الفردي في البيئة السعودية على ثلاثة نماذج: (1) المحامي المستخدم لأداة ذكية دون بروتوكول مؤسسي: وهو النموذج الأكثر شيوعاً، ومن صوره صياغة مذكرة دفاع بنموذج توليدي دون إفصاح للموكل أو للمكتب، وإدخال وقائع قضية حقيقية في نموذج مفتوح للحصول على رأي مساعد، والبحث عن سوابق </w:t>
      </w:r>
      <w:r>
        <w:rPr>
          <w:rFonts w:asciiTheme="majorBidi" w:hAnsiTheme="majorBidi" w:cstheme="majorBidi"/>
          <w:sz w:val="24"/>
          <w:szCs w:val="24"/>
          <w:rtl/>
        </w:rPr>
        <w:lastRenderedPageBreak/>
        <w:t>قضائية دون التحقق من صحة ما يولده النموذج من مراجع. (2) غير المتخصص الذي يستخدم الأداة بديلاً عن الاستشارة القانونية: وهو نموذج متزايد يطرح أسئلة تتعلق بمنازعات الأسرة وحقوق العمال والالتزامات العقدية، ويثير إشكالية تلقي معلومات لا تراعي خصوصية الحالة ولا مستجدات التشريع. (3) المنصات التجارية التي تقدم "استشارات ذكية" دون ترخيص: وهو النموذج الأشد خطورة من المنظور النظامي؛ إذ ظهرت في الفضاء الرقمي منصات تسوّق خدمات موصوفة بأنها استشارات قانونية مدعومة بالذكاء الاصطناعي دون أن يتضح سندها النظامي، وسيأتي تكييفها في المطلب الثاني.</w:t>
      </w:r>
    </w:p>
    <w:p w14:paraId="58399566"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المخاطر القانونية والمهنية</w:t>
      </w:r>
    </w:p>
    <w:p w14:paraId="34254B7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يرتب الاستخدام الفردي غير المنضبط ستة مخاطر جوهرية:</w:t>
      </w:r>
    </w:p>
    <w:p w14:paraId="15CCCCC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1– خطر الاستناد إلى معلومات مختلقة (الهلوسة): وقد انتقل هذا الخطر من الفرض النظري إلى القضاء الفعلي؛ ففي القضية المعروفة Mata v. Avianca أمام المحكمة الفيدرالية الجزئية للدائرة الجنوبية بنيويورك، قدّم محاميان مذكرة تضمنت أحكاماً قضائية مختلقة ولّدها نموذج ChatGPT مشفوعة باقتباسات وإحالات وهمية، فقضت المحكمة بتغريمهما خمسة آلاف دولار مع إلزامات تصحيحية، مقررة مبدأً بالغ الدلالة: أن استخدام أداة ذكاء اصطناعي موثوقة للمساعدة ليس محظوراً في ذاته، لكن قواعد المهنة تفرض على المحامي دور "حارس البوابة" في التحقق من صحة ما يقدمه للمحكمة.</w:t>
      </w:r>
      <w:r>
        <w:rPr>
          <w:rFonts w:asciiTheme="majorBidi" w:hAnsiTheme="majorBidi" w:cstheme="majorBidi"/>
          <w:sz w:val="24"/>
          <w:szCs w:val="24"/>
          <w:vertAlign w:val="superscript"/>
          <w:rtl/>
        </w:rPr>
        <w:footnoteReference w:id="272"/>
      </w:r>
      <w:r>
        <w:rPr>
          <w:rFonts w:asciiTheme="majorBidi" w:hAnsiTheme="majorBidi" w:cstheme="majorBidi"/>
          <w:sz w:val="24"/>
          <w:szCs w:val="24"/>
          <w:rtl/>
        </w:rPr>
        <w:t xml:space="preserve"> وتكرر المشهد أمام محكمة الاستئناف الفيدرالية للدائرة الثانية في قضية Park v. Kim التي أحالت المحكمة فيها المحامية إلى لجنة التظلمات المهنية لاستشهادها بحكم لا وجود له ولّده النموذج ذاته،</w:t>
      </w:r>
      <w:r>
        <w:rPr>
          <w:rFonts w:asciiTheme="majorBidi" w:hAnsiTheme="majorBidi" w:cstheme="majorBidi"/>
          <w:sz w:val="24"/>
          <w:szCs w:val="24"/>
          <w:vertAlign w:val="superscript"/>
          <w:rtl/>
        </w:rPr>
        <w:footnoteReference w:id="273"/>
      </w:r>
      <w:r>
        <w:rPr>
          <w:rFonts w:asciiTheme="majorBidi" w:hAnsiTheme="majorBidi" w:cstheme="majorBidi"/>
          <w:sz w:val="24"/>
          <w:szCs w:val="24"/>
          <w:rtl/>
        </w:rPr>
        <w:t xml:space="preserve"> وأمام المحكمة العليا لمقاطعة كولومبيا البريطانية في كندا في قضية Zhang v. Chen التي حمّلت المحامية شخصياً أتعاب الخصم عن الجهد المبذول في كشف سابقتين مختلقتين.</w:t>
      </w:r>
      <w:r>
        <w:rPr>
          <w:rFonts w:asciiTheme="majorBidi" w:hAnsiTheme="majorBidi" w:cstheme="majorBidi"/>
          <w:sz w:val="24"/>
          <w:szCs w:val="24"/>
          <w:vertAlign w:val="superscript"/>
          <w:rtl/>
        </w:rPr>
        <w:footnoteReference w:id="274"/>
      </w:r>
    </w:p>
    <w:p w14:paraId="6CD9B3A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وبإسقاط ذلك على الواقع السعودي: لو قدّم محامٍ لمحكمة سعودية مذكرة تستشهد بحكم قضائي لا وجود له أو تنسب إلى مادة نظامية نصاً لا تحمله، فإن ذلك يشكل إخلالاً بواجب مزاولة المهنة وفق الأصول المقرر في المادة (الحادية عشرة) من نظام المحاماة، ويعرضه للمساءلة التأديبية بمقتضى المادة (التاسعة والعشرين) منه، فضلاً عن المسؤولية المدنية تجاه موكله إن ترتب على ذلك ضرر، وذلك كله دون حاجة إلى نص خاص بالذكاء الاصطناعي؛ فالعبرة بالإخلال بالواجب المهني لا بالوسيلة.</w:t>
      </w:r>
    </w:p>
    <w:p w14:paraId="76CD1B8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2– خطر انتهاك السرية المهنية: على النحو المفصل في المطلب الثالث من المبحث الأول؛ إذ يشكل إدخال بيانات الموكل في نموذج مفتوح نقلاً لها إلى جهة ثالثة، بما يقع في دائرة الإفشاء المحظور بالمادة (الثالثة والعشرين) من نظام المحاماة، والنقل الخارجي المقيد بالمادة (التاسعة والعشرين) من نظام حماية البيانات الشخصية.</w:t>
      </w:r>
    </w:p>
    <w:p w14:paraId="35A6D80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3– خطر التحيز الخوارزمي: إذ تدرَّب النماذج الكبرى على بيانات تعكس في غالبها سياقات ثقافية وقانونية غربية، فتأتي مخرجاتها في المسائل المتشابكة مع الاعتبارات الشرعية والاجتماعية السعودية – كمسائل الأحوال الشخصية والمواريث والمعاملات المالية الإسلامية – أقل دقة وأكثر عرضة لإسقاط مفاهيم لا تعرفها المنظومة السعودية، وهو ما يوجب الحذر المضاعف في هذه الملفات.</w:t>
      </w:r>
    </w:p>
    <w:p w14:paraId="5CB9418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4– خطر تسرب البيانات: نتيجة ثغرات أمنية في بنية الأداة أو تخزين سجلات المحادثات دون تشفير كافٍ، إذ قد لا توفر بعض الأدوات الأجنبية ضمانات تشفير تفي بالمعايير التي يستلزمها نظام حماية البيانات الشخصية للبيانات القانونية الحساسة. وقد أكدت وثيقة سدايا للذكاء الاصطناعي التوليدي هذا الخطر تحديداً؛ إذ بيّنت أن خدمات الذكاء الاصطناعي التوليدي عادةً ما تخزّن البيانات التي يوفرها مستخدموها لتوسيع مجموعة بيانات تدريب النموذج، بما يتضمنه ذلك من خطر تسرب البيانات المصنفة عن غير قصد إلى مستخدمين آخرين</w:t>
      </w:r>
      <w:r>
        <w:rPr>
          <w:rStyle w:val="af"/>
          <w:rFonts w:asciiTheme="majorBidi" w:hAnsiTheme="majorBidi" w:cstheme="majorBidi"/>
          <w:sz w:val="24"/>
          <w:szCs w:val="24"/>
          <w:rtl/>
        </w:rPr>
        <w:footnoteReference w:id="275"/>
      </w:r>
      <w:r>
        <w:rPr>
          <w:rFonts w:asciiTheme="majorBidi" w:hAnsiTheme="majorBidi" w:cstheme="majorBidi"/>
          <w:sz w:val="24"/>
          <w:szCs w:val="24"/>
          <w:rtl/>
        </w:rPr>
        <w:t>.</w:t>
      </w:r>
    </w:p>
    <w:p w14:paraId="4A12D2F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5– خطر مزاولة المهنة دون ترخيص: وينشأ في النموذجين الثاني والثالث المتقدمين، حيث تقدَّم للأفراد خدمات ذات طابع استشاري قانوني من غير مرخص له، وسيأتي تفصيل تكييفه.</w:t>
      </w:r>
    </w:p>
    <w:p w14:paraId="6D4D504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6– خطر التزييف العميق (Deepfakes) في الأدلة: فقد نبّهت وثيقة سدايا التوليدية إلى أن استخدام المحتالين للتقنية في إنشاء محتوى مزيف شديد الواقعية يشكل تهديداً أكبر من مجرد الهلوسة؛ لما قد يوظَّف فيه من احتيال مالي أو إضرار بالسمعة. وينعكس هذا الخطر على العمل القانوني من جهة موثوقية الأدلة الرقمية التي يقدمها الخصوم أو يتلقاها المحامي من موكله؛ فالمحاكم السعودية تقبل المقاطع المصورة قرائنَ متى توافرت سلامة المقطع وخلوّه من التلاعب وتحديد مصدره وإمكان إخضاعه للفحص الفني عند الطعن في صحته، غير أن تسارع تقنيات التزييف يفرض – كما رصد تقرير أسبار – قدراً عالياً من الدقة في التحقق، في ظل سباق تقني محتدم بين أدوات التزييف ووسائل الكشف</w:t>
      </w:r>
      <w:r>
        <w:rPr>
          <w:rStyle w:val="af"/>
          <w:rFonts w:asciiTheme="majorBidi" w:hAnsiTheme="majorBidi" w:cstheme="majorBidi"/>
          <w:sz w:val="24"/>
          <w:szCs w:val="24"/>
          <w:rtl/>
        </w:rPr>
        <w:footnoteReference w:id="276"/>
      </w:r>
      <w:r>
        <w:rPr>
          <w:rFonts w:asciiTheme="majorBidi" w:hAnsiTheme="majorBidi" w:cstheme="majorBidi"/>
          <w:sz w:val="24"/>
          <w:szCs w:val="24"/>
          <w:rtl/>
        </w:rPr>
        <w:t>. وفي سياق متصل نقل التقرير تأكيد المحكمة العليا الإنجليزية – في قرار حديث صدر في قضيتين تتعلقان بالواجبات المهنية للمحامين – أن الذكاء الاصطناعي لا يمكن استخدامه بديلاً عن التحليل القانوني الشامل ولا للتحقق من السوابق القضائية التي تستند إليها الحجج</w:t>
      </w:r>
      <w:r>
        <w:rPr>
          <w:rStyle w:val="af"/>
          <w:rFonts w:asciiTheme="majorBidi" w:hAnsiTheme="majorBidi" w:cstheme="majorBidi"/>
          <w:sz w:val="24"/>
          <w:szCs w:val="24"/>
          <w:rtl/>
        </w:rPr>
        <w:footnoteReference w:id="277"/>
      </w:r>
      <w:r>
        <w:rPr>
          <w:rFonts w:asciiTheme="majorBidi" w:hAnsiTheme="majorBidi" w:cstheme="majorBidi"/>
          <w:sz w:val="24"/>
          <w:szCs w:val="24"/>
          <w:rtl/>
        </w:rPr>
        <w:t>؛ وهو المعنى ذاته الذي تواترت عليه التطبيقات القضائية المعروضة في هذا الفصل.</w:t>
      </w:r>
    </w:p>
    <w:p w14:paraId="4F345D8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غياب الرقابة وصعوبة الإثبات</w:t>
      </w:r>
    </w:p>
    <w:p w14:paraId="26F4809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تضاف إلى المخاطر الموضوعية إشكاليتان إجرائيتان: الأولى غياب الرقابة المسبقة؛ فبخلاف الممارسة البشرية للمهنة المشروطة بالترخيص والقيد في الجدول، لا توجد آلية لرصد الاستخدام الفردي للأدوات الذكية في السياق القانوني. والثانية صعوبة الإثبات عند الضرر؛ لغياب توثيق الاستخدام غالباً، وتعدد العوامل المساهمة في نتيجة القضية، وتعذر التمييز بين ما أنتجه المحامي بجهده وما استعان فيه بالأداة. ويرى الباحث أن المعالجة الناجعة تكون باشتراط الإفصاح الصريح عن استخدام الذكاء الاصطناعي في إعداد الوثائق القانونية، مقروناً بواجب التحقق من صحة المراجع، وهو ما يوصى بأن تتبناه الجهات المختصة دليلاً مهنياً ملزماً، على ما سيفصل في الفصل الرابع.</w:t>
      </w:r>
    </w:p>
    <w:p w14:paraId="0CF639CA" w14:textId="77777777" w:rsidR="00C61595" w:rsidRDefault="00000000">
      <w:pPr>
        <w:pStyle w:val="3"/>
        <w:spacing w:before="240" w:after="200" w:line="276" w:lineRule="auto"/>
        <w:jc w:val="center"/>
        <w:rPr>
          <w:rFonts w:asciiTheme="majorBidi" w:hAnsiTheme="majorBidi"/>
          <w:b/>
          <w:bCs/>
          <w:sz w:val="26"/>
          <w:szCs w:val="26"/>
          <w:rtl/>
        </w:rPr>
      </w:pPr>
      <w:bookmarkStart w:id="53" w:name="_Toc237071405"/>
      <w:r>
        <w:rPr>
          <w:rFonts w:asciiTheme="majorBidi" w:hAnsiTheme="majorBidi"/>
          <w:b/>
          <w:bCs/>
          <w:sz w:val="26"/>
          <w:szCs w:val="26"/>
          <w:rtl/>
        </w:rPr>
        <w:t>المطلب الثاني</w:t>
      </w:r>
      <w:bookmarkEnd w:id="53"/>
    </w:p>
    <w:p w14:paraId="5D13A371" w14:textId="77777777" w:rsidR="00C61595" w:rsidRDefault="00000000">
      <w:pPr>
        <w:pStyle w:val="3"/>
        <w:spacing w:after="200" w:line="276" w:lineRule="auto"/>
        <w:jc w:val="center"/>
        <w:rPr>
          <w:rFonts w:asciiTheme="majorBidi" w:hAnsiTheme="majorBidi"/>
          <w:b/>
          <w:bCs/>
          <w:sz w:val="24"/>
          <w:szCs w:val="24"/>
          <w:rtl/>
        </w:rPr>
      </w:pPr>
      <w:bookmarkStart w:id="54" w:name="_Toc237071406"/>
      <w:r>
        <w:rPr>
          <w:rFonts w:asciiTheme="majorBidi" w:hAnsiTheme="majorBidi"/>
          <w:b/>
          <w:bCs/>
          <w:sz w:val="24"/>
          <w:szCs w:val="24"/>
          <w:rtl/>
        </w:rPr>
        <w:t>التكييف النظامي لممارسات الاستخدام الفردي في ضوء الأنظمة القائمة</w:t>
      </w:r>
      <w:bookmarkEnd w:id="54"/>
    </w:p>
    <w:p w14:paraId="5572149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في ضوء نظام المحاماة – مسألة المزاولة دون ترخيص</w:t>
      </w:r>
    </w:p>
    <w:p w14:paraId="148BFBC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تعرِّف المادة (الأولى) من نظام المحاماة المهنة بأنها: "الترافع عن الغير أمام المحاكم وديوان المظالم واللجان المشكلة بموجب الأنظمة والأوامر والقرارات لنظر القضايا الداخلة في اختصاصها، ومزاولة الاستشارات الشرعية والنظامية"، وتقصر المادة (الثامنة عشرة) الترافع عن الغير على المقيدين في جدول المحامين الممارسين عدا استثناءات محددة، ويعاقب النظام في المادة (السابعة والثلاثين) من انتحل صفة المحامي أو مارس المهنة خلافاً لأحكامه بالسجن مدة لا تزيد على سنة وبالغرامة أو بإحداهما.</w:t>
      </w:r>
      <w:r>
        <w:rPr>
          <w:rFonts w:asciiTheme="majorBidi" w:hAnsiTheme="majorBidi" w:cstheme="majorBidi"/>
          <w:sz w:val="24"/>
          <w:szCs w:val="24"/>
          <w:vertAlign w:val="superscript"/>
          <w:rtl/>
        </w:rPr>
        <w:footnoteReference w:id="278"/>
      </w:r>
    </w:p>
    <w:p w14:paraId="5947F4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وتطبيق هذه النصوص على المنصات الذكية يستلزم التمييز بين ثلاثة مستويات: (أ) المعلومة القانونية العامة، وهي نقل معرفة قانونية مجردة غير مرتبطة بواقعة محددة، ولا تُعد مزاولة للمهنة. (ب) الاستشارة القانونية، وهي تحليل حالة شخص بعينه وإسداء رأي محدد فيها، وهذه من صميم "مزاولة الاستشارات الشرعية والنظامية" المنصوص عليها في المادة الأولى، فيستوجب تقديمها الترخيص. (ج) التمثيل أمام الجهات القضائية، ولا خلاف في حصره بالمرخص لهم. والمشكلة أن مخرجات الأدوات الذكية تتأرجح بين المستويين الأول والثاني، فيرى </w:t>
      </w:r>
      <w:r>
        <w:rPr>
          <w:rFonts w:asciiTheme="majorBidi" w:hAnsiTheme="majorBidi" w:cstheme="majorBidi"/>
          <w:sz w:val="24"/>
          <w:szCs w:val="24"/>
          <w:rtl/>
        </w:rPr>
        <w:lastRenderedPageBreak/>
        <w:t>الباحث أن العبرة بحقيقة الخدمة لا بوصفها: فالمنصة التي تتلقى وقائع حالة المستخدم وتخرج له رأياً مخصصاً بها تقدم استشارة قانونية تستوجب الترخيص، ويشكل تشغيلها دون ترخيص مزاولة غير مشروعة للمهنة يسأل عنها القائمون عليها، لا سيما أن اللائحة التنفيذية للنظام منعت حتى المستثنين من تقديم الاستشارات.</w:t>
      </w:r>
      <w:r>
        <w:rPr>
          <w:rFonts w:asciiTheme="majorBidi" w:hAnsiTheme="majorBidi" w:cstheme="majorBidi"/>
          <w:sz w:val="24"/>
          <w:szCs w:val="24"/>
          <w:vertAlign w:val="superscript"/>
          <w:rtl/>
        </w:rPr>
        <w:footnoteReference w:id="279"/>
      </w:r>
      <w:r>
        <w:rPr>
          <w:rFonts w:asciiTheme="majorBidi" w:hAnsiTheme="majorBidi" w:cstheme="majorBidi"/>
          <w:sz w:val="24"/>
          <w:szCs w:val="24"/>
          <w:rtl/>
        </w:rPr>
        <w:t xml:space="preserve"> أما المستخدم غير المتخصص فيَعسُر تحميله تبعة الضرر اللاحق به؛ إذ المتوقع منه تحري ترخيص مقدم الخدمة لا فحص مصداقية كل نص يتلقاه، مما يلقي عبء المواجهة على الجهات الرقابية بمنع هذه المنصات من العمل دون ترخيص.</w:t>
      </w:r>
    </w:p>
    <w:p w14:paraId="3883D30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في ضوء نظام مكافحة جرائم المعلوماتية</w:t>
      </w:r>
    </w:p>
    <w:p w14:paraId="344325A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تجرِّم المادة (الثالثة) من نظام مكافحة جرائم المعلوماتية الصادر بالمرسوم الملكي رقم (م/17) لعام 1428هـ جملة أفعال منها التنصت على ما هو مرسل عبر الشبكة المعلوماتية والتقاطه، والمساس بالحياة الخاصة، والتشهير بالآخرين وإلحاق الضرر بهم عبر وسائل تقنيات المعلومات.</w:t>
      </w:r>
      <w:r>
        <w:rPr>
          <w:rFonts w:asciiTheme="majorBidi" w:hAnsiTheme="majorBidi" w:cstheme="majorBidi"/>
          <w:sz w:val="24"/>
          <w:szCs w:val="24"/>
          <w:vertAlign w:val="superscript"/>
          <w:rtl/>
        </w:rPr>
        <w:footnoteReference w:id="280"/>
      </w:r>
      <w:r>
        <w:rPr>
          <w:rFonts w:asciiTheme="majorBidi" w:hAnsiTheme="majorBidi" w:cstheme="majorBidi"/>
          <w:sz w:val="24"/>
          <w:szCs w:val="24"/>
          <w:rtl/>
        </w:rPr>
        <w:t xml:space="preserve"> فإذا أفضى الاستخدام الفردي لأداة ذكية إلى كشف بيانات شخصية للغير دون رضاه – بإدخال بيانات طرف ثالث في نموذج مفتوح أو نشر مخرجات تتضمن معلوماته – أمكن أن يشكل ذلك جريمة معلوماتية وفق هذا النظام، إلى جانب الجزاءات المقررة في نظام حماية البيانات الشخصية. غير أن هذا النظام لا يغطي بطبيعته صورة تقديم الاستشارات دون ترخيص، فهذه يبقى محلها نظام المحاماة، ويكشف ذلك عن حدود التعويل على النصوص الجزائية القائمة في ضبط الظاهرة.</w:t>
      </w:r>
    </w:p>
    <w:p w14:paraId="0F096D44"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في ضوء نظام المعاملات المدنية</w:t>
      </w:r>
    </w:p>
    <w:p w14:paraId="77B1702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إذا أفضى الاستخدام الفردي إلى ضرر مدني – كأن يقدم محامٍ رأياً معيباً استند إلى مخرجات لم يتحقق منها – قامت مسؤوليته العقدية في مواجهة موكله على أساس الإخلال بالتزامات الوكالة، أو التقصيرية على أساس المادة (العشرين بعد المائة) فيما لا تربطه فيه بالمضرور رابطة عقدية. وتجدر الإشارة إلى أن توظيف الأداة لا ينقل المسؤولية إليها ولا إلى مطورها في مواجهة الموكل؛ فالأداة ليست وكيلاً ولا شخصاً نظامياً، وإنما وسيلة تحت إشراف المحامي وسلطته، وتبقى الذمة المهنية للمحامي هي محل المساءلة الأول.</w:t>
      </w:r>
    </w:p>
    <w:p w14:paraId="6D27F5E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المسؤولية التأديبية</w:t>
      </w:r>
    </w:p>
    <w:p w14:paraId="3110D30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تنص المادة (التاسعة والعشرون) من نظام المحاماة – بعد تعديلها – على أنه مع عدم الإخلال بدعوى التعويض، يعاقب كل مرخص له يخالف أحكام النظام أو لائحته أو يخل بواجباته المهنية أو يرتكب عملاً ينال من شرف المهنة بعقوبات تتدرج من الإنذار واللوم إلى الإيقاف عن المزاولة مدة لا تتجاوز ثلاث سنوات ثم شطب الاسم وإلغاء الترخيص، وتتولى توقيعها لجنة التأديب المشكلة بقرار من وزير العدل من قاضٍ وعضوين من أهل الخبرة وفق المادة (الحادية والثلاثين)، وتقبل قراراتها الطعن أمام ديوان المظالم.</w:t>
      </w:r>
      <w:r>
        <w:rPr>
          <w:rFonts w:asciiTheme="majorBidi" w:hAnsiTheme="majorBidi" w:cstheme="majorBidi"/>
          <w:sz w:val="24"/>
          <w:szCs w:val="24"/>
          <w:vertAlign w:val="superscript"/>
          <w:rtl/>
        </w:rPr>
        <w:footnoteReference w:id="281"/>
      </w:r>
      <w:r>
        <w:rPr>
          <w:rFonts w:asciiTheme="majorBidi" w:hAnsiTheme="majorBidi" w:cstheme="majorBidi"/>
          <w:sz w:val="24"/>
          <w:szCs w:val="24"/>
          <w:rtl/>
        </w:rPr>
        <w:t xml:space="preserve"> وبمقتضى هذه النصوص يمكن – حتى في ظل غياب نص خاص بالذكاء الاصطناعي – ملاحقة المحامي تأديبياً عن مخالفة واجب السرية، أو تقديم مراجع مختلقة للجهات القضائية، أو الإهمال الجسيم في مراجعة مخرجات الأداة؛ فكلها صور إخلال بواجبات مهنية قائمة. والقصور الراهن ليس في الأساس النظامي، بل في غياب سوابق تأديبية معلنة تقنن معيار "الاستخدام المعيب" وتشكل مرجعاً ضابطاً للممارسين، وفي حاجة قواعد السلوك المهني إلى تحديث يواكب المستجد التقني.</w:t>
      </w:r>
    </w:p>
    <w:p w14:paraId="6D7C1A4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تطبيقان عمليان في ضوء ما تقدم</w:t>
      </w:r>
    </w:p>
    <w:p w14:paraId="4D0980E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التطبيق الأول – المحامي والمذكرة المولَّدة: محامٍ أدخل وقائع قضية تجارية ومستندات موكله في نموذج توليدي عام، وقدم للمحكمة مذكرة أعدها النموذج بعد تعديلات يسيرة، ثم تبين أن المذكرة استشهدت بحكم استئنافي لا وجود له. فهذا قد جمع بين مخالفتين: إفشاء محتمل لسر الموكل ونقل خارجي لبياناته دون استيفاء الضوابط (المادة 23 من نظام المحاماة، والمادتان 5 و29 من نظام حماية البيانات الشخصية)، وإخلال بواجب التحقق ومزاولة </w:t>
      </w:r>
      <w:r>
        <w:rPr>
          <w:rFonts w:asciiTheme="majorBidi" w:hAnsiTheme="majorBidi" w:cstheme="majorBidi"/>
          <w:sz w:val="24"/>
          <w:szCs w:val="24"/>
          <w:rtl/>
        </w:rPr>
        <w:lastRenderedPageBreak/>
        <w:t>المهنة وفق الأصول (المادة 11 من نظام المحاماة)، فيتعرض للمساءلة التأديبية وللمسؤولية المدنية إن لحق موكله ضرر – وهو عين ما انتهى إليه القضاء المقارن في القضايا المشار إليها آنفاً.</w:t>
      </w:r>
    </w:p>
    <w:p w14:paraId="00A390EA"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التطبيق الثاني – المحامي المخالف لرفض موكله الصريح: محامٍ أفصح لموكله عن رغبته في الاستعانة بأداة ذكية فرفض الموكل صراحة معالجة بياناته بأي أداة خارجية، فاستمر المحامي في استخدامها دون علمه. فهذا أشد الصور جسامة؛ لأنه يجمع بين معالجة بيانات دون موافقة صاحبها بل برغم اعتراضه (المادة 5 من نظام حماية البيانات الشخصية)، وإخلال بأمانة الوكالة ومقتضى حسن النية، فيوجب المساءلة التأديبية ويخول الموكل إنهاء الوكالة والمطالبة بالتعويض عما يلحقه من ضرر.</w:t>
      </w:r>
    </w:p>
    <w:p w14:paraId="1DFB16CF" w14:textId="77777777" w:rsidR="00C61595" w:rsidRDefault="00000000">
      <w:pPr>
        <w:pStyle w:val="3"/>
        <w:spacing w:before="240" w:after="200" w:line="276" w:lineRule="auto"/>
        <w:jc w:val="center"/>
        <w:rPr>
          <w:rFonts w:asciiTheme="majorBidi" w:hAnsiTheme="majorBidi"/>
          <w:b/>
          <w:bCs/>
          <w:sz w:val="26"/>
          <w:szCs w:val="26"/>
          <w:rtl/>
        </w:rPr>
      </w:pPr>
      <w:bookmarkStart w:id="55" w:name="_Toc237071407"/>
      <w:r>
        <w:rPr>
          <w:rFonts w:asciiTheme="majorBidi" w:hAnsiTheme="majorBidi"/>
          <w:b/>
          <w:bCs/>
          <w:sz w:val="26"/>
          <w:szCs w:val="26"/>
          <w:rtl/>
        </w:rPr>
        <w:t>المطلب الثالث</w:t>
      </w:r>
      <w:bookmarkEnd w:id="55"/>
    </w:p>
    <w:p w14:paraId="44A6C6B6" w14:textId="77777777" w:rsidR="00C61595" w:rsidRDefault="00000000">
      <w:pPr>
        <w:pStyle w:val="3"/>
        <w:spacing w:after="200" w:line="276" w:lineRule="auto"/>
        <w:jc w:val="center"/>
        <w:rPr>
          <w:rFonts w:asciiTheme="majorBidi" w:hAnsiTheme="majorBidi"/>
          <w:b/>
          <w:bCs/>
          <w:sz w:val="24"/>
          <w:szCs w:val="24"/>
          <w:rtl/>
        </w:rPr>
      </w:pPr>
      <w:bookmarkStart w:id="56" w:name="_Toc237071408"/>
      <w:r>
        <w:rPr>
          <w:rFonts w:asciiTheme="majorBidi" w:hAnsiTheme="majorBidi"/>
          <w:b/>
          <w:bCs/>
          <w:sz w:val="24"/>
          <w:szCs w:val="24"/>
          <w:rtl/>
        </w:rPr>
        <w:t>توزيع المسؤولية بين أطراف منظومة الذكاء الاصطناعي القانوني</w:t>
      </w:r>
      <w:bookmarkEnd w:id="56"/>
    </w:p>
    <w:p w14:paraId="4D220C5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تُعد مسألة توزيع المسؤولية (Liability Allocation) في سلسلة أطراف المنظومة الذكية من أدق مسائل الفقه القانوني المقارن؛ لتعدد الأطراف وتفاوت قدرتهم على منع الضرر. ويميز الباحث بين خمسة أطراف، مبيناً الأساس النظامي لمساءلة كل منهم في البيئة السعودية:</w:t>
      </w:r>
    </w:p>
    <w:p w14:paraId="2E40746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أولاً: مطوِّر الأداة: وهو منتج النموذج، ويقع في الغالب خارج الولاية القضائية السعودية، فيتعذر عملياً مساءلته إلا عبر آليات التقاضي الدولي أو وفق شروط الاستخدام التعاقدية التي تتضمن عادة إعفاءات واسعة من المسؤولية. ويناقش الفقه المقارن إخضاعه لقواعد المسؤولية الموضوعية بوصف النموذج المعيب "منتجاً معيباً"، وهو اتجاه لم يجد بعد صداه في نصوص سعودية خاصة، ويرى الباحث أن معالجته التشريعية ينبغي أن تكون ضمن الإطار المقترح في الفصل الرابع.</w:t>
      </w:r>
    </w:p>
    <w:p w14:paraId="3137CD5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ويؤكد القضاء المقارن دقة هذا الموضع؛ فقد استبعدت محكمة النقض الفرنسية سنة 2013م مسؤولية شركة Google عن نتائج محرك البحث، تأسيساً على أن النتيجة العملية للبحث تلقائية بحتة في عملها وعشوائية في نتائجها، بما ينفي إسناد خطأ شخصي إلى المشغل</w:t>
      </w:r>
      <w:r>
        <w:rPr>
          <w:rStyle w:val="af"/>
          <w:rFonts w:asciiTheme="majorBidi" w:hAnsiTheme="majorBidi" w:cstheme="majorBidi"/>
          <w:sz w:val="24"/>
          <w:szCs w:val="24"/>
          <w:rtl/>
        </w:rPr>
        <w:footnoteReference w:id="282"/>
      </w:r>
      <w:r>
        <w:rPr>
          <w:rFonts w:asciiTheme="majorBidi" w:hAnsiTheme="majorBidi" w:cstheme="majorBidi"/>
          <w:sz w:val="24"/>
          <w:szCs w:val="24"/>
          <w:rtl/>
        </w:rPr>
        <w:t>. ويستخلص الباحث من ذلك أن إثبات خطأ المطوِّر في الأنظمة ذاتية التعلم عقبة حقيقية أمام المضرور، وهو ما يعزز الحاجة إلى قواعد إسناد خاصة لا تتوقف عند الخطأ الشخصي التقليدي.</w:t>
      </w:r>
    </w:p>
    <w:p w14:paraId="0DC92A8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وقد وصلت هذه الإشكالية إلى القضاء السعودي ذاته؛ إذ بدأت محكمة الرياض في أبريل 2026م نظر ما وُصف بأنه أول دعوى قضائية في المملكة تُقام في مواجهة نظام ذكاء اصطناعي، على خلفية تغريدة أنتجها نظام «غروك» (Grok) نسبت شخصين ظاهرين في مقطع متداول إلى اسمين محددين بما اعتُبر إساءة وتشهيراً بهما</w:t>
      </w:r>
      <w:r>
        <w:rPr>
          <w:rStyle w:val="af"/>
          <w:rFonts w:asciiTheme="majorBidi" w:hAnsiTheme="majorBidi" w:cstheme="majorBidi"/>
          <w:sz w:val="24"/>
          <w:szCs w:val="24"/>
          <w:rtl/>
        </w:rPr>
        <w:footnoteReference w:id="283"/>
      </w:r>
      <w:r>
        <w:rPr>
          <w:rFonts w:asciiTheme="majorBidi" w:hAnsiTheme="majorBidi" w:cstheme="majorBidi"/>
          <w:sz w:val="24"/>
          <w:szCs w:val="24"/>
          <w:rtl/>
        </w:rPr>
        <w:t>. والدعوى — وهي منظورة لم يُفصل فيها بعد — تختبر عملياً السؤال الجوهري لهذا المطلب: على من تقع تبعة أضرار مخرجات النظام الذكي، على المستخدم أم المشغّل أم المطوِّر؟ ويرى الباحث أن مجرد وصول هذه المنازعة إلى القضاء السعودي يؤكد أن معالجة توزيع المسؤولية لم تعد ترفاً نظرياً، وأن الحكم المنتظر فيها — أياً كان وجهه — سيشكل أول لبنة في الاجتهاد القضائي السعودي الخاص بأضرار الذكاء الاصطناعي.</w:t>
      </w:r>
    </w:p>
    <w:p w14:paraId="79BF0EA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ثانياً: مزوِّد الخدمة: وهو من يتيح الأداة للمستخدم النهائي عبر منصة أو تطبيق، ويسأل بحسب الأحوال وفق أحكام نظام التعاملات الإلكترونية والقواعد العامة، وتتحدد مسؤوليته بمدى شفافيته في الإفصاح عن حدود الأداة وقيودها.</w:t>
      </w:r>
    </w:p>
    <w:p w14:paraId="31A1F81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ثالثاً: مكتب المحاماة (الشركة المهنية): ومسؤوليته هيكلية تنشأ عن قصور السياسات والضوابط الداخلية، وتقوم في مواجهة الغير على أساس مسؤولية المتبوع عن تابعه (المادة 129 من نظام المعاملات المدنية) عن أخطاء محاميه وموظفيه أثناء تأدية العمل أو بسببه.</w:t>
      </w:r>
    </w:p>
    <w:p w14:paraId="2DB708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رابعاً: المحامي الفرد: وهو صاحب الالتزام المهني الأول؛ يقع عليه واجب التحقق من مخرجات الأداة قبل الاستناد إليها، وإعمال حكمه المهني في التقييم النهائي، ويسأل تأديبياً ومدنياً عن التقصير في ذلك. والمبدأ الحاكم هنا – وهو ما قررته المحاكم المقارنة صراحة – أن توظيف الأداة لا يلغي المسؤولية المهنية ولا ينقلها إلى الأداة.</w:t>
      </w:r>
    </w:p>
    <w:p w14:paraId="61C1C2A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خامساً: العميل (الموكل): وهو في الغالب مضرور لا مساهم، غير أن ثمة أحوالاً يتحمل فيها شطراً من التبعة، كأن يزود المحامي أو الأداة ببيانات مضللة، أو يصر على استخدام أداة بعينها رغم تحذير المحامي، فتُعمل عندئذ قواعد مساهمة المضرور في الضرر عند تقدير التعويض.</w:t>
      </w:r>
    </w:p>
    <w:p w14:paraId="61553065"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ويخلص الباحث إلى نموذج مقترح لتوزيع المسؤولية يقوم على معيارين متضافرين: طبيعة المساهمة في الضرر، والقدرة على منعه؛ فتتعاظم مسؤولية المطور عند العيوب الهيكلية المعلومة له المخفاة عن المستخدمين، ومسؤولية المكتب كلما اتسع استخدامه وقلّت رقابته، وتبقى مسؤولية المحامي الفرد الأساس في كل الأحوال لكونه الحلقة المهنية المباشرة، وتتحدد مسؤولية مزود الخدمة بمدى وفائه بواجب الإفصاح عن حدود الأداة.</w:t>
      </w:r>
    </w:p>
    <w:p w14:paraId="72DB50C1" w14:textId="77777777" w:rsidR="00C61595" w:rsidRDefault="00000000">
      <w:pPr>
        <w:pStyle w:val="3"/>
        <w:spacing w:before="240" w:after="200" w:line="276" w:lineRule="auto"/>
        <w:jc w:val="center"/>
        <w:rPr>
          <w:rFonts w:asciiTheme="majorBidi" w:hAnsiTheme="majorBidi"/>
          <w:b/>
          <w:bCs/>
          <w:sz w:val="26"/>
          <w:szCs w:val="26"/>
          <w:rtl/>
        </w:rPr>
      </w:pPr>
      <w:bookmarkStart w:id="57" w:name="_Toc237071409"/>
      <w:r>
        <w:rPr>
          <w:rFonts w:asciiTheme="majorBidi" w:hAnsiTheme="majorBidi"/>
          <w:b/>
          <w:bCs/>
          <w:sz w:val="26"/>
          <w:szCs w:val="26"/>
          <w:rtl/>
        </w:rPr>
        <w:t>المطلب الرابع</w:t>
      </w:r>
      <w:bookmarkEnd w:id="57"/>
    </w:p>
    <w:p w14:paraId="62B5F053" w14:textId="77777777" w:rsidR="00C61595" w:rsidRDefault="00000000">
      <w:pPr>
        <w:pStyle w:val="3"/>
        <w:spacing w:after="200" w:line="276" w:lineRule="auto"/>
        <w:jc w:val="center"/>
        <w:rPr>
          <w:rFonts w:asciiTheme="majorBidi" w:hAnsiTheme="majorBidi"/>
          <w:b/>
          <w:bCs/>
          <w:sz w:val="24"/>
          <w:szCs w:val="24"/>
          <w:rtl/>
        </w:rPr>
      </w:pPr>
      <w:bookmarkStart w:id="58" w:name="_Toc237071410"/>
      <w:r>
        <w:rPr>
          <w:rFonts w:asciiTheme="majorBidi" w:hAnsiTheme="majorBidi"/>
          <w:b/>
          <w:bCs/>
          <w:sz w:val="24"/>
          <w:szCs w:val="24"/>
          <w:rtl/>
        </w:rPr>
        <w:t>الضبط الاتفاقي لاستخدام الذكاء الاصطناعي: شرط عدم الاستعانة به في العمل القانوني الفني</w:t>
      </w:r>
      <w:bookmarkEnd w:id="58"/>
    </w:p>
    <w:p w14:paraId="78D195DD"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كشفت المطالب السابقة أن الاستخدام الفردي غير المنظم يجري في فراغ رقابي، وأن الأنظمة القائمة توفر أساساً للمساءلة اللاحقة أكثر مما توفر أدوات للضبط الوقائي. وفي ظل هذا الفراغ يُطرح في أوساط الممارسة تساؤل عملي وثيق الصلة بموضوع الدراسة: هل يجوز لمكتب المحاماة أن يضمّن عقد عمله مع المحامي أو المحامي المتدرب أو المستشار العامل تحت تبعيته وإشرافه شرطاً يقضي بعدم جواز الاستعانة بالذكاء الاصطناعي في الأعمال الفنية، كإعداد المذكرات والعقود والاستشارات وما ماثلها؟ وتثير هذه الصورة ثلاث مسائل متدرجة: مشروعية الشرط من حيث الأصل، وانضباط صياغته، وإمكان إثبات مخالفته. ومما يعزز وجاهة هذا المسلك الاتفاقي ابتداءً أن القائمة المرجعية الملحقة بوثيقة سدايا لمبادئ الذكاء الاصطناعي التوليدي أدرجت ضمن بنودها وضع معايير وضوابط لاستخدام أدوات الذكاء الاصطناعي التوليدي في العقود والتقيد بها</w:t>
      </w:r>
      <w:r>
        <w:rPr>
          <w:rStyle w:val="af"/>
          <w:rFonts w:asciiTheme="majorBidi" w:hAnsiTheme="majorBidi" w:cstheme="majorBidi"/>
          <w:sz w:val="24"/>
          <w:szCs w:val="24"/>
          <w:rtl/>
        </w:rPr>
        <w:footnoteReference w:id="284"/>
      </w:r>
      <w:r>
        <w:rPr>
          <w:rFonts w:asciiTheme="majorBidi" w:hAnsiTheme="majorBidi" w:cstheme="majorBidi"/>
          <w:sz w:val="24"/>
          <w:szCs w:val="24"/>
          <w:rtl/>
        </w:rPr>
        <w:t>.</w:t>
      </w:r>
    </w:p>
    <w:p w14:paraId="1231BAC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أولاً: مشروعية الشرط من حيث الأصل: الأصل في الشروط التعاقدية الصحة والجواز ما لم تخالف الشريعة الإسلامية أو النظام العام أو نصاً آمراً، وهو الراجح في الفقه الحنبلي الذي تدور عليه المعاملات في المملكة، وقد أخذ به المنظم السعودي صراحة في المادة (الرابعة والسبعين) من نظام المعاملات المدنية التي أجازت أن يتضمن العقد أي شرط يرتضيه المتعاقدان متى توافرت فيه الشروط المقررة لمحل الالتزام في الفقرة (1) من المادة (الثانية والسبعين): أن يكون ممكناً في ذاته، وألا يكون مخالفاً للنظام العام، وأن يكون معيناً أو قابلاً للتعيين</w:t>
      </w:r>
      <w:r>
        <w:rPr>
          <w:rStyle w:val="af"/>
          <w:rFonts w:asciiTheme="majorBidi" w:hAnsiTheme="majorBidi" w:cstheme="majorBidi"/>
          <w:sz w:val="24"/>
          <w:szCs w:val="24"/>
          <w:rtl/>
        </w:rPr>
        <w:footnoteReference w:id="285"/>
      </w:r>
      <w:r>
        <w:rPr>
          <w:rFonts w:asciiTheme="majorBidi" w:hAnsiTheme="majorBidi" w:cstheme="majorBidi"/>
          <w:sz w:val="24"/>
          <w:szCs w:val="24"/>
          <w:rtl/>
        </w:rPr>
        <w:t>. وبإنزال ذلك على الشرط محل البحث: فاشتراط عدم الاعتماد على الذكاء الاصطناعي في الأعمال الفنية ممكن في ذاته، ولا يصادم نظاماً عاماً – بل هو أقرب إلى مقاصد التنظيم المهني في ضمان بذل المحامي عنايته الشخصية فيما وُكل فيه –، فيكون جائزاً من حيث الأصل وملزِماً لمن قبله.</w:t>
      </w:r>
    </w:p>
    <w:p w14:paraId="1873E21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ثانياً: إشكالية ضبط مفهوم «الاستعانة»: غير أن جواز الشرط من حيث الأصل لا يحسم الإشكال العملي الأهم، وهو عموم عبارة «عدم الاستعانة بالذكاء الاصطناعي» واحتمالها معاني متفاوتة؛ فالاستعانة اليوم درجات: أدناها استعمال الأداة وسيلةَ بحث ووصول إلى الأنظمة واللوائح التنفيذية والأحكام والتعاميم – وهي وظيفة لا تختلف في جوهرها عن محركات البحث وقواعد البيانات القانونية التي لا يُتصور انصراف المنع إليها –، وأوسطها الاستعانة </w:t>
      </w:r>
      <w:r>
        <w:rPr>
          <w:rFonts w:asciiTheme="majorBidi" w:hAnsiTheme="majorBidi" w:cstheme="majorBidi"/>
          <w:sz w:val="24"/>
          <w:szCs w:val="24"/>
          <w:rtl/>
        </w:rPr>
        <w:lastRenderedPageBreak/>
        <w:t>في الأعمال المساعدة كترتيب الأفكار وضبط الصياغة اللغوية والنحوية وإعادة تنسيق النصوص وجمع المواد المتفرقة في موضع واحد، وأعلاها الاعتماد الفعلي على الأداة في إنتاج العمل القانوني ذاته: تنزيل النص النظامي على الواقعة، وتحليل الوقائع، واستخراج مواطن القوة والضعف، وبناء الدفوع، وصياغة الرأي القانوني. والفرق بين هذه الدرجات ظاهر، ولذلك كان تحديد معيار «الاستعانة» الممنوعة هو جوهر المسألة؛ فالشرط المطلق يحتمل أن ينصرف إلى ما لم يقصده المتعاقدان، ويفتح باب النزاع حول تفسيره وتطبيقه، مع ما تقرره المادة (الرابعة بعد المائة) من نظام المعاملات المدنية من أن الشك يفسَّر لمصلحة من يتحمل عبء الالتزام أو الشرط</w:t>
      </w:r>
      <w:r>
        <w:rPr>
          <w:rStyle w:val="af"/>
          <w:rFonts w:asciiTheme="majorBidi" w:hAnsiTheme="majorBidi" w:cstheme="majorBidi"/>
          <w:sz w:val="24"/>
          <w:szCs w:val="24"/>
          <w:rtl/>
        </w:rPr>
        <w:footnoteReference w:id="286"/>
      </w:r>
      <w:r>
        <w:rPr>
          <w:rFonts w:asciiTheme="majorBidi" w:hAnsiTheme="majorBidi" w:cstheme="majorBidi"/>
          <w:sz w:val="24"/>
          <w:szCs w:val="24"/>
          <w:rtl/>
        </w:rPr>
        <w:t>.</w:t>
      </w:r>
    </w:p>
    <w:p w14:paraId="5BC53A3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ثالثاً: إشكالية إثبات المخالفة: ولو سُلِّم بانضباط الصياغة، بقي سؤال الإثبات قائماً: كيف يثبت المكتب أن المحامي أو المتدرب استعان بالأداة في عمل فني؟ إن مجرد تشابه الأسلوب أو الصياغة لا يصلح بذاته دليلاً قاطعاً؛ وغاية ما يتاح للمكتب التمسك بالقرائن القضائية التي أجاز نظام الإثبات للمحكمة استنباطها – في الأحوال التي يجوز فيها الإثبات بالشهادة – مع الاستعانة بالوسائل العلمية في استنباطها</w:t>
      </w:r>
      <w:r>
        <w:rPr>
          <w:rStyle w:val="af"/>
          <w:rFonts w:asciiTheme="majorBidi" w:hAnsiTheme="majorBidi" w:cstheme="majorBidi"/>
          <w:sz w:val="24"/>
          <w:szCs w:val="24"/>
          <w:rtl/>
        </w:rPr>
        <w:footnoteReference w:id="287"/>
      </w:r>
      <w:r>
        <w:rPr>
          <w:rFonts w:asciiTheme="majorBidi" w:hAnsiTheme="majorBidi" w:cstheme="majorBidi"/>
          <w:sz w:val="24"/>
          <w:szCs w:val="24"/>
          <w:rtl/>
        </w:rPr>
        <w:t>، ومن ذلك ما قد تكشفه الأخطاء النوعية المميزة لمخرجات هذه الأدوات – كالاستشهاد بأحكام لا وجود لها على النحو الموثق في التطبيقات القضائية المعروضة في هذا الفصل – أو ما تثبته سجلات الاستخدام التقنية إن وُجدت. وهنا تظهر قيمة التوثيق الداخلي الذي توصي به وثيقة سدايا من قصر استخدام الأداة على الأشخاص المعنيين والاحتفاظ بسجلات مفصلة لاستخدام الموظف لها</w:t>
      </w:r>
      <w:r>
        <w:rPr>
          <w:rStyle w:val="af"/>
          <w:rFonts w:asciiTheme="majorBidi" w:hAnsiTheme="majorBidi" w:cstheme="majorBidi"/>
          <w:sz w:val="24"/>
          <w:szCs w:val="24"/>
          <w:rtl/>
        </w:rPr>
        <w:footnoteReference w:id="288"/>
      </w:r>
      <w:r>
        <w:rPr>
          <w:rFonts w:asciiTheme="majorBidi" w:hAnsiTheme="majorBidi" w:cstheme="majorBidi"/>
          <w:sz w:val="24"/>
          <w:szCs w:val="24"/>
          <w:rtl/>
        </w:rPr>
        <w:t>؛ فكلما كان الشرط عاماً غامضاً بلا آلية توثيق، ازدادت صعوبة إثبات مخالفته واتسع مجال النزاع حول تطبيقه.</w:t>
      </w:r>
    </w:p>
    <w:p w14:paraId="08C4306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رابعاً: تقدير الباحث وصياغة مقترحة: يخلص الباحث إلى أن الإشكال الحقيقي لا يكمن في مشروعية الشرط، وإنما في انضباط صياغته وإمكان إثبات مخالفته؛ وأن المنع المطلق يجافي – فوق ذلك – الحكمة في التعامل مع التقنية؛ فالتاريخ يشهد أن كل تقنية جديدة قوبلت في بدايتها بشيء من التوجس والمعارضة ثم لم تلبث أن غدت جزءاً من الممارسة اليومية، فليست المسألة قبول الذكاء الاصطناعي أو رفضه بإطلاق، وإنما تحديد نطاق استعماله وضبط حدوده باعتدال بعيداً عن الإفراط والتفريط. وعليه يقترح الباحث أن تصاغ هذه الشروط على النحو الآتي: حصر المنع في الأعمال الفنية القائمة على الاجتهاد الذهني مع التنصيص على أمثلتها صراحة (تحليل الوقائع، وبناء الدفوع، وصياغة الرأي القانوني، وتنزيل النصوص على الوقائع)؛ وإباحة الاستخدامات المساعدة (البحث، والترتيب، والتنسيق، والمراجعة اللغوية) بقيد المراجعة الشخصية للمخرج؛ وإيجاب الإفصاح الداخلي المسبق عن أي استخدام للأداة وتوثيقه في سجل يمسكه المكتب؛ وربط الجزاء التعاقدي بعدم التحقق من المخرجات لا بمجرد الاستخدام. ويعضد هذا الاتجاهَ ما استقر في التطبيقات القضائية المقارنة – من قضية Mata v. Avianca وما تلاها – من أن مناط المساءلة لم يكن استخدام الأداة في ذاته، وإنما تقديم عملٍ لم يتحقق منه صاحبه؛ فالذكاء الاصطناعي أداة مساعدة للمحامي لا بديل عنه، ويبقى الاجتهاد القانوني – وتحمل تبعاته المهنية والنظامية – من مسؤولية العقل الإنساني وحده.</w:t>
      </w:r>
    </w:p>
    <w:p w14:paraId="1C2E8795" w14:textId="77777777" w:rsidR="00C61595" w:rsidRDefault="00000000">
      <w:pPr>
        <w:pStyle w:val="2"/>
        <w:spacing w:before="360" w:after="200" w:line="276" w:lineRule="auto"/>
        <w:jc w:val="center"/>
        <w:rPr>
          <w:rFonts w:asciiTheme="majorBidi" w:hAnsiTheme="majorBidi"/>
          <w:b/>
          <w:bCs/>
          <w:sz w:val="28"/>
          <w:szCs w:val="28"/>
          <w:rtl/>
        </w:rPr>
      </w:pPr>
      <w:bookmarkStart w:id="59" w:name="_Toc237071411"/>
      <w:r>
        <w:rPr>
          <w:rFonts w:asciiTheme="majorBidi" w:hAnsiTheme="majorBidi"/>
          <w:b/>
          <w:bCs/>
          <w:sz w:val="28"/>
          <w:szCs w:val="28"/>
          <w:rtl/>
        </w:rPr>
        <w:t>المبحث الثالث</w:t>
      </w:r>
      <w:bookmarkEnd w:id="59"/>
    </w:p>
    <w:p w14:paraId="40142064" w14:textId="77777777" w:rsidR="00C61595" w:rsidRDefault="00000000">
      <w:pPr>
        <w:pStyle w:val="2"/>
        <w:spacing w:after="200" w:line="276" w:lineRule="auto"/>
        <w:jc w:val="center"/>
        <w:rPr>
          <w:rFonts w:asciiTheme="majorBidi" w:hAnsiTheme="majorBidi"/>
          <w:b/>
          <w:bCs/>
          <w:sz w:val="26"/>
          <w:szCs w:val="26"/>
          <w:rtl/>
        </w:rPr>
      </w:pPr>
      <w:bookmarkStart w:id="60" w:name="_Toc237071412"/>
      <w:r>
        <w:rPr>
          <w:rFonts w:asciiTheme="majorBidi" w:hAnsiTheme="majorBidi"/>
          <w:b/>
          <w:bCs/>
          <w:sz w:val="26"/>
          <w:szCs w:val="26"/>
          <w:rtl/>
        </w:rPr>
        <w:t>التنظيم المقارن والتحديات المستقبلية لتنظيم الذكاء الاصطناعي القانوني في المملكة</w:t>
      </w:r>
      <w:bookmarkEnd w:id="60"/>
    </w:p>
    <w:p w14:paraId="5F2B7E2F"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يستكمل هذا المبحث البناء التحليلي للفصل بقراءة مقارنة واستشرافية، وقد قُسِّم إلى ثلاثة مطالب: يعرض الأول للتجربة الإماراتية والنماذج التنظيمية المقارنة وما يستفاد منها، ويحلل الثاني المنظومة المؤسسية السعودية لحوكمة الذكاء الاصطناعي في القطاع القانوني ودور الهيئة السعودية للمحامين، ويتناول الثالث الضوابط الشرعية والتحديات الأخلاقية ومتطلبات التأهيل المهني.</w:t>
      </w:r>
    </w:p>
    <w:p w14:paraId="2294B375" w14:textId="77777777" w:rsidR="00C61595" w:rsidRDefault="00000000">
      <w:pPr>
        <w:pStyle w:val="3"/>
        <w:spacing w:before="240" w:after="200" w:line="276" w:lineRule="auto"/>
        <w:jc w:val="center"/>
        <w:rPr>
          <w:rFonts w:asciiTheme="majorBidi" w:hAnsiTheme="majorBidi"/>
          <w:b/>
          <w:bCs/>
          <w:sz w:val="26"/>
          <w:szCs w:val="26"/>
          <w:rtl/>
        </w:rPr>
      </w:pPr>
      <w:bookmarkStart w:id="61" w:name="_Toc237071413"/>
      <w:r>
        <w:rPr>
          <w:rFonts w:asciiTheme="majorBidi" w:hAnsiTheme="majorBidi"/>
          <w:b/>
          <w:bCs/>
          <w:sz w:val="26"/>
          <w:szCs w:val="26"/>
          <w:rtl/>
        </w:rPr>
        <w:lastRenderedPageBreak/>
        <w:t>المطلب الأول</w:t>
      </w:r>
      <w:bookmarkEnd w:id="61"/>
    </w:p>
    <w:p w14:paraId="3DB555F0" w14:textId="77777777" w:rsidR="00C61595" w:rsidRDefault="00000000">
      <w:pPr>
        <w:pStyle w:val="3"/>
        <w:spacing w:after="200" w:line="276" w:lineRule="auto"/>
        <w:jc w:val="center"/>
        <w:rPr>
          <w:rFonts w:asciiTheme="majorBidi" w:hAnsiTheme="majorBidi"/>
          <w:b/>
          <w:bCs/>
          <w:sz w:val="24"/>
          <w:szCs w:val="24"/>
          <w:rtl/>
        </w:rPr>
      </w:pPr>
      <w:bookmarkStart w:id="62" w:name="_Toc237071414"/>
      <w:r>
        <w:rPr>
          <w:rFonts w:asciiTheme="majorBidi" w:hAnsiTheme="majorBidi"/>
          <w:b/>
          <w:bCs/>
          <w:sz w:val="24"/>
          <w:szCs w:val="24"/>
          <w:rtl/>
        </w:rPr>
        <w:t>التجربة الإماراتية والنماذج التنظيمية المقارنة</w:t>
      </w:r>
      <w:bookmarkEnd w:id="62"/>
    </w:p>
    <w:p w14:paraId="70AEA822"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ملامح التجربة الإماراتية</w:t>
      </w:r>
    </w:p>
    <w:p w14:paraId="7775194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تكتسب التجربة الإماراتية أهميتها للدراسة من القواسم المشتركة مع البيئة السعودية: التشابه في المنظومة القانونية، والتقارب في استراتيجيات التحول الرقمي، ووحدة السياق الثقافي والاجتماعي. وتتحصل ملامحها – من الوقائع الموثقة – في الآتي: أطلقت دولة الإمارات عام 2017م استراتيجيتها الوطنية للذكاء الاصطناعي 2031، وكانت أول دولة تعيّن وزير دولة للذكاء الاصطناعي في العام نفسه، بما وفر لها مرجعية حكومية موحدة للملف.</w:t>
      </w:r>
      <w:r>
        <w:rPr>
          <w:rStyle w:val="af"/>
          <w:rFonts w:asciiTheme="majorBidi" w:hAnsiTheme="majorBidi" w:cstheme="majorBidi"/>
          <w:sz w:val="24"/>
          <w:szCs w:val="24"/>
          <w:rtl/>
        </w:rPr>
        <w:footnoteReference w:id="289"/>
      </w:r>
      <w:r>
        <w:rPr>
          <w:rFonts w:asciiTheme="majorBidi" w:hAnsiTheme="majorBidi" w:cstheme="majorBidi"/>
          <w:sz w:val="24"/>
          <w:szCs w:val="24"/>
          <w:rtl/>
        </w:rPr>
        <w:t xml:space="preserve"> ثم أصدرت المرسوم بقانون اتحادي رقم (45) لسنة 2021م بشأن حماية البيانات الشخصية، الذي عالج معالجة البيانات الحساسة وأنشأ مكتباً اتحادياً متخصصاً للرقابة على الالتزام بأحكامه.</w:t>
      </w:r>
      <w:r>
        <w:rPr>
          <w:rStyle w:val="af"/>
          <w:rFonts w:asciiTheme="majorBidi" w:hAnsiTheme="majorBidi" w:cstheme="majorBidi"/>
          <w:sz w:val="24"/>
          <w:szCs w:val="24"/>
          <w:rtl/>
        </w:rPr>
        <w:footnoteReference w:id="290"/>
      </w:r>
      <w:r>
        <w:rPr>
          <w:rFonts w:asciiTheme="majorBidi" w:hAnsiTheme="majorBidi" w:cstheme="majorBidi"/>
          <w:sz w:val="24"/>
          <w:szCs w:val="24"/>
          <w:rtl/>
        </w:rPr>
        <w:t xml:space="preserve"> كما تبنت أطراً استرشادية لحوكمة الذكاء الاصطناعي واستخدامه المسؤول، توّجتها عام 2024م بإصدار "ميثاق الإمارات لتطوير واستخدام الذكاء الاصطناعي" الذي أكد مبادئ الشفافية والمساءلة وسلامة البيانات.</w:t>
      </w:r>
      <w:r>
        <w:rPr>
          <w:rStyle w:val="af"/>
          <w:rFonts w:asciiTheme="majorBidi" w:hAnsiTheme="majorBidi" w:cstheme="majorBidi"/>
          <w:sz w:val="24"/>
          <w:szCs w:val="24"/>
          <w:rtl/>
        </w:rPr>
        <w:footnoteReference w:id="291"/>
      </w:r>
      <w:r>
        <w:rPr>
          <w:rFonts w:asciiTheme="majorBidi" w:hAnsiTheme="majorBidi" w:cstheme="majorBidi"/>
          <w:sz w:val="24"/>
          <w:szCs w:val="24"/>
          <w:rtl/>
        </w:rPr>
        <w:t xml:space="preserve"> وواكب ذلك توظيف متدرج للتقنية في مرافق العدالة ضمن خطط التحول الرقمي لوزارة العدل والدوائر القضائية المحلية، مع إبقاء سلطة الحكم بيد القاضي البشري.</w:t>
      </w:r>
      <w:r>
        <w:rPr>
          <w:rStyle w:val="af"/>
          <w:rFonts w:asciiTheme="majorBidi" w:hAnsiTheme="majorBidi" w:cstheme="majorBidi"/>
          <w:sz w:val="24"/>
          <w:szCs w:val="24"/>
          <w:rtl/>
        </w:rPr>
        <w:footnoteReference w:id="292"/>
      </w:r>
    </w:p>
    <w:p w14:paraId="2335B7E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وقد تنبهت الدراسات العربية المحكّمة إلى هذا المسار مبكراً؛ فأشارت بلال إلى أن اهتمام دولة الإمارات بهذه الأنظمة المتطورة تجسد في تعيين وزير دولة للذكاء الاصطناعي</w:t>
      </w:r>
      <w:r>
        <w:rPr>
          <w:rStyle w:val="af"/>
          <w:rFonts w:asciiTheme="majorBidi" w:hAnsiTheme="majorBidi" w:cstheme="majorBidi"/>
          <w:sz w:val="24"/>
          <w:szCs w:val="24"/>
          <w:rtl/>
        </w:rPr>
        <w:footnoteReference w:id="293"/>
      </w:r>
      <w:r>
        <w:rPr>
          <w:rFonts w:asciiTheme="majorBidi" w:hAnsiTheme="majorBidi" w:cstheme="majorBidi"/>
          <w:sz w:val="24"/>
          <w:szCs w:val="24"/>
          <w:rtl/>
        </w:rPr>
        <w:t>، كما رصد قاسم أن المشرّع الإماراتي واكب الظاهرة تشريعياً منذ وقت مبكر بإصدار قانون مكافحة الجرائم المعلوماتية رقم (2) لسنة 2006م وتعديله عام 2012م، معتبراً ذلك من مظاهر اتجاه الدولة نحو التقدم في توظيف الذكاء الاصطناعي في مواجهة الجرائم الإلكترونية</w:t>
      </w:r>
      <w:r>
        <w:rPr>
          <w:rStyle w:val="af"/>
          <w:rFonts w:asciiTheme="majorBidi" w:hAnsiTheme="majorBidi" w:cstheme="majorBidi"/>
          <w:sz w:val="24"/>
          <w:szCs w:val="24"/>
          <w:rtl/>
        </w:rPr>
        <w:footnoteReference w:id="294"/>
      </w:r>
      <w:r>
        <w:rPr>
          <w:rFonts w:asciiTheme="majorBidi" w:hAnsiTheme="majorBidi" w:cstheme="majorBidi"/>
          <w:sz w:val="24"/>
          <w:szCs w:val="24"/>
          <w:rtl/>
        </w:rPr>
        <w:t>.</w:t>
      </w:r>
    </w:p>
    <w:p w14:paraId="6257E5F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النماذج التنظيمية المقارنة الكبرى</w:t>
      </w:r>
    </w:p>
    <w:p w14:paraId="611D92C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يكشف الاستقراء المقارن عن ثلاثة توجهات تشريعية كبرى: (1) نموذج التنظيم المبني على المخاطر: وأوضح تجسيداته اللائحة الأوروبية للذكاء الاصطناعي الصادرة عام 2024م، التي صنفت الأنظمة الذكية بحسب خطورتها على الحقوق والحريات إلى محظورة، وعالية المخاطر – ومنها صراحة الأنظمة المستخدمة في إقامة العدل – ومحدودة المخاطر، ودنيا، مطبقة على كل فئة متطلبات متدرجة.</w:t>
      </w:r>
      <w:r>
        <w:rPr>
          <w:rFonts w:asciiTheme="majorBidi" w:hAnsiTheme="majorBidi" w:cstheme="majorBidi"/>
          <w:sz w:val="24"/>
          <w:szCs w:val="24"/>
          <w:vertAlign w:val="superscript"/>
          <w:rtl/>
        </w:rPr>
        <w:footnoteReference w:id="295"/>
      </w:r>
      <w:r>
        <w:rPr>
          <w:rFonts w:asciiTheme="majorBidi" w:hAnsiTheme="majorBidi" w:cstheme="majorBidi"/>
          <w:sz w:val="24"/>
          <w:szCs w:val="24"/>
          <w:rtl/>
        </w:rPr>
        <w:t xml:space="preserve"> (2) نموذج التنظيم الانتظاري: وهو السائد في معظم الدول العربية ومنها المملكة حالياً، ويؤجل التشريع الصريح حتى تتضح معالم التقنية، وميزته المرونة وعيبه تراكم الإشكاليات غير المعالجة. (3) نموذج التنظيم الاستباقي المتكامل: وهو الأقرب إلى ما تبنته الإمارات، ويجمع بين التشريع المبكر والسياسات التنفيذية والتوجيهات المهنية بالتزامن مع النشر التقني.</w:t>
      </w:r>
    </w:p>
    <w:p w14:paraId="46951E5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ويضاف إلى المستوى التشريعي مستوى التنظيم المهني الذاتي: فقد أصدرت اللجنة الدائمة لأخلاقيات المهنة باتحاد المحامين الأمريكي (ABA) في يوليو 2024م الرأي الرسمي رقم (512) بشأن أدوات الذكاء الاصطناعي التوليدي، مقرراً واجبات المحامي في الكفاءة التقنية، وسرية معلومات الموكل – ومنها الحصول على موافقة مستنيرة قبل إدخال أسراره في هذه الأدوات وعدم الاكتفاء بموافقة عامة في نموذج التوكيل – والصدق تجاه المحكمة، ومعقولية الأتعاب عن الوقت المستغرق في استخدامها،</w:t>
      </w:r>
      <w:r>
        <w:rPr>
          <w:rFonts w:asciiTheme="majorBidi" w:hAnsiTheme="majorBidi" w:cstheme="majorBidi"/>
          <w:sz w:val="24"/>
          <w:szCs w:val="24"/>
          <w:vertAlign w:val="superscript"/>
          <w:rtl/>
        </w:rPr>
        <w:footnoteReference w:id="296"/>
      </w:r>
      <w:r>
        <w:rPr>
          <w:rFonts w:asciiTheme="majorBidi" w:hAnsiTheme="majorBidi" w:cstheme="majorBidi"/>
          <w:sz w:val="24"/>
          <w:szCs w:val="24"/>
          <w:rtl/>
        </w:rPr>
        <w:t xml:space="preserve"> كما أصدرت نقابات وهيئات مهنية في ولايات </w:t>
      </w:r>
      <w:r>
        <w:rPr>
          <w:rFonts w:asciiTheme="majorBidi" w:hAnsiTheme="majorBidi" w:cstheme="majorBidi"/>
          <w:sz w:val="24"/>
          <w:szCs w:val="24"/>
          <w:rtl/>
        </w:rPr>
        <w:lastRenderedPageBreak/>
        <w:t>أمريكية وفي فرنسا وكندا وأستراليا وبريطانيا أدلة وآراء مماثلة. ويشكل هذا المسار – التوجيه المهني الملزم الصادر عن الجهة المهنية دون انتظار تشريع شامل – خياراً متاحاً للهيئة السعودية للمحامين، على ما سيأتي.</w:t>
      </w:r>
    </w:p>
    <w:p w14:paraId="61BA7421"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الدروس المستفادة للحالة السعودية</w:t>
      </w:r>
    </w:p>
    <w:p w14:paraId="4906057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تتحصل الدروس القابلة للاستثمار في أربعة: (1) المأسسة المبكرة: فتوحيد المرجعية الحكومية للملف قبل تفاقم الإشكاليات التطبيقية أتاح بناء إطار متماسك، ومقتضاه للمملكة الإسراع في إسناد ملف الذكاء الاصطناعي القانوني إلى مرجعية محددة. (2) التوازي بين النشر التقني والضبط التنظيمي: بدل السماح بالنشر أولاً ثم محاولة التنظيم لاحقاً. (3) التنظيم القائم على المخاطر: بتطبيق ضوابط أشد على الاستخدامات الأعلى خطراً دون إخضاع جميع التطبيقات لمستوى رقابي واحد، وهو الأنسب للموازنة بين الابتكار والضبط. (4) تمييز المسؤوليات: بتحديد التزامات كل طرف في المنظومة تحديداً يقطع دابر التنصل من المسؤولية.</w:t>
      </w:r>
    </w:p>
    <w:p w14:paraId="070D2451"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على أن استيعاب هذه الدروس لا يعني النقل الحرفي؛ إذ يلاحظ جانب من الفقه أن المملكة تتميز بمرجعية شرعية تستلزم ملاءمة أي تشريع للذكاء الاصطناعي مع أحكام الشريعة الإسلامية، مما يجعل التبني الحرفي لأي نموذج أجنبي أمراً يستوجب التكييف لا الاستنساخ.</w:t>
      </w:r>
      <w:r>
        <w:rPr>
          <w:rFonts w:asciiTheme="majorBidi" w:hAnsiTheme="majorBidi" w:cstheme="majorBidi"/>
          <w:sz w:val="24"/>
          <w:szCs w:val="24"/>
          <w:vertAlign w:val="superscript"/>
          <w:rtl/>
        </w:rPr>
        <w:footnoteReference w:id="297"/>
      </w:r>
      <w:r>
        <w:rPr>
          <w:rFonts w:asciiTheme="majorBidi" w:hAnsiTheme="majorBidi" w:cstheme="majorBidi"/>
          <w:sz w:val="24"/>
          <w:szCs w:val="24"/>
          <w:rtl/>
        </w:rPr>
        <w:t xml:space="preserve"> ويرى الباحث أن الأمثل للبيئة السعودية الجمع بين منهجية التوجه الاستباقي ومعيارية التنظيم المبني على المخاطر، وذلك عبر: (أ) إصدار تنظيم صريح للذكاء الاصطناعي في المهن القانونية خلال الأفق الزمني 1447–1449هـ يحدد فئات الاستخدام واشتراطات كل فئة، (ب) وإصدار دليل مهني ملزم من الهيئة السعودية للمحامين يسد الفراغ في المرحلة الانتقالية، (ج) والتمييز في الاشتراطات بحسب خطورة الاستخدام، فإعداد الوثائق القضائية يستلزم اشتراطات أعلى من المراسلات الإدارية، (د) واشتراط تسجيل الأدوات المستخدمة في القطاع القانوني لدى جهة مختصة تقدر درجة خطورتها. فمن ثمار الفقه الاستشرافي ألا يتأخر المشرع حتى تقع الفوضى ثم يسعى إلى إصلاحها.</w:t>
      </w:r>
    </w:p>
    <w:p w14:paraId="1E36E8BB" w14:textId="77777777" w:rsidR="00C61595" w:rsidRDefault="00000000">
      <w:pPr>
        <w:pStyle w:val="3"/>
        <w:spacing w:before="240" w:after="200" w:line="276" w:lineRule="auto"/>
        <w:jc w:val="center"/>
        <w:rPr>
          <w:rFonts w:asciiTheme="majorBidi" w:hAnsiTheme="majorBidi"/>
          <w:b/>
          <w:bCs/>
          <w:sz w:val="26"/>
          <w:szCs w:val="26"/>
          <w:rtl/>
        </w:rPr>
      </w:pPr>
      <w:bookmarkStart w:id="63" w:name="_Toc237071415"/>
      <w:r>
        <w:rPr>
          <w:rFonts w:asciiTheme="majorBidi" w:hAnsiTheme="majorBidi"/>
          <w:b/>
          <w:bCs/>
          <w:sz w:val="26"/>
          <w:szCs w:val="26"/>
          <w:rtl/>
        </w:rPr>
        <w:t>المطلب الثاني</w:t>
      </w:r>
      <w:bookmarkEnd w:id="63"/>
    </w:p>
    <w:p w14:paraId="3B8B1557" w14:textId="77777777" w:rsidR="00C61595" w:rsidRDefault="00000000">
      <w:pPr>
        <w:pStyle w:val="3"/>
        <w:spacing w:after="200" w:line="276" w:lineRule="auto"/>
        <w:jc w:val="center"/>
        <w:rPr>
          <w:rFonts w:asciiTheme="majorBidi" w:hAnsiTheme="majorBidi"/>
          <w:b/>
          <w:bCs/>
          <w:sz w:val="24"/>
          <w:szCs w:val="24"/>
          <w:rtl/>
        </w:rPr>
      </w:pPr>
      <w:bookmarkStart w:id="64" w:name="_Toc237071416"/>
      <w:r>
        <w:rPr>
          <w:rFonts w:asciiTheme="majorBidi" w:hAnsiTheme="majorBidi"/>
          <w:b/>
          <w:bCs/>
          <w:sz w:val="24"/>
          <w:szCs w:val="24"/>
          <w:rtl/>
        </w:rPr>
        <w:t>المنظومة المؤسسية السعودية لحوكمة الذكاء الاصطناعي في القطاع القانوني</w:t>
      </w:r>
      <w:bookmarkEnd w:id="64"/>
    </w:p>
    <w:p w14:paraId="61BE886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الجهات المختصة وحدود اختصاصها</w:t>
      </w:r>
    </w:p>
    <w:p w14:paraId="6584343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يقصد بحوكمة الذكاء الاصطناعي هنا الأطر القانونية والتنظيمية والجهات المؤسسية المشرفة على تطويره واستخدامه. وتتشكل المنظومة السعودية ذات الصلة بالقطاع القانوني من أربع جهات تتقاطع اختصاصاتها: (1) سدايا: وهي الجهة المختصة بشؤون البيانات والذكاء الاصطناعي بموجب ترتيباتها التنظيمية، وتمارس اختصاصها عبر الاستراتيجيات والوثائق الاسترشادية والإشراف على تنفيذ نظام حماية البيانات الشخصية؛ غير أن اختصاصها عام غير موجه للقطاع القانوني بنص خاص، ويفتقر تطبيق متطلباتها على مكاتب المحاماة إلى آلية رقابية تنفيذية. (2) وزارة العدل: وهي الأقرب إلى الواقع التطبيقي بحكم إشرافها على مرافق العدالة وبنيتها الرقمية عبر منصة ناجز، وتتولى – عبر الإدارة العامة للمحاماة ولجنة قيد وقبول المحامين ولجنة التأديب – الترخيص والرقابة والتأديب في المهنة؛</w:t>
      </w:r>
      <w:r>
        <w:rPr>
          <w:rFonts w:asciiTheme="majorBidi" w:hAnsiTheme="majorBidi" w:cstheme="majorBidi"/>
          <w:sz w:val="24"/>
          <w:szCs w:val="24"/>
          <w:vertAlign w:val="superscript"/>
          <w:rtl/>
        </w:rPr>
        <w:footnoteReference w:id="298"/>
      </w:r>
      <w:r>
        <w:rPr>
          <w:rFonts w:asciiTheme="majorBidi" w:hAnsiTheme="majorBidi" w:cstheme="majorBidi"/>
          <w:sz w:val="24"/>
          <w:szCs w:val="24"/>
          <w:rtl/>
        </w:rPr>
        <w:t xml:space="preserve"> لكن رقابتها لا تمتد إلى آليات العمل الداخلية للمكاتب. (3) الهيئة السعودية للمحامين: وهي الجهة المهنية الممثلة للمحامين، وقد جعل النظام – بعد تعديل 1443هـ – العضوية الأساسية فيها إلزامية لكل مرخص له خلال تسعين يوماً من حصوله على الرخصة،</w:t>
      </w:r>
      <w:r>
        <w:rPr>
          <w:rFonts w:asciiTheme="majorBidi" w:hAnsiTheme="majorBidi" w:cstheme="majorBidi"/>
          <w:sz w:val="24"/>
          <w:szCs w:val="24"/>
          <w:vertAlign w:val="superscript"/>
          <w:rtl/>
        </w:rPr>
        <w:footnoteReference w:id="299"/>
      </w:r>
      <w:r>
        <w:rPr>
          <w:rFonts w:asciiTheme="majorBidi" w:hAnsiTheme="majorBidi" w:cstheme="majorBidi"/>
          <w:sz w:val="24"/>
          <w:szCs w:val="24"/>
          <w:rtl/>
        </w:rPr>
        <w:t xml:space="preserve"> وتملك من أدوات التنظيم المهني إصدار الأدلة الإرشادية وبرامج التطوير المهني المستمر واقتراح تطوير التشريعات المهنية؛ لكنها ليست جهة التأديب، وتعمل في ملف الذكاء الاصطناعي دون توجيه تشريعي يحدد صلاحياتها فيه. (4) الجهات القضائية: وتضطلع بدور تفسيري جوهري في تطبيق الأنظمة القائمة على المستجدات، وأحكامها المقبلة في منازعات الذكاء الاصطناعي </w:t>
      </w:r>
      <w:r>
        <w:rPr>
          <w:rFonts w:asciiTheme="majorBidi" w:hAnsiTheme="majorBidi" w:cstheme="majorBidi"/>
          <w:sz w:val="24"/>
          <w:szCs w:val="24"/>
          <w:rtl/>
        </w:rPr>
        <w:lastRenderedPageBreak/>
        <w:t>ستشكل بمجموعها اجتهاداً قضائياً يسهم في ضبط الظاهرة، وإن كانت السوابق السعودية المعلنة في هذا الملف تكاد تكون منعدمة حتى الآن.</w:t>
      </w:r>
    </w:p>
    <w:p w14:paraId="49317F24"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وقد بدأ هذا التنسيق يتخذ صيغة مؤسسية معلنة؛ فقد بحث مركز ناجز للخدمات العدلية مع الهيئة السعودية للبيانات والذكاء الاصطناعي (سدايا)، في لقاء رسمي عُقد في 10/3/1447هـ (سبتمبر 2025م)، تعزيز استخدامات الذكاء الاصطناعي في الخدمات العدلية والقانونية، بما يشمل تسريع الإجراءات القضائية وتحليل البيانات القانونية وتطوير أدوات الدعم الذكي</w:t>
      </w:r>
      <w:r>
        <w:rPr>
          <w:rStyle w:val="af"/>
          <w:rFonts w:asciiTheme="majorBidi" w:hAnsiTheme="majorBidi" w:cstheme="majorBidi"/>
          <w:sz w:val="24"/>
          <w:szCs w:val="24"/>
          <w:rtl/>
        </w:rPr>
        <w:footnoteReference w:id="300"/>
      </w:r>
      <w:r>
        <w:rPr>
          <w:rFonts w:asciiTheme="majorBidi" w:hAnsiTheme="majorBidi" w:cstheme="majorBidi"/>
          <w:sz w:val="24"/>
          <w:szCs w:val="24"/>
          <w:rtl/>
        </w:rPr>
        <w:t>. ويرى الباحث أن هذا المسار يؤكد أن التعاون بين الجهتين هو المدخل الطبيعي لحوكمة الذكاء الاصطناعي في القطاع العدلي، وأن مأسسته في إطار دائم أجدى من بقائه لقاءات ظرفية.</w:t>
      </w:r>
    </w:p>
    <w:p w14:paraId="1BD4A09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ويرى الباحث أن هذا الهيكل يفتقر إلى تنسيق رسمي يوحد الرؤية ويوزع المهام، والأمثل إنشاء لجنة وطنية مشتركة لحوكمة الذكاء الاصطناعي في القطاع العدلي تضم ممثلي الجهات الأربع مع خبراء التقنية والشريعة، تتولى وضع السياسات وإعداد التشريعات المقترحة وتنسيق التطبيق.</w:t>
      </w:r>
    </w:p>
    <w:p w14:paraId="47217C93"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الدور المتاح للهيئة السعودية للمحامين في المرحلة الراهنة</w:t>
      </w:r>
    </w:p>
    <w:p w14:paraId="6AB4E45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حتى قبل صدور تشريع خاص، تملك المنظومة المهنية أدوات قابلة للتفعيل: (1) على مستوى التوجيه: إصدار الهيئة – بالتنسيق مع وزارة العدل – دليلاً مهنياً لاستخدام الذكاء الاصطناعي يحدد الاستخدامات الجائزة والمحظورة، ويشترط الإفصاح للموكل، ويوجب مراجعة بشرية مؤهلة لكل مخرج قبل تقديمه لجهة قضائية، على غرار الرأي الرسمي رقم (512) لاتحاد المحامين الأمريكي والأدلة المهنية المقارنة. (2) على مستوى التأهيل: تضمين برامج التطوير المهني المستمر وحدات إلزامية في أخلاقيات التقنية القانونية وحدود الأدوات الذكية وآليات التحقق من مخرجاتها. (3) على مستوى الملاحقة: تفعيل الإحالة إلى لجنة التأديب في وقائع الإخلال بالواجبات المهنية المرتبطة بالاستخدام المعيب، بما ينشئ سوابق تأديبية منشورة تضبط المعيار. (4) على مستوى الشراكة: التعاون مع سدايا في وضع اشتراطات اعتماد الأدوات المستخدمة في القطاع القانوني، جمعاً بين الخبرة التقنية والمعرفة المهنية.</w:t>
      </w:r>
    </w:p>
    <w:p w14:paraId="69BB450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ثالثاً: البنية الداخلية المقترحة لمكاتب المحاماة في ضوء نموذج سدايا: لا تكتمل المنظومة المؤسسية بالجهات الخارجية وحدها؛ فقد رسمت وثيقة سدايا التوليدية نموذجاً داخلياً لتوزيع الأدوار في الجهة المستخدمة للأدوات التوليدية: مكتبٌ لإدارة البيانات يتولى الموافقة على الأدوات بعد مراجعة سياسات الخصوصية والإفصاح ومشاركة البيانات والتواصل مع الخبراء القانونيين، ومستخدمون يلتزمون منهجية التفكير النقدي والإبلاغ عن الأخطاء والتحيزات والمحتوى غير اللائق، وجهةٌ تضع سياسات ومبادئ توجيهية واضحة للاستخدام المسؤول وتعطي الأولوية للشفافية وتثقيف المستخدم</w:t>
      </w:r>
      <w:r>
        <w:rPr>
          <w:rStyle w:val="af"/>
          <w:rFonts w:asciiTheme="majorBidi" w:hAnsiTheme="majorBidi" w:cstheme="majorBidi"/>
          <w:sz w:val="24"/>
          <w:szCs w:val="24"/>
          <w:rtl/>
        </w:rPr>
        <w:footnoteReference w:id="301"/>
      </w:r>
      <w:r>
        <w:rPr>
          <w:rFonts w:asciiTheme="majorBidi" w:hAnsiTheme="majorBidi" w:cstheme="majorBidi"/>
          <w:sz w:val="24"/>
          <w:szCs w:val="24"/>
          <w:rtl/>
        </w:rPr>
        <w:t>. ويرى الباحث أن هذا التوزيع قابل للمحاكاة داخل مكتب المحاماة متوسط الحجم فما فوق: بإسناد وظيفة «مسؤول أدوات الذكاء الاصطناعي» إلى شريك أو محامٍ متمرس يتولى اعتماد الأدوات ومراجعة سياساتها، وإلزام العاملين بقنوات إبلاغ داخلية عن الأخطاء، وتبني سياسة مكتوبة على النحو المفصل في التوصيات المرحلية آخر هذا الفصل.</w:t>
      </w:r>
    </w:p>
    <w:p w14:paraId="38A82496" w14:textId="77777777" w:rsidR="00C61595" w:rsidRDefault="00000000">
      <w:pPr>
        <w:pStyle w:val="3"/>
        <w:spacing w:before="240" w:after="200" w:line="276" w:lineRule="auto"/>
        <w:jc w:val="center"/>
        <w:rPr>
          <w:rFonts w:asciiTheme="majorBidi" w:hAnsiTheme="majorBidi"/>
          <w:b/>
          <w:bCs/>
          <w:sz w:val="26"/>
          <w:szCs w:val="26"/>
          <w:rtl/>
        </w:rPr>
      </w:pPr>
      <w:bookmarkStart w:id="65" w:name="_Toc237071417"/>
      <w:r>
        <w:rPr>
          <w:rFonts w:asciiTheme="majorBidi" w:hAnsiTheme="majorBidi"/>
          <w:b/>
          <w:bCs/>
          <w:sz w:val="26"/>
          <w:szCs w:val="26"/>
          <w:rtl/>
        </w:rPr>
        <w:t>المطلب الثالث</w:t>
      </w:r>
      <w:bookmarkEnd w:id="65"/>
    </w:p>
    <w:p w14:paraId="25905F91" w14:textId="77777777" w:rsidR="00C61595" w:rsidRDefault="00000000">
      <w:pPr>
        <w:pStyle w:val="3"/>
        <w:spacing w:after="200" w:line="276" w:lineRule="auto"/>
        <w:jc w:val="center"/>
        <w:rPr>
          <w:rFonts w:asciiTheme="majorBidi" w:hAnsiTheme="majorBidi"/>
          <w:b/>
          <w:bCs/>
          <w:sz w:val="24"/>
          <w:szCs w:val="24"/>
          <w:rtl/>
        </w:rPr>
      </w:pPr>
      <w:bookmarkStart w:id="66" w:name="_Toc237071418"/>
      <w:r>
        <w:rPr>
          <w:rFonts w:asciiTheme="majorBidi" w:hAnsiTheme="majorBidi"/>
          <w:b/>
          <w:bCs/>
          <w:sz w:val="24"/>
          <w:szCs w:val="24"/>
          <w:rtl/>
        </w:rPr>
        <w:t>الضوابط الشرعية والتحديات الأخلاقية ومتطلبات التأهيل المهني</w:t>
      </w:r>
      <w:bookmarkEnd w:id="66"/>
    </w:p>
    <w:p w14:paraId="2EAF05A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أولاً: ضوابط توظيف الذكاء الاصطناعي في المجال القانوني في ضوء الفقه الإسلامي</w:t>
      </w:r>
    </w:p>
    <w:p w14:paraId="0B79D368"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لما كانت المنظومة السعودية تستمد مرجعيتها من الشريعة الإسلامية، فإن استحضار الموقف الفقهي ضرورة منهجية تكمل التحليل النظامي، ويؤصَّل للمسألة من خلال خمسة مبادئ: (1) الأصل في الأشياء والوسائل الإباحة ما لم يدل دليل على المنع؛ فالأصل جواز الاستعانة بهذه الأدوات، وتنصبّ الدراسة على الضوابط لا على إثبات الإباحة ابتداءً. (2) قاعدة درء المفاسد مقدم على جلب المصالح؛ فتوازن مصالح رفع الكفاءة وخفض الكلفة بمفاسد تهديد السرية والخطأ والتحيز، فإذا ترجحت المفسدة أو ارتفع خطر وقوعها وجب تقييد الاستخدام بالضوابط الكافية. (3) قاعدة لا ضرر ولا ضرار؛ فلا يحل للمحامي استخدام أداة يعلم – أو كان في مقدوره أن يعلم – أنها تنتج معلومات غير موثوقة على نحو يضر بموكله أو بخصمه أو بسير العدالة. (4) اشتراط الأمانة والكفاءة في الوكالة؛ فالوكيل ملزم بالقيام بما وُكِّل فيه على وجه الإتقان المعتاد، ومقتضاه توظيف الأدوات المتاحة بما يحقق مصلحة الموكل والامتناع عما يهددها. (5) واجب البيان والإفصاح؛ فإخفاء المحامي عن موكله اعتماده على أداة ذكية في معالجة ملفه – وهو ما لو علمه الموكل لرفضه – ينافي مقتضى الأمانة في عقد الوكالة. ويلفت الباحث إلى أن التأصيل الفقهي الجماعي للمسألة ما يزال في طوره الأول، ولم تصدر فيه بعد قرارات من المجامع الفقهية الكبرى، مما يستدعي إشراك أهل العلم الشرعي في صياغة أي تنظيم مقترح.</w:t>
      </w:r>
    </w:p>
    <w:p w14:paraId="24453ED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وتُعد دراسة الجلعود أوسع تأصيل فقهي سعودي منشور لهذه المسائل؛ فقد انتهت إلى عدم جواز تولي النظام الذكي القضاءَ استقلالاً لعدم تحقق شروط القاضي، مع جواز استعانة القاضي به تخريجاً على استشارته لغيره من أهل العلم، وإلى أن قبول البينة عبر الأنظمة الذكية هو الموافق لمقاصد الشريعة وأن قبول الدليل الرقمي عائد إلى سلطة القاضي التقديرية، وأن الأنظمة الذكية لا تُقبل طرفاً في الدعوى إذ لا أهلية لها ولا ذمة مالية مستقلة</w:t>
      </w:r>
      <w:r>
        <w:rPr>
          <w:rStyle w:val="af"/>
          <w:rFonts w:asciiTheme="majorBidi" w:hAnsiTheme="majorBidi" w:cstheme="majorBidi"/>
          <w:sz w:val="24"/>
          <w:szCs w:val="24"/>
          <w:rtl/>
        </w:rPr>
        <w:footnoteReference w:id="302"/>
      </w:r>
      <w:r>
        <w:rPr>
          <w:rFonts w:asciiTheme="majorBidi" w:hAnsiTheme="majorBidi" w:cstheme="majorBidi"/>
          <w:sz w:val="24"/>
          <w:szCs w:val="24"/>
          <w:rtl/>
        </w:rPr>
        <w:t>. وهذه الخلاصات تسند — من داخل الفقه السعودي المعاصر — ما تنتهي إليه هذه الدراسة من بقاء القرار والمسؤولية في يد الإنسان المؤهل مهما تطورت الأداة.</w:t>
      </w:r>
    </w:p>
    <w:p w14:paraId="5D6646D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وإلى قريب من هذا انتهت دراسة فقهية مشتركة حديثة تناولت تقنين أحكام كتاب القضاء بتقنية الذكاء الاصطناعي؛ إذ قررت أن تطبيقات الذكاء الاصطناعي – مهما بلغت من النباهة والتطوير المستمر واستدراك القصور – تفتقر حتى الآن إلى توجيه العقل الإنساني ومعالجته، فلا يمكنها استبداله أو القيام مقامه في اتخاذ القرارات المعقدة المبنية على الفهم العميق، وأن التقنين بواسطتها يناسب مقتضيات العصر من السرعة واليسر والإيجاز بما يحسّن كفاءة الإجراءات القضائية، على أن تُشكَّل لجان مراجعة وتدقيق من أهل الاختصاص لمخرجات الذكاء الاصطناعي القضائية رفعاً لدرجة الدقة وتحسيناً للصياغات</w:t>
      </w:r>
      <w:r>
        <w:rPr>
          <w:rStyle w:val="af"/>
          <w:rFonts w:asciiTheme="majorBidi" w:hAnsiTheme="majorBidi" w:cstheme="majorBidi"/>
          <w:sz w:val="24"/>
          <w:szCs w:val="24"/>
          <w:rtl/>
        </w:rPr>
        <w:footnoteReference w:id="303"/>
      </w:r>
      <w:r>
        <w:rPr>
          <w:rFonts w:asciiTheme="majorBidi" w:hAnsiTheme="majorBidi" w:cstheme="majorBidi"/>
          <w:sz w:val="24"/>
          <w:szCs w:val="24"/>
          <w:rtl/>
        </w:rPr>
        <w:t>. وفي هذا التوازن – الإفادة من الأداة مع إبقاء زمام الاجتهاد بيد الإنسان – ما يعزز الاتجاه الذي تتبناه هذه الدراسة.</w:t>
      </w:r>
    </w:p>
    <w:p w14:paraId="5BB00589"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ثانياً: التحديات الأخلاقية الخاصة بالسياق السعودي</w:t>
      </w:r>
    </w:p>
    <w:p w14:paraId="0AD140EC"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تتجاوز التحديات الأخلاقية في البيئة السعودية ما هو مطروح في الأدبيات الغربية، وتتركز في ثلاثة: (1) التحيز الثقافي والقيمي: فالنماذج الكبرى مدربة على بيانات تعكس أطراً قيمية مغايرة، فإذا عولجت بها مسائل الأحوال الشخصية والمواريث والمعاملات المالية الإسلامية جاءت مخرجاتها وفق نهجها الافتراضي (Default Approach) الذي قد يخالف أحكام الفقه الإسلامي المستقرة، ويتفاقم ذلك كلما تضمنت المهمة حكماً قيمياً لا معلومة إجرائية محايدة. (2) الخصوصية الاجتماعية: إذ يتسم المجتمع السعودي بحساسية عالية تجاه كشف الشؤون الأسرية والمالية، فيتأكد في قضايا الأسرة والمنازعات المالية واجب الامتناع عن إدخال وقائعها في أدوات تعالج بياناتها خارجياً، بما يتجاوز مجرد الالتزام بالنص إلى مقتضيات المروءة وأخلاق المهنة. (3) جسامة الأثر في المسائل ذات البعد الشرعي: فحين تتضمن القضية حكماً شرعياً – كمسائل النسب والوصاية والفرقة – يمتد أثر الخطأ التقني إلى مآلات دينية وأسرية تفوق آثاره في منازعة تجارية مماثلة، فيرتفع تبعاً لذلك معيار الحيطة الواجبة. ويخلص الباحث إلى أن أي إطار تنظيمي مقترح ملزم بمراعاة ثلاثة مستويات من الاشتراطات: تقنية (جودة </w:t>
      </w:r>
      <w:r>
        <w:rPr>
          <w:rFonts w:asciiTheme="majorBidi" w:hAnsiTheme="majorBidi" w:cstheme="majorBidi"/>
          <w:sz w:val="24"/>
          <w:szCs w:val="24"/>
          <w:rtl/>
        </w:rPr>
        <w:lastRenderedPageBreak/>
        <w:t>النموذج ودقته)، ومهنية (حدود الاستخدام المقبول)، وشرعية–ثقافية (تقييد توظيف النماذج ذات التحيز الظاهر في الملفات ذات الطابع الفقهي).</w:t>
      </w:r>
    </w:p>
    <w:p w14:paraId="18B463A5"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ثالثاً: الذكاء الاصطناعي والوصول إلى العدالة</w:t>
      </w:r>
    </w:p>
    <w:p w14:paraId="5B5F767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للتقنية وجه إيجابي لا يجوز إغفاله؛ فأدوات التلخيص والشرح متعددة اللغات يمكن أن تعين غير المتخصصين على فهم حقوقهم الإجرائية الأساسية، وتضيّق الفجوات المالية والجغرافية واللغوية في الوصول إلى العدالة. غير أن الفئات الأقل قدرة على تقييم دقة المعلومات هي ذاتها الأكثر عرضة لأضرار المعلومة المغلوطة، فيغدو إطلاق هذه الأدوات دون ضبط سبيلاً إلى توسيع الفجوة لا تضييقها. ولذا يوصي الباحث باستراتيجية ذات شقين: تشجيع الاستخدام المنظم لأدوات نشر الثقافة القانونية وتيسير الإجراءات البسيطة، مع إبقاء الخدمات الاستشارية المتخصصة – وفق التمييز المقرر في المبحث الثاني – حكراً على المرخص لهم وتحت رقابة بشرية في جميع الأحوال، وإلزام أي منصة معلوماتية بتنبيه صريح للمستخدم بأن ما يتلقاه معلومات عامة لا استشارة قانونية.</w:t>
      </w:r>
    </w:p>
    <w:p w14:paraId="1720221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وترصد الأدبيات العربية تطبيقات مبكرة لهذا الوجه الإيجابي؛ فقد أشارت بلال إلى إطلاق «المحامي الآلي» الذي يوفر المعلومات القانونية ويتحاور مع الجمهور بأسلوب يحاكي البشر، وإلى أن نشر الأحكام القضائية إلكترونياً يخلق نوعاً من الشفافية ويزرع الثقة في القضاء</w:t>
      </w:r>
      <w:r>
        <w:rPr>
          <w:rStyle w:val="af"/>
          <w:rFonts w:asciiTheme="majorBidi" w:hAnsiTheme="majorBidi" w:cstheme="majorBidi"/>
          <w:sz w:val="24"/>
          <w:szCs w:val="24"/>
          <w:rtl/>
        </w:rPr>
        <w:footnoteReference w:id="304"/>
      </w:r>
      <w:r>
        <w:rPr>
          <w:rFonts w:asciiTheme="majorBidi" w:hAnsiTheme="majorBidi" w:cstheme="majorBidi"/>
          <w:sz w:val="24"/>
          <w:szCs w:val="24"/>
          <w:rtl/>
        </w:rPr>
        <w:t>؛ وهي شواهد تؤكد أن التوظيف المنضبط للتقنية يمكن أن يكون رافداً للعدالة لا خصماً منها.</w:t>
      </w:r>
    </w:p>
    <w:p w14:paraId="7850EF5F"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رابعاً: متطلبات التأهيل المهني واستشراف التطورات المقبلة</w:t>
      </w:r>
    </w:p>
    <w:p w14:paraId="53FC1389"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لا يكفي التشريع الأمثل ما لم يصاحبه إعداد مهني فعلي؛ وتكشف الدراسات الميدانية العربية الحديثة عن ضعف واضح في التأهيل التقني لخريجي كليات القانون والشريعة،</w:t>
      </w:r>
      <w:r>
        <w:rPr>
          <w:rFonts w:asciiTheme="majorBidi" w:hAnsiTheme="majorBidi" w:cstheme="majorBidi"/>
          <w:sz w:val="24"/>
          <w:szCs w:val="24"/>
          <w:vertAlign w:val="superscript"/>
          <w:rtl/>
        </w:rPr>
        <w:footnoteReference w:id="305"/>
      </w:r>
      <w:r>
        <w:rPr>
          <w:rFonts w:asciiTheme="majorBidi" w:hAnsiTheme="majorBidi" w:cstheme="majorBidi"/>
          <w:sz w:val="24"/>
          <w:szCs w:val="24"/>
          <w:rtl/>
        </w:rPr>
        <w:t xml:space="preserve"> إذ تخلو مناهج أغلب الجامعات السعودية من مقررات في التقنيات القانونية وأخلاقيات الذكاء الاصطناعي، في حين تقدم جامعات عالمية عريقة برامج متخصصة في القانون والتقنية، وبدأت بعض كليات الحقوق الإقليمية تضمين مقرراتها وحدات مماثلة. ولذا يقترح الباحث: إدراج مقرر إلزامي في القانون والتقنية ضمن برامج القانون الجامعية، وتضمين الكفاءة التقنية وأخلاقياتها متطلبات التطوير المهني المستمر لدى الهيئة السعودية للمحامين، وتشجيع البحوث المشتركة بين كليات الحقوق وكليات الحاسب بما ينتج حلولاً متوائمة مع الخصوصية السعودية. وقد بدأت تظهر في المكتبة العربية أدلة استرشادية موجهة لطلبة القانون والباحثين للتعريف بهذه التقنية وحدود استخدامها</w:t>
      </w:r>
      <w:r>
        <w:rPr>
          <w:rStyle w:val="af"/>
          <w:rFonts w:asciiTheme="majorBidi" w:hAnsiTheme="majorBidi" w:cstheme="majorBidi"/>
          <w:sz w:val="24"/>
          <w:szCs w:val="24"/>
          <w:rtl/>
        </w:rPr>
        <w:footnoteReference w:id="306"/>
      </w:r>
      <w:r>
        <w:rPr>
          <w:rFonts w:asciiTheme="majorBidi" w:hAnsiTheme="majorBidi" w:cstheme="majorBidi"/>
          <w:sz w:val="24"/>
          <w:szCs w:val="24"/>
          <w:rtl/>
        </w:rPr>
        <w:t>، وهو اتجاه يستحق البناء عليه مؤسسياً في برامج إعداد المحامين وتأهيلهم المستمر.</w:t>
      </w:r>
    </w:p>
    <w:p w14:paraId="08864AB6"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ويتأكد هذا المطلب باستحضار ثلاثة تطورات تقنية متوقعة سيتسع أثرها على المهنة: نضج النماذج العربية المتخصصة في السياق القانوني الإسلامي، بما يتيح خياراً أكثر انسجاماً مع البيئة السعودية؛ وظهور "وكلاء الذكاء الاصطناعي" القادرين على تنفيذ سلاسل مهام معقدة تلقائياً، بما يحوّل الأداة من مساعد إلى منفذ مستقل ويثير إشكاليات المسؤولية والرقابة بصورة أشد؛ والنماذج متعددة الوسائط القادرة على تحليل الصور والمقاطع والمستندات الممسوحة، بما يفتح آفاقاً للاستخدام ويثير في المقابل تساؤلات أعمق عن خصوصية المتقاضين والشهود. ولمجابهة ذلك ينبغي أن يصاغ الإطار التنظيمي المقترح على مبدأين: المرونة التنظيمية التي تتيح تحديث الاشتراطات دون إعادة صياغة النظام كلما ظهر جيل جديد من الأدوات، والتناسب الذي يشدد الاشتراطات كلما ارتفعت درجة استقلالية الأداة.</w:t>
      </w:r>
    </w:p>
    <w:p w14:paraId="22ECD6BA" w14:textId="77777777" w:rsidR="00C61595" w:rsidRDefault="00000000">
      <w:pPr>
        <w:bidi/>
        <w:spacing w:before="120" w:after="200" w:line="276" w:lineRule="auto"/>
        <w:jc w:val="both"/>
        <w:rPr>
          <w:rFonts w:asciiTheme="majorBidi" w:hAnsiTheme="majorBidi" w:cstheme="majorBidi"/>
          <w:b/>
          <w:bCs/>
          <w:sz w:val="24"/>
          <w:szCs w:val="24"/>
          <w:rtl/>
        </w:rPr>
      </w:pPr>
      <w:r>
        <w:rPr>
          <w:rFonts w:asciiTheme="majorBidi" w:hAnsiTheme="majorBidi" w:cstheme="majorBidi"/>
          <w:b/>
          <w:bCs/>
          <w:sz w:val="24"/>
          <w:szCs w:val="24"/>
          <w:rtl/>
        </w:rPr>
        <w:t>خامساً: توصيات مرحلية لمكاتب المحاماة قبل صدور التشريع</w:t>
      </w:r>
    </w:p>
    <w:p w14:paraId="72F6504B"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lastRenderedPageBreak/>
        <w:t>وإلى حين صدور التنظيم المنشود، يوصى مكتب المحاماة السعودي بجملة تدابير مؤسسية: اعتماد سياسة داخلية مكتوبة تحدد الأدوات المجازة لكل صنف من المهام وقيود استخدامها؛ وإخطار الموكلين كتابة باستخدام الذكاء الاصطناعي في نطاق الوكالة والحصول على موافقة صريحة فيما يمس بياناتهم؛ وإعمال مبدأ بقاء الإنسان في حلقة القرار (Human-in-the-Loop) بإيجاب مراجعة بشرية مؤهلة لكل مخرج قبل تقديمه لجهة قضائية أو موكل؛ والامتناع عن إدخال البيانات الحساسة والوثائق القضائية في أدوات أجنبية غير خاضعة للولاية السعودية؛ والتحقق من المصادر (Source Verification) لكل مرجع أو حكم يذكره النموذج قبل الاستشهاد به؛ ومتابعة المستجدات التنظيمية ذات الأثر المباشر، وفي مقدمتها اللوائح التنفيذية لنظام حماية البيانات الشخصية وما تصدره سدايا والهيئة السعودية للمحامين من أدلة وتعاميم. كما يوصى بالإفادة من القائمة المرجعية الملحقة بوثيقة سدايا لمبادئ الذكاء الاصطناعي التوليدي بعد مواءمتها لخصوصية العمل المهني الخاص – وبخاصة بنود الامتثال النظامي، ووضع معايير وضوابط لاستخدام الأدوات التوليدية في العقود، والتدريب المستمر للعاملين، وقصر استخدام الأداة على الأشخاص المعنيين مع الاحتفاظ بسجلات مفصلة للاستخدام</w:t>
      </w:r>
      <w:r>
        <w:rPr>
          <w:rStyle w:val="af"/>
          <w:rFonts w:asciiTheme="majorBidi" w:hAnsiTheme="majorBidi" w:cstheme="majorBidi"/>
          <w:sz w:val="24"/>
          <w:szCs w:val="24"/>
          <w:rtl/>
        </w:rPr>
        <w:footnoteReference w:id="307"/>
      </w:r>
      <w:r>
        <w:rPr>
          <w:rFonts w:asciiTheme="majorBidi" w:hAnsiTheme="majorBidi" w:cstheme="majorBidi"/>
          <w:sz w:val="24"/>
          <w:szCs w:val="24"/>
          <w:rtl/>
        </w:rPr>
        <w:t>؛ وبتبني الصياغة المنضبطة لشروط تقييد الاستخدام في عقود العمل على النحو المقترح في المطلب الرابع من المبحث الثاني.</w:t>
      </w:r>
    </w:p>
    <w:p w14:paraId="6E734C52" w14:textId="77777777" w:rsidR="00C61595" w:rsidRDefault="00000000" w:rsidP="00640572">
      <w:pPr>
        <w:bidi/>
        <w:spacing w:before="360" w:after="200" w:line="276" w:lineRule="auto"/>
        <w:rPr>
          <w:rFonts w:asciiTheme="majorBidi" w:hAnsiTheme="majorBidi" w:cstheme="majorBidi"/>
          <w:b/>
          <w:bCs/>
          <w:sz w:val="28"/>
          <w:szCs w:val="28"/>
          <w:rtl/>
        </w:rPr>
      </w:pPr>
      <w:r>
        <w:rPr>
          <w:rFonts w:asciiTheme="majorBidi" w:hAnsiTheme="majorBidi" w:cstheme="majorBidi"/>
          <w:b/>
          <w:bCs/>
          <w:sz w:val="28"/>
          <w:szCs w:val="28"/>
          <w:rtl/>
        </w:rPr>
        <w:t>خلاصة الفصل الثالث</w:t>
      </w:r>
    </w:p>
    <w:p w14:paraId="5843E86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تناول هذا الفصل الجانب التطبيقي من موضوع الدراسة، وانتهى إلى النتائج الآتية:</w:t>
      </w:r>
    </w:p>
    <w:p w14:paraId="40370EE2"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أولاً: إن التمييز بين الذكاء الاصطناعي القانوني بصورتيه التوليدية والتنبؤية، والبرمجيات القانونية التقليدية، والعقود الذكية القائمة على سلسلة الكتل، تمييز جوهري تترتب عليه آثار نظامية في تحديد المخاطر وقواعد المسؤولية، وأن الخلط بينها شائع في الأدبيات العربية وله تبعات تشريعية خطيرة.</w:t>
      </w:r>
    </w:p>
    <w:p w14:paraId="1B42C3AE"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ثانياً: إن السوق القانوني السعودي يشهد حضوراً متنامياً لثلاث فئات من الأدوات – التوليدية العامة، والقانونية المتخصصة، والمنصات المحلية والنماذج العربية الناشئة – يتوزع استخدامها بحسب حجم المكاتب، مع هيمنة الأدوات العامة غير المخصصة في القطاع الأوسع انتشاراً، وما يصاحب ذلك من خصائص تقنية مؤثرة نظامياً، وأخصها ظاهرة الهلوسة الموثقة قضائياً وعلمياً.</w:t>
      </w:r>
    </w:p>
    <w:p w14:paraId="6B5999F0"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ثالثاً: إن إخضاع الاستخدام الجاري لمحكّات الأنظمة القائمة – نظام المحاماة (المواد 1 و11 و23 و29 و37)، ونظام حماية البيانات الشخصية (المواد 5 و11 و29)، ونظام الإثبات (المواد 54–57)، ونظام المعاملات المدنية (المادتان 120 و129)، ونظام مكافحة جرائم المعلوماتية (المادة 3) – يثبت أن المنظومة الراهنة توفر شبكة أمان بحدها الأدنى تسمح بالمساءلة في الصور الظاهرة، لكنها تفتقر إلى نصوص مخصصة تحسم معيار الاستخدام المعيب، وتعالج قصور الإنفاذ العابر للحدود، وتسد ثغرة المنصات غير المرخصة.</w:t>
      </w:r>
    </w:p>
    <w:p w14:paraId="67738113"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رابعاً: إن الاستخدام الفردي غير المنظم يرتب ستة مخاطر جوهرية – الاستناد إلى معلومات مختلقة، وانتهاك السرية، والتحيز الخوارزمي، وتسرب البيانات، ومزاولة المهنة دون ترخيص، والتزييف العميق في الأدلة – تتفاقم بغياب الرقابة المسبقة وصعوبة الإثبات، وأن توزيع المسؤولية بين أطراف المنظومة الخمسة يجد أساسه الراهن في القواعد العامة، ويبقى المحامي الفرد الحلقة الأولى في المساءلة.</w:t>
      </w:r>
    </w:p>
    <w:p w14:paraId="552B9D8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خامساً: إن التجارب المقارنة – وفي مقدمتها الإماراتية والأوروبية ومسار التنظيم المهني الأمريكي – تقدم دروساً قابلة للاستثمار في المأسسة المبكرة والتنظيم المبني على المخاطر وتمييز المسؤوليات والتوجيه المهني الملزم، على أن يجري تكييفها مع المرجعية الشرعية والخصوصية النظامية السعودية لا استنساخها.</w:t>
      </w:r>
    </w:p>
    <w:p w14:paraId="0CDB8A9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 xml:space="preserve">سادساً: إن الضبط الاتفاقي عبر شرط عدم الاستعانة بالذكاء الاصطناعي في الأعمال الفنية جائز من حيث الأصل استناداً إلى المادة (الرابعة والسبعين) من نظام المعاملات المدنية، غير أن فاعليته رهينة بانضباط صياغته وتحديد </w:t>
      </w:r>
      <w:r>
        <w:rPr>
          <w:rFonts w:asciiTheme="majorBidi" w:hAnsiTheme="majorBidi" w:cstheme="majorBidi"/>
          <w:sz w:val="24"/>
          <w:szCs w:val="24"/>
          <w:rtl/>
        </w:rPr>
        <w:lastRenderedPageBreak/>
        <w:t>المقصود بالاستعانة الممنوعة، وربط الجزاء بعدم التحقق من المخرجات، مع ما يقتضيه ذلك من آليات إفصاح وتوثيق داخلي.</w:t>
      </w:r>
    </w:p>
    <w:p w14:paraId="054725E7" w14:textId="77777777" w:rsidR="00C61595"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سابعاً: تشكل هذه النتائج مجتمعة الأساس الذي يبنى عليه الفصل الرابع في اقتراح إطار تنظيمي متكامل يعالج الفجوات المعرفية والتطبيقية والتشريعية المرصودة، وفق مقتضيات الشريعة الإسلامية والبيئة النظامية للمملكة العربية السعودية.</w:t>
      </w:r>
    </w:p>
    <w:p w14:paraId="48C71F9F" w14:textId="77777777" w:rsidR="00C61595" w:rsidRDefault="00000000">
      <w:pPr>
        <w:pStyle w:val="1"/>
        <w:pageBreakBefore/>
        <w:jc w:val="center"/>
      </w:pPr>
      <w:bookmarkStart w:id="67" w:name="_Toc237071419"/>
      <w:r>
        <w:rPr>
          <w:rFonts w:asciiTheme="majorBidi" w:hAnsiTheme="majorBidi"/>
          <w:b/>
          <w:bCs/>
          <w:color w:val="000000"/>
          <w:sz w:val="32"/>
          <w:szCs w:val="32"/>
          <w:rtl/>
        </w:rPr>
        <w:lastRenderedPageBreak/>
        <w:t>الفصل الرابع</w:t>
      </w:r>
      <w:bookmarkEnd w:id="67"/>
    </w:p>
    <w:p w14:paraId="1A14E6B6" w14:textId="77777777" w:rsidR="00C61595" w:rsidRDefault="00000000">
      <w:pPr>
        <w:pStyle w:val="1"/>
        <w:jc w:val="center"/>
      </w:pPr>
      <w:bookmarkStart w:id="68" w:name="_Toc237071420"/>
      <w:r>
        <w:rPr>
          <w:rFonts w:asciiTheme="majorBidi" w:hAnsiTheme="majorBidi"/>
          <w:b/>
          <w:bCs/>
          <w:color w:val="000000"/>
          <w:sz w:val="32"/>
          <w:szCs w:val="32"/>
          <w:rtl/>
        </w:rPr>
        <w:t>التصور التنظيمي المقترح لتوظيف الذكاء الاصطناعي في مكاتب المحاماة في المملكة العربية السعودية</w:t>
      </w:r>
      <w:bookmarkEnd w:id="68"/>
    </w:p>
    <w:p w14:paraId="2EE3A6B1" w14:textId="77777777" w:rsidR="00C61595" w:rsidRDefault="00000000">
      <w:pPr>
        <w:bidi/>
        <w:jc w:val="both"/>
      </w:pPr>
      <w:r>
        <w:rPr>
          <w:rFonts w:asciiTheme="majorBidi" w:hAnsiTheme="majorBidi" w:cstheme="majorBidi"/>
          <w:b/>
          <w:bCs/>
          <w:color w:val="000000"/>
          <w:sz w:val="28"/>
          <w:szCs w:val="28"/>
          <w:rtl/>
        </w:rPr>
        <w:t>تمهيد وتقسيم:</w:t>
      </w:r>
    </w:p>
    <w:p w14:paraId="6E7E8E38" w14:textId="77777777" w:rsidR="00C61595" w:rsidRDefault="00000000">
      <w:pPr>
        <w:bidi/>
        <w:jc w:val="both"/>
      </w:pPr>
      <w:r>
        <w:rPr>
          <w:rFonts w:asciiTheme="majorBidi" w:hAnsiTheme="majorBidi" w:cstheme="majorBidi"/>
          <w:color w:val="000000"/>
          <w:sz w:val="24"/>
          <w:szCs w:val="24"/>
          <w:rtl/>
        </w:rPr>
        <w:t>انتهت الفصول الثلاثة السابقة من هذه الدراسة إلى نتيجة مركزية مؤداها أن المنظومة النظامية السعودية – على تماسكها وتكاملها – لا تزال تعالج توظيف الذكاء الاصطناعي في مكاتب المحاماة بقواعد عامة وُضعت قبل ظهور هذه التقنية؛ فقد كشف الفصل الأول عن الفراغ التنظيمي في نظام المحاماة ولائحته التنفيذية والأنظمة المكملة لهما، وبيّن الفصل الثاني أن التكييف القانوني للمخرجات الذكية وتوزيع المسؤولية عنها يقومان اليوم على الاجتهاد في تفسير النصوص القائمة – ومنها المادة (الحادية والأربعون) من نظام المحاماة، والفقرة (2) من المادة (التاسعة والعشرين بعد المائة) من نظام المعاملات المدنية – لا على نص خاص يحسم الحكم، فيما أظهر الفصل الثالث اتساع رقعة الاستخدام الفعلي وغير المنظم للأدوات الذكية في السوق القانوني السعودي، وما يرتبه ذلك من مخاطر على السرية والموثوقية والمسؤولية المهنية.</w:t>
      </w:r>
    </w:p>
    <w:p w14:paraId="0822E3D9" w14:textId="77777777" w:rsidR="00C61595" w:rsidRDefault="00000000">
      <w:pPr>
        <w:bidi/>
        <w:jc w:val="both"/>
      </w:pPr>
      <w:r>
        <w:rPr>
          <w:rFonts w:asciiTheme="majorBidi" w:hAnsiTheme="majorBidi" w:cstheme="majorBidi"/>
          <w:color w:val="000000"/>
          <w:sz w:val="24"/>
          <w:szCs w:val="24"/>
          <w:rtl/>
        </w:rPr>
        <w:t>وبناءً على هذه الفجوات الثلاث – فجوة النص التشريعي، وفجوة التكييف والمسؤولية، وفجوة الممارسة والرقابة – يأتي هذا الفصل ليقدم التصور التنظيمي المقترح الذي تسعى الدراسة من خلاله إلى تحويل نتائج التحليل النظري والتطبيقي إلى معالجة تشريعية وتنظيمية قابلة للتطبيق، بما ينسجم مع المرجعية الشرعية للمملكة، ومستهدفات رؤية المملكة 2030 في التحول العدلي الرقمي، ومبادئ أخلاقيات الذكاء الاصطناعي الصادرة عن الهيئة السعودية للبيانات والذكاء الاصطناعي، وبما يحقق التوازن بين تشجيع الاستفادة من التقنية وصون حقوق الموكلين وهيبة المهنة.</w:t>
      </w:r>
    </w:p>
    <w:p w14:paraId="3D8BA5B8" w14:textId="77777777" w:rsidR="00C61595" w:rsidRDefault="00000000">
      <w:pPr>
        <w:bidi/>
        <w:jc w:val="both"/>
      </w:pPr>
      <w:r>
        <w:rPr>
          <w:rFonts w:asciiTheme="majorBidi" w:hAnsiTheme="majorBidi" w:cstheme="majorBidi"/>
          <w:b/>
          <w:bCs/>
          <w:color w:val="000000"/>
          <w:sz w:val="24"/>
          <w:szCs w:val="24"/>
          <w:rtl/>
        </w:rPr>
        <w:t>وتحقيقاً لذلك، سيُقسم هذا الفصل – بمشيئة الله – إلى ثلاثة مباحث على النحو الآتي:</w:t>
      </w:r>
    </w:p>
    <w:p w14:paraId="31614BED" w14:textId="77777777" w:rsidR="00C61595" w:rsidRDefault="00000000">
      <w:pPr>
        <w:bidi/>
        <w:jc w:val="both"/>
      </w:pPr>
      <w:r>
        <w:rPr>
          <w:rFonts w:asciiTheme="majorBidi" w:hAnsiTheme="majorBidi" w:cstheme="majorBidi"/>
          <w:color w:val="000000"/>
          <w:sz w:val="24"/>
          <w:szCs w:val="24"/>
          <w:rtl/>
        </w:rPr>
        <w:t>المبحث الأول: الأسس والمرتكزات العامة للتصور المقترح؛ ويتناول المرجعية الشرعية والنظامية التي ينطلق منها التصور، ومتطلبات المواءمة مع المبادئ الوطنية (وثائق سدايا) والتجارب الدولية المقارنة، والمفاضلة بين خيار التعديل التشريعي المستقل وخيار إضافة فصل خاص في اللائحة التنفيذية لنظام المحاماة.</w:t>
      </w:r>
    </w:p>
    <w:p w14:paraId="7CAA92E5" w14:textId="77777777" w:rsidR="00C61595" w:rsidRDefault="00000000">
      <w:pPr>
        <w:bidi/>
        <w:jc w:val="both"/>
      </w:pPr>
      <w:r>
        <w:rPr>
          <w:rFonts w:asciiTheme="majorBidi" w:hAnsiTheme="majorBidi" w:cstheme="majorBidi"/>
          <w:color w:val="000000"/>
          <w:sz w:val="24"/>
          <w:szCs w:val="24"/>
          <w:rtl/>
        </w:rPr>
        <w:t>المبحث الثاني: مضمون التنظيم المقترح؛ ويعرض نطاق التطبيق والتعريفات النظامية للأدوات الذكية، وضوابط اعتماد الأدوات المستخدمة في العمل القانوني، وواجبات المحامي عند الاستخدام (الإشراف البشري، والتحقق من صحة المخرجات، والإفصاح، وحماية سرية بيانات الموكلين)، وقواعد توزيع المسؤولية بين المحامي والمطور ومزود الخدمة، والجزاءات التأديبية المترتبة على الإخلال.</w:t>
      </w:r>
    </w:p>
    <w:p w14:paraId="36D24631" w14:textId="77777777" w:rsidR="00C61595" w:rsidRDefault="00000000">
      <w:pPr>
        <w:bidi/>
        <w:jc w:val="both"/>
      </w:pPr>
      <w:r>
        <w:rPr>
          <w:rFonts w:asciiTheme="majorBidi" w:hAnsiTheme="majorBidi" w:cstheme="majorBidi"/>
          <w:color w:val="000000"/>
          <w:sz w:val="24"/>
          <w:szCs w:val="24"/>
          <w:rtl/>
        </w:rPr>
        <w:t>المبحث الثالث: متطلبات التنفيذ والحوكمة؛ ويتناول الأدوار المؤسسية للجهات ذات العلاقة، ومتطلبات التأهيل والتدريب المهني، وآليات المراجعة الدورية للتنظيم بما يواكب التطور التقني المتسارع.</w:t>
      </w:r>
    </w:p>
    <w:p w14:paraId="3BDB87F7" w14:textId="77777777" w:rsidR="00C61595" w:rsidRDefault="00000000">
      <w:pPr>
        <w:bidi/>
        <w:jc w:val="both"/>
      </w:pPr>
      <w:r>
        <w:rPr>
          <w:rFonts w:asciiTheme="majorBidi" w:hAnsiTheme="majorBidi" w:cstheme="majorBidi"/>
          <w:color w:val="000000"/>
          <w:sz w:val="24"/>
          <w:szCs w:val="24"/>
          <w:rtl/>
        </w:rPr>
        <w:t>وبعد اكتمال هذا الفصل تُختَم الدراسة بخاتمة تتضمن أبرز النتائج التي توصلت إليها، ثم التوصيات العلمية والعملية الموجهة إلى الجهات التشريعية والتنظيمية والمهنية، وبذلك تكتمل حلقات المعالجة المنهجية التي وعدت بها خطة الدراسة.</w:t>
      </w:r>
    </w:p>
    <w:p w14:paraId="2A924331" w14:textId="77777777" w:rsidR="00C61595" w:rsidRDefault="00000000">
      <w:pPr>
        <w:pStyle w:val="1"/>
        <w:pageBreakBefore/>
        <w:jc w:val="center"/>
      </w:pPr>
      <w:bookmarkStart w:id="69" w:name="_Toc237071421"/>
      <w:r>
        <w:rPr>
          <w:rFonts w:asciiTheme="majorBidi" w:hAnsiTheme="majorBidi"/>
          <w:b/>
          <w:bCs/>
          <w:color w:val="000000"/>
          <w:sz w:val="32"/>
          <w:szCs w:val="32"/>
          <w:rtl/>
        </w:rPr>
        <w:lastRenderedPageBreak/>
        <w:t>قائمة المصادر والمراجع</w:t>
      </w:r>
      <w:bookmarkEnd w:id="69"/>
    </w:p>
    <w:p w14:paraId="482879CE" w14:textId="77777777" w:rsidR="00C61595" w:rsidRDefault="00000000">
      <w:pPr>
        <w:bidi/>
        <w:jc w:val="center"/>
      </w:pPr>
      <w:r>
        <w:rPr>
          <w:rFonts w:asciiTheme="majorBidi" w:hAnsiTheme="majorBidi" w:cstheme="majorBidi"/>
          <w:color w:val="000000"/>
          <w:rtl/>
        </w:rPr>
        <w:t>(مرتبة وفق أسلوب الجمعية الأمريكية لعلم النفس APA، مع تقديم الأنظمة والوثائق الرسمية وفق عرف الدراسات القانونية السعودية)</w:t>
      </w:r>
    </w:p>
    <w:p w14:paraId="53D5A6DB" w14:textId="77777777" w:rsidR="00C61595" w:rsidRDefault="00000000">
      <w:pPr>
        <w:bidi/>
        <w:jc w:val="both"/>
      </w:pPr>
      <w:r>
        <w:rPr>
          <w:rFonts w:asciiTheme="majorBidi" w:hAnsiTheme="majorBidi" w:cstheme="majorBidi"/>
          <w:b/>
          <w:bCs/>
          <w:color w:val="000000"/>
          <w:sz w:val="28"/>
          <w:szCs w:val="28"/>
          <w:rtl/>
        </w:rPr>
        <w:t>أولاً: الأنظمة واللوائح والقرارات السعودية</w:t>
      </w:r>
    </w:p>
    <w:p w14:paraId="466F034A" w14:textId="77777777" w:rsidR="00C61595" w:rsidRDefault="00000000">
      <w:pPr>
        <w:bidi/>
        <w:jc w:val="both"/>
      </w:pPr>
      <w:r>
        <w:rPr>
          <w:rFonts w:asciiTheme="majorBidi" w:hAnsiTheme="majorBidi" w:cstheme="majorBidi"/>
          <w:color w:val="000000"/>
          <w:sz w:val="24"/>
          <w:szCs w:val="24"/>
          <w:rtl/>
        </w:rPr>
        <w:t>نظام المحاماة، الصادر بالمرسوم الملكي رقم (م/38) وتاريخ 28/7/1422هـ، المعدل بالمرسوم الملكي رقم (م/61) وتاريخ 14/10/1437هـ، وبالمرسوم الملكي رقم (م/66) وتاريخ 15/7/1443هـ. المملكة العربية السعودية.</w:t>
      </w:r>
    </w:p>
    <w:p w14:paraId="2BDDFEA8" w14:textId="77777777" w:rsidR="00C61595" w:rsidRDefault="00000000">
      <w:pPr>
        <w:bidi/>
        <w:jc w:val="both"/>
      </w:pPr>
      <w:r>
        <w:rPr>
          <w:rFonts w:asciiTheme="majorBidi" w:hAnsiTheme="majorBidi" w:cstheme="majorBidi"/>
          <w:color w:val="000000"/>
          <w:sz w:val="24"/>
          <w:szCs w:val="24"/>
          <w:rtl/>
        </w:rPr>
        <w:t>اللائحة التنفيذية لنظام المحاماة، الصادرة عن وزارة العدل، 1446هـ. المملكة العربية السعودية.</w:t>
      </w:r>
    </w:p>
    <w:p w14:paraId="7E7F4586" w14:textId="77777777" w:rsidR="00C61595" w:rsidRDefault="00000000">
      <w:pPr>
        <w:bidi/>
        <w:jc w:val="both"/>
      </w:pPr>
      <w:r>
        <w:rPr>
          <w:rFonts w:asciiTheme="majorBidi" w:hAnsiTheme="majorBidi" w:cstheme="majorBidi"/>
          <w:color w:val="000000"/>
          <w:sz w:val="24"/>
          <w:szCs w:val="24"/>
          <w:rtl/>
        </w:rPr>
        <w:t>نظام القضاء، الصادر بالمرسوم الملكي رقم (م/78) وتاريخ 19/9/1428هـ. المملكة العربية السعودية.</w:t>
      </w:r>
    </w:p>
    <w:p w14:paraId="739B255B" w14:textId="77777777" w:rsidR="00C61595" w:rsidRDefault="00000000">
      <w:pPr>
        <w:bidi/>
        <w:jc w:val="both"/>
      </w:pPr>
      <w:r>
        <w:rPr>
          <w:rFonts w:asciiTheme="majorBidi" w:hAnsiTheme="majorBidi" w:cstheme="majorBidi"/>
          <w:color w:val="000000"/>
          <w:sz w:val="24"/>
          <w:szCs w:val="24"/>
          <w:rtl/>
        </w:rPr>
        <w:t>نظام مكافحة جرائم المعلوماتية، الصادر بالمرسوم الملكي رقم (م/17) وتاريخ 8/3/1428هـ. المملكة العربية السعودية.</w:t>
      </w:r>
    </w:p>
    <w:p w14:paraId="21F501AE" w14:textId="77777777" w:rsidR="00C61595" w:rsidRDefault="00000000">
      <w:pPr>
        <w:bidi/>
        <w:jc w:val="both"/>
      </w:pPr>
      <w:r>
        <w:rPr>
          <w:rFonts w:asciiTheme="majorBidi" w:hAnsiTheme="majorBidi" w:cstheme="majorBidi"/>
          <w:color w:val="000000"/>
          <w:sz w:val="24"/>
          <w:szCs w:val="24"/>
          <w:rtl/>
        </w:rPr>
        <w:t>نظام التعاملات الإلكترونية، الصادر بالمرسوم الملكي رقم (م/18) وتاريخ 8/3/1428هـ. المملكة العربية السعودية.</w:t>
      </w:r>
    </w:p>
    <w:p w14:paraId="4F4E4029" w14:textId="77777777" w:rsidR="00C61595" w:rsidRDefault="00000000">
      <w:pPr>
        <w:bidi/>
        <w:jc w:val="both"/>
      </w:pPr>
      <w:r>
        <w:rPr>
          <w:rFonts w:asciiTheme="majorBidi" w:hAnsiTheme="majorBidi" w:cstheme="majorBidi"/>
          <w:color w:val="000000"/>
          <w:sz w:val="24"/>
          <w:szCs w:val="24"/>
          <w:rtl/>
        </w:rPr>
        <w:t>نظام الإجراءات الجزائية، الصادر بالمرسوم الملكي رقم (م/2) وتاريخ 22/1/1435هـ. المملكة العربية السعودية.</w:t>
      </w:r>
    </w:p>
    <w:p w14:paraId="08003778" w14:textId="77777777" w:rsidR="00C61595" w:rsidRDefault="00000000">
      <w:pPr>
        <w:bidi/>
        <w:jc w:val="both"/>
      </w:pPr>
      <w:r>
        <w:rPr>
          <w:rFonts w:asciiTheme="majorBidi" w:hAnsiTheme="majorBidi" w:cstheme="majorBidi"/>
          <w:color w:val="000000"/>
          <w:sz w:val="24"/>
          <w:szCs w:val="24"/>
          <w:rtl/>
        </w:rPr>
        <w:t>نظام حماية البيانات الشخصية، الصادر بالمرسوم الملكي رقم (م/19) وتاريخ 9/2/1443هـ، المعدل بالمرسوم الملكي رقم (م/148) وتاريخ 5/9/1444هـ. المملكة العربية السعودية.</w:t>
      </w:r>
    </w:p>
    <w:p w14:paraId="0B5CB084" w14:textId="77777777" w:rsidR="00C61595" w:rsidRDefault="00000000">
      <w:pPr>
        <w:bidi/>
        <w:jc w:val="both"/>
      </w:pPr>
      <w:r>
        <w:rPr>
          <w:rFonts w:asciiTheme="majorBidi" w:hAnsiTheme="majorBidi" w:cstheme="majorBidi"/>
          <w:color w:val="000000"/>
          <w:sz w:val="24"/>
          <w:szCs w:val="24"/>
          <w:rtl/>
        </w:rPr>
        <w:t>نظام الإثبات، الصادر بالمرسوم الملكي رقم (م/43) وتاريخ 26/5/1443هـ. المملكة العربية السعودية.</w:t>
      </w:r>
    </w:p>
    <w:p w14:paraId="7DEC7B16" w14:textId="77777777" w:rsidR="00C61595" w:rsidRDefault="00000000">
      <w:pPr>
        <w:bidi/>
        <w:jc w:val="both"/>
      </w:pPr>
      <w:r>
        <w:rPr>
          <w:rFonts w:asciiTheme="majorBidi" w:hAnsiTheme="majorBidi" w:cstheme="majorBidi"/>
          <w:color w:val="000000"/>
          <w:sz w:val="24"/>
          <w:szCs w:val="24"/>
          <w:rtl/>
        </w:rPr>
        <w:t>نظام المعاملات المدنية، الصادر بالمرسوم الملكي رقم (م/191) وتاريخ 29/11/1444هـ. المملكة العربية السعودية.</w:t>
      </w:r>
    </w:p>
    <w:p w14:paraId="5D606F23" w14:textId="77777777" w:rsidR="00C61595" w:rsidRDefault="00000000">
      <w:pPr>
        <w:bidi/>
        <w:jc w:val="both"/>
      </w:pPr>
      <w:r>
        <w:rPr>
          <w:rFonts w:asciiTheme="majorBidi" w:hAnsiTheme="majorBidi" w:cstheme="majorBidi"/>
          <w:color w:val="000000"/>
          <w:sz w:val="24"/>
          <w:szCs w:val="24"/>
          <w:rtl/>
        </w:rPr>
        <w:t>نظام الشركات، الصادر بالمرسوم الملكي رقم (م/132) وتاريخ 1/12/1443هـ. المملكة العربية السعودية.</w:t>
      </w:r>
    </w:p>
    <w:p w14:paraId="743AF19A" w14:textId="77777777" w:rsidR="00C61595" w:rsidRDefault="00000000">
      <w:pPr>
        <w:bidi/>
        <w:jc w:val="both"/>
      </w:pPr>
      <w:r>
        <w:rPr>
          <w:rFonts w:asciiTheme="majorBidi" w:hAnsiTheme="majorBidi" w:cstheme="majorBidi"/>
          <w:color w:val="000000"/>
          <w:sz w:val="24"/>
          <w:szCs w:val="24"/>
          <w:rtl/>
        </w:rPr>
        <w:t>الترتيبات التنظيمية للهيئة السعودية للبيانات والذكاء الاصطناعي، الصادرة بقرار مجلس الوزراء رقم (292) وتاريخ 27/4/1441هـ، المعدلة بقرار مجلس الوزراء رقم (195) وتاريخ 15/3/1444هـ.</w:t>
      </w:r>
    </w:p>
    <w:p w14:paraId="579478F7" w14:textId="77777777" w:rsidR="00C61595" w:rsidRDefault="00000000">
      <w:pPr>
        <w:bidi/>
        <w:jc w:val="both"/>
      </w:pPr>
      <w:r>
        <w:rPr>
          <w:rFonts w:asciiTheme="majorBidi" w:hAnsiTheme="majorBidi" w:cstheme="majorBidi"/>
          <w:color w:val="000000"/>
          <w:sz w:val="24"/>
          <w:szCs w:val="24"/>
          <w:rtl/>
        </w:rPr>
        <w:t>قواعد السلوك المهني للمحامين، الصادرة بقرار وزير العدل رقم (3453) وتاريخ 24/12/1442هـ، بالتنسيق مع الهيئة السعودية للمحامين.</w:t>
      </w:r>
    </w:p>
    <w:p w14:paraId="14538F78" w14:textId="77777777" w:rsidR="00C61595" w:rsidRDefault="00000000">
      <w:pPr>
        <w:bidi/>
        <w:jc w:val="both"/>
      </w:pPr>
      <w:r>
        <w:rPr>
          <w:rFonts w:asciiTheme="majorBidi" w:hAnsiTheme="majorBidi" w:cstheme="majorBidi"/>
          <w:b/>
          <w:bCs/>
          <w:color w:val="000000"/>
          <w:sz w:val="28"/>
          <w:szCs w:val="28"/>
          <w:rtl/>
        </w:rPr>
        <w:t>ثانياً: الوثائق والأدلة الرسمية</w:t>
      </w:r>
    </w:p>
    <w:p w14:paraId="64B39F1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(2023م). مبادئ أخلاقيات الذكاء الاصطناعي (الإصدار الأول). الرياض: سدايا.</w:t>
      </w:r>
    </w:p>
    <w:p w14:paraId="59EA636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(2024م). دليل أخلاقيات الذكاء الاصطناعي (الطبعة الثانية). الرياض: سدايا.</w:t>
      </w:r>
    </w:p>
    <w:p w14:paraId="0FF38B62"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(2024م). إطار تبني الذكاء الاصطناعي. الرياض: سدايا.</w:t>
      </w:r>
    </w:p>
    <w:p w14:paraId="0D36EDD8" w14:textId="77777777" w:rsidR="00C61595" w:rsidRDefault="00000000">
      <w:pPr>
        <w:bidi/>
        <w:jc w:val="both"/>
      </w:pPr>
      <w:r>
        <w:rPr>
          <w:rFonts w:asciiTheme="majorBidi" w:hAnsiTheme="majorBidi" w:cstheme="majorBidi"/>
          <w:color w:val="000000"/>
          <w:sz w:val="24"/>
          <w:szCs w:val="24"/>
          <w:rtl/>
        </w:rPr>
        <w:t>الهيئة السعودية للبيانات والذكاء الاصطناعي. (2025م). الدليل الاسترشادي لتقويم مخاطر نقل البيانات الشخصية إلى خارج المملكة أو الإفصاح عنها لجهات خارج المملكة. الرياض: سدايا.</w:t>
      </w:r>
    </w:p>
    <w:p w14:paraId="75F1811B" w14:textId="77777777" w:rsidR="00C61595" w:rsidRDefault="00000000">
      <w:pPr>
        <w:bidi/>
        <w:jc w:val="both"/>
      </w:pPr>
      <w:r>
        <w:rPr>
          <w:rFonts w:asciiTheme="majorBidi" w:hAnsiTheme="majorBidi" w:cstheme="majorBidi"/>
          <w:color w:val="000000"/>
          <w:sz w:val="24"/>
          <w:szCs w:val="24"/>
          <w:rtl/>
        </w:rPr>
        <w:lastRenderedPageBreak/>
        <w:t>الهيئة السعودية للبيانات والذكاء الاصطناعي. (2025م). مبادئ الذكاء الاصطناعي التوليدي للجهات الحكومية (وثيقة تنظيمية رقم SDAIA-P116). الرياض: سدايا.</w:t>
      </w:r>
    </w:p>
    <w:p w14:paraId="0F4F36A3" w14:textId="77777777" w:rsidR="00C61595" w:rsidRDefault="00000000">
      <w:pPr>
        <w:bidi/>
        <w:jc w:val="both"/>
      </w:pPr>
      <w:r>
        <w:rPr>
          <w:rFonts w:asciiTheme="majorBidi" w:hAnsiTheme="majorBidi" w:cstheme="majorBidi"/>
          <w:color w:val="000000"/>
          <w:sz w:val="24"/>
          <w:szCs w:val="24"/>
          <w:rtl/>
        </w:rPr>
        <w:t>مركز الدراسات والبحوث القانونية. (1444هـ/2023م). استخدام الذكاء الاصطناعي في المحاكم السعودية. دراسة قانونية صادرة عن المركز.</w:t>
      </w:r>
    </w:p>
    <w:p w14:paraId="4CF2DFCB" w14:textId="77777777" w:rsidR="00C61595" w:rsidRDefault="00000000">
      <w:pPr>
        <w:bidi/>
        <w:jc w:val="both"/>
      </w:pPr>
      <w:r>
        <w:rPr>
          <w:rFonts w:asciiTheme="majorBidi" w:hAnsiTheme="majorBidi" w:cstheme="majorBidi"/>
          <w:color w:val="000000"/>
          <w:sz w:val="24"/>
          <w:szCs w:val="24"/>
          <w:rtl/>
        </w:rPr>
        <w:t>مركز أسبار للدراسات والبحوث والإعلام (ملتقى أسبار). (2025م). توظيف الذكاء الاصطناعي في التحقيقات الجنائية: التطورات، والتحديات، وإطار متوافق أكثر ذكاءً وإنصافاً (تقرير رقم 455، الورقة الرئيسة: فهد معافا). الرياض.</w:t>
      </w:r>
    </w:p>
    <w:p w14:paraId="6CEFC369" w14:textId="77777777" w:rsidR="00C61595" w:rsidRDefault="00000000">
      <w:pPr>
        <w:bidi/>
        <w:jc w:val="both"/>
      </w:pPr>
      <w:r>
        <w:rPr>
          <w:rFonts w:asciiTheme="majorBidi" w:hAnsiTheme="majorBidi" w:cstheme="majorBidi"/>
          <w:b/>
          <w:bCs/>
          <w:color w:val="000000"/>
          <w:sz w:val="28"/>
          <w:szCs w:val="28"/>
          <w:rtl/>
        </w:rPr>
        <w:t>ثالثاً: الكتب</w:t>
      </w:r>
    </w:p>
    <w:p w14:paraId="3C3D0209" w14:textId="77777777" w:rsidR="00C61595" w:rsidRDefault="00000000">
      <w:pPr>
        <w:bidi/>
        <w:jc w:val="both"/>
      </w:pPr>
      <w:r>
        <w:rPr>
          <w:rFonts w:asciiTheme="majorBidi" w:hAnsiTheme="majorBidi" w:cstheme="majorBidi"/>
          <w:color w:val="000000"/>
          <w:sz w:val="24"/>
          <w:szCs w:val="24"/>
          <w:rtl/>
        </w:rPr>
        <w:t>الجلعود، أروى بنت عبد الرحمن بن عثمان. (1444هـ). أحكام تطبيقات الذكاء الاصطناعي في القضاء. الرياض: الجمعية العلمية القضائية السعودية (قضاء).</w:t>
      </w:r>
    </w:p>
    <w:p w14:paraId="0B83D9B5" w14:textId="77777777" w:rsidR="00C61595" w:rsidRDefault="00000000">
      <w:pPr>
        <w:bidi/>
        <w:jc w:val="both"/>
      </w:pPr>
      <w:r>
        <w:rPr>
          <w:rFonts w:asciiTheme="majorBidi" w:hAnsiTheme="majorBidi" w:cstheme="majorBidi"/>
          <w:color w:val="000000"/>
          <w:sz w:val="24"/>
          <w:szCs w:val="24"/>
          <w:rtl/>
        </w:rPr>
        <w:t>الخليفة، وليد بن إبراهيم بن عبد الله. (1444هـ). نظام الإثبات وأدلته الإجرائية مع الفهارس. الرياض: الجمعية العلمية القضائية السعودية (قضاء).</w:t>
      </w:r>
    </w:p>
    <w:p w14:paraId="5C439E56" w14:textId="77777777" w:rsidR="00C61595" w:rsidRDefault="00000000">
      <w:pPr>
        <w:bidi/>
        <w:jc w:val="both"/>
      </w:pPr>
      <w:r>
        <w:rPr>
          <w:rFonts w:asciiTheme="majorBidi" w:hAnsiTheme="majorBidi" w:cstheme="majorBidi"/>
          <w:color w:val="000000"/>
          <w:sz w:val="24"/>
          <w:szCs w:val="24"/>
          <w:rtl/>
        </w:rPr>
        <w:t>السريع، عبد العزيز بن محمد؛ والزامل، عبد الله بن عبد المحسن. (1445هـ). نظام المعاملات المدنية مع الفهارس. الرياض: الجمعية العلمية القضائية السعودية (قضاء).</w:t>
      </w:r>
    </w:p>
    <w:p w14:paraId="291E422E" w14:textId="77777777" w:rsidR="00C61595" w:rsidRDefault="00000000">
      <w:pPr>
        <w:bidi/>
        <w:jc w:val="both"/>
      </w:pPr>
      <w:r>
        <w:rPr>
          <w:rFonts w:asciiTheme="majorBidi" w:hAnsiTheme="majorBidi" w:cstheme="majorBidi"/>
          <w:b/>
          <w:bCs/>
          <w:color w:val="000000"/>
          <w:sz w:val="28"/>
          <w:szCs w:val="28"/>
          <w:rtl/>
        </w:rPr>
        <w:t>رابعاً: الرسائل العلمية</w:t>
      </w:r>
    </w:p>
    <w:p w14:paraId="08DD98A2" w14:textId="77777777" w:rsidR="00C61595" w:rsidRDefault="00000000">
      <w:pPr>
        <w:bidi/>
        <w:jc w:val="both"/>
      </w:pPr>
      <w:r>
        <w:rPr>
          <w:rFonts w:asciiTheme="majorBidi" w:hAnsiTheme="majorBidi" w:cstheme="majorBidi"/>
          <w:color w:val="000000"/>
          <w:sz w:val="24"/>
          <w:szCs w:val="24"/>
          <w:rtl/>
        </w:rPr>
        <w:t>بلال، فاطمة عبد العزيز حسن أحمد. (2023م). دور الذكاء الاصطناعي في تعزيز العدالة الناجزة أمام القضاء – دراسة مقارنة (رسالة ماجستير). كلية القانون، جامعة قطر.</w:t>
      </w:r>
    </w:p>
    <w:p w14:paraId="383541FD" w14:textId="77777777" w:rsidR="00C61595" w:rsidRDefault="00000000">
      <w:pPr>
        <w:bidi/>
        <w:jc w:val="both"/>
      </w:pPr>
      <w:r>
        <w:rPr>
          <w:rFonts w:asciiTheme="majorBidi" w:hAnsiTheme="majorBidi" w:cstheme="majorBidi"/>
          <w:color w:val="000000"/>
          <w:sz w:val="24"/>
          <w:szCs w:val="24"/>
          <w:rtl/>
        </w:rPr>
        <w:t>الخميسي، سلمى غابش سالم. (2022م). المسؤولية المدنية عن الأضرار الناشئة عن استخدام الذكاء الاصطناعي في مهنة الطبيب الآلي (رسالة ماجستير). كلية القانون، جامعة الإمارات العربية المتحدة.</w:t>
      </w:r>
    </w:p>
    <w:p w14:paraId="6E315728" w14:textId="77777777" w:rsidR="00C61595" w:rsidRDefault="00000000">
      <w:pPr>
        <w:bidi/>
        <w:jc w:val="both"/>
      </w:pPr>
      <w:r>
        <w:rPr>
          <w:rFonts w:asciiTheme="majorBidi" w:hAnsiTheme="majorBidi" w:cstheme="majorBidi"/>
          <w:b/>
          <w:bCs/>
          <w:color w:val="000000"/>
          <w:sz w:val="28"/>
          <w:szCs w:val="28"/>
          <w:rtl/>
        </w:rPr>
        <w:t>خامساً: البحوث والدوريات العلمية العربية</w:t>
      </w:r>
    </w:p>
    <w:p w14:paraId="1B1251C5" w14:textId="77777777" w:rsidR="00C61595" w:rsidRDefault="00000000">
      <w:pPr>
        <w:bidi/>
        <w:jc w:val="both"/>
      </w:pPr>
      <w:r>
        <w:rPr>
          <w:rFonts w:asciiTheme="majorBidi" w:hAnsiTheme="majorBidi" w:cstheme="majorBidi"/>
          <w:color w:val="000000"/>
          <w:sz w:val="24"/>
          <w:szCs w:val="24"/>
          <w:rtl/>
        </w:rPr>
        <w:t>الأسيوطي، أيمن محمد سيد مصطفى. (2020م). حماية التصرفات القانونية وإثباتها عبر تطبيق الذكاء الاصطناعي. مجلة الباحث العربي، 1(1). DOI: 10.57072/ar.v1i1.16</w:t>
      </w:r>
    </w:p>
    <w:p w14:paraId="28D7C537" w14:textId="77777777" w:rsidR="00C61595" w:rsidRDefault="00000000">
      <w:pPr>
        <w:bidi/>
        <w:jc w:val="both"/>
      </w:pPr>
      <w:r>
        <w:rPr>
          <w:rFonts w:asciiTheme="majorBidi" w:hAnsiTheme="majorBidi" w:cstheme="majorBidi"/>
          <w:color w:val="000000"/>
          <w:sz w:val="24"/>
          <w:szCs w:val="24"/>
          <w:rtl/>
        </w:rPr>
        <w:t>إسماعيل، محمد شحادة. (2025م). تأثير الذكاء الاصطناعي على المهن القانونية. مجلة الباحث العربي، 6(1). DOI: 10.57072/ar.v6i1.159</w:t>
      </w:r>
    </w:p>
    <w:p w14:paraId="572F663D" w14:textId="77777777" w:rsidR="00C61595" w:rsidRDefault="00000000">
      <w:pPr>
        <w:bidi/>
        <w:jc w:val="both"/>
      </w:pPr>
      <w:r>
        <w:rPr>
          <w:rFonts w:asciiTheme="majorBidi" w:hAnsiTheme="majorBidi" w:cstheme="majorBidi"/>
          <w:color w:val="000000"/>
          <w:sz w:val="24"/>
          <w:szCs w:val="24"/>
          <w:rtl/>
        </w:rPr>
        <w:t>بجاد، عبد القادر عبد الله أحمد. (2023م). تطبيقات الذكاء الاصطناعي في الحكم القضائي – دراسة قانونية. المجلة الدولية للبحوث النوعية المتخصصة (IJSSR)، (42)، 52 وما بعدها.</w:t>
      </w:r>
    </w:p>
    <w:p w14:paraId="685D1D06" w14:textId="77777777" w:rsidR="00C61595" w:rsidRDefault="00000000">
      <w:pPr>
        <w:bidi/>
        <w:jc w:val="both"/>
      </w:pPr>
      <w:r>
        <w:rPr>
          <w:rFonts w:asciiTheme="majorBidi" w:hAnsiTheme="majorBidi" w:cstheme="majorBidi"/>
          <w:color w:val="000000"/>
          <w:sz w:val="24"/>
          <w:szCs w:val="24"/>
          <w:rtl/>
        </w:rPr>
        <w:t>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7(73)، 368–412. DOI: 10.36571/ajsp7321</w:t>
      </w:r>
    </w:p>
    <w:p w14:paraId="1C8059AC" w14:textId="77777777" w:rsidR="00C61595" w:rsidRPr="004E4318" w:rsidRDefault="00000000">
      <w:pPr>
        <w:bidi/>
        <w:jc w:val="both"/>
      </w:pPr>
      <w:r w:rsidRPr="004E4318">
        <w:rPr>
          <w:rFonts w:asciiTheme="majorBidi" w:hAnsiTheme="majorBidi" w:cstheme="majorBidi"/>
          <w:color w:val="000000"/>
          <w:sz w:val="28"/>
          <w:szCs w:val="28"/>
          <w:rtl/>
        </w:rPr>
        <w:t>الخالدي، مبارك بن محمد. (1445هـ/2024م). الإثبات بالدليل الرقمي وتطبيقاته القضائية: دراسة فقهية مقارنة بنظام الإثبات السعودي. مجلة قضاء، الجمعية العلمية القضائية السعودية، (34)، 329–417.</w:t>
      </w:r>
    </w:p>
    <w:p w14:paraId="5072240D" w14:textId="77777777" w:rsidR="00C61595" w:rsidRDefault="00000000">
      <w:pPr>
        <w:bidi/>
        <w:jc w:val="both"/>
      </w:pPr>
      <w:r>
        <w:rPr>
          <w:rFonts w:asciiTheme="majorBidi" w:hAnsiTheme="majorBidi" w:cstheme="majorBidi"/>
          <w:color w:val="000000"/>
          <w:sz w:val="24"/>
          <w:szCs w:val="24"/>
          <w:rtl/>
        </w:rPr>
        <w:t>رجب، ياسر محمد عبد السلام. (د.ت). دور الدولة في تأطير أخلاقيات الذكاء الاصطناعي – دراسة مقارنة. المجلة القانونية، كلية الحقوق، جامعة القاهرة.</w:t>
      </w:r>
    </w:p>
    <w:p w14:paraId="45DDE429" w14:textId="77777777" w:rsidR="00C61595" w:rsidRDefault="00000000">
      <w:pPr>
        <w:bidi/>
        <w:jc w:val="both"/>
      </w:pPr>
      <w:r>
        <w:rPr>
          <w:rFonts w:asciiTheme="majorBidi" w:hAnsiTheme="majorBidi" w:cstheme="majorBidi"/>
          <w:color w:val="000000"/>
          <w:sz w:val="24"/>
          <w:szCs w:val="24"/>
          <w:rtl/>
        </w:rPr>
        <w:lastRenderedPageBreak/>
        <w:t>الشرايري، محمد أحمد. (2022م). المسؤولية المدنية الذكية عن أضرار الذكاء الاصطناعي: دراسة مسحية مقارنة. مجلة كلية القانون الكويتية العالمية، 10(38)، 357–408.</w:t>
      </w:r>
    </w:p>
    <w:p w14:paraId="02FCD6AF" w14:textId="77777777" w:rsidR="00C61595" w:rsidRDefault="00000000">
      <w:pPr>
        <w:bidi/>
        <w:jc w:val="both"/>
      </w:pPr>
      <w:r>
        <w:rPr>
          <w:rFonts w:asciiTheme="majorBidi" w:hAnsiTheme="majorBidi" w:cstheme="majorBidi"/>
          <w:color w:val="000000"/>
          <w:sz w:val="24"/>
          <w:szCs w:val="24"/>
          <w:rtl/>
        </w:rPr>
        <w:t>العاني، قاسم بن صالح بن علي؛ والعبيدان، سلطان بن عبد الرحمن بن عبد القادر. (2025م). تقنين أحكام كتاب القضاء بتقنية الذكاء الاصطناعي وأثره في تطوير المنظومة القضائية. مجلة البحوث الفقهية والقانونية، كلية الشريعة والقانون بدمنهور، جامعة الأزهر، (48)، يناير 2025م/1446هـ، 2021–2080.</w:t>
      </w:r>
    </w:p>
    <w:p w14:paraId="38C497B8" w14:textId="77777777" w:rsidR="00C61595" w:rsidRDefault="00000000">
      <w:pPr>
        <w:bidi/>
        <w:jc w:val="both"/>
      </w:pPr>
      <w:r>
        <w:rPr>
          <w:rFonts w:asciiTheme="majorBidi" w:hAnsiTheme="majorBidi" w:cstheme="majorBidi"/>
          <w:color w:val="000000"/>
          <w:sz w:val="24"/>
          <w:szCs w:val="24"/>
          <w:rtl/>
        </w:rPr>
        <w:t>عباس، نهاد فاروق. (2022م). استخدام الذكاء الاصطناعي في تنفيذ العقوبات الجنائية بالنظام السعودي: دراسة مقارنة بالقانون الإماراتي. مجلة قضاء، الجمعية العلمية القضائية السعودية، (28)، محرم 1444هـ/سبتمبر 2022م، 425–488.</w:t>
      </w:r>
    </w:p>
    <w:p w14:paraId="087808B1" w14:textId="77777777" w:rsidR="00C61595" w:rsidRDefault="00000000">
      <w:pPr>
        <w:bidi/>
        <w:jc w:val="both"/>
      </w:pPr>
      <w:r>
        <w:rPr>
          <w:rFonts w:asciiTheme="majorBidi" w:hAnsiTheme="majorBidi" w:cstheme="majorBidi"/>
          <w:color w:val="000000"/>
          <w:sz w:val="24"/>
          <w:szCs w:val="24"/>
          <w:rtl/>
        </w:rPr>
        <w:t>عبد اللطيف، محمد محمد. (2021م). المسئولية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 23–24 مايو 2021م، ومنشور في مجلة البحوث القانونية والاقتصادية بالكلية ذاتها (بنك المعرفة المصري)، المجلد (11)، العدد (1)، ص354 وما بعدها. mjle.journals.ekb.eg/article_217172.html</w:t>
      </w:r>
    </w:p>
    <w:p w14:paraId="7FF22837" w14:textId="77777777" w:rsidR="00C61595" w:rsidRDefault="00000000">
      <w:pPr>
        <w:bidi/>
        <w:jc w:val="both"/>
      </w:pPr>
      <w:r>
        <w:rPr>
          <w:rFonts w:asciiTheme="majorBidi" w:hAnsiTheme="majorBidi" w:cstheme="majorBidi"/>
          <w:color w:val="000000"/>
          <w:sz w:val="24"/>
          <w:szCs w:val="24"/>
          <w:rtl/>
        </w:rPr>
        <w:t>العجماني، أحمد عبد الواحد؛ وسيد، محمد نور الدين. (2024م). استخدام تقنيات الذكاء الاصطناعي في تحقيق العدالة الناجزة في الإمارات العربية المتحدة. مجلة جامعة الشارقة للعلوم القانونية، 21(2)، 429–460. DOI: 10.36394/jls.v21.i2.15</w:t>
      </w:r>
    </w:p>
    <w:p w14:paraId="07FDD5D9" w14:textId="77777777" w:rsidR="00C61595" w:rsidRDefault="00000000">
      <w:pPr>
        <w:bidi/>
        <w:jc w:val="both"/>
      </w:pPr>
      <w:r>
        <w:rPr>
          <w:rFonts w:asciiTheme="majorBidi" w:hAnsiTheme="majorBidi" w:cstheme="majorBidi"/>
          <w:color w:val="000000"/>
          <w:sz w:val="24"/>
          <w:szCs w:val="24"/>
          <w:rtl/>
        </w:rPr>
        <w:t>العرشاني، علي مرشد. (2025م). إمكانات الذكاء الاصطناعي في تطوير العمل القضائي: مقاربة تحليلية لواقع القضاء وتحديات التحول الرقمي. مجلة الباحث العربي، 6(3)، 86–112. DOI: 10.57072/ar.v6i3.175</w:t>
      </w:r>
    </w:p>
    <w:p w14:paraId="46F34DED" w14:textId="77777777" w:rsidR="00C61595" w:rsidRDefault="00000000">
      <w:pPr>
        <w:bidi/>
        <w:jc w:val="both"/>
      </w:pPr>
      <w:r>
        <w:rPr>
          <w:rFonts w:asciiTheme="majorBidi" w:hAnsiTheme="majorBidi" w:cstheme="majorBidi"/>
          <w:color w:val="000000"/>
          <w:sz w:val="24"/>
          <w:szCs w:val="24"/>
          <w:rtl/>
        </w:rPr>
        <w:t>علي، سعاد حسني محمد. (2024م). الذكاء الاصطناعي ودوره في إبرام العقود التجارية. مجلة البحوث القانونية والاقتصادية، كلية الحقوق، جامعة المنصورة، 799 وما بعدها. DOI: 10.21608/mjle.2024.413796</w:t>
      </w:r>
    </w:p>
    <w:p w14:paraId="7F014CE5" w14:textId="77777777" w:rsidR="00C61595" w:rsidRDefault="00000000">
      <w:pPr>
        <w:bidi/>
        <w:jc w:val="both"/>
      </w:pPr>
      <w:r>
        <w:rPr>
          <w:rFonts w:asciiTheme="majorBidi" w:hAnsiTheme="majorBidi" w:cstheme="majorBidi"/>
          <w:color w:val="000000"/>
          <w:sz w:val="24"/>
          <w:szCs w:val="24"/>
          <w:rtl/>
        </w:rPr>
        <w:t>الغامدي، رهف صالح. (2025م). الطبيعة القانونية للعقود الذكية في المملكة العربية السعودية – دراسة تحليلية. مجلة القانون والأعمال الدولية، (57).</w:t>
      </w:r>
    </w:p>
    <w:p w14:paraId="6FEFD830" w14:textId="77777777" w:rsidR="00C61595" w:rsidRDefault="00000000">
      <w:pPr>
        <w:bidi/>
        <w:jc w:val="both"/>
      </w:pPr>
      <w:r>
        <w:rPr>
          <w:rFonts w:asciiTheme="majorBidi" w:hAnsiTheme="majorBidi" w:cstheme="majorBidi"/>
          <w:color w:val="000000"/>
          <w:sz w:val="24"/>
          <w:szCs w:val="24"/>
          <w:rtl/>
        </w:rPr>
        <w:t>الغنامي، نايف بن ناشي. (د.ت). الضوابط القانونية للذكاء الاصطناعي في إبرام المعاملات القانونية. قسم القانون، الجامعة السعودية الإلكترونية.</w:t>
      </w:r>
    </w:p>
    <w:p w14:paraId="5F4591F6" w14:textId="77777777" w:rsidR="00C61595" w:rsidRDefault="00000000">
      <w:pPr>
        <w:bidi/>
        <w:jc w:val="both"/>
      </w:pPr>
      <w:r>
        <w:rPr>
          <w:rFonts w:asciiTheme="majorBidi" w:hAnsiTheme="majorBidi" w:cstheme="majorBidi"/>
          <w:color w:val="000000"/>
          <w:sz w:val="24"/>
          <w:szCs w:val="24"/>
          <w:rtl/>
        </w:rPr>
        <w:t>قاسم، مراد محمد غالب. (2024م). دور الذكاء الاصطناعي في مكافحة الجريمة الإلكترونية: دراسة مقارنة. المجلة العصرية للدراسات القانونية، 2(2)، 90 وما بعدها. DOI: 10.70411/MJLS.2.2.202495</w:t>
      </w:r>
    </w:p>
    <w:p w14:paraId="0AFD7332" w14:textId="77777777" w:rsidR="00C61595" w:rsidRDefault="00000000">
      <w:pPr>
        <w:bidi/>
        <w:jc w:val="both"/>
      </w:pPr>
      <w:r>
        <w:rPr>
          <w:rFonts w:asciiTheme="majorBidi" w:hAnsiTheme="majorBidi" w:cstheme="majorBidi"/>
          <w:color w:val="000000"/>
          <w:sz w:val="24"/>
          <w:szCs w:val="24"/>
          <w:rtl/>
        </w:rPr>
        <w:t>لعقرب، سامية. (2024م). الذكاء الاصطناعي والآثار القانونية المترتبة عن استخدامه. مجلة المحترف لعلوم الرياضة والعلوم الإنسانية والاجتماعية، 11(4)، 236–253.</w:t>
      </w:r>
    </w:p>
    <w:p w14:paraId="3838FD10" w14:textId="77777777" w:rsidR="00C61595" w:rsidRDefault="00000000">
      <w:pPr>
        <w:bidi/>
        <w:jc w:val="both"/>
      </w:pPr>
      <w:r>
        <w:rPr>
          <w:rFonts w:asciiTheme="majorBidi" w:hAnsiTheme="majorBidi" w:cstheme="majorBidi"/>
          <w:color w:val="000000"/>
          <w:sz w:val="24"/>
          <w:szCs w:val="24"/>
          <w:rtl/>
        </w:rPr>
        <w:t>المالكي، خالد بن عبد الرحيم. (2024م).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(47)، أكتوبر 2024م/1446هـ.</w:t>
      </w:r>
    </w:p>
    <w:p w14:paraId="7D51159E" w14:textId="77777777" w:rsidR="00C61595" w:rsidRDefault="00000000">
      <w:pPr>
        <w:bidi/>
        <w:jc w:val="both"/>
      </w:pPr>
      <w:r>
        <w:rPr>
          <w:rFonts w:asciiTheme="majorBidi" w:hAnsiTheme="majorBidi" w:cstheme="majorBidi"/>
          <w:color w:val="000000"/>
          <w:sz w:val="24"/>
          <w:szCs w:val="24"/>
          <w:rtl/>
        </w:rPr>
        <w:t>محمود، سيد أحمد؛ وعناني، مريم عماد. (د.ت). الذكاء الاصطناعي والعمل القضائي – دراسة تحليلية مقارنة. بحث مقدم إلى مؤتمر «التحديات والآفاق القانونية والاقتصادية للذكاء الاصطناعي»، كلية الحقوق، جامعة عين شمس.</w:t>
      </w:r>
    </w:p>
    <w:p w14:paraId="2AB74131" w14:textId="77777777" w:rsidR="00C61595" w:rsidRDefault="00000000">
      <w:pPr>
        <w:bidi/>
        <w:jc w:val="both"/>
      </w:pPr>
      <w:r>
        <w:rPr>
          <w:rFonts w:asciiTheme="majorBidi" w:hAnsiTheme="majorBidi" w:cstheme="majorBidi"/>
          <w:color w:val="000000"/>
          <w:sz w:val="24"/>
          <w:szCs w:val="24"/>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w:t>
      </w:r>
    </w:p>
    <w:p w14:paraId="534CB2C4" w14:textId="77777777" w:rsidR="00C61595" w:rsidRDefault="00000000">
      <w:pPr>
        <w:bidi/>
        <w:jc w:val="both"/>
      </w:pPr>
      <w:r>
        <w:rPr>
          <w:rFonts w:asciiTheme="majorBidi" w:hAnsiTheme="majorBidi" w:cstheme="majorBidi"/>
          <w:color w:val="000000"/>
          <w:sz w:val="24"/>
          <w:szCs w:val="24"/>
          <w:rtl/>
        </w:rPr>
        <w:lastRenderedPageBreak/>
        <w:t>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40(2)، 143–157. DOI: 10.26735/MKQW3049</w:t>
      </w:r>
    </w:p>
    <w:p w14:paraId="4072EB5C" w14:textId="77777777" w:rsidR="00C61595" w:rsidRDefault="00000000">
      <w:pPr>
        <w:bidi/>
        <w:jc w:val="both"/>
      </w:pPr>
      <w:r>
        <w:rPr>
          <w:rFonts w:asciiTheme="majorBidi" w:hAnsiTheme="majorBidi" w:cstheme="majorBidi"/>
          <w:b/>
          <w:bCs/>
          <w:color w:val="000000"/>
          <w:sz w:val="28"/>
          <w:szCs w:val="28"/>
          <w:rtl/>
        </w:rPr>
        <w:t>سادساً: التشريعات والوثائق الأجنبية</w:t>
      </w:r>
    </w:p>
    <w:p w14:paraId="13BC0051" w14:textId="77777777" w:rsidR="00C61595" w:rsidRDefault="00000000">
      <w:pPr>
        <w:bidi/>
        <w:jc w:val="both"/>
      </w:pPr>
      <w:r>
        <w:rPr>
          <w:rFonts w:asciiTheme="majorBidi" w:hAnsiTheme="majorBidi" w:cstheme="majorBidi"/>
          <w:color w:val="000000"/>
          <w:sz w:val="24"/>
          <w:szCs w:val="24"/>
          <w:rtl/>
        </w:rPr>
        <w:t>الاستراتيجية الوطنية للذكاء الاصطناعي 2031، حكومة دولة الإمارات العربية المتحدة، 2017م.</w:t>
      </w:r>
    </w:p>
    <w:p w14:paraId="2E64D960" w14:textId="77777777" w:rsidR="00C61595" w:rsidRDefault="00000000">
      <w:pPr>
        <w:bidi/>
        <w:jc w:val="both"/>
      </w:pPr>
      <w:r>
        <w:rPr>
          <w:rFonts w:asciiTheme="majorBidi" w:hAnsiTheme="majorBidi" w:cstheme="majorBidi"/>
          <w:color w:val="000000"/>
          <w:sz w:val="24"/>
          <w:szCs w:val="24"/>
          <w:rtl/>
        </w:rPr>
        <w:t>المرسوم بقانون اتحادي رقم (45) لسنة 2021م في شأن حماية البيانات الشخصية، دولة الإمارات العربية المتحدة.</w:t>
      </w:r>
    </w:p>
    <w:p w14:paraId="6DF40952" w14:textId="77777777" w:rsidR="00C61595" w:rsidRDefault="00000000">
      <w:pPr>
        <w:bidi/>
        <w:jc w:val="both"/>
      </w:pPr>
      <w:r>
        <w:rPr>
          <w:rFonts w:asciiTheme="majorBidi" w:hAnsiTheme="majorBidi" w:cstheme="majorBidi"/>
          <w:color w:val="000000"/>
          <w:sz w:val="24"/>
          <w:szCs w:val="24"/>
          <w:rtl/>
        </w:rPr>
        <w:t>ميثاق الإمارات لتطوير واستخدام الذكاء الاصطناعي، بوابة التشريعات الإماراتية، 2024م.</w:t>
      </w:r>
    </w:p>
    <w:p w14:paraId="461679A3" w14:textId="77777777" w:rsidR="00C61595" w:rsidRDefault="00000000">
      <w:pPr>
        <w:bidi/>
        <w:jc w:val="both"/>
      </w:pPr>
      <w:r>
        <w:rPr>
          <w:rFonts w:asciiTheme="majorBidi" w:hAnsiTheme="majorBidi" w:cstheme="majorBidi"/>
          <w:color w:val="000000"/>
          <w:sz w:val="24"/>
          <w:szCs w:val="24"/>
          <w:rtl/>
        </w:rPr>
        <w:t>Regulation (EU) 2024/1689 of the European Parliament and of the Council of 13 June 2024 (Artificial Intelligence Act), OJ L, 2024/1689, 12.7.2024.</w:t>
      </w:r>
    </w:p>
    <w:p w14:paraId="67453CF3" w14:textId="77777777" w:rsidR="00C61595" w:rsidRDefault="00000000">
      <w:pPr>
        <w:bidi/>
        <w:jc w:val="both"/>
      </w:pPr>
      <w:r>
        <w:rPr>
          <w:rFonts w:asciiTheme="majorBidi" w:hAnsiTheme="majorBidi" w:cstheme="majorBidi"/>
          <w:color w:val="000000"/>
          <w:sz w:val="24"/>
          <w:szCs w:val="24"/>
          <w:rtl/>
        </w:rPr>
        <w:t>American Bar Association, Standing Committee on Ethics and Professional Responsibility. (2024). Formal Opinion 512: Generative Artificial Intelligence Tools (July 29, 2024).</w:t>
      </w:r>
    </w:p>
    <w:p w14:paraId="68FD44C3" w14:textId="77777777" w:rsidR="00C61595" w:rsidRDefault="00000000">
      <w:pPr>
        <w:bidi/>
        <w:jc w:val="both"/>
      </w:pPr>
      <w:r>
        <w:rPr>
          <w:rFonts w:asciiTheme="majorBidi" w:hAnsiTheme="majorBidi" w:cstheme="majorBidi"/>
          <w:color w:val="000000"/>
          <w:sz w:val="24"/>
          <w:szCs w:val="24"/>
          <w:rtl/>
        </w:rPr>
        <w:t>European Commission for the Efficiency of Justice (CEPEJ). (2018). European Ethical Charter on the Use of Artificial Intelligence in Judicial Systems and their Environment. Council of Europe, Strasbourg.</w:t>
      </w:r>
    </w:p>
    <w:p w14:paraId="66403534" w14:textId="77777777" w:rsidR="00C61595" w:rsidRDefault="00000000">
      <w:pPr>
        <w:bidi/>
        <w:jc w:val="both"/>
      </w:pPr>
      <w:r>
        <w:rPr>
          <w:rFonts w:asciiTheme="majorBidi" w:hAnsiTheme="majorBidi" w:cstheme="majorBidi"/>
          <w:b/>
          <w:bCs/>
          <w:color w:val="000000"/>
          <w:sz w:val="28"/>
          <w:szCs w:val="28"/>
          <w:rtl/>
        </w:rPr>
        <w:t>سابعاً: المراجع الأجنبية</w:t>
      </w:r>
    </w:p>
    <w:p w14:paraId="4846008E" w14:textId="77777777" w:rsidR="00C61595" w:rsidRDefault="00000000">
      <w:pPr>
        <w:bidi/>
        <w:jc w:val="both"/>
      </w:pPr>
      <w:r>
        <w:rPr>
          <w:rFonts w:asciiTheme="majorBidi" w:hAnsiTheme="majorBidi" w:cstheme="majorBidi"/>
          <w:color w:val="000000"/>
          <w:sz w:val="24"/>
          <w:szCs w:val="24"/>
          <w:rtl/>
        </w:rPr>
        <w:t>Dahl, M., Magesh, V., Suzgun, M., &amp; Ho, D. E. (2024). Large legal fictions: Profiling legal hallucinations in large language models. Journal of Legal Analysis, 16(1), 64–93. DOI: 10.1093/jla/laae003</w:t>
      </w:r>
    </w:p>
    <w:p w14:paraId="40901A4F" w14:textId="77777777" w:rsidR="00C61595" w:rsidRDefault="00000000">
      <w:pPr>
        <w:bidi/>
        <w:jc w:val="both"/>
      </w:pPr>
      <w:r>
        <w:rPr>
          <w:rFonts w:asciiTheme="majorBidi" w:hAnsiTheme="majorBidi" w:cstheme="majorBidi"/>
          <w:color w:val="000000"/>
          <w:sz w:val="24"/>
          <w:szCs w:val="24"/>
          <w:rtl/>
        </w:rPr>
        <w:t>Magesh, V., Surani, F., Dahl, M., Suzgun, M., Manning, C. D., &amp; Ho, D. E. (2025). Hallucination-free? Assessing the reliability of leading AI legal research tools. Journal of Empirical Legal Studies, 22(2), 216–242. DOI: 10.1111/jels.12413</w:t>
      </w:r>
    </w:p>
    <w:p w14:paraId="734E108D" w14:textId="77777777" w:rsidR="00C61595" w:rsidRDefault="00000000">
      <w:pPr>
        <w:bidi/>
        <w:jc w:val="both"/>
      </w:pPr>
      <w:r>
        <w:rPr>
          <w:rFonts w:asciiTheme="majorBidi" w:hAnsiTheme="majorBidi" w:cstheme="majorBidi"/>
          <w:b/>
          <w:bCs/>
          <w:color w:val="000000"/>
          <w:sz w:val="28"/>
          <w:szCs w:val="28"/>
          <w:rtl/>
        </w:rPr>
        <w:t>ثامناً: الأحكام والسوابق القضائية العربية والأجنبية</w:t>
      </w:r>
    </w:p>
    <w:p w14:paraId="5743D24B" w14:textId="77777777" w:rsidR="00C61595" w:rsidRPr="004E4318" w:rsidRDefault="00000000">
      <w:pPr>
        <w:bidi/>
        <w:jc w:val="both"/>
      </w:pPr>
      <w:r w:rsidRPr="004E4318">
        <w:rPr>
          <w:rFonts w:asciiTheme="majorBidi" w:hAnsiTheme="majorBidi" w:cstheme="majorBidi"/>
          <w:color w:val="000000"/>
          <w:sz w:val="28"/>
          <w:szCs w:val="28"/>
          <w:rtl/>
        </w:rPr>
        <w:t>المحكمة التجارية (المملكة العربية السعودية). القضية رقم (4470375441) لعام 1444هـ؛ والقضية رقم (4470598782) لعام 1444هـ؛ والقضية رقم (439157315) لعام 1443هـ؛ والقضيتان رقم (4471158470) و(4470812559) لعام 1444هـ. منشورة في البوابة العلمية القضائية sjp.moj.gov.sa (نقلاً عن: الخالدي، 2024م، ص372–393).</w:t>
      </w:r>
    </w:p>
    <w:p w14:paraId="5FE75ED6" w14:textId="77777777" w:rsidR="00C61595" w:rsidRPr="004E4318" w:rsidRDefault="00000000">
      <w:pPr>
        <w:bidi/>
        <w:jc w:val="both"/>
      </w:pPr>
      <w:r w:rsidRPr="004E4318">
        <w:rPr>
          <w:rFonts w:asciiTheme="majorBidi" w:hAnsiTheme="majorBidi" w:cstheme="majorBidi"/>
          <w:color w:val="000000"/>
          <w:sz w:val="28"/>
          <w:szCs w:val="28"/>
          <w:rtl/>
        </w:rPr>
        <w:t>دائرة تجارية (المملكة العربية السعودية). حكم في دعوى توريد أرسى حجية مراسلات «واتساب» الثابت نسبتها إلى مرسلها (المادتان 30 و59 من نظام الإثبات) وقرينة التخلف عن الحضور (المادة 21/2). نشره حساب «أخبار القضاء» المتخصص، 26 أبريل 2026م.</w:t>
      </w:r>
    </w:p>
    <w:p w14:paraId="4A2E1E8B" w14:textId="77777777" w:rsidR="00C61595" w:rsidRPr="004E4318" w:rsidRDefault="00000000">
      <w:pPr>
        <w:bidi/>
        <w:jc w:val="both"/>
      </w:pPr>
      <w:r w:rsidRPr="004E4318">
        <w:rPr>
          <w:rFonts w:asciiTheme="majorBidi" w:hAnsiTheme="majorBidi" w:cstheme="majorBidi"/>
          <w:color w:val="000000"/>
          <w:sz w:val="28"/>
          <w:szCs w:val="28"/>
          <w:rtl/>
        </w:rPr>
        <w:t>محكمة التمييز القطرية، الدائرة المدنية والتجارية. الطعن رقم (275) لسنة 2016م، جلسة 15/11/2017م. (نقلاً عن: بلال، 2023م، ص63).</w:t>
      </w:r>
    </w:p>
    <w:p w14:paraId="66569C6D" w14:textId="77777777" w:rsidR="00C61595" w:rsidRPr="004E4318" w:rsidRDefault="00000000">
      <w:pPr>
        <w:bidi/>
        <w:jc w:val="both"/>
      </w:pPr>
      <w:r w:rsidRPr="004E4318">
        <w:rPr>
          <w:rFonts w:asciiTheme="majorBidi" w:hAnsiTheme="majorBidi" w:cstheme="majorBidi"/>
          <w:color w:val="000000"/>
          <w:sz w:val="28"/>
          <w:szCs w:val="28"/>
          <w:rtl/>
        </w:rPr>
        <w:lastRenderedPageBreak/>
        <w:t>محكمة النقض المصرية، الدوائر التجارية. الطعن رقم (17689) لسنة 89ق، جلسة 10/3/2020م. (نقلاً عن: بلال، 2023م، ص63).</w:t>
      </w:r>
    </w:p>
    <w:p w14:paraId="23BBEAF3" w14:textId="77777777" w:rsidR="00C61595" w:rsidRPr="004E4318" w:rsidRDefault="00000000">
      <w:pPr>
        <w:bidi/>
        <w:jc w:val="both"/>
      </w:pPr>
      <w:r w:rsidRPr="004E4318">
        <w:rPr>
          <w:rFonts w:asciiTheme="majorBidi" w:hAnsiTheme="majorBidi" w:cstheme="majorBidi"/>
          <w:color w:val="000000"/>
          <w:sz w:val="28"/>
          <w:szCs w:val="28"/>
          <w:rtl/>
        </w:rPr>
        <w:t>محكمة النقض الفرنسية. الحكم الصادر سنة 2013م بشأن مسؤولية شركة Google عن نتائج محرك البحث. (نقلاً عن: الشرايري، 2022م، ص369).</w:t>
      </w:r>
    </w:p>
    <w:p w14:paraId="14DDF8D9" w14:textId="77777777" w:rsidR="00C61595" w:rsidRDefault="00000000">
      <w:pPr>
        <w:bidi/>
        <w:jc w:val="both"/>
      </w:pPr>
      <w:r>
        <w:rPr>
          <w:rFonts w:asciiTheme="majorBidi" w:hAnsiTheme="majorBidi" w:cstheme="majorBidi"/>
          <w:color w:val="000000"/>
          <w:sz w:val="24"/>
          <w:szCs w:val="24"/>
          <w:rtl/>
        </w:rPr>
        <w:t>State v. Loomis, 2016 WI 68, 881 N.W.2d 749 (Wis. 2016). (نقلاً عن: عبد الكريم، 2023م، ص22–23).</w:t>
      </w:r>
    </w:p>
    <w:p w14:paraId="7B312E96" w14:textId="77777777" w:rsidR="00C61595" w:rsidRDefault="00000000">
      <w:pPr>
        <w:bidi/>
        <w:jc w:val="both"/>
      </w:pPr>
      <w:r>
        <w:rPr>
          <w:rFonts w:asciiTheme="majorBidi" w:hAnsiTheme="majorBidi" w:cstheme="majorBidi"/>
          <w:color w:val="000000"/>
          <w:sz w:val="24"/>
          <w:szCs w:val="24"/>
          <w:rtl/>
        </w:rPr>
        <w:t>Mata v. Avianca, Inc., 678 F. Supp. 3d 443 (S.D.N.Y. 2023).</w:t>
      </w:r>
    </w:p>
    <w:p w14:paraId="22A0479E" w14:textId="77777777" w:rsidR="00C61595" w:rsidRDefault="00000000">
      <w:pPr>
        <w:bidi/>
        <w:jc w:val="both"/>
      </w:pPr>
      <w:r>
        <w:rPr>
          <w:rFonts w:asciiTheme="majorBidi" w:hAnsiTheme="majorBidi" w:cstheme="majorBidi"/>
          <w:color w:val="000000"/>
          <w:sz w:val="24"/>
          <w:szCs w:val="24"/>
          <w:rtl/>
        </w:rPr>
        <w:t>Park v. Kim, 91 F.4th 610 (2d Cir. 2024).</w:t>
      </w:r>
    </w:p>
    <w:p w14:paraId="79E8475F" w14:textId="77777777" w:rsidR="00C61595" w:rsidRDefault="00000000">
      <w:pPr>
        <w:bidi/>
        <w:jc w:val="both"/>
      </w:pPr>
      <w:r>
        <w:rPr>
          <w:rFonts w:asciiTheme="majorBidi" w:hAnsiTheme="majorBidi" w:cstheme="majorBidi"/>
          <w:color w:val="000000"/>
          <w:sz w:val="24"/>
          <w:szCs w:val="24"/>
          <w:rtl/>
        </w:rPr>
        <w:t>Zhang v. Chen, 2024 BCSC 285 (Can.).</w:t>
      </w:r>
    </w:p>
    <w:p w14:paraId="28D5272E" w14:textId="77777777" w:rsidR="00C61595" w:rsidRDefault="00000000">
      <w:pPr>
        <w:bidi/>
        <w:jc w:val="both"/>
      </w:pPr>
      <w:r>
        <w:rPr>
          <w:rFonts w:asciiTheme="majorBidi" w:hAnsiTheme="majorBidi" w:cstheme="majorBidi"/>
          <w:b/>
          <w:bCs/>
          <w:color w:val="000000"/>
          <w:sz w:val="28"/>
          <w:szCs w:val="28"/>
          <w:rtl/>
        </w:rPr>
        <w:t>تاسعاً: المصادر الإلكترونية</w:t>
      </w:r>
    </w:p>
    <w:p w14:paraId="144CDEC3" w14:textId="77777777" w:rsidR="00C61595" w:rsidRPr="004E4318" w:rsidRDefault="00000000">
      <w:pPr>
        <w:bidi/>
        <w:jc w:val="both"/>
      </w:pPr>
      <w:r w:rsidRPr="004E4318">
        <w:rPr>
          <w:rFonts w:asciiTheme="majorBidi" w:hAnsiTheme="majorBidi" w:cstheme="majorBidi"/>
          <w:color w:val="000000"/>
          <w:sz w:val="28"/>
          <w:szCs w:val="28"/>
          <w:rtl/>
        </w:rPr>
        <w:t>أبو العيد، طاهر. (2022م). الذكاء الاصطناعي والقانون (مقالة علمية ضمن سلسلة المعرفة القانونية). منشورة عبر منصة ResearchGate: researchgate.net/publication/361722936</w:t>
      </w:r>
    </w:p>
    <w:p w14:paraId="640AAA84" w14:textId="77777777" w:rsidR="00C61595" w:rsidRPr="004E4318" w:rsidRDefault="00000000">
      <w:pPr>
        <w:bidi/>
        <w:jc w:val="both"/>
      </w:pPr>
      <w:r w:rsidRPr="004E4318">
        <w:rPr>
          <w:rFonts w:asciiTheme="majorBidi" w:hAnsiTheme="majorBidi" w:cstheme="majorBidi"/>
          <w:color w:val="000000"/>
          <w:sz w:val="28"/>
          <w:szCs w:val="28"/>
          <w:rtl/>
        </w:rPr>
        <w:t>أبو العيد، طاهر. (2023م). دليل الذكاء الاصطناعي لطلبة القانون والباحثين في الوطن العربي (دليل إلكتروني).</w:t>
      </w:r>
    </w:p>
    <w:p w14:paraId="083C7554" w14:textId="77777777" w:rsidR="00C61595" w:rsidRPr="004E4318" w:rsidRDefault="00000000">
      <w:pPr>
        <w:bidi/>
        <w:jc w:val="both"/>
      </w:pPr>
      <w:r w:rsidRPr="004E4318">
        <w:rPr>
          <w:rFonts w:asciiTheme="majorBidi" w:hAnsiTheme="majorBidi" w:cstheme="majorBidi"/>
          <w:color w:val="000000"/>
          <w:sz w:val="28"/>
          <w:szCs w:val="28"/>
          <w:rtl/>
        </w:rPr>
        <w:t>عبد الكريم، ياسين. (2023م). خورزمنة الأحكام القضائية – الذكاء الصناعي القضائي: النهج والتطبيق (دراسة منشورة إلكترونياً عبر منصتي ResearchGate وAcademia). researchgate.net/publication/373392340</w:t>
      </w:r>
    </w:p>
    <w:p w14:paraId="126DD629" w14:textId="77777777" w:rsidR="00C61595" w:rsidRDefault="00000000">
      <w:pPr>
        <w:bidi/>
        <w:jc w:val="both"/>
      </w:pPr>
      <w:r>
        <w:rPr>
          <w:rFonts w:asciiTheme="majorBidi" w:hAnsiTheme="majorBidi" w:cstheme="majorBidi"/>
          <w:color w:val="000000"/>
          <w:sz w:val="24"/>
          <w:szCs w:val="24"/>
          <w:rtl/>
        </w:rPr>
        <w:t>وكالة الأنباء السعودية (واس). (1447هـ/2025م). مركز ناجز يبحث مع سدايا استخدامات الذكاء الاصطناعي في تعزيز الخدمات العدلية والقانونية. خبر رقم N2389574، 10/3/1447هـ. spa.gov.sa (تاريخ الاطلاع: 1/8/2026م).</w:t>
      </w:r>
    </w:p>
    <w:p w14:paraId="1ABD90AE" w14:textId="77777777" w:rsidR="00C61595" w:rsidRDefault="00000000">
      <w:pPr>
        <w:bidi/>
        <w:jc w:val="both"/>
      </w:pPr>
      <w:r>
        <w:rPr>
          <w:rFonts w:asciiTheme="majorBidi" w:hAnsiTheme="majorBidi" w:cstheme="majorBidi"/>
          <w:color w:val="000000"/>
          <w:sz w:val="24"/>
          <w:szCs w:val="24"/>
          <w:rtl/>
        </w:rPr>
        <w:t>صحيفة سبق الإلكترونية. (2026م، 5 أبريل). محكمة الرياض تنظر أول دعوى قضائية بالمملكة ضد نظام ذكاء اصطناعي بتهمة الإساءة والتشهير. sabq.org (تاريخ الاطلاع: 1/8/2026م).</w:t>
      </w:r>
    </w:p>
    <w:p w14:paraId="75641602" w14:textId="77777777" w:rsidR="00C61595" w:rsidRDefault="00000000">
      <w:pPr>
        <w:bidi/>
        <w:jc w:val="both"/>
      </w:pPr>
      <w:r>
        <w:rPr>
          <w:rFonts w:asciiTheme="majorBidi" w:hAnsiTheme="majorBidi" w:cstheme="majorBidi"/>
          <w:color w:val="000000"/>
          <w:sz w:val="24"/>
          <w:szCs w:val="24"/>
          <w:rtl/>
        </w:rPr>
        <w:t>منصة «قانونية» (Qanoniah) — شركة عدالة لتقنية نظم المعلومات. محرك بحث قانوني سعودي بالذكاء الاصطناعي. qanoniah.com؛ وتعريف المنصة في بوابة «مزايا» — الهيئة العامة للمنشآت الصغيرة والمتوسطة (منشآت): mazaya.monshaat.gov.sa/mazaya/13710 (تاريخ الاطلاع: 1/8/2026م).</w:t>
      </w:r>
    </w:p>
    <w:p w14:paraId="1BAD50C7" w14:textId="77777777" w:rsidR="00C61595" w:rsidRDefault="00000000">
      <w:pPr>
        <w:bidi/>
        <w:jc w:val="both"/>
      </w:pPr>
      <w:r>
        <w:rPr>
          <w:rFonts w:asciiTheme="majorBidi" w:hAnsiTheme="majorBidi" w:cstheme="majorBidi"/>
          <w:color w:val="000000"/>
          <w:sz w:val="24"/>
          <w:szCs w:val="24"/>
          <w:rtl/>
        </w:rPr>
        <w:t>منصة «شورى» للحلول القانونية بالذكاء الاصطناعي. shwra.ai (تاريخ الاطلاع: 1/8/2026م).</w:t>
      </w:r>
    </w:p>
    <w:p w14:paraId="6300941E" w14:textId="77777777" w:rsidR="00C61595" w:rsidRDefault="00000000">
      <w:pPr>
        <w:bidi/>
        <w:jc w:val="both"/>
      </w:pPr>
      <w:r>
        <w:rPr>
          <w:rFonts w:asciiTheme="majorBidi" w:hAnsiTheme="majorBidi" w:cstheme="majorBidi"/>
          <w:color w:val="000000"/>
          <w:sz w:val="24"/>
          <w:szCs w:val="24"/>
          <w:rtl/>
        </w:rPr>
        <w:t>منصة «عدالة» للاستشارات القانونية الذكية. smartsearchai.sa (تاريخ الاطلاع: 1/8/2026م).</w:t>
      </w:r>
    </w:p>
    <w:p w14:paraId="283F3B16" w14:textId="77777777" w:rsidR="00C61595" w:rsidRDefault="00000000">
      <w:pPr>
        <w:bidi/>
        <w:jc w:val="both"/>
      </w:pPr>
      <w:r>
        <w:rPr>
          <w:rFonts w:asciiTheme="majorBidi" w:hAnsiTheme="majorBidi" w:cstheme="majorBidi"/>
          <w:color w:val="000000"/>
          <w:sz w:val="24"/>
          <w:szCs w:val="24"/>
          <w:rtl/>
        </w:rPr>
        <w:t>وزارة العدل، المملكة العربية السعودية. مبادرات الوزارة ضمن برامج رؤية 2030 (التحول الرقمي العدلي). moj.gov.sa</w:t>
      </w:r>
    </w:p>
    <w:p w14:paraId="1CCA7BF5" w14:textId="77777777" w:rsidR="00C61595" w:rsidRDefault="00000000">
      <w:pPr>
        <w:bidi/>
        <w:jc w:val="both"/>
      </w:pPr>
      <w:r>
        <w:rPr>
          <w:rFonts w:asciiTheme="majorBidi" w:hAnsiTheme="majorBidi" w:cstheme="majorBidi"/>
          <w:color w:val="000000"/>
          <w:sz w:val="24"/>
          <w:szCs w:val="24"/>
          <w:rtl/>
        </w:rPr>
        <w:t>بوابة التطوير المهني القانوني، حكومة دبي. «السلوك المهني: مقارنة دولية حول اشتراطات التأهيل القانوني». training.legal.dubai.gov.ae</w:t>
      </w:r>
    </w:p>
    <w:p w14:paraId="1F022BFD" w14:textId="77777777" w:rsidR="00C61595" w:rsidRDefault="00000000">
      <w:pPr>
        <w:bidi/>
        <w:jc w:val="both"/>
      </w:pPr>
      <w:r>
        <w:rPr>
          <w:rFonts w:asciiTheme="majorBidi" w:hAnsiTheme="majorBidi" w:cstheme="majorBidi"/>
          <w:color w:val="000000"/>
          <w:sz w:val="24"/>
          <w:szCs w:val="24"/>
          <w:rtl/>
        </w:rPr>
        <w:lastRenderedPageBreak/>
        <w:t>تقرير «الذكاء الاصطناعي باللغة العربية.. هل اقتربنا من نماذج تفهم لهجات المنطقة؟»، الجزيرة نت – قسم تكنولوجيا (22 يوليو 2026م)، aljazeera.net؛ وورقة AceGPT العلمية (arXiv: 2309.12053).</w:t>
      </w:r>
    </w:p>
    <w:p w14:paraId="28952DB3" w14:textId="77777777" w:rsidR="00C61595" w:rsidRDefault="00000000">
      <w:pPr>
        <w:pStyle w:val="1"/>
        <w:pageBreakBefore/>
        <w:jc w:val="center"/>
      </w:pPr>
      <w:bookmarkStart w:id="70" w:name="_Toc237071422"/>
      <w:r>
        <w:rPr>
          <w:rFonts w:asciiTheme="majorBidi" w:hAnsiTheme="majorBidi"/>
          <w:b/>
          <w:bCs/>
          <w:color w:val="000000"/>
          <w:sz w:val="32"/>
          <w:szCs w:val="32"/>
          <w:rtl/>
        </w:rPr>
        <w:lastRenderedPageBreak/>
        <w:t>فهرس الموضوعات</w:t>
      </w:r>
      <w:bookmarkEnd w:id="70"/>
    </w:p>
    <w:p w14:paraId="42305ADB" w14:textId="6EFDB051" w:rsidR="00E128CC" w:rsidRDefault="00000000">
      <w:pPr>
        <w:pStyle w:val="10"/>
        <w:tabs>
          <w:tab w:val="right" w:leader="dot" w:pos="8296"/>
        </w:tabs>
        <w:bidi/>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37071352" w:history="1">
        <w:r w:rsidR="00E128CC" w:rsidRPr="001F5C3C">
          <w:rPr>
            <w:rStyle w:val="Hyperlink"/>
            <w:rFonts w:asciiTheme="majorBidi" w:hAnsiTheme="majorBidi"/>
            <w:b/>
            <w:bCs/>
            <w:noProof/>
            <w:rtl/>
          </w:rPr>
          <w:t>مقدمة الدراسة :</w:t>
        </w:r>
        <w:r w:rsidR="00E128CC">
          <w:rPr>
            <w:noProof/>
            <w:webHidden/>
            <w:rtl/>
          </w:rPr>
          <w:tab/>
        </w:r>
        <w:r w:rsidR="00E128CC">
          <w:rPr>
            <w:rStyle w:val="Hyperlink"/>
            <w:noProof/>
            <w:rtl/>
          </w:rPr>
          <w:fldChar w:fldCharType="begin"/>
        </w:r>
        <w:r w:rsidR="00E128CC">
          <w:rPr>
            <w:noProof/>
            <w:webHidden/>
            <w:rtl/>
          </w:rPr>
          <w:instrText xml:space="preserve"> </w:instrText>
        </w:r>
        <w:r w:rsidR="00E128CC">
          <w:rPr>
            <w:noProof/>
            <w:webHidden/>
          </w:rPr>
          <w:instrText>PAGEREF</w:instrText>
        </w:r>
        <w:r w:rsidR="00E128CC">
          <w:rPr>
            <w:noProof/>
            <w:webHidden/>
            <w:rtl/>
          </w:rPr>
          <w:instrText xml:space="preserve"> _</w:instrText>
        </w:r>
        <w:r w:rsidR="00E128CC">
          <w:rPr>
            <w:noProof/>
            <w:webHidden/>
          </w:rPr>
          <w:instrText>Toc237071352 \h</w:instrText>
        </w:r>
        <w:r w:rsidR="00E128CC">
          <w:rPr>
            <w:noProof/>
            <w:webHidden/>
            <w:rtl/>
          </w:rPr>
          <w:instrText xml:space="preserve"> </w:instrText>
        </w:r>
        <w:r w:rsidR="00E128CC">
          <w:rPr>
            <w:rStyle w:val="Hyperlink"/>
            <w:noProof/>
            <w:rtl/>
          </w:rPr>
        </w:r>
        <w:r w:rsidR="00E128CC">
          <w:rPr>
            <w:rStyle w:val="Hyperlink"/>
            <w:noProof/>
            <w:rtl/>
          </w:rPr>
          <w:fldChar w:fldCharType="separate"/>
        </w:r>
        <w:r w:rsidR="00E128CC">
          <w:rPr>
            <w:noProof/>
            <w:webHidden/>
            <w:rtl/>
          </w:rPr>
          <w:t>2</w:t>
        </w:r>
        <w:r w:rsidR="00E128CC">
          <w:rPr>
            <w:rStyle w:val="Hyperlink"/>
            <w:noProof/>
            <w:rtl/>
          </w:rPr>
          <w:fldChar w:fldCharType="end"/>
        </w:r>
      </w:hyperlink>
    </w:p>
    <w:p w14:paraId="541A4E56" w14:textId="6C1C95E3"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3" w:history="1">
        <w:r w:rsidRPr="001F5C3C">
          <w:rPr>
            <w:rStyle w:val="Hyperlink"/>
            <w:rFonts w:asciiTheme="majorBidi" w:hAnsiTheme="majorBidi"/>
            <w:b/>
            <w:bCs/>
            <w:noProof/>
            <w:rtl/>
          </w:rPr>
          <w:t>مشكلة الدراسة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Toc237071353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103C1DB9" w14:textId="1DCBFCDE"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4" w:history="1">
        <w:r w:rsidRPr="001F5C3C">
          <w:rPr>
            <w:rStyle w:val="Hyperlink"/>
            <w:rFonts w:asciiTheme="majorBidi" w:hAnsiTheme="majorBidi"/>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Toc237071354 \h</w:instrText>
        </w:r>
        <w:r>
          <w:rPr>
            <w:noProof/>
            <w:webHidden/>
            <w:rtl/>
          </w:rPr>
          <w:instrText xml:space="preserve"> </w:instrText>
        </w:r>
        <w:r>
          <w:rPr>
            <w:rStyle w:val="Hyperlink"/>
            <w:noProof/>
            <w:rtl/>
          </w:rPr>
        </w:r>
        <w:r>
          <w:rPr>
            <w:rStyle w:val="Hyperlink"/>
            <w:noProof/>
            <w:rtl/>
          </w:rPr>
          <w:fldChar w:fldCharType="separate"/>
        </w:r>
        <w:r>
          <w:rPr>
            <w:noProof/>
            <w:webHidden/>
            <w:rtl/>
          </w:rPr>
          <w:t>3</w:t>
        </w:r>
        <w:r>
          <w:rPr>
            <w:rStyle w:val="Hyperlink"/>
            <w:noProof/>
            <w:rtl/>
          </w:rPr>
          <w:fldChar w:fldCharType="end"/>
        </w:r>
      </w:hyperlink>
    </w:p>
    <w:p w14:paraId="6D4D0BEF" w14:textId="51871D40"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5" w:history="1">
        <w:r w:rsidRPr="001F5C3C">
          <w:rPr>
            <w:rStyle w:val="Hyperlink"/>
            <w:rFonts w:asciiTheme="majorBidi" w:hAnsiTheme="majorBidi"/>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Toc237071355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3FCFC5D6" w14:textId="2F6D5FA8"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6" w:history="1">
        <w:r w:rsidRPr="001F5C3C">
          <w:rPr>
            <w:rStyle w:val="Hyperlink"/>
            <w:rFonts w:asciiTheme="majorBidi" w:hAnsiTheme="majorBidi"/>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Toc237071356 \h</w:instrText>
        </w:r>
        <w:r>
          <w:rPr>
            <w:noProof/>
            <w:webHidden/>
            <w:rtl/>
          </w:rPr>
          <w:instrText xml:space="preserve"> </w:instrText>
        </w:r>
        <w:r>
          <w:rPr>
            <w:rStyle w:val="Hyperlink"/>
            <w:noProof/>
            <w:rtl/>
          </w:rPr>
        </w:r>
        <w:r>
          <w:rPr>
            <w:rStyle w:val="Hyperlink"/>
            <w:noProof/>
            <w:rtl/>
          </w:rPr>
          <w:fldChar w:fldCharType="separate"/>
        </w:r>
        <w:r>
          <w:rPr>
            <w:noProof/>
            <w:webHidden/>
            <w:rtl/>
          </w:rPr>
          <w:t>4</w:t>
        </w:r>
        <w:r>
          <w:rPr>
            <w:rStyle w:val="Hyperlink"/>
            <w:noProof/>
            <w:rtl/>
          </w:rPr>
          <w:fldChar w:fldCharType="end"/>
        </w:r>
      </w:hyperlink>
    </w:p>
    <w:p w14:paraId="20E57FE1" w14:textId="76784920"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7" w:history="1">
        <w:r w:rsidRPr="001F5C3C">
          <w:rPr>
            <w:rStyle w:val="Hyperlink"/>
            <w:rFonts w:asciiTheme="majorBidi" w:hAnsiTheme="majorBidi"/>
            <w:b/>
            <w:bCs/>
            <w:noProof/>
            <w:rtl/>
          </w:rPr>
          <w:t>منهج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Toc237071357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1F67AC1D" w14:textId="5CAE971C"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8" w:history="1">
        <w:r w:rsidRPr="001F5C3C">
          <w:rPr>
            <w:rStyle w:val="Hyperlink"/>
            <w:rFonts w:asciiTheme="majorBidi" w:hAnsiTheme="majorBidi"/>
            <w:b/>
            <w:bCs/>
            <w:noProof/>
            <w:rtl/>
          </w:rPr>
          <w:t>حدود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Toc237071358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6742920D" w14:textId="4F3985DC" w:rsidR="00E128CC" w:rsidRDefault="00E128CC">
      <w:pPr>
        <w:pStyle w:val="10"/>
        <w:tabs>
          <w:tab w:val="right" w:leader="dot" w:pos="8296"/>
        </w:tabs>
        <w:bidi/>
        <w:rPr>
          <w:rFonts w:eastAsiaTheme="minorEastAsia"/>
          <w:noProof/>
          <w:kern w:val="2"/>
          <w:sz w:val="24"/>
          <w:szCs w:val="24"/>
          <w:rtl/>
          <w14:ligatures w14:val="standardContextual"/>
        </w:rPr>
      </w:pPr>
      <w:hyperlink w:anchor="_Toc237071359" w:history="1">
        <w:r w:rsidRPr="001F5C3C">
          <w:rPr>
            <w:rStyle w:val="Hyperlink"/>
            <w:rFonts w:asciiTheme="majorBidi" w:hAnsiTheme="majorBidi"/>
            <w:b/>
            <w:bCs/>
            <w:noProof/>
            <w:rtl/>
          </w:rPr>
          <w:t>الدراسات المرجعية السابقة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Toc237071359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FE9DB6E" w14:textId="2F3D985B" w:rsidR="00E128CC" w:rsidRDefault="00E128CC">
      <w:pPr>
        <w:pStyle w:val="10"/>
        <w:tabs>
          <w:tab w:val="right" w:leader="dot" w:pos="8296"/>
        </w:tabs>
        <w:bidi/>
        <w:rPr>
          <w:rFonts w:eastAsiaTheme="minorEastAsia"/>
          <w:noProof/>
          <w:kern w:val="2"/>
          <w:sz w:val="24"/>
          <w:szCs w:val="24"/>
          <w:rtl/>
          <w14:ligatures w14:val="standardContextual"/>
        </w:rPr>
      </w:pPr>
      <w:hyperlink w:anchor="_Toc237071360" w:history="1">
        <w:r w:rsidRPr="001F5C3C">
          <w:rPr>
            <w:rStyle w:val="Hyperlink"/>
            <w:rFonts w:asciiTheme="majorBidi" w:hAnsiTheme="majorBidi"/>
            <w:b/>
            <w:bCs/>
            <w:noProof/>
            <w:rtl/>
          </w:rPr>
          <w:t>خطة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Toc237071360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993FB94" w14:textId="5A29B478" w:rsidR="00E128CC" w:rsidRDefault="00E128CC">
      <w:pPr>
        <w:pStyle w:val="10"/>
        <w:tabs>
          <w:tab w:val="right" w:leader="dot" w:pos="8296"/>
        </w:tabs>
        <w:bidi/>
        <w:rPr>
          <w:rFonts w:eastAsiaTheme="minorEastAsia"/>
          <w:noProof/>
          <w:kern w:val="2"/>
          <w:sz w:val="24"/>
          <w:szCs w:val="24"/>
          <w:rtl/>
          <w14:ligatures w14:val="standardContextual"/>
        </w:rPr>
      </w:pPr>
      <w:hyperlink w:anchor="_Toc237071361" w:history="1">
        <w:r w:rsidRPr="001F5C3C">
          <w:rPr>
            <w:rStyle w:val="Hyperlink"/>
            <w:rFonts w:asciiTheme="majorBidi" w:hAnsiTheme="majorBidi"/>
            <w:b/>
            <w:bCs/>
            <w:noProof/>
            <w:rtl/>
          </w:rPr>
          <w:t>الفصل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Toc237071361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D2736E7" w14:textId="6996E8BC" w:rsidR="00E128CC" w:rsidRDefault="00E128CC">
      <w:pPr>
        <w:pStyle w:val="10"/>
        <w:tabs>
          <w:tab w:val="right" w:leader="dot" w:pos="8296"/>
        </w:tabs>
        <w:bidi/>
        <w:rPr>
          <w:rFonts w:eastAsiaTheme="minorEastAsia"/>
          <w:noProof/>
          <w:kern w:val="2"/>
          <w:sz w:val="24"/>
          <w:szCs w:val="24"/>
          <w:rtl/>
          <w14:ligatures w14:val="standardContextual"/>
        </w:rPr>
      </w:pPr>
      <w:hyperlink w:anchor="_Toc237071362" w:history="1">
        <w:r w:rsidRPr="001F5C3C">
          <w:rPr>
            <w:rStyle w:val="Hyperlink"/>
            <w:b/>
            <w:bCs/>
            <w:noProof/>
            <w:rtl/>
          </w:rPr>
          <w:t>النظام القانوني السعودي لاستخدام الذكاء الاصطناعي في مهنة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Toc237071362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74722976" w14:textId="7D13B32C" w:rsidR="00E128CC" w:rsidRDefault="00E128CC">
      <w:pPr>
        <w:pStyle w:val="20"/>
        <w:tabs>
          <w:tab w:val="right" w:leader="dot" w:pos="8296"/>
        </w:tabs>
        <w:bidi/>
        <w:rPr>
          <w:rFonts w:eastAsiaTheme="minorEastAsia"/>
          <w:noProof/>
          <w:kern w:val="2"/>
          <w:sz w:val="24"/>
          <w:szCs w:val="24"/>
          <w:rtl/>
          <w14:ligatures w14:val="standardContextual"/>
        </w:rPr>
      </w:pPr>
      <w:hyperlink w:anchor="_Toc237071363" w:history="1">
        <w:r w:rsidRPr="001F5C3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Toc237071363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AAD8322" w14:textId="23362AA8" w:rsidR="00E128CC" w:rsidRDefault="00E128CC">
      <w:pPr>
        <w:pStyle w:val="20"/>
        <w:tabs>
          <w:tab w:val="right" w:leader="dot" w:pos="8296"/>
        </w:tabs>
        <w:bidi/>
        <w:rPr>
          <w:rFonts w:eastAsiaTheme="minorEastAsia"/>
          <w:noProof/>
          <w:kern w:val="2"/>
          <w:sz w:val="24"/>
          <w:szCs w:val="24"/>
          <w:rtl/>
          <w14:ligatures w14:val="standardContextual"/>
        </w:rPr>
      </w:pPr>
      <w:hyperlink w:anchor="_Toc237071364" w:history="1">
        <w:r w:rsidRPr="001F5C3C">
          <w:rPr>
            <w:rStyle w:val="Hyperlink"/>
            <w:rFonts w:asciiTheme="majorBidi" w:hAnsiTheme="majorBidi"/>
            <w:b/>
            <w:bCs/>
            <w:noProof/>
            <w:rtl/>
          </w:rPr>
          <w:t>الإطار التشريعي لمهنة المحاماة وتقنيات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Toc237071364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4D8CA583" w14:textId="1257C81F" w:rsidR="00E128CC" w:rsidRDefault="00E128CC">
      <w:pPr>
        <w:pStyle w:val="30"/>
        <w:tabs>
          <w:tab w:val="right" w:leader="dot" w:pos="8296"/>
        </w:tabs>
        <w:bidi/>
        <w:rPr>
          <w:rFonts w:eastAsiaTheme="minorEastAsia"/>
          <w:noProof/>
          <w:kern w:val="2"/>
          <w:sz w:val="24"/>
          <w:szCs w:val="24"/>
          <w:rtl/>
          <w14:ligatures w14:val="standardContextual"/>
        </w:rPr>
      </w:pPr>
      <w:hyperlink w:anchor="_Toc237071365"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Toc237071365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27B67D97" w14:textId="73870865" w:rsidR="00E128CC" w:rsidRDefault="00E128CC">
      <w:pPr>
        <w:pStyle w:val="30"/>
        <w:tabs>
          <w:tab w:val="right" w:leader="dot" w:pos="8296"/>
        </w:tabs>
        <w:bidi/>
        <w:rPr>
          <w:rFonts w:eastAsiaTheme="minorEastAsia"/>
          <w:noProof/>
          <w:kern w:val="2"/>
          <w:sz w:val="24"/>
          <w:szCs w:val="24"/>
          <w:rtl/>
          <w14:ligatures w14:val="standardContextual"/>
        </w:rPr>
      </w:pPr>
      <w:hyperlink w:anchor="_Toc237071366" w:history="1">
        <w:r w:rsidRPr="001F5C3C">
          <w:rPr>
            <w:rStyle w:val="Hyperlink"/>
            <w:rFonts w:asciiTheme="majorBidi" w:hAnsiTheme="majorBidi"/>
            <w:b/>
            <w:bCs/>
            <w:noProof/>
            <w:rtl/>
          </w:rPr>
          <w:t>نظام المحاماة واللائحة التنفيذية بوصفهما الإطار القانوني الأساس لممارسة المهنة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1EFCCC05" w14:textId="7E249329" w:rsidR="00E128CC" w:rsidRDefault="00E128CC">
      <w:pPr>
        <w:pStyle w:val="30"/>
        <w:tabs>
          <w:tab w:val="right" w:leader="dot" w:pos="8296"/>
        </w:tabs>
        <w:bidi/>
        <w:rPr>
          <w:rFonts w:eastAsiaTheme="minorEastAsia"/>
          <w:noProof/>
          <w:kern w:val="2"/>
          <w:sz w:val="24"/>
          <w:szCs w:val="24"/>
          <w:rtl/>
          <w14:ligatures w14:val="standardContextual"/>
        </w:rPr>
      </w:pPr>
      <w:hyperlink w:anchor="_Toc237071367"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Toc237071367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32B9E33" w14:textId="00AD4DAA" w:rsidR="00E128CC" w:rsidRDefault="00E128CC">
      <w:pPr>
        <w:pStyle w:val="30"/>
        <w:tabs>
          <w:tab w:val="right" w:leader="dot" w:pos="8296"/>
        </w:tabs>
        <w:bidi/>
        <w:rPr>
          <w:rFonts w:eastAsiaTheme="minorEastAsia"/>
          <w:noProof/>
          <w:kern w:val="2"/>
          <w:sz w:val="24"/>
          <w:szCs w:val="24"/>
          <w:rtl/>
          <w14:ligatures w14:val="standardContextual"/>
        </w:rPr>
      </w:pPr>
      <w:hyperlink w:anchor="_Toc237071368" w:history="1">
        <w:r w:rsidRPr="001F5C3C">
          <w:rPr>
            <w:rStyle w:val="Hyperlink"/>
            <w:rFonts w:asciiTheme="majorBidi" w:hAnsiTheme="majorBidi"/>
            <w:b/>
            <w:bCs/>
            <w:noProof/>
            <w:rtl/>
          </w:rPr>
          <w:t>دور الأنظمة المكملة في تنظيم توظيف الذكاء الاصطناعي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Toc237071368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1B61082F" w14:textId="0E0E4EAC" w:rsidR="00E128CC" w:rsidRDefault="00E128CC">
      <w:pPr>
        <w:pStyle w:val="20"/>
        <w:tabs>
          <w:tab w:val="right" w:leader="dot" w:pos="8296"/>
        </w:tabs>
        <w:bidi/>
        <w:rPr>
          <w:rFonts w:eastAsiaTheme="minorEastAsia"/>
          <w:noProof/>
          <w:kern w:val="2"/>
          <w:sz w:val="24"/>
          <w:szCs w:val="24"/>
          <w:rtl/>
          <w14:ligatures w14:val="standardContextual"/>
        </w:rPr>
      </w:pPr>
      <w:hyperlink w:anchor="_Toc237071369" w:history="1">
        <w:r w:rsidRPr="001F5C3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Toc237071369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7483BE00" w14:textId="7C416BF3" w:rsidR="00E128CC" w:rsidRDefault="00E128CC">
      <w:pPr>
        <w:pStyle w:val="20"/>
        <w:tabs>
          <w:tab w:val="right" w:leader="dot" w:pos="8296"/>
        </w:tabs>
        <w:bidi/>
        <w:rPr>
          <w:rFonts w:eastAsiaTheme="minorEastAsia"/>
          <w:noProof/>
          <w:kern w:val="2"/>
          <w:sz w:val="24"/>
          <w:szCs w:val="24"/>
          <w:rtl/>
          <w14:ligatures w14:val="standardContextual"/>
        </w:rPr>
      </w:pPr>
      <w:hyperlink w:anchor="_Toc237071370" w:history="1">
        <w:r w:rsidRPr="001F5C3C">
          <w:rPr>
            <w:rStyle w:val="Hyperlink"/>
            <w:rFonts w:asciiTheme="majorBidi" w:hAnsiTheme="majorBidi"/>
            <w:b/>
            <w:bCs/>
            <w:noProof/>
            <w:rtl/>
          </w:rPr>
          <w:t>تحليل الفجوات في التنظيم الحالي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Toc237071370 \h</w:instrText>
        </w:r>
        <w:r>
          <w:rPr>
            <w:noProof/>
            <w:webHidden/>
            <w:rtl/>
          </w:rPr>
          <w:instrText xml:space="preserve"> </w:instrText>
        </w:r>
        <w:r>
          <w:rPr>
            <w:rStyle w:val="Hyperlink"/>
            <w:noProof/>
            <w:rtl/>
          </w:rPr>
        </w:r>
        <w:r>
          <w:rPr>
            <w:rStyle w:val="Hyperlink"/>
            <w:noProof/>
            <w:rtl/>
          </w:rPr>
          <w:fldChar w:fldCharType="separate"/>
        </w:r>
        <w:r>
          <w:rPr>
            <w:noProof/>
            <w:webHidden/>
            <w:rtl/>
          </w:rPr>
          <w:t>44</w:t>
        </w:r>
        <w:r>
          <w:rPr>
            <w:rStyle w:val="Hyperlink"/>
            <w:noProof/>
            <w:rtl/>
          </w:rPr>
          <w:fldChar w:fldCharType="end"/>
        </w:r>
      </w:hyperlink>
    </w:p>
    <w:p w14:paraId="7D1CF869" w14:textId="01532F0F" w:rsidR="00E128CC" w:rsidRDefault="00E128CC">
      <w:pPr>
        <w:pStyle w:val="30"/>
        <w:tabs>
          <w:tab w:val="right" w:leader="dot" w:pos="8296"/>
        </w:tabs>
        <w:bidi/>
        <w:rPr>
          <w:rFonts w:eastAsiaTheme="minorEastAsia"/>
          <w:noProof/>
          <w:kern w:val="2"/>
          <w:sz w:val="24"/>
          <w:szCs w:val="24"/>
          <w:rtl/>
          <w14:ligatures w14:val="standardContextual"/>
        </w:rPr>
      </w:pPr>
      <w:hyperlink w:anchor="_Toc237071371"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Toc237071371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5B72E26F" w14:textId="2CD223AB" w:rsidR="00E128CC" w:rsidRDefault="00E128CC">
      <w:pPr>
        <w:pStyle w:val="30"/>
        <w:tabs>
          <w:tab w:val="right" w:leader="dot" w:pos="8296"/>
        </w:tabs>
        <w:bidi/>
        <w:rPr>
          <w:rFonts w:eastAsiaTheme="minorEastAsia"/>
          <w:noProof/>
          <w:kern w:val="2"/>
          <w:sz w:val="24"/>
          <w:szCs w:val="24"/>
          <w:rtl/>
          <w14:ligatures w14:val="standardContextual"/>
        </w:rPr>
      </w:pPr>
      <w:hyperlink w:anchor="_Toc237071372" w:history="1">
        <w:r w:rsidRPr="001F5C3C">
          <w:rPr>
            <w:rStyle w:val="Hyperlink"/>
            <w:rFonts w:asciiTheme="majorBidi" w:hAnsiTheme="majorBidi"/>
            <w:b/>
            <w:bCs/>
            <w:noProof/>
            <w:rtl/>
          </w:rPr>
          <w:t>قصور النصوص التنظيمية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Toc237071372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616593C4" w14:textId="1E4CB22E" w:rsidR="00E128CC" w:rsidRDefault="00E128CC">
      <w:pPr>
        <w:pStyle w:val="30"/>
        <w:tabs>
          <w:tab w:val="right" w:leader="dot" w:pos="8296"/>
        </w:tabs>
        <w:bidi/>
        <w:rPr>
          <w:rFonts w:eastAsiaTheme="minorEastAsia"/>
          <w:noProof/>
          <w:kern w:val="2"/>
          <w:sz w:val="24"/>
          <w:szCs w:val="24"/>
          <w:rtl/>
          <w14:ligatures w14:val="standardContextual"/>
        </w:rPr>
      </w:pPr>
      <w:hyperlink w:anchor="_Toc237071373"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Toc237071373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0E29F12" w14:textId="167D0266" w:rsidR="00E128CC" w:rsidRDefault="00E128CC">
      <w:pPr>
        <w:pStyle w:val="30"/>
        <w:tabs>
          <w:tab w:val="right" w:leader="dot" w:pos="8296"/>
        </w:tabs>
        <w:bidi/>
        <w:rPr>
          <w:rFonts w:eastAsiaTheme="minorEastAsia"/>
          <w:noProof/>
          <w:kern w:val="2"/>
          <w:sz w:val="24"/>
          <w:szCs w:val="24"/>
          <w:rtl/>
          <w14:ligatures w14:val="standardContextual"/>
        </w:rPr>
      </w:pPr>
      <w:hyperlink w:anchor="_Toc237071374" w:history="1">
        <w:r w:rsidRPr="001F5C3C">
          <w:rPr>
            <w:rStyle w:val="Hyperlink"/>
            <w:rFonts w:asciiTheme="majorBidi" w:hAnsiTheme="majorBidi"/>
            <w:b/>
            <w:bCs/>
            <w:noProof/>
            <w:rtl/>
          </w:rPr>
          <w:t>آثار الغياب التنظيمي للذكاء الاصطناعي على ممارسة مهنة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Toc237071374 \h</w:instrText>
        </w:r>
        <w:r>
          <w:rPr>
            <w:noProof/>
            <w:webHidden/>
            <w:rtl/>
          </w:rPr>
          <w:instrText xml:space="preserve">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60FD3959" w14:textId="0D964299" w:rsidR="00E128CC" w:rsidRDefault="00E128CC">
      <w:pPr>
        <w:pStyle w:val="10"/>
        <w:tabs>
          <w:tab w:val="right" w:leader="dot" w:pos="8296"/>
        </w:tabs>
        <w:bidi/>
        <w:rPr>
          <w:rFonts w:eastAsiaTheme="minorEastAsia"/>
          <w:noProof/>
          <w:kern w:val="2"/>
          <w:sz w:val="24"/>
          <w:szCs w:val="24"/>
          <w:rtl/>
          <w14:ligatures w14:val="standardContextual"/>
        </w:rPr>
      </w:pPr>
      <w:hyperlink w:anchor="_Toc237071375" w:history="1">
        <w:r w:rsidRPr="001F5C3C">
          <w:rPr>
            <w:rStyle w:val="Hyperlink"/>
            <w:rFonts w:asciiTheme="majorBidi" w:hAnsiTheme="majorBidi"/>
            <w:b/>
            <w:bCs/>
            <w:noProof/>
            <w:rtl/>
          </w:rPr>
          <w:t>الفصل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Toc237071375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6D8DF3EE" w14:textId="185B22F8" w:rsidR="00E128CC" w:rsidRDefault="00E128CC">
      <w:pPr>
        <w:pStyle w:val="10"/>
        <w:tabs>
          <w:tab w:val="right" w:leader="dot" w:pos="8296"/>
        </w:tabs>
        <w:bidi/>
        <w:rPr>
          <w:rFonts w:eastAsiaTheme="minorEastAsia"/>
          <w:noProof/>
          <w:kern w:val="2"/>
          <w:sz w:val="24"/>
          <w:szCs w:val="24"/>
          <w:rtl/>
          <w14:ligatures w14:val="standardContextual"/>
        </w:rPr>
      </w:pPr>
      <w:hyperlink w:anchor="_Toc237071376" w:history="1">
        <w:r w:rsidRPr="001F5C3C">
          <w:rPr>
            <w:rStyle w:val="Hyperlink"/>
            <w:rFonts w:asciiTheme="majorBidi" w:hAnsiTheme="majorBidi"/>
            <w:b/>
            <w:bCs/>
            <w:noProof/>
            <w:rtl/>
          </w:rPr>
          <w:t>التكييف القانوني والفقهي لمخرجات الذكاء الاصطناعي والمسؤولية النظامية والمهنية للمحامي عند توظيفها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Toc237071376 \h</w:instrText>
        </w:r>
        <w:r>
          <w:rPr>
            <w:noProof/>
            <w:webHidden/>
            <w:rtl/>
          </w:rPr>
          <w:instrText xml:space="preserve"> </w:instrText>
        </w:r>
        <w:r>
          <w:rPr>
            <w:rStyle w:val="Hyperlink"/>
            <w:noProof/>
            <w:rtl/>
          </w:rPr>
        </w:r>
        <w:r>
          <w:rPr>
            <w:rStyle w:val="Hyperlink"/>
            <w:noProof/>
            <w:rtl/>
          </w:rPr>
          <w:fldChar w:fldCharType="separate"/>
        </w:r>
        <w:r>
          <w:rPr>
            <w:noProof/>
            <w:webHidden/>
            <w:rtl/>
          </w:rPr>
          <w:t>63</w:t>
        </w:r>
        <w:r>
          <w:rPr>
            <w:rStyle w:val="Hyperlink"/>
            <w:noProof/>
            <w:rtl/>
          </w:rPr>
          <w:fldChar w:fldCharType="end"/>
        </w:r>
      </w:hyperlink>
    </w:p>
    <w:p w14:paraId="79D3E12D" w14:textId="2ABB166F" w:rsidR="00E128CC" w:rsidRDefault="00E128CC">
      <w:pPr>
        <w:pStyle w:val="20"/>
        <w:tabs>
          <w:tab w:val="right" w:leader="dot" w:pos="8296"/>
        </w:tabs>
        <w:bidi/>
        <w:rPr>
          <w:rFonts w:eastAsiaTheme="minorEastAsia"/>
          <w:noProof/>
          <w:kern w:val="2"/>
          <w:sz w:val="24"/>
          <w:szCs w:val="24"/>
          <w:rtl/>
          <w14:ligatures w14:val="standardContextual"/>
        </w:rPr>
      </w:pPr>
      <w:hyperlink w:anchor="_Toc237071377" w:history="1">
        <w:r w:rsidRPr="001F5C3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Toc237071377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507274F5" w14:textId="695985B0" w:rsidR="00E128CC" w:rsidRDefault="00E128CC">
      <w:pPr>
        <w:pStyle w:val="20"/>
        <w:tabs>
          <w:tab w:val="right" w:leader="dot" w:pos="8296"/>
        </w:tabs>
        <w:bidi/>
        <w:rPr>
          <w:rFonts w:eastAsiaTheme="minorEastAsia"/>
          <w:noProof/>
          <w:kern w:val="2"/>
          <w:sz w:val="24"/>
          <w:szCs w:val="24"/>
          <w:rtl/>
          <w14:ligatures w14:val="standardContextual"/>
        </w:rPr>
      </w:pPr>
      <w:hyperlink w:anchor="_Toc237071378" w:history="1">
        <w:r w:rsidRPr="001F5C3C">
          <w:rPr>
            <w:rStyle w:val="Hyperlink"/>
            <w:rFonts w:asciiTheme="majorBidi" w:hAnsiTheme="majorBidi"/>
            <w:b/>
            <w:bCs/>
            <w:noProof/>
            <w:rtl/>
          </w:rPr>
          <w:t>التكييف النظامي والفقهي للمخرجات الذكية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Toc237071378 \h</w:instrText>
        </w:r>
        <w:r>
          <w:rPr>
            <w:noProof/>
            <w:webHidden/>
            <w:rtl/>
          </w:rPr>
          <w:instrText xml:space="preserve"> </w:instrText>
        </w:r>
        <w:r>
          <w:rPr>
            <w:rStyle w:val="Hyperlink"/>
            <w:noProof/>
            <w:rtl/>
          </w:rPr>
        </w:r>
        <w:r>
          <w:rPr>
            <w:rStyle w:val="Hyperlink"/>
            <w:noProof/>
            <w:rtl/>
          </w:rPr>
          <w:fldChar w:fldCharType="separate"/>
        </w:r>
        <w:r>
          <w:rPr>
            <w:noProof/>
            <w:webHidden/>
            <w:rtl/>
          </w:rPr>
          <w:t>65</w:t>
        </w:r>
        <w:r>
          <w:rPr>
            <w:rStyle w:val="Hyperlink"/>
            <w:noProof/>
            <w:rtl/>
          </w:rPr>
          <w:fldChar w:fldCharType="end"/>
        </w:r>
      </w:hyperlink>
    </w:p>
    <w:p w14:paraId="51FDAD59" w14:textId="597F4ABB" w:rsidR="00E128CC" w:rsidRDefault="00E128CC">
      <w:pPr>
        <w:pStyle w:val="30"/>
        <w:tabs>
          <w:tab w:val="right" w:leader="dot" w:pos="8296"/>
        </w:tabs>
        <w:bidi/>
        <w:rPr>
          <w:rFonts w:eastAsiaTheme="minorEastAsia"/>
          <w:noProof/>
          <w:kern w:val="2"/>
          <w:sz w:val="24"/>
          <w:szCs w:val="24"/>
          <w:rtl/>
          <w14:ligatures w14:val="standardContextual"/>
        </w:rPr>
      </w:pPr>
      <w:hyperlink w:anchor="_Toc237071379"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Toc237071379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0BF02114" w14:textId="0339E65C"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0" w:history="1">
        <w:r w:rsidRPr="001F5C3C">
          <w:rPr>
            <w:rStyle w:val="Hyperlink"/>
            <w:rFonts w:asciiTheme="majorBidi" w:hAnsiTheme="majorBidi"/>
            <w:b/>
            <w:bCs/>
            <w:noProof/>
            <w:rtl/>
          </w:rPr>
          <w:t>حجية العقود والتقارير القانونية المنتجة آليًا</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Toc237071380 \h</w:instrText>
        </w:r>
        <w:r>
          <w:rPr>
            <w:noProof/>
            <w:webHidden/>
            <w:rtl/>
          </w:rPr>
          <w:instrText xml:space="preserve"> </w:instrText>
        </w:r>
        <w:r>
          <w:rPr>
            <w:rStyle w:val="Hyperlink"/>
            <w:noProof/>
            <w:rtl/>
          </w:rPr>
        </w:r>
        <w:r>
          <w:rPr>
            <w:rStyle w:val="Hyperlink"/>
            <w:noProof/>
            <w:rtl/>
          </w:rPr>
          <w:fldChar w:fldCharType="separate"/>
        </w:r>
        <w:r>
          <w:rPr>
            <w:noProof/>
            <w:webHidden/>
            <w:rtl/>
          </w:rPr>
          <w:t>67</w:t>
        </w:r>
        <w:r>
          <w:rPr>
            <w:rStyle w:val="Hyperlink"/>
            <w:noProof/>
            <w:rtl/>
          </w:rPr>
          <w:fldChar w:fldCharType="end"/>
        </w:r>
      </w:hyperlink>
    </w:p>
    <w:p w14:paraId="1631A567" w14:textId="411E4663"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1"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Toc237071381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09A32F8C" w14:textId="457ECFCF"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2" w:history="1">
        <w:r w:rsidRPr="001F5C3C">
          <w:rPr>
            <w:rStyle w:val="Hyperlink"/>
            <w:rFonts w:asciiTheme="majorBidi" w:hAnsiTheme="majorBidi"/>
            <w:b/>
            <w:bCs/>
            <w:noProof/>
            <w:rtl/>
          </w:rPr>
          <w:t>مشروعية استخدامها أمام الجهات القضائية مع الإشارة إلى بعض التجارب الدولية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Toc237071382 \h</w:instrText>
        </w:r>
        <w:r>
          <w:rPr>
            <w:noProof/>
            <w:webHidden/>
            <w:rtl/>
          </w:rPr>
          <w:instrText xml:space="preserve"> </w:instrText>
        </w:r>
        <w:r>
          <w:rPr>
            <w:rStyle w:val="Hyperlink"/>
            <w:noProof/>
            <w:rtl/>
          </w:rPr>
        </w:r>
        <w:r>
          <w:rPr>
            <w:rStyle w:val="Hyperlink"/>
            <w:noProof/>
            <w:rtl/>
          </w:rPr>
          <w:fldChar w:fldCharType="separate"/>
        </w:r>
        <w:r>
          <w:rPr>
            <w:noProof/>
            <w:webHidden/>
            <w:rtl/>
          </w:rPr>
          <w:t>75</w:t>
        </w:r>
        <w:r>
          <w:rPr>
            <w:rStyle w:val="Hyperlink"/>
            <w:noProof/>
            <w:rtl/>
          </w:rPr>
          <w:fldChar w:fldCharType="end"/>
        </w:r>
      </w:hyperlink>
    </w:p>
    <w:p w14:paraId="5463BA24" w14:textId="1D173FD5" w:rsidR="00E128CC" w:rsidRDefault="00E128CC">
      <w:pPr>
        <w:pStyle w:val="20"/>
        <w:tabs>
          <w:tab w:val="right" w:leader="dot" w:pos="8296"/>
        </w:tabs>
        <w:bidi/>
        <w:rPr>
          <w:rFonts w:eastAsiaTheme="minorEastAsia"/>
          <w:noProof/>
          <w:kern w:val="2"/>
          <w:sz w:val="24"/>
          <w:szCs w:val="24"/>
          <w:rtl/>
          <w14:ligatures w14:val="standardContextual"/>
        </w:rPr>
      </w:pPr>
      <w:hyperlink w:anchor="_Toc237071383" w:history="1">
        <w:r w:rsidRPr="001F5C3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Toc237071383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10E8DE55" w14:textId="1FE76EB3" w:rsidR="00E128CC" w:rsidRDefault="00E128CC">
      <w:pPr>
        <w:pStyle w:val="20"/>
        <w:tabs>
          <w:tab w:val="right" w:leader="dot" w:pos="8296"/>
        </w:tabs>
        <w:bidi/>
        <w:rPr>
          <w:rFonts w:eastAsiaTheme="minorEastAsia"/>
          <w:noProof/>
          <w:kern w:val="2"/>
          <w:sz w:val="24"/>
          <w:szCs w:val="24"/>
          <w:rtl/>
          <w14:ligatures w14:val="standardContextual"/>
        </w:rPr>
      </w:pPr>
      <w:hyperlink w:anchor="_Toc237071384" w:history="1">
        <w:r w:rsidRPr="001F5C3C">
          <w:rPr>
            <w:rStyle w:val="Hyperlink"/>
            <w:rFonts w:asciiTheme="majorBidi" w:hAnsiTheme="majorBidi"/>
            <w:b/>
            <w:bCs/>
            <w:noProof/>
            <w:rtl/>
          </w:rPr>
          <w:t>المسؤولية القانونية والمهنية عن استخدام تقنيات الذكاء الاصطناعي في مكاتب المحاماة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Toc237071384 \h</w:instrText>
        </w:r>
        <w:r>
          <w:rPr>
            <w:noProof/>
            <w:webHidden/>
            <w:rtl/>
          </w:rPr>
          <w:instrText xml:space="preserve"> </w:instrText>
        </w:r>
        <w:r>
          <w:rPr>
            <w:rStyle w:val="Hyperlink"/>
            <w:noProof/>
            <w:rtl/>
          </w:rPr>
        </w:r>
        <w:r>
          <w:rPr>
            <w:rStyle w:val="Hyperlink"/>
            <w:noProof/>
            <w:rtl/>
          </w:rPr>
          <w:fldChar w:fldCharType="separate"/>
        </w:r>
        <w:r>
          <w:rPr>
            <w:noProof/>
            <w:webHidden/>
            <w:rtl/>
          </w:rPr>
          <w:t>86</w:t>
        </w:r>
        <w:r>
          <w:rPr>
            <w:rStyle w:val="Hyperlink"/>
            <w:noProof/>
            <w:rtl/>
          </w:rPr>
          <w:fldChar w:fldCharType="end"/>
        </w:r>
      </w:hyperlink>
    </w:p>
    <w:p w14:paraId="50A621E5" w14:textId="5627DA89"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5"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Toc237071385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106F1ED1" w14:textId="24A119EB"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6" w:history="1">
        <w:r w:rsidRPr="001F5C3C">
          <w:rPr>
            <w:rStyle w:val="Hyperlink"/>
            <w:rFonts w:asciiTheme="majorBidi" w:hAnsiTheme="majorBidi"/>
            <w:b/>
            <w:bCs/>
            <w:noProof/>
            <w:rtl/>
          </w:rPr>
          <w:t>المسؤولية المدنية والمهنية للمحامي عند استخدام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Toc237071386 \h</w:instrText>
        </w:r>
        <w:r>
          <w:rPr>
            <w:noProof/>
            <w:webHidden/>
            <w:rtl/>
          </w:rPr>
          <w:instrText xml:space="preserve"> </w:instrText>
        </w:r>
        <w:r>
          <w:rPr>
            <w:rStyle w:val="Hyperlink"/>
            <w:noProof/>
            <w:rtl/>
          </w:rPr>
        </w:r>
        <w:r>
          <w:rPr>
            <w:rStyle w:val="Hyperlink"/>
            <w:noProof/>
            <w:rtl/>
          </w:rPr>
          <w:fldChar w:fldCharType="separate"/>
        </w:r>
        <w:r>
          <w:rPr>
            <w:noProof/>
            <w:webHidden/>
            <w:rtl/>
          </w:rPr>
          <w:t>88</w:t>
        </w:r>
        <w:r>
          <w:rPr>
            <w:rStyle w:val="Hyperlink"/>
            <w:noProof/>
            <w:rtl/>
          </w:rPr>
          <w:fldChar w:fldCharType="end"/>
        </w:r>
      </w:hyperlink>
    </w:p>
    <w:p w14:paraId="11FDFC7D" w14:textId="76591EEB"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7" w:history="1">
        <w:r w:rsidRPr="001F5C3C">
          <w:rPr>
            <w:rStyle w:val="Hyperlink"/>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Toc237071387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57CC029A" w14:textId="390FAED8" w:rsidR="00E128CC" w:rsidRDefault="00E128CC">
      <w:pPr>
        <w:pStyle w:val="30"/>
        <w:tabs>
          <w:tab w:val="right" w:leader="dot" w:pos="8296"/>
        </w:tabs>
        <w:bidi/>
        <w:rPr>
          <w:rFonts w:eastAsiaTheme="minorEastAsia"/>
          <w:noProof/>
          <w:kern w:val="2"/>
          <w:sz w:val="24"/>
          <w:szCs w:val="24"/>
          <w:rtl/>
          <w14:ligatures w14:val="standardContextual"/>
        </w:rPr>
      </w:pPr>
      <w:hyperlink w:anchor="_Toc237071388" w:history="1">
        <w:r w:rsidRPr="001F5C3C">
          <w:rPr>
            <w:rStyle w:val="Hyperlink"/>
            <w:b/>
            <w:bCs/>
            <w:noProof/>
            <w:rtl/>
          </w:rPr>
          <w:t>مسؤولية المطوِّر، والمستخدم، ومقدِّم التقنية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Toc237071388 \h</w:instrText>
        </w:r>
        <w:r>
          <w:rPr>
            <w:noProof/>
            <w:webHidden/>
            <w:rtl/>
          </w:rPr>
          <w:instrText xml:space="preserve"> </w:instrText>
        </w:r>
        <w:r>
          <w:rPr>
            <w:rStyle w:val="Hyperlink"/>
            <w:noProof/>
            <w:rtl/>
          </w:rPr>
        </w:r>
        <w:r>
          <w:rPr>
            <w:rStyle w:val="Hyperlink"/>
            <w:noProof/>
            <w:rtl/>
          </w:rPr>
          <w:fldChar w:fldCharType="separate"/>
        </w:r>
        <w:r>
          <w:rPr>
            <w:noProof/>
            <w:webHidden/>
            <w:rtl/>
          </w:rPr>
          <w:t>97</w:t>
        </w:r>
        <w:r>
          <w:rPr>
            <w:rStyle w:val="Hyperlink"/>
            <w:noProof/>
            <w:rtl/>
          </w:rPr>
          <w:fldChar w:fldCharType="end"/>
        </w:r>
      </w:hyperlink>
    </w:p>
    <w:p w14:paraId="488CBAD1" w14:textId="603A654C" w:rsidR="00E128CC" w:rsidRDefault="00E128CC">
      <w:pPr>
        <w:pStyle w:val="10"/>
        <w:tabs>
          <w:tab w:val="right" w:leader="dot" w:pos="8296"/>
        </w:tabs>
        <w:bidi/>
        <w:rPr>
          <w:rFonts w:eastAsiaTheme="minorEastAsia"/>
          <w:noProof/>
          <w:kern w:val="2"/>
          <w:sz w:val="24"/>
          <w:szCs w:val="24"/>
          <w:rtl/>
          <w14:ligatures w14:val="standardContextual"/>
        </w:rPr>
      </w:pPr>
      <w:hyperlink w:anchor="_Toc237071389" w:history="1">
        <w:r w:rsidRPr="001F5C3C">
          <w:rPr>
            <w:rStyle w:val="Hyperlink"/>
            <w:rFonts w:asciiTheme="majorBidi" w:hAnsiTheme="majorBidi"/>
            <w:b/>
            <w:bCs/>
            <w:noProof/>
            <w:rtl/>
          </w:rPr>
          <w:t>الفصل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Toc237071389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59E7BAD7" w14:textId="133ECE1D" w:rsidR="00E128CC" w:rsidRDefault="00E128CC">
      <w:pPr>
        <w:pStyle w:val="10"/>
        <w:tabs>
          <w:tab w:val="right" w:leader="dot" w:pos="8296"/>
        </w:tabs>
        <w:bidi/>
        <w:rPr>
          <w:rFonts w:eastAsiaTheme="minorEastAsia"/>
          <w:noProof/>
          <w:kern w:val="2"/>
          <w:sz w:val="24"/>
          <w:szCs w:val="24"/>
          <w:rtl/>
          <w14:ligatures w14:val="standardContextual"/>
        </w:rPr>
      </w:pPr>
      <w:hyperlink w:anchor="_Toc237071390" w:history="1">
        <w:r w:rsidRPr="001F5C3C">
          <w:rPr>
            <w:rStyle w:val="Hyperlink"/>
            <w:rFonts w:asciiTheme="majorBidi" w:hAnsiTheme="majorBidi"/>
            <w:b/>
            <w:bCs/>
            <w:noProof/>
            <w:rtl/>
          </w:rPr>
          <w:t>واقع وتحديات استخدام الذكاء الاصطناعي في مكاتب المحاماة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Toc237071390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29F7BEEC" w14:textId="25F06D4E" w:rsidR="00E128CC" w:rsidRDefault="00E128CC">
      <w:pPr>
        <w:pStyle w:val="20"/>
        <w:tabs>
          <w:tab w:val="right" w:leader="dot" w:pos="8296"/>
        </w:tabs>
        <w:bidi/>
        <w:rPr>
          <w:rFonts w:eastAsiaTheme="minorEastAsia"/>
          <w:noProof/>
          <w:kern w:val="2"/>
          <w:sz w:val="24"/>
          <w:szCs w:val="24"/>
          <w:rtl/>
          <w14:ligatures w14:val="standardContextual"/>
        </w:rPr>
      </w:pPr>
      <w:hyperlink w:anchor="_Toc237071391" w:history="1">
        <w:r w:rsidRPr="001F5C3C">
          <w:rPr>
            <w:rStyle w:val="Hyperlink"/>
            <w:rFonts w:asciiTheme="majorBidi" w:hAnsiTheme="majorBidi"/>
            <w:b/>
            <w:bCs/>
            <w:noProof/>
            <w:rtl/>
          </w:rPr>
          <w:t>المبحث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Toc237071391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20641E08" w14:textId="31C728E7" w:rsidR="00E128CC" w:rsidRDefault="00E128CC">
      <w:pPr>
        <w:pStyle w:val="20"/>
        <w:tabs>
          <w:tab w:val="right" w:leader="dot" w:pos="8296"/>
        </w:tabs>
        <w:bidi/>
        <w:rPr>
          <w:rFonts w:eastAsiaTheme="minorEastAsia"/>
          <w:noProof/>
          <w:kern w:val="2"/>
          <w:sz w:val="24"/>
          <w:szCs w:val="24"/>
          <w:rtl/>
          <w14:ligatures w14:val="standardContextual"/>
        </w:rPr>
      </w:pPr>
      <w:hyperlink w:anchor="_Toc237071392" w:history="1">
        <w:r w:rsidRPr="001F5C3C">
          <w:rPr>
            <w:rStyle w:val="Hyperlink"/>
            <w:rFonts w:asciiTheme="majorBidi" w:hAnsiTheme="majorBidi"/>
            <w:b/>
            <w:bCs/>
            <w:noProof/>
            <w:rtl/>
          </w:rPr>
          <w:t>واقع التطبيقات المهنية لأدوات الذكاء الاصطناعي في السوق القانوني 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Toc237071392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BE0D885" w14:textId="7DBBFE5A"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3"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Toc237071393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3BDF4853" w14:textId="65851840"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4" w:history="1">
        <w:r w:rsidRPr="001F5C3C">
          <w:rPr>
            <w:rStyle w:val="Hyperlink"/>
            <w:rFonts w:asciiTheme="majorBidi" w:hAnsiTheme="majorBidi"/>
            <w:b/>
            <w:bCs/>
            <w:noProof/>
            <w:rtl/>
          </w:rPr>
          <w:t>التمييز بين الذكاء الاصطناعي القانوني وما يختلط به من تقنيات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Toc237071394 \h</w:instrText>
        </w:r>
        <w:r>
          <w:rPr>
            <w:noProof/>
            <w:webHidden/>
            <w:rtl/>
          </w:rPr>
          <w:instrText xml:space="preserve"> </w:instrText>
        </w:r>
        <w:r>
          <w:rPr>
            <w:rStyle w:val="Hyperlink"/>
            <w:noProof/>
            <w:rtl/>
          </w:rPr>
        </w:r>
        <w:r>
          <w:rPr>
            <w:rStyle w:val="Hyperlink"/>
            <w:noProof/>
            <w:rtl/>
          </w:rPr>
          <w:fldChar w:fldCharType="separate"/>
        </w:r>
        <w:r>
          <w:rPr>
            <w:noProof/>
            <w:webHidden/>
            <w:rtl/>
          </w:rPr>
          <w:t>103</w:t>
        </w:r>
        <w:r>
          <w:rPr>
            <w:rStyle w:val="Hyperlink"/>
            <w:noProof/>
            <w:rtl/>
          </w:rPr>
          <w:fldChar w:fldCharType="end"/>
        </w:r>
      </w:hyperlink>
    </w:p>
    <w:p w14:paraId="7FE6621A" w14:textId="2A7F6323"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5"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Toc237071395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444E8A5D" w14:textId="6494CC75"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6" w:history="1">
        <w:r w:rsidRPr="001F5C3C">
          <w:rPr>
            <w:rStyle w:val="Hyperlink"/>
            <w:rFonts w:asciiTheme="majorBidi" w:hAnsiTheme="majorBidi"/>
            <w:b/>
            <w:bCs/>
            <w:noProof/>
            <w:rtl/>
          </w:rPr>
          <w:t>أدوات الذكاء الاصطناعي المتداولة في مكاتب المحاماة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Toc237071396 \h</w:instrText>
        </w:r>
        <w:r>
          <w:rPr>
            <w:noProof/>
            <w:webHidden/>
            <w:rtl/>
          </w:rPr>
          <w:instrText xml:space="preserve"> </w:instrText>
        </w:r>
        <w:r>
          <w:rPr>
            <w:rStyle w:val="Hyperlink"/>
            <w:noProof/>
            <w:rtl/>
          </w:rPr>
        </w:r>
        <w:r>
          <w:rPr>
            <w:rStyle w:val="Hyperlink"/>
            <w:noProof/>
            <w:rtl/>
          </w:rPr>
          <w:fldChar w:fldCharType="separate"/>
        </w:r>
        <w:r>
          <w:rPr>
            <w:noProof/>
            <w:webHidden/>
            <w:rtl/>
          </w:rPr>
          <w:t>105</w:t>
        </w:r>
        <w:r>
          <w:rPr>
            <w:rStyle w:val="Hyperlink"/>
            <w:noProof/>
            <w:rtl/>
          </w:rPr>
          <w:fldChar w:fldCharType="end"/>
        </w:r>
      </w:hyperlink>
    </w:p>
    <w:p w14:paraId="141EE2A3" w14:textId="035E56C2"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7" w:history="1">
        <w:r w:rsidRPr="001F5C3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Toc237071397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7FE93A50" w14:textId="235EDFF7"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8" w:history="1">
        <w:r w:rsidRPr="001F5C3C">
          <w:rPr>
            <w:rStyle w:val="Hyperlink"/>
            <w:rFonts w:asciiTheme="majorBidi" w:hAnsiTheme="majorBidi"/>
            <w:b/>
            <w:bCs/>
            <w:noProof/>
            <w:rtl/>
          </w:rPr>
          <w:t>مدى توافق استخدام أدوات الذكاء الاصطناعي مع الأنظمة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Toc237071398 \h</w:instrText>
        </w:r>
        <w:r>
          <w:rPr>
            <w:noProof/>
            <w:webHidden/>
            <w:rtl/>
          </w:rPr>
          <w:instrText xml:space="preserve"> </w:instrText>
        </w:r>
        <w:r>
          <w:rPr>
            <w:rStyle w:val="Hyperlink"/>
            <w:noProof/>
            <w:rtl/>
          </w:rPr>
        </w:r>
        <w:r>
          <w:rPr>
            <w:rStyle w:val="Hyperlink"/>
            <w:noProof/>
            <w:rtl/>
          </w:rPr>
          <w:fldChar w:fldCharType="separate"/>
        </w:r>
        <w:r>
          <w:rPr>
            <w:noProof/>
            <w:webHidden/>
            <w:rtl/>
          </w:rPr>
          <w:t>109</w:t>
        </w:r>
        <w:r>
          <w:rPr>
            <w:rStyle w:val="Hyperlink"/>
            <w:noProof/>
            <w:rtl/>
          </w:rPr>
          <w:fldChar w:fldCharType="end"/>
        </w:r>
      </w:hyperlink>
    </w:p>
    <w:p w14:paraId="316F0A9F" w14:textId="13CC571C" w:rsidR="00E128CC" w:rsidRDefault="00E128CC">
      <w:pPr>
        <w:pStyle w:val="30"/>
        <w:tabs>
          <w:tab w:val="right" w:leader="dot" w:pos="8296"/>
        </w:tabs>
        <w:bidi/>
        <w:rPr>
          <w:rFonts w:eastAsiaTheme="minorEastAsia"/>
          <w:noProof/>
          <w:kern w:val="2"/>
          <w:sz w:val="24"/>
          <w:szCs w:val="24"/>
          <w:rtl/>
          <w14:ligatures w14:val="standardContextual"/>
        </w:rPr>
      </w:pPr>
      <w:hyperlink w:anchor="_Toc237071399" w:history="1">
        <w:r w:rsidRPr="001F5C3C">
          <w:rPr>
            <w:rStyle w:val="Hyperlink"/>
            <w:rFonts w:asciiTheme="majorBidi" w:hAnsiTheme="majorBidi"/>
            <w:b/>
            <w:bCs/>
            <w:noProof/>
            <w:rtl/>
          </w:rPr>
          <w:t>المطلب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Toc237071399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0BF73D79" w14:textId="46A1078F"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0" w:history="1">
        <w:r w:rsidRPr="001F5C3C">
          <w:rPr>
            <w:rStyle w:val="Hyperlink"/>
            <w:rFonts w:asciiTheme="majorBidi" w:hAnsiTheme="majorBidi"/>
            <w:b/>
            <w:bCs/>
            <w:noProof/>
            <w:rtl/>
          </w:rPr>
          <w:t>التكييف النظامي للعقود الذكية في البيئة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Toc237071400 \h</w:instrText>
        </w:r>
        <w:r>
          <w:rPr>
            <w:noProof/>
            <w:webHidden/>
            <w:rtl/>
          </w:rPr>
          <w:instrText xml:space="preserve"> </w:instrText>
        </w:r>
        <w:r>
          <w:rPr>
            <w:rStyle w:val="Hyperlink"/>
            <w:noProof/>
            <w:rtl/>
          </w:rPr>
        </w:r>
        <w:r>
          <w:rPr>
            <w:rStyle w:val="Hyperlink"/>
            <w:noProof/>
            <w:rtl/>
          </w:rPr>
          <w:fldChar w:fldCharType="separate"/>
        </w:r>
        <w:r>
          <w:rPr>
            <w:noProof/>
            <w:webHidden/>
            <w:rtl/>
          </w:rPr>
          <w:t>114</w:t>
        </w:r>
        <w:r>
          <w:rPr>
            <w:rStyle w:val="Hyperlink"/>
            <w:noProof/>
            <w:rtl/>
          </w:rPr>
          <w:fldChar w:fldCharType="end"/>
        </w:r>
      </w:hyperlink>
    </w:p>
    <w:p w14:paraId="26FDF7EA" w14:textId="1B58315A" w:rsidR="00E128CC" w:rsidRDefault="00E128CC">
      <w:pPr>
        <w:pStyle w:val="20"/>
        <w:tabs>
          <w:tab w:val="right" w:leader="dot" w:pos="8296"/>
        </w:tabs>
        <w:bidi/>
        <w:rPr>
          <w:rFonts w:eastAsiaTheme="minorEastAsia"/>
          <w:noProof/>
          <w:kern w:val="2"/>
          <w:sz w:val="24"/>
          <w:szCs w:val="24"/>
          <w:rtl/>
          <w14:ligatures w14:val="standardContextual"/>
        </w:rPr>
      </w:pPr>
      <w:hyperlink w:anchor="_Toc237071401" w:history="1">
        <w:r w:rsidRPr="001F5C3C">
          <w:rPr>
            <w:rStyle w:val="Hyperlink"/>
            <w:rFonts w:asciiTheme="majorBidi" w:hAnsiTheme="majorBidi"/>
            <w:b/>
            <w:bCs/>
            <w:noProof/>
            <w:rtl/>
          </w:rPr>
          <w:t>المبحث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Toc237071401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781CA53F" w14:textId="7D24AFFE" w:rsidR="00E128CC" w:rsidRDefault="00E128CC">
      <w:pPr>
        <w:pStyle w:val="20"/>
        <w:tabs>
          <w:tab w:val="right" w:leader="dot" w:pos="8296"/>
        </w:tabs>
        <w:bidi/>
        <w:rPr>
          <w:rFonts w:eastAsiaTheme="minorEastAsia"/>
          <w:noProof/>
          <w:kern w:val="2"/>
          <w:sz w:val="24"/>
          <w:szCs w:val="24"/>
          <w:rtl/>
          <w14:ligatures w14:val="standardContextual"/>
        </w:rPr>
      </w:pPr>
      <w:hyperlink w:anchor="_Toc237071402" w:history="1">
        <w:r w:rsidRPr="001F5C3C">
          <w:rPr>
            <w:rStyle w:val="Hyperlink"/>
            <w:rFonts w:asciiTheme="majorBidi" w:hAnsiTheme="majorBidi"/>
            <w:b/>
            <w:bCs/>
            <w:noProof/>
            <w:rtl/>
          </w:rPr>
          <w:t>أنماط الاستخدام الفردي غير المنظم وتكييفه النظامي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Toc237071402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7DFC4889" w14:textId="7A3183DF"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3"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Toc237071403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5277AA47" w14:textId="1BA41B8F"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4" w:history="1">
        <w:r w:rsidRPr="001F5C3C">
          <w:rPr>
            <w:rStyle w:val="Hyperlink"/>
            <w:rFonts w:asciiTheme="majorBidi" w:hAnsiTheme="majorBidi"/>
            <w:b/>
            <w:bCs/>
            <w:noProof/>
            <w:rtl/>
          </w:rPr>
          <w:t>صور الاستخدام الفردي ومخاطره القانونية والمهنية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Toc237071404 \h</w:instrText>
        </w:r>
        <w:r>
          <w:rPr>
            <w:noProof/>
            <w:webHidden/>
            <w:rtl/>
          </w:rPr>
          <w:instrText xml:space="preserve"> </w:instrText>
        </w:r>
        <w:r>
          <w:rPr>
            <w:rStyle w:val="Hyperlink"/>
            <w:noProof/>
            <w:rtl/>
          </w:rPr>
        </w:r>
        <w:r>
          <w:rPr>
            <w:rStyle w:val="Hyperlink"/>
            <w:noProof/>
            <w:rtl/>
          </w:rPr>
          <w:fldChar w:fldCharType="separate"/>
        </w:r>
        <w:r>
          <w:rPr>
            <w:noProof/>
            <w:webHidden/>
            <w:rtl/>
          </w:rPr>
          <w:t>115</w:t>
        </w:r>
        <w:r>
          <w:rPr>
            <w:rStyle w:val="Hyperlink"/>
            <w:noProof/>
            <w:rtl/>
          </w:rPr>
          <w:fldChar w:fldCharType="end"/>
        </w:r>
      </w:hyperlink>
    </w:p>
    <w:p w14:paraId="53CC3F08" w14:textId="09CC64C8"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5"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Toc237071405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5D9AFC8E" w14:textId="0043F9B9"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6" w:history="1">
        <w:r w:rsidRPr="001F5C3C">
          <w:rPr>
            <w:rStyle w:val="Hyperlink"/>
            <w:rFonts w:asciiTheme="majorBidi" w:hAnsiTheme="majorBidi"/>
            <w:b/>
            <w:bCs/>
            <w:noProof/>
            <w:rtl/>
          </w:rPr>
          <w:t>التكييف النظامي لممارسات الاستخدام الفردي في ضوء الأنظمة القائمة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Toc237071406 \h</w:instrText>
        </w:r>
        <w:r>
          <w:rPr>
            <w:noProof/>
            <w:webHidden/>
            <w:rtl/>
          </w:rPr>
          <w:instrText xml:space="preserve"> </w:instrText>
        </w:r>
        <w:r>
          <w:rPr>
            <w:rStyle w:val="Hyperlink"/>
            <w:noProof/>
            <w:rtl/>
          </w:rPr>
        </w:r>
        <w:r>
          <w:rPr>
            <w:rStyle w:val="Hyperlink"/>
            <w:noProof/>
            <w:rtl/>
          </w:rPr>
          <w:fldChar w:fldCharType="separate"/>
        </w:r>
        <w:r>
          <w:rPr>
            <w:noProof/>
            <w:webHidden/>
            <w:rtl/>
          </w:rPr>
          <w:t>117</w:t>
        </w:r>
        <w:r>
          <w:rPr>
            <w:rStyle w:val="Hyperlink"/>
            <w:noProof/>
            <w:rtl/>
          </w:rPr>
          <w:fldChar w:fldCharType="end"/>
        </w:r>
      </w:hyperlink>
    </w:p>
    <w:p w14:paraId="1DD7CDF2" w14:textId="2355303C"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7" w:history="1">
        <w:r w:rsidRPr="001F5C3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Toc237071407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7B048824" w14:textId="1F8DE9B4"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8" w:history="1">
        <w:r w:rsidRPr="001F5C3C">
          <w:rPr>
            <w:rStyle w:val="Hyperlink"/>
            <w:rFonts w:asciiTheme="majorBidi" w:hAnsiTheme="majorBidi"/>
            <w:b/>
            <w:bCs/>
            <w:noProof/>
            <w:rtl/>
          </w:rPr>
          <w:t>توزيع المسؤولية بين أطراف منظومة الذكاء الاصطناعي القانوني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Toc237071408 \h</w:instrText>
        </w:r>
        <w:r>
          <w:rPr>
            <w:noProof/>
            <w:webHidden/>
            <w:rtl/>
          </w:rPr>
          <w:instrText xml:space="preserve"> </w:instrText>
        </w:r>
        <w:r>
          <w:rPr>
            <w:rStyle w:val="Hyperlink"/>
            <w:noProof/>
            <w:rtl/>
          </w:rPr>
        </w:r>
        <w:r>
          <w:rPr>
            <w:rStyle w:val="Hyperlink"/>
            <w:noProof/>
            <w:rtl/>
          </w:rPr>
          <w:fldChar w:fldCharType="separate"/>
        </w:r>
        <w:r>
          <w:rPr>
            <w:noProof/>
            <w:webHidden/>
            <w:rtl/>
          </w:rPr>
          <w:t>119</w:t>
        </w:r>
        <w:r>
          <w:rPr>
            <w:rStyle w:val="Hyperlink"/>
            <w:noProof/>
            <w:rtl/>
          </w:rPr>
          <w:fldChar w:fldCharType="end"/>
        </w:r>
      </w:hyperlink>
    </w:p>
    <w:p w14:paraId="77E7B500" w14:textId="40F1E7E7" w:rsidR="00E128CC" w:rsidRDefault="00E128CC">
      <w:pPr>
        <w:pStyle w:val="30"/>
        <w:tabs>
          <w:tab w:val="right" w:leader="dot" w:pos="8296"/>
        </w:tabs>
        <w:bidi/>
        <w:rPr>
          <w:rFonts w:eastAsiaTheme="minorEastAsia"/>
          <w:noProof/>
          <w:kern w:val="2"/>
          <w:sz w:val="24"/>
          <w:szCs w:val="24"/>
          <w:rtl/>
          <w14:ligatures w14:val="standardContextual"/>
        </w:rPr>
      </w:pPr>
      <w:hyperlink w:anchor="_Toc237071409" w:history="1">
        <w:r w:rsidRPr="001F5C3C">
          <w:rPr>
            <w:rStyle w:val="Hyperlink"/>
            <w:rFonts w:asciiTheme="majorBidi" w:hAnsiTheme="majorBidi"/>
            <w:b/>
            <w:bCs/>
            <w:noProof/>
            <w:rtl/>
          </w:rPr>
          <w:t>المطلب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Toc237071409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0F17BECF" w14:textId="76C7AFEB"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0" w:history="1">
        <w:r w:rsidRPr="001F5C3C">
          <w:rPr>
            <w:rStyle w:val="Hyperlink"/>
            <w:rFonts w:asciiTheme="majorBidi" w:hAnsiTheme="majorBidi"/>
            <w:b/>
            <w:bCs/>
            <w:noProof/>
            <w:rtl/>
          </w:rPr>
          <w:t>الضبط الاتفاقي لاستخدام الذكاء الاصطناعي: شرط عدم الاستعانة به في العمل القانوني الفني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Toc237071410 \h</w:instrText>
        </w:r>
        <w:r>
          <w:rPr>
            <w:noProof/>
            <w:webHidden/>
            <w:rtl/>
          </w:rPr>
          <w:instrText xml:space="preserve"> </w:instrText>
        </w:r>
        <w:r>
          <w:rPr>
            <w:rStyle w:val="Hyperlink"/>
            <w:noProof/>
            <w:rtl/>
          </w:rPr>
        </w:r>
        <w:r>
          <w:rPr>
            <w:rStyle w:val="Hyperlink"/>
            <w:noProof/>
            <w:rtl/>
          </w:rPr>
          <w:fldChar w:fldCharType="separate"/>
        </w:r>
        <w:r>
          <w:rPr>
            <w:noProof/>
            <w:webHidden/>
            <w:rtl/>
          </w:rPr>
          <w:t>120</w:t>
        </w:r>
        <w:r>
          <w:rPr>
            <w:rStyle w:val="Hyperlink"/>
            <w:noProof/>
            <w:rtl/>
          </w:rPr>
          <w:fldChar w:fldCharType="end"/>
        </w:r>
      </w:hyperlink>
    </w:p>
    <w:p w14:paraId="1CFFBDC7" w14:textId="64C92FC4" w:rsidR="00E128CC" w:rsidRDefault="00E128CC">
      <w:pPr>
        <w:pStyle w:val="20"/>
        <w:tabs>
          <w:tab w:val="right" w:leader="dot" w:pos="8296"/>
        </w:tabs>
        <w:bidi/>
        <w:rPr>
          <w:rFonts w:eastAsiaTheme="minorEastAsia"/>
          <w:noProof/>
          <w:kern w:val="2"/>
          <w:sz w:val="24"/>
          <w:szCs w:val="24"/>
          <w:rtl/>
          <w14:ligatures w14:val="standardContextual"/>
        </w:rPr>
      </w:pPr>
      <w:hyperlink w:anchor="_Toc237071411" w:history="1">
        <w:r w:rsidRPr="001F5C3C">
          <w:rPr>
            <w:rStyle w:val="Hyperlink"/>
            <w:rFonts w:asciiTheme="majorBidi" w:hAnsiTheme="majorBidi"/>
            <w:b/>
            <w:bCs/>
            <w:noProof/>
            <w:rtl/>
          </w:rPr>
          <w:t>المبحث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Toc237071411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1A204613" w14:textId="7CA30434" w:rsidR="00E128CC" w:rsidRDefault="00E128CC">
      <w:pPr>
        <w:pStyle w:val="20"/>
        <w:tabs>
          <w:tab w:val="right" w:leader="dot" w:pos="8296"/>
        </w:tabs>
        <w:bidi/>
        <w:rPr>
          <w:rFonts w:eastAsiaTheme="minorEastAsia"/>
          <w:noProof/>
          <w:kern w:val="2"/>
          <w:sz w:val="24"/>
          <w:szCs w:val="24"/>
          <w:rtl/>
          <w14:ligatures w14:val="standardContextual"/>
        </w:rPr>
      </w:pPr>
      <w:hyperlink w:anchor="_Toc237071412" w:history="1">
        <w:r w:rsidRPr="001F5C3C">
          <w:rPr>
            <w:rStyle w:val="Hyperlink"/>
            <w:rFonts w:asciiTheme="majorBidi" w:hAnsiTheme="majorBidi"/>
            <w:b/>
            <w:bCs/>
            <w:noProof/>
            <w:rtl/>
          </w:rPr>
          <w:t>التنظيم المقارن والتحديات المستقبلية لتنظيم الذكاء الاصطناعي القانوني في المملكة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Toc237071412 \h</w:instrText>
        </w:r>
        <w:r>
          <w:rPr>
            <w:noProof/>
            <w:webHidden/>
            <w:rtl/>
          </w:rPr>
          <w:instrText xml:space="preserve"> </w:instrText>
        </w:r>
        <w:r>
          <w:rPr>
            <w:rStyle w:val="Hyperlink"/>
            <w:noProof/>
            <w:rtl/>
          </w:rPr>
        </w:r>
        <w:r>
          <w:rPr>
            <w:rStyle w:val="Hyperlink"/>
            <w:noProof/>
            <w:rtl/>
          </w:rPr>
          <w:fldChar w:fldCharType="separate"/>
        </w:r>
        <w:r>
          <w:rPr>
            <w:noProof/>
            <w:webHidden/>
            <w:rtl/>
          </w:rPr>
          <w:t>121</w:t>
        </w:r>
        <w:r>
          <w:rPr>
            <w:rStyle w:val="Hyperlink"/>
            <w:noProof/>
            <w:rtl/>
          </w:rPr>
          <w:fldChar w:fldCharType="end"/>
        </w:r>
      </w:hyperlink>
    </w:p>
    <w:p w14:paraId="632D0504" w14:textId="37314A3B"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3" w:history="1">
        <w:r w:rsidRPr="001F5C3C">
          <w:rPr>
            <w:rStyle w:val="Hyperlink"/>
            <w:rFonts w:asciiTheme="majorBidi" w:hAnsiTheme="majorBidi"/>
            <w:b/>
            <w:bCs/>
            <w:noProof/>
            <w:rtl/>
          </w:rPr>
          <w:t>المطلب 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Toc237071413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51265A8C" w14:textId="194059DB"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4" w:history="1">
        <w:r w:rsidRPr="001F5C3C">
          <w:rPr>
            <w:rStyle w:val="Hyperlink"/>
            <w:rFonts w:asciiTheme="majorBidi" w:hAnsiTheme="majorBidi"/>
            <w:b/>
            <w:bCs/>
            <w:noProof/>
            <w:rtl/>
          </w:rPr>
          <w:t>التجربة الإماراتية والنماذج التنظيمية المقارنة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Toc237071414 \h</w:instrText>
        </w:r>
        <w:r>
          <w:rPr>
            <w:noProof/>
            <w:webHidden/>
            <w:rtl/>
          </w:rPr>
          <w:instrText xml:space="preserve"> </w:instrText>
        </w:r>
        <w:r>
          <w:rPr>
            <w:rStyle w:val="Hyperlink"/>
            <w:noProof/>
            <w:rtl/>
          </w:rPr>
        </w:r>
        <w:r>
          <w:rPr>
            <w:rStyle w:val="Hyperlink"/>
            <w:noProof/>
            <w:rtl/>
          </w:rPr>
          <w:fldChar w:fldCharType="separate"/>
        </w:r>
        <w:r>
          <w:rPr>
            <w:noProof/>
            <w:webHidden/>
            <w:rtl/>
          </w:rPr>
          <w:t>122</w:t>
        </w:r>
        <w:r>
          <w:rPr>
            <w:rStyle w:val="Hyperlink"/>
            <w:noProof/>
            <w:rtl/>
          </w:rPr>
          <w:fldChar w:fldCharType="end"/>
        </w:r>
      </w:hyperlink>
    </w:p>
    <w:p w14:paraId="476C7C82" w14:textId="792B95F4"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5" w:history="1">
        <w:r w:rsidRPr="001F5C3C">
          <w:rPr>
            <w:rStyle w:val="Hyperlink"/>
            <w:rFonts w:asciiTheme="majorBidi" w:hAnsiTheme="majorBidi"/>
            <w:b/>
            <w:bCs/>
            <w:noProof/>
            <w:rtl/>
          </w:rPr>
          <w:t>المطلب 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Toc237071415 \h</w:instrText>
        </w:r>
        <w:r>
          <w:rPr>
            <w:noProof/>
            <w:webHidden/>
            <w:rtl/>
          </w:rPr>
          <w:instrText xml:space="preserve"> </w:instrText>
        </w:r>
        <w:r>
          <w:rPr>
            <w:rStyle w:val="Hyperlink"/>
            <w:noProof/>
            <w:rtl/>
          </w:rPr>
        </w:r>
        <w:r>
          <w:rPr>
            <w:rStyle w:val="Hyperlink"/>
            <w:noProof/>
            <w:rtl/>
          </w:rPr>
          <w:fldChar w:fldCharType="separate"/>
        </w:r>
        <w:r>
          <w:rPr>
            <w:noProof/>
            <w:webHidden/>
            <w:rtl/>
          </w:rPr>
          <w:t>123</w:t>
        </w:r>
        <w:r>
          <w:rPr>
            <w:rStyle w:val="Hyperlink"/>
            <w:noProof/>
            <w:rtl/>
          </w:rPr>
          <w:fldChar w:fldCharType="end"/>
        </w:r>
      </w:hyperlink>
    </w:p>
    <w:p w14:paraId="27F1644A" w14:textId="53DB70CD"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6" w:history="1">
        <w:r w:rsidRPr="001F5C3C">
          <w:rPr>
            <w:rStyle w:val="Hyperlink"/>
            <w:rFonts w:asciiTheme="majorBidi" w:hAnsiTheme="majorBidi"/>
            <w:b/>
            <w:bCs/>
            <w:noProof/>
            <w:rtl/>
          </w:rPr>
          <w:t>المنظومة المؤسسية السعودية لحوكمة الذكاء الاصطناعي في القطاع القانوني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Toc237071416 \h</w:instrText>
        </w:r>
        <w:r>
          <w:rPr>
            <w:noProof/>
            <w:webHidden/>
            <w:rtl/>
          </w:rPr>
          <w:instrText xml:space="preserve"> </w:instrText>
        </w:r>
        <w:r>
          <w:rPr>
            <w:rStyle w:val="Hyperlink"/>
            <w:noProof/>
            <w:rtl/>
          </w:rPr>
        </w:r>
        <w:r>
          <w:rPr>
            <w:rStyle w:val="Hyperlink"/>
            <w:noProof/>
            <w:rtl/>
          </w:rPr>
          <w:fldChar w:fldCharType="separate"/>
        </w:r>
        <w:r>
          <w:rPr>
            <w:noProof/>
            <w:webHidden/>
            <w:rtl/>
          </w:rPr>
          <w:t>123</w:t>
        </w:r>
        <w:r>
          <w:rPr>
            <w:rStyle w:val="Hyperlink"/>
            <w:noProof/>
            <w:rtl/>
          </w:rPr>
          <w:fldChar w:fldCharType="end"/>
        </w:r>
      </w:hyperlink>
    </w:p>
    <w:p w14:paraId="72A13549" w14:textId="59C1F22D"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7" w:history="1">
        <w:r w:rsidRPr="001F5C3C">
          <w:rPr>
            <w:rStyle w:val="Hyperlink"/>
            <w:rFonts w:asciiTheme="majorBidi" w:hAnsiTheme="majorBidi"/>
            <w:b/>
            <w:bCs/>
            <w:noProof/>
            <w:rtl/>
          </w:rPr>
          <w:t>المطلب 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Toc237071417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2D861985" w14:textId="0FB9285D" w:rsidR="00E128CC" w:rsidRDefault="00E128CC">
      <w:pPr>
        <w:pStyle w:val="30"/>
        <w:tabs>
          <w:tab w:val="right" w:leader="dot" w:pos="8296"/>
        </w:tabs>
        <w:bidi/>
        <w:rPr>
          <w:rFonts w:eastAsiaTheme="minorEastAsia"/>
          <w:noProof/>
          <w:kern w:val="2"/>
          <w:sz w:val="24"/>
          <w:szCs w:val="24"/>
          <w:rtl/>
          <w14:ligatures w14:val="standardContextual"/>
        </w:rPr>
      </w:pPr>
      <w:hyperlink w:anchor="_Toc237071418" w:history="1">
        <w:r w:rsidRPr="001F5C3C">
          <w:rPr>
            <w:rStyle w:val="Hyperlink"/>
            <w:rFonts w:asciiTheme="majorBidi" w:hAnsiTheme="majorBidi"/>
            <w:b/>
            <w:bCs/>
            <w:noProof/>
            <w:rtl/>
          </w:rPr>
          <w:t>الضوابط الشرعية والتحديات الأخلاقية ومتطلبات التأهيل المهني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Toc237071418 \h</w:instrText>
        </w:r>
        <w:r>
          <w:rPr>
            <w:noProof/>
            <w:webHidden/>
            <w:rtl/>
          </w:rPr>
          <w:instrText xml:space="preserve"> </w:instrText>
        </w:r>
        <w:r>
          <w:rPr>
            <w:rStyle w:val="Hyperlink"/>
            <w:noProof/>
            <w:rtl/>
          </w:rPr>
        </w:r>
        <w:r>
          <w:rPr>
            <w:rStyle w:val="Hyperlink"/>
            <w:noProof/>
            <w:rtl/>
          </w:rPr>
          <w:fldChar w:fldCharType="separate"/>
        </w:r>
        <w:r>
          <w:rPr>
            <w:noProof/>
            <w:webHidden/>
            <w:rtl/>
          </w:rPr>
          <w:t>124</w:t>
        </w:r>
        <w:r>
          <w:rPr>
            <w:rStyle w:val="Hyperlink"/>
            <w:noProof/>
            <w:rtl/>
          </w:rPr>
          <w:fldChar w:fldCharType="end"/>
        </w:r>
      </w:hyperlink>
    </w:p>
    <w:p w14:paraId="0C8DE1A8" w14:textId="4CCA1066" w:rsidR="00E128CC" w:rsidRDefault="00E128CC">
      <w:pPr>
        <w:pStyle w:val="10"/>
        <w:tabs>
          <w:tab w:val="right" w:leader="dot" w:pos="8296"/>
        </w:tabs>
        <w:bidi/>
        <w:rPr>
          <w:rFonts w:eastAsiaTheme="minorEastAsia"/>
          <w:noProof/>
          <w:kern w:val="2"/>
          <w:sz w:val="24"/>
          <w:szCs w:val="24"/>
          <w:rtl/>
          <w14:ligatures w14:val="standardContextual"/>
        </w:rPr>
      </w:pPr>
      <w:hyperlink w:anchor="_Toc237071419" w:history="1">
        <w:r w:rsidRPr="001F5C3C">
          <w:rPr>
            <w:rStyle w:val="Hyperlink"/>
            <w:rFonts w:asciiTheme="majorBidi" w:hAnsiTheme="majorBidi"/>
            <w:b/>
            <w:bCs/>
            <w:noProof/>
            <w:rtl/>
          </w:rPr>
          <w:t>الفصل الرابع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Toc237071419 \h</w:instrText>
        </w:r>
        <w:r>
          <w:rPr>
            <w:noProof/>
            <w:webHidden/>
            <w:rtl/>
          </w:rPr>
          <w:instrText xml:space="preserve"> </w:instrText>
        </w:r>
        <w:r>
          <w:rPr>
            <w:rStyle w:val="Hyperlink"/>
            <w:noProof/>
            <w:rtl/>
          </w:rPr>
        </w:r>
        <w:r>
          <w:rPr>
            <w:rStyle w:val="Hyperlink"/>
            <w:noProof/>
            <w:rtl/>
          </w:rPr>
          <w:fldChar w:fldCharType="separate"/>
        </w:r>
        <w:r>
          <w:rPr>
            <w:noProof/>
            <w:webHidden/>
            <w:rtl/>
          </w:rPr>
          <w:t>129</w:t>
        </w:r>
        <w:r>
          <w:rPr>
            <w:rStyle w:val="Hyperlink"/>
            <w:noProof/>
            <w:rtl/>
          </w:rPr>
          <w:fldChar w:fldCharType="end"/>
        </w:r>
      </w:hyperlink>
    </w:p>
    <w:p w14:paraId="3A169172" w14:textId="09ECECBD" w:rsidR="00E128CC" w:rsidRDefault="00E128CC">
      <w:pPr>
        <w:pStyle w:val="10"/>
        <w:tabs>
          <w:tab w:val="right" w:leader="dot" w:pos="8296"/>
        </w:tabs>
        <w:bidi/>
        <w:rPr>
          <w:rFonts w:eastAsiaTheme="minorEastAsia"/>
          <w:noProof/>
          <w:kern w:val="2"/>
          <w:sz w:val="24"/>
          <w:szCs w:val="24"/>
          <w:rtl/>
          <w14:ligatures w14:val="standardContextual"/>
        </w:rPr>
      </w:pPr>
      <w:hyperlink w:anchor="_Toc237071420" w:history="1">
        <w:r w:rsidRPr="001F5C3C">
          <w:rPr>
            <w:rStyle w:val="Hyperlink"/>
            <w:rFonts w:asciiTheme="majorBidi" w:hAnsiTheme="majorBidi"/>
            <w:b/>
            <w:bCs/>
            <w:noProof/>
            <w:rtl/>
          </w:rPr>
          <w:t>التصور التنظيمي المقترح لتوظيف الذكاء الاصطناعي في مكاتب المحاماة في المملكة العربية السعودية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Toc237071420 \h</w:instrText>
        </w:r>
        <w:r>
          <w:rPr>
            <w:noProof/>
            <w:webHidden/>
            <w:rtl/>
          </w:rPr>
          <w:instrText xml:space="preserve"> </w:instrText>
        </w:r>
        <w:r>
          <w:rPr>
            <w:rStyle w:val="Hyperlink"/>
            <w:noProof/>
            <w:rtl/>
          </w:rPr>
        </w:r>
        <w:r>
          <w:rPr>
            <w:rStyle w:val="Hyperlink"/>
            <w:noProof/>
            <w:rtl/>
          </w:rPr>
          <w:fldChar w:fldCharType="separate"/>
        </w:r>
        <w:r>
          <w:rPr>
            <w:noProof/>
            <w:webHidden/>
            <w:rtl/>
          </w:rPr>
          <w:t>129</w:t>
        </w:r>
        <w:r>
          <w:rPr>
            <w:rStyle w:val="Hyperlink"/>
            <w:noProof/>
            <w:rtl/>
          </w:rPr>
          <w:fldChar w:fldCharType="end"/>
        </w:r>
      </w:hyperlink>
    </w:p>
    <w:p w14:paraId="0ED68AB9" w14:textId="58721225" w:rsidR="00E128CC" w:rsidRDefault="00E128CC">
      <w:pPr>
        <w:pStyle w:val="10"/>
        <w:tabs>
          <w:tab w:val="right" w:leader="dot" w:pos="8296"/>
        </w:tabs>
        <w:bidi/>
        <w:rPr>
          <w:rFonts w:eastAsiaTheme="minorEastAsia"/>
          <w:noProof/>
          <w:kern w:val="2"/>
          <w:sz w:val="24"/>
          <w:szCs w:val="24"/>
          <w:rtl/>
          <w14:ligatures w14:val="standardContextual"/>
        </w:rPr>
      </w:pPr>
      <w:hyperlink w:anchor="_Toc237071421" w:history="1">
        <w:r w:rsidRPr="001F5C3C">
          <w:rPr>
            <w:rStyle w:val="Hyperlink"/>
            <w:rFonts w:asciiTheme="majorBidi" w:hAnsiTheme="majorBidi"/>
            <w:b/>
            <w:bCs/>
            <w:noProof/>
            <w:rtl/>
          </w:rPr>
          <w:t>قائمة المصادر والمراجع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Toc237071421 \h</w:instrText>
        </w:r>
        <w:r>
          <w:rPr>
            <w:noProof/>
            <w:webHidden/>
            <w:rtl/>
          </w:rPr>
          <w:instrText xml:space="preserve"> </w:instrText>
        </w:r>
        <w:r>
          <w:rPr>
            <w:rStyle w:val="Hyperlink"/>
            <w:noProof/>
            <w:rtl/>
          </w:rPr>
        </w:r>
        <w:r>
          <w:rPr>
            <w:rStyle w:val="Hyperlink"/>
            <w:noProof/>
            <w:rtl/>
          </w:rPr>
          <w:fldChar w:fldCharType="separate"/>
        </w:r>
        <w:r>
          <w:rPr>
            <w:noProof/>
            <w:webHidden/>
            <w:rtl/>
          </w:rPr>
          <w:t>130</w:t>
        </w:r>
        <w:r>
          <w:rPr>
            <w:rStyle w:val="Hyperlink"/>
            <w:noProof/>
            <w:rtl/>
          </w:rPr>
          <w:fldChar w:fldCharType="end"/>
        </w:r>
      </w:hyperlink>
    </w:p>
    <w:p w14:paraId="5794998C" w14:textId="451C921E" w:rsidR="00E128CC" w:rsidRDefault="00E128CC">
      <w:pPr>
        <w:pStyle w:val="10"/>
        <w:tabs>
          <w:tab w:val="right" w:leader="dot" w:pos="8296"/>
        </w:tabs>
        <w:bidi/>
        <w:rPr>
          <w:rFonts w:eastAsiaTheme="minorEastAsia"/>
          <w:noProof/>
          <w:kern w:val="2"/>
          <w:sz w:val="24"/>
          <w:szCs w:val="24"/>
          <w:rtl/>
          <w14:ligatures w14:val="standardContextual"/>
        </w:rPr>
      </w:pPr>
      <w:hyperlink w:anchor="_Toc237071422" w:history="1">
        <w:r w:rsidRPr="001F5C3C">
          <w:rPr>
            <w:rStyle w:val="Hyperlink"/>
            <w:rFonts w:asciiTheme="majorBidi" w:hAnsiTheme="majorBidi"/>
            <w:b/>
            <w:bCs/>
            <w:noProof/>
            <w:rtl/>
          </w:rPr>
          <w:t>فهرس الموضوعات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Toc237071422 \h</w:instrText>
        </w:r>
        <w:r>
          <w:rPr>
            <w:noProof/>
            <w:webHidden/>
            <w:rtl/>
          </w:rPr>
          <w:instrText xml:space="preserve"> </w:instrText>
        </w:r>
        <w:r>
          <w:rPr>
            <w:rStyle w:val="Hyperlink"/>
            <w:noProof/>
            <w:rtl/>
          </w:rPr>
        </w:r>
        <w:r>
          <w:rPr>
            <w:rStyle w:val="Hyperlink"/>
            <w:noProof/>
            <w:rtl/>
          </w:rPr>
          <w:fldChar w:fldCharType="separate"/>
        </w:r>
        <w:r>
          <w:rPr>
            <w:noProof/>
            <w:webHidden/>
            <w:rtl/>
          </w:rPr>
          <w:t>136</w:t>
        </w:r>
        <w:r>
          <w:rPr>
            <w:rStyle w:val="Hyperlink"/>
            <w:noProof/>
            <w:rtl/>
          </w:rPr>
          <w:fldChar w:fldCharType="end"/>
        </w:r>
      </w:hyperlink>
    </w:p>
    <w:p w14:paraId="47B88054" w14:textId="7AD36E7E" w:rsidR="00C61595" w:rsidRDefault="00000000">
      <w:pPr>
        <w:bidi/>
      </w:pPr>
      <w:r>
        <w:fldChar w:fldCharType="end"/>
      </w:r>
    </w:p>
    <w:sectPr w:rsidR="00C61595" w:rsidSect="00830A22">
      <w:footerReference w:type="default" r:id="rId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91393" w14:textId="77777777" w:rsidR="00DF18ED" w:rsidRDefault="00DF18ED" w:rsidP="00ED5C01">
      <w:pPr>
        <w:spacing w:after="0" w:line="240" w:lineRule="auto"/>
      </w:pPr>
      <w:r>
        <w:separator/>
      </w:r>
    </w:p>
  </w:endnote>
  <w:endnote w:type="continuationSeparator" w:id="0">
    <w:p w14:paraId="5C4C925D" w14:textId="77777777" w:rsidR="00DF18ED" w:rsidRDefault="00DF18ED"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6942E1AE" w14:textId="77777777" w:rsidR="00575B64" w:rsidRDefault="00575B64">
        <w:pPr>
          <w:pStyle w:val="ad"/>
        </w:pPr>
        <w:r>
          <w:fldChar w:fldCharType="begin"/>
        </w:r>
        <w:r>
          <w:instrText>PAGE   \* MERGEFORMAT</w:instrText>
        </w:r>
        <w:r>
          <w:fldChar w:fldCharType="separate"/>
        </w:r>
        <w:r>
          <w:rPr>
            <w:rtl/>
            <w:lang w:val="ar-SA"/>
          </w:rPr>
          <w:t>2</w:t>
        </w:r>
        <w:r>
          <w:fldChar w:fldCharType="end"/>
        </w:r>
      </w:p>
    </w:sdtContent>
  </w:sdt>
  <w:p w14:paraId="45D8CB65" w14:textId="77777777" w:rsidR="00575B64" w:rsidRDefault="00575B64">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D7199" w14:textId="77777777" w:rsidR="00DF18ED" w:rsidRDefault="00DF18ED" w:rsidP="00ED5C01">
      <w:pPr>
        <w:spacing w:after="0" w:line="240" w:lineRule="auto"/>
      </w:pPr>
      <w:r>
        <w:separator/>
      </w:r>
    </w:p>
  </w:footnote>
  <w:footnote w:type="continuationSeparator" w:id="0">
    <w:p w14:paraId="38A10F4F" w14:textId="77777777" w:rsidR="00DF18ED" w:rsidRDefault="00DF18ED" w:rsidP="00ED5C01">
      <w:pPr>
        <w:spacing w:after="0" w:line="240" w:lineRule="auto"/>
      </w:pPr>
      <w:r>
        <w:continuationSeparator/>
      </w:r>
    </w:p>
  </w:footnote>
  <w:footnote w:id="1">
    <w:p w14:paraId="78A12015" w14:textId="77777777" w:rsidR="00F219B4" w:rsidRPr="007E3A21" w:rsidRDefault="00F219B4" w:rsidP="003A558F">
      <w:pPr>
        <w:numPr>
          <w:ilvl w:val="0"/>
          <w:numId w:val="1"/>
        </w:numPr>
        <w:bidi/>
        <w:rPr>
          <w:sz w:val="18"/>
          <w:szCs w:val="18"/>
        </w:rPr>
      </w:pPr>
      <w:r w:rsidRPr="007E3A21">
        <w:rPr>
          <w:sz w:val="18"/>
          <w:szCs w:val="18"/>
          <w:rtl/>
        </w:rPr>
        <w:t xml:space="preserve"> الهيئة السعودية للبيانات والذكاء الاصطناعي (سدايا) (2023م). مبادئ أخلاقيات الذكاء الاصطناعي. الرياض: سدايا، الإصدار الأول، سبتمبر 2023م، ص19.</w:t>
      </w:r>
    </w:p>
  </w:footnote>
  <w:footnote w:id="2">
    <w:p w14:paraId="5858BD97" w14:textId="77777777" w:rsidR="00A94FD1" w:rsidRPr="007E3A21" w:rsidRDefault="00A94FD1" w:rsidP="003A558F">
      <w:pPr>
        <w:numPr>
          <w:ilvl w:val="0"/>
          <w:numId w:val="1"/>
        </w:numPr>
        <w:bidi/>
        <w:rPr>
          <w:sz w:val="18"/>
          <w:szCs w:val="18"/>
        </w:rPr>
      </w:pPr>
      <w:r w:rsidRPr="007E3A21">
        <w:rPr>
          <w:sz w:val="18"/>
          <w:szCs w:val="18"/>
          <w:rtl/>
        </w:rPr>
        <w:t xml:space="preserve"> نظام المحاماة، الصادر بالمرسوم الملكي رقم (م/38) وتاريخ 28/7/1422هـ، المادة (الحادية والأربعون).</w:t>
      </w:r>
    </w:p>
  </w:footnote>
  <w:footnote w:id="3">
    <w:p w14:paraId="5F6E1C5A" w14:textId="2EC85DB6" w:rsidR="00A94FD1" w:rsidRPr="007E3A21" w:rsidRDefault="00A94FD1" w:rsidP="003A558F">
      <w:pPr>
        <w:bidi/>
        <w:rPr>
          <w:sz w:val="18"/>
          <w:szCs w:val="18"/>
          <w:rtl/>
        </w:rPr>
      </w:pPr>
      <w:r w:rsidRPr="007E3A21">
        <w:rPr>
          <w:rStyle w:val="af"/>
          <w:sz w:val="18"/>
          <w:szCs w:val="18"/>
          <w:rtl/>
        </w:rPr>
        <w:footnoteRef/>
      </w:r>
      <w:r w:rsidRPr="007E3A21">
        <w:rPr>
          <w:sz w:val="18"/>
          <w:szCs w:val="18"/>
        </w:rPr>
        <w:t xml:space="preserve"> المالكي، خالد بن عبد الرحيم (2024م). المسؤولية المدنية عن فعل الذكاء الاصطناعي في النظام السعودي: دراسة تحليلية تأصيلية. مجلة البحوث الفقهية والقانونية، كلية الشريعة والقانون بدمنهور، جامعة الأزهر، العدد (47)، ص1817 </w:t>
      </w:r>
    </w:p>
  </w:footnote>
  <w:footnote w:id="4">
    <w:p w14:paraId="1E428203" w14:textId="77777777" w:rsidR="00292EA9" w:rsidRPr="007E3A21" w:rsidRDefault="00292EA9" w:rsidP="003A558F">
      <w:pPr>
        <w:bidi/>
        <w:rPr>
          <w:sz w:val="18"/>
          <w:szCs w:val="18"/>
        </w:rPr>
      </w:pPr>
      <w:r w:rsidRPr="007E3A21">
        <w:rPr>
          <w:rStyle w:val="af"/>
          <w:sz w:val="18"/>
          <w:szCs w:val="18"/>
          <w:rtl/>
        </w:rPr>
        <w:footnoteRef/>
      </w:r>
      <w:r w:rsidRPr="007E3A21">
        <w:rPr>
          <w:sz w:val="18"/>
          <w:szCs w:val="18"/>
        </w:rPr>
        <w:t xml:space="preserve"> 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ص236.</w:t>
      </w:r>
    </w:p>
  </w:footnote>
  <w:footnote w:id="5">
    <w:p w14:paraId="7882745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نوفمبر 2024م. DOI: 10.36571/ajsp7321، ص398.</w:t>
      </w:r>
    </w:p>
  </w:footnote>
  <w:footnote w:id="6">
    <w:p w14:paraId="3FB64A35"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اللائحة التنفيذية لنظام المحاماة، الصادرة عن وزارة العدل، 1446هـ. المملكة العربية السعودية.</w:t>
      </w:r>
    </w:p>
  </w:footnote>
  <w:footnote w:id="7">
    <w:p w14:paraId="4F499F01"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 ص58.</w:t>
      </w:r>
    </w:p>
  </w:footnote>
  <w:footnote w:id="8">
    <w:p w14:paraId="1CAA6946" w14:textId="77777777" w:rsidR="0026477A" w:rsidRPr="007E3A21" w:rsidRDefault="0026477A" w:rsidP="003A558F">
      <w:pPr>
        <w:pStyle w:val="ae"/>
        <w:bidi/>
        <w:rPr>
          <w:sz w:val="18"/>
          <w:szCs w:val="18"/>
          <w:rtl/>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المادة (الثالثة والعشرون).</w:t>
      </w:r>
    </w:p>
  </w:footnote>
  <w:footnote w:id="9">
    <w:p w14:paraId="5665DBB4" w14:textId="77777777" w:rsidR="00535C4D" w:rsidRPr="007E3A21" w:rsidRDefault="00535C4D" w:rsidP="003A558F">
      <w:pPr>
        <w:pStyle w:val="ae"/>
        <w:bidi/>
        <w:rPr>
          <w:sz w:val="18"/>
          <w:szCs w:val="18"/>
          <w:rtl/>
        </w:rPr>
      </w:pPr>
      <w:r w:rsidRPr="007E3A21">
        <w:rPr>
          <w:rStyle w:val="af"/>
          <w:sz w:val="18"/>
          <w:szCs w:val="18"/>
          <w:rtl/>
        </w:rPr>
        <w:footnoteRef/>
      </w:r>
      <w:r w:rsidRPr="007E3A21">
        <w:rPr>
          <w:sz w:val="18"/>
          <w:szCs w:val="18"/>
        </w:rPr>
        <w:t xml:space="preserve"> اللائحة التنفيذية لنظام المحاماة، الصادرة عن وزارة العدل، 1446هـ. المملكة العربية السعودية.</w:t>
      </w:r>
    </w:p>
  </w:footnote>
  <w:footnote w:id="10">
    <w:p w14:paraId="509576F3" w14:textId="77777777" w:rsidR="0026477A" w:rsidRPr="007E3A21" w:rsidRDefault="0026477A" w:rsidP="003A558F">
      <w:pPr>
        <w:pStyle w:val="ae"/>
        <w:bidi/>
        <w:rPr>
          <w:sz w:val="18"/>
          <w:szCs w:val="18"/>
        </w:rPr>
      </w:pPr>
      <w:r w:rsidRPr="007E3A21">
        <w:rPr>
          <w:rStyle w:val="af"/>
          <w:sz w:val="18"/>
          <w:szCs w:val="18"/>
          <w:rtl/>
        </w:rPr>
        <w:footnoteRef/>
      </w:r>
      <w:r w:rsidRPr="007E3A21">
        <w:rPr>
          <w:sz w:val="18"/>
          <w:szCs w:val="18"/>
        </w:rPr>
        <w:t xml:space="preserve"> وزارة العدل، المملكة العربية السعودية – مبادرات الوزارة ضمن برامج رؤية 2030 (التحول الرقمي العدلي). متاح على: moj.gov.sa.</w:t>
      </w:r>
    </w:p>
  </w:footnote>
  <w:footnote w:id="11">
    <w:p w14:paraId="72E5B1CF" w14:textId="77777777" w:rsidR="0026477A" w:rsidRPr="007E3A21" w:rsidRDefault="0026477A" w:rsidP="003A558F">
      <w:pPr>
        <w:pStyle w:val="ae"/>
        <w:bidi/>
        <w:rPr>
          <w:sz w:val="18"/>
          <w:szCs w:val="18"/>
          <w:rtl/>
        </w:rPr>
      </w:pPr>
      <w:r w:rsidRPr="007E3A21">
        <w:rPr>
          <w:rStyle w:val="af"/>
          <w:sz w:val="18"/>
          <w:szCs w:val="18"/>
          <w:rtl/>
        </w:rPr>
        <w:footnoteRef/>
      </w:r>
      <w:r w:rsidRPr="007E3A21">
        <w:rPr>
          <w:sz w:val="18"/>
          <w:szCs w:val="18"/>
        </w:rPr>
        <w:t xml:space="preserve"> بلال، فاطمة عبد العزيز حسن أحمد (2023م). دور الذكاء الاصطناعي في تعزيز العدالة الناجزة أمام القضاء – دراسة مقارنة. رسالة ماجستير، كلية القانون، جامعة قطر، يناير 2023م، ص44.</w:t>
      </w:r>
    </w:p>
  </w:footnote>
  <w:footnote w:id="12">
    <w:p w14:paraId="70E3528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13">
    <w:p w14:paraId="5BE2CAE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14">
    <w:p w14:paraId="56C539C7" w14:textId="77777777" w:rsidR="00A40287" w:rsidRPr="007E3A21" w:rsidRDefault="00A40287" w:rsidP="003A558F">
      <w:pPr>
        <w:pStyle w:val="ae"/>
        <w:bidi/>
        <w:rPr>
          <w:sz w:val="18"/>
          <w:szCs w:val="18"/>
          <w:rtl/>
        </w:rPr>
      </w:pPr>
      <w:r w:rsidRPr="007E3A21">
        <w:rPr>
          <w:rStyle w:val="af"/>
          <w:sz w:val="18"/>
          <w:szCs w:val="18"/>
          <w:rtl/>
        </w:rPr>
        <w:footnoteRef/>
      </w:r>
      <w:r w:rsidRPr="007E3A21">
        <w:rPr>
          <w:sz w:val="18"/>
          <w:szCs w:val="18"/>
        </w:rPr>
        <w:t xml:space="preserve"> انظر في تأصيل مسؤولية من له سلطة استعمال الشيء ورقابته وتوجيهه عما يحدثه من ضرر، وتطبيق المادة (132) من نظام المعاملات المدنية على أنظمة الذكاء الاصطناعي: المالكي، مرجع سابق، ص1799–1800.</w:t>
      </w:r>
    </w:p>
  </w:footnote>
  <w:footnote w:id="15">
    <w:p w14:paraId="0DAD5EE4" w14:textId="77777777" w:rsidR="00A40287" w:rsidRPr="007E3A21" w:rsidRDefault="00A40287" w:rsidP="003A558F">
      <w:pPr>
        <w:pStyle w:val="ae"/>
        <w:bidi/>
        <w:rPr>
          <w:sz w:val="18"/>
          <w:szCs w:val="18"/>
          <w:rtl/>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ص12.</w:t>
      </w:r>
    </w:p>
  </w:footnote>
  <w:footnote w:id="16">
    <w:p w14:paraId="4F1E15C3" w14:textId="77777777" w:rsidR="00C41E32" w:rsidRPr="007E3A21" w:rsidRDefault="00000000" w:rsidP="003A558F">
      <w:pPr>
        <w:bidi/>
        <w:rPr>
          <w:sz w:val="18"/>
          <w:szCs w:val="18"/>
        </w:rPr>
      </w:pPr>
      <w:r w:rsidRPr="007E3A21">
        <w:rPr>
          <w:rStyle w:val="af"/>
          <w:sz w:val="18"/>
          <w:szCs w:val="18"/>
          <w:rtl/>
        </w:rPr>
        <w:footnoteRef/>
      </w:r>
      <w:r>
        <w:rPr>
          <w:sz w:val="18"/>
          <w:szCs w:val="18"/>
        </w:rPr>
        <w:t xml:space="preserve"> المملكة العربية السعودية (1422هـ). نظام المحاماة الصادر بالمرسوم الملكي رقم م/38 وتاريخ 28/7/1422هـ. الرياض: الأمانة العامة لمجلس الوزراء، المادة (الثالثة والعشرون).</w:t>
      </w:r>
    </w:p>
  </w:footnote>
  <w:footnote w:id="17">
    <w:p w14:paraId="5035B7E0"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التونسي والمعلم، مرجع سابق، ص398.</w:t>
      </w:r>
    </w:p>
  </w:footnote>
  <w:footnote w:id="18">
    <w:p w14:paraId="37DBE4A4"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(2024م). إطار تبني الذكاء الاصطناعي. الرياض: سدايا، سبتمبر 2024م، ص4-12.</w:t>
      </w:r>
    </w:p>
  </w:footnote>
  <w:footnote w:id="19">
    <w:p w14:paraId="09DF405F" w14:textId="77777777" w:rsidR="00CB64BE" w:rsidRPr="007E3A21" w:rsidRDefault="00CB64BE" w:rsidP="003A558F">
      <w:pPr>
        <w:pStyle w:val="ae"/>
        <w:bidi/>
        <w:rPr>
          <w:sz w:val="18"/>
          <w:szCs w:val="18"/>
        </w:rPr>
      </w:pPr>
      <w:r w:rsidRPr="007E3A21">
        <w:rPr>
          <w:rStyle w:val="af"/>
          <w:sz w:val="18"/>
          <w:szCs w:val="18"/>
          <w:rtl/>
        </w:rPr>
        <w:footnoteRef/>
      </w:r>
      <w:r w:rsidRPr="007E3A21">
        <w:rPr>
          <w:sz w:val="18"/>
          <w:szCs w:val="18"/>
        </w:rPr>
        <w:t xml:space="preserve"> إسماعيل، محمد شحادة (2025م). تأثير الذكاء الاصطناعي على المهن القانونية. مجلة الباحث العربي، 6(1)، DOI: 10.57072/ar.v6i1.159، ص64.</w:t>
      </w:r>
    </w:p>
  </w:footnote>
  <w:footnote w:id="20">
    <w:p w14:paraId="54B5395A" w14:textId="77777777" w:rsidR="00CB64BE" w:rsidRPr="007E3A21" w:rsidRDefault="00CB64BE" w:rsidP="003A558F">
      <w:pPr>
        <w:pStyle w:val="ae"/>
        <w:bidi/>
        <w:rPr>
          <w:sz w:val="18"/>
          <w:szCs w:val="18"/>
          <w:rtl/>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المادة (الثالثة والعشرون).</w:t>
      </w:r>
    </w:p>
  </w:footnote>
  <w:footnote w:id="21">
    <w:p w14:paraId="47661E6B" w14:textId="77777777" w:rsidR="00CB64BE" w:rsidRPr="007E3A21" w:rsidRDefault="00CB64BE" w:rsidP="003A558F">
      <w:pPr>
        <w:pStyle w:val="ae"/>
        <w:bidi/>
        <w:rPr>
          <w:sz w:val="18"/>
          <w:szCs w:val="18"/>
          <w:rtl/>
        </w:rPr>
      </w:pPr>
      <w:r w:rsidRPr="007E3A21">
        <w:rPr>
          <w:rStyle w:val="af"/>
          <w:sz w:val="18"/>
          <w:szCs w:val="18"/>
          <w:rtl/>
        </w:rPr>
        <w:footnoteRef/>
      </w:r>
      <w:r w:rsidRPr="007E3A21">
        <w:rPr>
          <w:sz w:val="18"/>
          <w:szCs w:val="18"/>
        </w:rPr>
        <w:t xml:space="preserve"> بلال، مرجع سابق، ص120.</w:t>
      </w:r>
    </w:p>
  </w:footnote>
  <w:footnote w:id="22">
    <w:p w14:paraId="33A9B7DA" w14:textId="77777777" w:rsidR="00CB64BE" w:rsidRPr="007E3A21" w:rsidRDefault="00CB64BE"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ص14.</w:t>
      </w:r>
    </w:p>
  </w:footnote>
  <w:footnote w:id="23">
    <w:p w14:paraId="2138706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التونسي والمعلم، مرجع سابق، ص398–399.</w:t>
      </w:r>
    </w:p>
  </w:footnote>
  <w:footnote w:id="24">
    <w:p w14:paraId="0D3BD98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ص398.</w:t>
      </w:r>
    </w:p>
  </w:footnote>
  <w:footnote w:id="25">
    <w:p w14:paraId="4C151B42"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الأسيوطي، أيمن محمد سيد مصطفى (2020م). حماية التصرفات القانونية وإثباتها عبر تطبيق الذكاء الاصطناعي. مجلة الباحث العربي، المجلد (1)، العدد (1). DOI: 10.57072/ar.v1i1.16، ص96.</w:t>
      </w:r>
    </w:p>
  </w:footnote>
  <w:footnote w:id="26">
    <w:p w14:paraId="0406D2A4"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إسماعيل، مرجع سابق، ص69.</w:t>
      </w:r>
    </w:p>
  </w:footnote>
  <w:footnote w:id="27">
    <w:p w14:paraId="14CB966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مركز الدراسات والبحوث القانونية (1444هـ/2023م). استخدام الذكاء الاصطناعي في المحاكم السعودية – دراسة قانونية صادرة عن المركز، ص4؛ وقارن في تسارع التحول الذكي وسبقه للأطر القانونية: الشرايري، محمد أحمد (2022م). المسؤولية المدنية الذكية عن أضرار الذكاء الاصطناعي: دراسة مسحية مقارنة. مجلة كلية القانون الكويتية العالمية، 10(38)، 357–408، ص358.</w:t>
      </w:r>
    </w:p>
  </w:footnote>
  <w:footnote w:id="28">
    <w:p w14:paraId="6154AE9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ص398.</w:t>
      </w:r>
    </w:p>
  </w:footnote>
  <w:footnote w:id="29">
    <w:p w14:paraId="513E185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 ونظام حماية البيانات الشخصية، الصادر بالمرسوم الملكي رقم (م/19) وتاريخ 9/2/1443هـ، المادة (الخامسة).</w:t>
      </w:r>
    </w:p>
  </w:footnote>
  <w:footnote w:id="30">
    <w:p w14:paraId="4096DD94" w14:textId="77777777" w:rsidR="006F4E03" w:rsidRPr="007E3A21" w:rsidRDefault="006F4E03" w:rsidP="003A558F">
      <w:pPr>
        <w:pStyle w:val="ae"/>
        <w:bidi/>
        <w:rPr>
          <w:sz w:val="18"/>
          <w:szCs w:val="18"/>
          <w:rtl/>
        </w:rPr>
      </w:pPr>
      <w:r w:rsidRPr="007E3A21">
        <w:rPr>
          <w:rStyle w:val="af"/>
          <w:sz w:val="18"/>
          <w:szCs w:val="18"/>
          <w:rtl/>
        </w:rPr>
        <w:footnoteRef/>
      </w:r>
      <w:r w:rsidRPr="007E3A21">
        <w:rPr>
          <w:sz w:val="18"/>
          <w:szCs w:val="18"/>
        </w:rPr>
        <w:t xml:space="preserve"> المالكي، مرجع سابق، ص1818–1819.</w:t>
      </w:r>
    </w:p>
  </w:footnote>
  <w:footnote w:id="31">
    <w:p w14:paraId="76BF5B17"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الخليفة، وليد بن إبراهيم بن عبد الله (1444هـ). نظام الإثبات وأدلته الإجرائية مع الفهارس. الرياض: الجمعية العلمية القضائية السعودية (قضاء)، الباب الثالث، المادتان (76) و(77)، ص48–49.</w:t>
      </w:r>
    </w:p>
  </w:footnote>
  <w:footnote w:id="32">
    <w:p w14:paraId="261689E0"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إسماعيل، مرجع سابق، ص47.</w:t>
      </w:r>
    </w:p>
  </w:footnote>
  <w:footnote w:id="33">
    <w:p w14:paraId="49B42E6A" w14:textId="77777777" w:rsidR="00C00F5F" w:rsidRPr="007E3A21" w:rsidRDefault="00C00F5F" w:rsidP="003A558F">
      <w:pPr>
        <w:pStyle w:val="ae"/>
        <w:bidi/>
        <w:rPr>
          <w:sz w:val="18"/>
          <w:szCs w:val="18"/>
          <w:rtl/>
        </w:rPr>
      </w:pPr>
      <w:r w:rsidRPr="007E3A21">
        <w:rPr>
          <w:rStyle w:val="af"/>
          <w:sz w:val="18"/>
          <w:szCs w:val="18"/>
          <w:rtl/>
        </w:rPr>
        <w:footnoteRef/>
      </w:r>
      <w:r w:rsidRPr="007E3A21">
        <w:rPr>
          <w:sz w:val="18"/>
          <w:szCs w:val="18"/>
        </w:rPr>
        <w:t xml:space="preserve"> إسماعيل، مرجع سابق، ص57.</w:t>
      </w:r>
    </w:p>
  </w:footnote>
  <w:footnote w:id="34">
    <w:p w14:paraId="46E828F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وزارة العدل، المملكة العربية السعودية. مبادرات التحول الرقمي العدلي (منصة ناجز) ضمن برامج رؤية 2030، متاح على: moj.gov.sa (تاريخ الاطلاع: 1/8/2026م).</w:t>
      </w:r>
    </w:p>
  </w:footnote>
  <w:footnote w:id="35">
    <w:p w14:paraId="715615AE" w14:textId="77777777" w:rsidR="00122234" w:rsidRPr="007E3A21" w:rsidRDefault="00122234" w:rsidP="003A558F">
      <w:pPr>
        <w:pStyle w:val="ae"/>
        <w:bidi/>
        <w:rPr>
          <w:sz w:val="18"/>
          <w:szCs w:val="18"/>
          <w:rtl/>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المادة (الثالثة والعشرون).</w:t>
      </w:r>
    </w:p>
  </w:footnote>
  <w:footnote w:id="36">
    <w:p w14:paraId="0E8A9FD0" w14:textId="77777777" w:rsidR="00122234" w:rsidRPr="007E3A21" w:rsidRDefault="00122234" w:rsidP="003A558F">
      <w:pPr>
        <w:pStyle w:val="ae"/>
        <w:bidi/>
        <w:rPr>
          <w:sz w:val="18"/>
          <w:szCs w:val="18"/>
          <w:rtl/>
        </w:rPr>
      </w:pPr>
      <w:r w:rsidRPr="007E3A21">
        <w:rPr>
          <w:rStyle w:val="af"/>
          <w:sz w:val="18"/>
          <w:szCs w:val="18"/>
          <w:rtl/>
        </w:rPr>
        <w:footnoteRef/>
      </w:r>
      <w:r w:rsidRPr="007E3A21">
        <w:rPr>
          <w:sz w:val="18"/>
          <w:szCs w:val="18"/>
        </w:rPr>
        <w:t xml:space="preserve"> الخميسي، سلمى غابش سالم (2022م). المسؤولية المدنية عن الأضرار الناشئة عن استخدام الذكاء الاصطناعي في مهنة الطبيب الآلي. رسالة ماجستير، كلية القانون، جامعة الإمارات العربية المتحدة، نوفمبر 2022م، ص27.</w:t>
      </w:r>
    </w:p>
  </w:footnote>
  <w:footnote w:id="37">
    <w:p w14:paraId="5F60B62B" w14:textId="77777777" w:rsidR="00122234" w:rsidRPr="007E3A21" w:rsidRDefault="00122234" w:rsidP="003A558F">
      <w:pPr>
        <w:pStyle w:val="ae"/>
        <w:bidi/>
        <w:rPr>
          <w:sz w:val="18"/>
          <w:szCs w:val="18"/>
        </w:rPr>
      </w:pPr>
      <w:r w:rsidRPr="007E3A21">
        <w:rPr>
          <w:rStyle w:val="af"/>
          <w:sz w:val="18"/>
          <w:szCs w:val="18"/>
          <w:rtl/>
        </w:rPr>
        <w:footnoteRef/>
      </w:r>
      <w:r w:rsidRPr="007E3A21">
        <w:rPr>
          <w:sz w:val="18"/>
          <w:szCs w:val="18"/>
        </w:rPr>
        <w:t xml:space="preserve"> قاسم، مراد محمد غالب (2024م). دور الذكاء الاصطناعي في مكافحة الجريمة الإلكترونية: دراسة مقارنة. المجلة العصرية للدراسات القانونية، الكلية العصرية الجامعية، رام الله – فلسطين، المجلد (2)، العدد (2)، ص90–91. DOI: 10.70411/MJLS.2.2.202495.</w:t>
      </w:r>
    </w:p>
  </w:footnote>
  <w:footnote w:id="38">
    <w:p w14:paraId="581A0F7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قاسم، مرجع سابق، ص90–91.</w:t>
      </w:r>
    </w:p>
  </w:footnote>
  <w:footnote w:id="39">
    <w:p w14:paraId="61A6A48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بوابة التطوير المهني القانوني، حكومة دبي – «السلوك المهني: مقارنة دولية حول اشتراطات التأهيل القانوني». متاح على: training.legal.dubai.gov.ae.</w:t>
      </w:r>
    </w:p>
  </w:footnote>
  <w:footnote w:id="40">
    <w:p w14:paraId="5101C7A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بلال، مرجع سابق، ص53.</w:t>
      </w:r>
    </w:p>
  </w:footnote>
  <w:footnote w:id="41">
    <w:p w14:paraId="73689CF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العرشاني، علي مرشد (2025م). إمكانات الذكاء الاصطناعي في تطوير العمل القضائي: مقاربة تحليلية لواقع القضاء وتحديات التحول الرقمي. مجلة الباحث العربي، 6(3)، DOI: 10.57072/ar.v6i3.175، ص93–94.</w:t>
      </w:r>
    </w:p>
  </w:footnote>
  <w:footnote w:id="42">
    <w:p w14:paraId="0F5B568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أروى بنت عبد الرحمن بن عثمان (1444هـ). أحكام تطبيقات الذكاء الاصطناعي في القضاء. الرياض: الجمعية العلمية القضائية السعودية (قضاء)، ص70، 567–568.</w:t>
      </w:r>
    </w:p>
  </w:footnote>
  <w:footnote w:id="43">
    <w:p w14:paraId="3E12362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إسماعيل، مرجع سابق، ص64.</w:t>
      </w:r>
    </w:p>
  </w:footnote>
  <w:footnote w:id="44">
    <w:p w14:paraId="5BB4653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حدود إحلال الأنظمة الذكية محل العنصر الإنساني في العمل القانوني والقضائي: محمود، سيد أحمد؛ وعناني، مريم عماد (د.ت). الذكاء الاصطناعي والعمل القضائي – دراسة تحليلية مقارنة. بحث مقدم إلى مؤتمر «التحديات والآفاق القانونية والاقتصادية للذكاء الاصطناعي»، كلية الحقوق، جامعة عين شمس، ص928.</w:t>
      </w:r>
    </w:p>
  </w:footnote>
  <w:footnote w:id="45">
    <w:p w14:paraId="18CDE78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الخميسي، مرجع سابق، ص24.</w:t>
      </w:r>
    </w:p>
  </w:footnote>
  <w:footnote w:id="46">
    <w:p w14:paraId="537838D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الإثبات، الصادر بالمرسوم الملكي رقم (م/43) وتاريخ 26/5/1443هـ؛ ونظام المعاملات المدنية، الصادر بالمرسوم الملكي رقم (م/191) وتاريخ 29/11/1444هـ؛ ونظام حماية البيانات الشخصية، الصادر بالمرسوم الملكي رقم (م/19) وتاريخ 9/2/1443هـ وتعديلاته.</w:t>
      </w:r>
    </w:p>
  </w:footnote>
  <w:footnote w:id="47">
    <w:p w14:paraId="0FC883C2" w14:textId="77777777" w:rsidR="001F1442" w:rsidRPr="007E3A21" w:rsidRDefault="001F1442" w:rsidP="003A558F">
      <w:pPr>
        <w:pStyle w:val="ae"/>
        <w:bidi/>
        <w:rPr>
          <w:sz w:val="18"/>
          <w:szCs w:val="18"/>
          <w:rtl/>
        </w:rPr>
      </w:pPr>
      <w:r w:rsidRPr="007E3A21">
        <w:rPr>
          <w:rStyle w:val="af"/>
          <w:sz w:val="18"/>
          <w:szCs w:val="18"/>
          <w:rtl/>
        </w:rPr>
        <w:footnoteRef/>
      </w:r>
      <w:r w:rsidRPr="007E3A21">
        <w:rPr>
          <w:sz w:val="18"/>
          <w:szCs w:val="18"/>
        </w:rPr>
        <w:t xml:space="preserve"> سدايا، مبادئ أخلاقيات الذكاء الاصطناعي، مرجع سابق، ص2.</w:t>
      </w:r>
    </w:p>
  </w:footnote>
  <w:footnote w:id="48">
    <w:p w14:paraId="5A6AE42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مركز الدراسات والبحوث القانونية، استخدام الذكاء الاصطناعي في المحاكم السعودية، مرجع سابق، ص26.</w:t>
      </w:r>
    </w:p>
  </w:footnote>
  <w:footnote w:id="49">
    <w:p w14:paraId="0C3BA03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الذكاء الاصطناعي للاتحاد الأوروبي (EU AI Act)، اللائحة رقم 2024/1689 الصادرة عن البرلمان الأوروبي والمجلس في 13 يونيو 2024م، المنشورة في الجريدة الرسمية للاتحاد الأوروبي بتاريخ 12 يوليو 2024م، الملحق الثالث (أنظمة الذكاء الاصطناعي عالية الخطورة – إقامة العدل).</w:t>
      </w:r>
    </w:p>
  </w:footnote>
  <w:footnote w:id="50">
    <w:p w14:paraId="73CE0E6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40(2)، DOI: 10.26735/MKQW3049، ص154.</w:t>
      </w:r>
    </w:p>
  </w:footnote>
  <w:footnote w:id="51">
    <w:p w14:paraId="4B0BBA8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2">
    <w:p w14:paraId="1C0032B3"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w:t>
      </w:r>
      <w:r w:rsidRPr="007E3A21">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53">
    <w:p w14:paraId="4B12A86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العرشاني، مرجع سابق، ص107.</w:t>
      </w:r>
    </w:p>
  </w:footnote>
  <w:footnote w:id="54">
    <w:p w14:paraId="25D251C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مركز الدراسات والبحوث القانونية، استخدام الذكاء الاصطناعي في المحاكم، مرجع سابق، ص34.</w:t>
      </w:r>
    </w:p>
  </w:footnote>
  <w:footnote w:id="55">
    <w:p w14:paraId="10971BA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مرجع سابق، ص562.</w:t>
      </w:r>
    </w:p>
  </w:footnote>
  <w:footnote w:id="56">
    <w:p w14:paraId="4DAB0E7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7">
    <w:p w14:paraId="36566B4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(الثالثة والعشرون).</w:t>
      </w:r>
    </w:p>
  </w:footnote>
  <w:footnote w:id="58">
    <w:p w14:paraId="462950E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نماذج هذه الأدوات (منصات تحليل العقود ومحركات البحث القانوني الذكي): إسماعيل، مرجع سابق، ص57.</w:t>
      </w:r>
    </w:p>
  </w:footnote>
  <w:footnote w:id="59">
    <w:p w14:paraId="2C5F7025" w14:textId="77777777" w:rsidR="0095427D" w:rsidRPr="007E3A21" w:rsidRDefault="0095427D"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ص1801–1802.</w:t>
      </w:r>
    </w:p>
  </w:footnote>
  <w:footnote w:id="60">
    <w:p w14:paraId="645E08FE" w14:textId="77777777" w:rsidR="0095427D" w:rsidRPr="007E3A21" w:rsidRDefault="0095427D" w:rsidP="003A558F">
      <w:pPr>
        <w:pStyle w:val="ae"/>
        <w:bidi/>
        <w:rPr>
          <w:sz w:val="18"/>
          <w:szCs w:val="18"/>
        </w:rPr>
      </w:pPr>
      <w:r w:rsidRPr="007E3A21">
        <w:rPr>
          <w:rStyle w:val="af"/>
          <w:sz w:val="18"/>
          <w:szCs w:val="18"/>
          <w:rtl/>
        </w:rPr>
        <w:footnoteRef/>
      </w:r>
      <w:r w:rsidRPr="007E3A21">
        <w:rPr>
          <w:sz w:val="18"/>
          <w:szCs w:val="18"/>
        </w:rPr>
        <w:t xml:space="preserve"> الخميسي، مرجع سابق، ص37.</w:t>
      </w:r>
    </w:p>
  </w:footnote>
  <w:footnote w:id="61">
    <w:p w14:paraId="068BD20B" w14:textId="77777777" w:rsidR="0095427D" w:rsidRPr="007E3A21" w:rsidRDefault="0095427D" w:rsidP="003A558F">
      <w:pPr>
        <w:pStyle w:val="ae"/>
        <w:bidi/>
        <w:rPr>
          <w:sz w:val="18"/>
          <w:szCs w:val="18"/>
        </w:rPr>
      </w:pPr>
      <w:r w:rsidRPr="007E3A21">
        <w:rPr>
          <w:rStyle w:val="af"/>
          <w:sz w:val="18"/>
          <w:szCs w:val="18"/>
          <w:rtl/>
        </w:rPr>
        <w:footnoteRef/>
      </w:r>
      <w:r w:rsidRPr="007E3A21">
        <w:rPr>
          <w:sz w:val="18"/>
          <w:szCs w:val="18"/>
        </w:rPr>
        <w:t xml:space="preserve"> سدايا، الدليل الاسترشادي لتقويم مخاطر نقل البيانات الشخصية، مرجع سابق، ص5.</w:t>
      </w:r>
    </w:p>
  </w:footnote>
  <w:footnote w:id="62">
    <w:p w14:paraId="3D05945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حماية البيانات الشخصية، الصادر بالمرسوم الملكي رقم (م/19) وتاريخ 9/2/1443هـ، المادة (الخامسة).</w:t>
      </w:r>
    </w:p>
  </w:footnote>
  <w:footnote w:id="63">
    <w:p w14:paraId="1A1884C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الإثبات، الصادر بالمرسوم الملكي رقم (م/43) وتاريخ 26/5/1443هـ، المواد (53)–(63).</w:t>
      </w:r>
    </w:p>
  </w:footnote>
  <w:footnote w:id="64">
    <w:p w14:paraId="3A1225C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حماية البيانات الشخصية، الصادر بالمرسوم الملكي رقم (م/19) وتاريخ 9/2/1443هـ، المادة (الخامسة).</w:t>
      </w:r>
    </w:p>
  </w:footnote>
  <w:footnote w:id="65">
    <w:p w14:paraId="39A9ADF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حماية البيانات الشخصية، الصادر بالمرسوم الملكي رقم (م/19) وتاريخ 9/2/1443هـ، المادة (الخامسة).</w:t>
      </w:r>
    </w:p>
  </w:footnote>
  <w:footnote w:id="66">
    <w:p w14:paraId="71AFAFD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قارن: نظام حماية البيانات الشخصية، الصادر بالمرسوم الملكي رقم (م/19) وتاريخ 9/2/1443هـ، المادة (الخامسة).</w:t>
      </w:r>
    </w:p>
  </w:footnote>
  <w:footnote w:id="67">
    <w:p w14:paraId="41C6AF6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بلال، مرجع سابق، ص63.</w:t>
      </w:r>
    </w:p>
  </w:footnote>
  <w:footnote w:id="68">
    <w:p w14:paraId="5348588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انظر في إعمال قواعد نظام المعاملات المدنية على أضرار الذكاء الاصطناعي: المالكي، مرجع سابق، ص1799–1801.</w:t>
      </w:r>
    </w:p>
  </w:footnote>
  <w:footnote w:id="69">
    <w:p w14:paraId="1978668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ص385.</w:t>
      </w:r>
    </w:p>
  </w:footnote>
  <w:footnote w:id="70">
    <w:p w14:paraId="3B02AAE1" w14:textId="77777777" w:rsidR="005562AF" w:rsidRPr="007E3A21" w:rsidRDefault="005562AF" w:rsidP="003A558F">
      <w:pPr>
        <w:pStyle w:val="ae"/>
        <w:bidi/>
        <w:rPr>
          <w:sz w:val="18"/>
          <w:szCs w:val="18"/>
          <w:rtl/>
        </w:rPr>
      </w:pPr>
      <w:r w:rsidRPr="007E3A21">
        <w:rPr>
          <w:rStyle w:val="af"/>
          <w:sz w:val="18"/>
          <w:szCs w:val="18"/>
          <w:rtl/>
        </w:rPr>
        <w:footnoteRef/>
      </w:r>
      <w:r>
        <w:rPr>
          <w:sz w:val="18"/>
          <w:szCs w:val="18"/>
        </w:rPr>
        <w:t xml:space="preserve"> قارن في طبيعة العقود الذكية وتحدياتها التطبيقية: الغامدي، مرجع سابق، ص246–247.</w:t>
      </w:r>
    </w:p>
  </w:footnote>
  <w:footnote w:id="71">
    <w:p w14:paraId="70623F0B" w14:textId="77777777" w:rsidR="005562AF" w:rsidRPr="007E3A21" w:rsidRDefault="005562AF" w:rsidP="003A558F">
      <w:pPr>
        <w:pStyle w:val="ae"/>
        <w:bidi/>
        <w:rPr>
          <w:sz w:val="18"/>
          <w:szCs w:val="18"/>
        </w:rPr>
      </w:pPr>
      <w:r w:rsidRPr="007E3A21">
        <w:rPr>
          <w:rStyle w:val="af"/>
          <w:sz w:val="18"/>
          <w:szCs w:val="18"/>
          <w:rtl/>
        </w:rPr>
        <w:footnoteRef/>
      </w:r>
      <w:r w:rsidRPr="007E3A21">
        <w:rPr>
          <w:sz w:val="18"/>
          <w:szCs w:val="18"/>
        </w:rPr>
        <w:t xml:space="preserve"> نظام التعاملات الإلكترونية، الصادر بالمرسوم الملكي رقم (م/18) وتاريخ 8/3/1428هـ؛ ونظام المعاملات المدنية، الصادر بالمرسوم الملكي رقم (م/191) وتاريخ 29/11/1444هـ.</w:t>
      </w:r>
    </w:p>
  </w:footnote>
  <w:footnote w:id="72">
    <w:p w14:paraId="041989E0"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 ص1-2.</w:t>
      </w:r>
    </w:p>
  </w:footnote>
  <w:footnote w:id="73">
    <w:p w14:paraId="62CB1A09" w14:textId="77777777" w:rsidR="00A918AE" w:rsidRPr="007E3A21" w:rsidRDefault="00A918AE" w:rsidP="003A558F">
      <w:pPr>
        <w:pStyle w:val="ae"/>
        <w:bidi/>
        <w:rPr>
          <w:sz w:val="18"/>
          <w:szCs w:val="18"/>
        </w:rPr>
      </w:pPr>
      <w:r w:rsidRPr="007E3A21">
        <w:rPr>
          <w:rStyle w:val="af"/>
          <w:sz w:val="18"/>
          <w:szCs w:val="18"/>
          <w:rtl/>
        </w:rPr>
        <w:footnoteRef/>
      </w:r>
      <w:r w:rsidRPr="007E3A21">
        <w:rPr>
          <w:sz w:val="18"/>
          <w:szCs w:val="18"/>
        </w:rPr>
        <w:t xml:space="preserve"> نظام التعاملات الإلكترونية، الصادر بالمرسوم الملكي رقم (م/18) وتاريخ 8/3/1428هـ.</w:t>
      </w:r>
    </w:p>
  </w:footnote>
  <w:footnote w:id="74">
    <w:p w14:paraId="24B2A5EF" w14:textId="77777777" w:rsidR="00A918AE" w:rsidRPr="007E3A21" w:rsidRDefault="00A918AE" w:rsidP="003A558F">
      <w:pPr>
        <w:pStyle w:val="ae"/>
        <w:bidi/>
        <w:rPr>
          <w:sz w:val="18"/>
          <w:szCs w:val="18"/>
        </w:rPr>
      </w:pPr>
      <w:r w:rsidRPr="007E3A21">
        <w:rPr>
          <w:rStyle w:val="af"/>
          <w:sz w:val="18"/>
          <w:szCs w:val="18"/>
          <w:rtl/>
        </w:rPr>
        <w:footnoteRef/>
      </w:r>
      <w:r w:rsidRPr="007E3A21">
        <w:rPr>
          <w:sz w:val="18"/>
          <w:szCs w:val="18"/>
        </w:rPr>
        <w:t xml:space="preserve"> علي، سعاد حسني محمد (2024م). الذكاء الاصطناعي ودوره في إبرام العقود التجارية. مجلة البحوث القانونية والاقتصادية، كلية الحقوق، جامعة المنصورة، DOI: 10.21608/mjle.2024.413796، ص832.</w:t>
      </w:r>
    </w:p>
  </w:footnote>
  <w:footnote w:id="75">
    <w:p w14:paraId="34A77F4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الشركات الصادر بالمرسوم الملكي رقم (م/132) وتاريخ 1/12/1443هـ، وقد حل محل نظام الشركات المهنية الصادر بالمرسوم الملكي رقم (م/17) وتاريخ 26/1/1441هـ، وأفرد للشركة المهنية أحكاماً خاصة ولائحة تنفيذية تنظم تأسيسها وإدارتها.</w:t>
      </w:r>
    </w:p>
  </w:footnote>
  <w:footnote w:id="76">
    <w:p w14:paraId="02E868A9" w14:textId="77777777" w:rsidR="003A40AC" w:rsidRPr="007E3A21" w:rsidRDefault="003A40AC" w:rsidP="003A558F">
      <w:pPr>
        <w:pStyle w:val="ae"/>
        <w:bidi/>
        <w:rPr>
          <w:sz w:val="18"/>
          <w:szCs w:val="18"/>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المادة (الثالثة والعشرون).</w:t>
      </w:r>
    </w:p>
  </w:footnote>
  <w:footnote w:id="77">
    <w:p w14:paraId="2903C761" w14:textId="77777777" w:rsidR="003A40AC" w:rsidRPr="007E3A21" w:rsidRDefault="003A40AC" w:rsidP="003A558F">
      <w:pPr>
        <w:pStyle w:val="ae"/>
        <w:bidi/>
        <w:rPr>
          <w:sz w:val="18"/>
          <w:szCs w:val="18"/>
          <w:rtl/>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ص21.</w:t>
      </w:r>
    </w:p>
  </w:footnote>
  <w:footnote w:id="78">
    <w:p w14:paraId="11049F9F" w14:textId="77777777" w:rsidR="003A40AC" w:rsidRPr="007E3A21" w:rsidRDefault="003A40AC" w:rsidP="003A558F">
      <w:pPr>
        <w:pStyle w:val="ae"/>
        <w:bidi/>
        <w:rPr>
          <w:sz w:val="18"/>
          <w:szCs w:val="18"/>
        </w:rPr>
      </w:pPr>
      <w:r w:rsidRPr="007E3A21">
        <w:rPr>
          <w:rStyle w:val="af"/>
          <w:sz w:val="18"/>
          <w:szCs w:val="18"/>
          <w:rtl/>
        </w:rPr>
        <w:footnoteRef/>
      </w:r>
      <w:r w:rsidRPr="007E3A21">
        <w:rPr>
          <w:sz w:val="18"/>
          <w:szCs w:val="18"/>
        </w:rPr>
        <w:t xml:space="preserve"> بلال، مرجع سابق، ص80.</w:t>
      </w:r>
    </w:p>
  </w:footnote>
  <w:footnote w:id="79">
    <w:p w14:paraId="796C56E6" w14:textId="77777777" w:rsidR="008D5357" w:rsidRPr="007E3A21" w:rsidRDefault="008D5357" w:rsidP="003A558F">
      <w:pPr>
        <w:pStyle w:val="ae"/>
        <w:bidi/>
        <w:rPr>
          <w:sz w:val="18"/>
          <w:szCs w:val="18"/>
        </w:rPr>
      </w:pPr>
      <w:r w:rsidRPr="007E3A21">
        <w:rPr>
          <w:rStyle w:val="af"/>
          <w:sz w:val="18"/>
          <w:szCs w:val="18"/>
          <w:rtl/>
        </w:rPr>
        <w:footnoteRef/>
      </w:r>
      <w:r w:rsidRPr="007E3A21">
        <w:rPr>
          <w:sz w:val="18"/>
          <w:szCs w:val="18"/>
        </w:rPr>
        <w:t xml:space="preserve"> انظر في الدعوة إلى قواعد قانونية صادرة عن سلطة تشريعية تعالج أحكام الذكاء الاصطناعي: المالكي، مرجع سابق، ص1818.</w:t>
      </w:r>
    </w:p>
  </w:footnote>
  <w:footnote w:id="80">
    <w:p w14:paraId="4C4EA1F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محمود وعناني، مرجع سابق، ص936–937.</w:t>
      </w:r>
    </w:p>
  </w:footnote>
  <w:footnote w:id="81">
    <w:p w14:paraId="7FA8C75D"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ص4-12.</w:t>
      </w:r>
    </w:p>
  </w:footnote>
  <w:footnote w:id="82">
    <w:p w14:paraId="08F528EF"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قارن تسلسل الوثائق من التوجيهي إلى الملزم: سدايا، مبادئ أخلاقيات الذكاء الاصطناعي، مرجع سابق؛ وسدايا، إطار تبني الذكاء الاصطناعي، مرجع سابق؛ ونظام حماية البيانات الشخصية، مرجع سابق.</w:t>
      </w:r>
    </w:p>
  </w:footnote>
  <w:footnote w:id="83">
    <w:p w14:paraId="65403E6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التعاملات الإلكترونية، الصادر بالمرسوم الملكي رقم (م/18) وتاريخ 8/3/1428هـ؛ ونظام المعاملات المدنية، الصادر بالمرسوم الملكي رقم (م/191) وتاريخ 29/11/1444هـ.</w:t>
      </w:r>
    </w:p>
  </w:footnote>
  <w:footnote w:id="84">
    <w:p w14:paraId="0E6BB69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الخميسي، مرجع سابق، ص44.</w:t>
      </w:r>
    </w:p>
  </w:footnote>
  <w:footnote w:id="85">
    <w:p w14:paraId="7A9322B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علي، سعاد حسني، مرجع سابق، ص871.</w:t>
      </w:r>
    </w:p>
  </w:footnote>
  <w:footnote w:id="86">
    <w:p w14:paraId="79A80F8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العجماني، أحمد عبد الواحد؛ وسيد، محمد نور الدين (2024م). استخدام تقنيات الذكاء الاصطناعي في تحقيق العدالة الناجزة في الإمارات العربية المتحدة. مجلة جامعة الشارقة للعلوم القانونية، 21(2)، DOI: 10.36394/jls.v21.i2.15، ص431.</w:t>
      </w:r>
    </w:p>
  </w:footnote>
  <w:footnote w:id="87">
    <w:p w14:paraId="3F67FB9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تأصيل الفراغ التشريعي بشأن الأنظمة الذكية في النظام السعودي: المالكي، مرجع سابق، ص1817–1818.</w:t>
      </w:r>
    </w:p>
  </w:footnote>
  <w:footnote w:id="88">
    <w:p w14:paraId="6CA6B99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الذكاء الاصطناعي للاتحاد الأوروبي (EU AI Act)، اللائحة رقم 2024/1689، مرجع سابق؛ وميثاق الإمارات لتطوير واستخدام الذكاء الاصطناعي، بوابة التشريعات الإماراتية، 2024م.</w:t>
      </w:r>
    </w:p>
  </w:footnote>
  <w:footnote w:id="89">
    <w:p w14:paraId="3145BC9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لائحة الذكاء الاصطناعي للاتحاد الأوروبي (EU AI Act)، اللائحة رقم 2024/1689، مرجع سابق، الملحق الثالث؛ وانظر: ABA Standing Committee on Ethics and Professional Responsibility, Formal Opinion 512 (2024), pp. 2–7.</w:t>
      </w:r>
    </w:p>
  </w:footnote>
  <w:footnote w:id="90">
    <w:p w14:paraId="2D5F4FBF"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التونسي والمعلم، مرجع سابق، ص372.</w:t>
      </w:r>
    </w:p>
  </w:footnote>
  <w:footnote w:id="91">
    <w:p w14:paraId="3C830F14" w14:textId="77777777" w:rsidR="00D150CD" w:rsidRPr="007E3A21" w:rsidRDefault="00D150CD" w:rsidP="003A558F">
      <w:pPr>
        <w:pStyle w:val="ae"/>
        <w:bidi/>
        <w:rPr>
          <w:sz w:val="18"/>
          <w:szCs w:val="18"/>
        </w:rPr>
      </w:pPr>
      <w:r w:rsidRPr="007E3A21">
        <w:rPr>
          <w:rStyle w:val="af"/>
          <w:sz w:val="18"/>
          <w:szCs w:val="18"/>
          <w:rtl/>
        </w:rPr>
        <w:footnoteRef/>
      </w:r>
      <w:r w:rsidRPr="007E3A21">
        <w:rPr>
          <w:sz w:val="18"/>
          <w:szCs w:val="18"/>
        </w:rPr>
        <w:t xml:space="preserve"> التونسي والمعلم، مرجع سابق، ص398.</w:t>
      </w:r>
    </w:p>
  </w:footnote>
  <w:footnote w:id="92">
    <w:p w14:paraId="282289DC" w14:textId="77777777" w:rsidR="00D150CD" w:rsidRPr="007E3A21" w:rsidRDefault="00D150CD" w:rsidP="003A558F">
      <w:pPr>
        <w:pStyle w:val="ae"/>
        <w:bidi/>
        <w:rPr>
          <w:sz w:val="18"/>
          <w:szCs w:val="18"/>
        </w:rPr>
      </w:pPr>
      <w:r w:rsidRPr="007E3A21">
        <w:rPr>
          <w:rStyle w:val="af"/>
          <w:sz w:val="18"/>
          <w:szCs w:val="18"/>
          <w:rtl/>
        </w:rPr>
        <w:footnoteRef/>
      </w:r>
      <w:r w:rsidRPr="007E3A21">
        <w:rPr>
          <w:sz w:val="18"/>
          <w:szCs w:val="18"/>
        </w:rPr>
        <w:t xml:space="preserve"> انظر في عدم كفاية الأنظمة القائمة لمعالجة أحكام الذكاء الاصطناعي: المالكي، مرجع سابق، ص1817–1818.</w:t>
      </w:r>
    </w:p>
  </w:footnote>
  <w:footnote w:id="93">
    <w:p w14:paraId="500F7D82" w14:textId="77777777" w:rsidR="00D150CD" w:rsidRPr="007E3A21" w:rsidRDefault="00D150CD" w:rsidP="003A558F">
      <w:pPr>
        <w:pStyle w:val="ae"/>
        <w:bidi/>
        <w:rPr>
          <w:sz w:val="18"/>
          <w:szCs w:val="18"/>
        </w:rPr>
      </w:pPr>
      <w:r w:rsidRPr="007E3A21">
        <w:rPr>
          <w:rStyle w:val="af"/>
          <w:sz w:val="18"/>
          <w:szCs w:val="18"/>
          <w:rtl/>
        </w:rPr>
        <w:footnoteRef/>
      </w:r>
      <w:r w:rsidRPr="007E3A21">
        <w:rPr>
          <w:sz w:val="18"/>
          <w:szCs w:val="18"/>
        </w:rPr>
        <w:t xml:space="preserve"> انظر: المادة (3) (التعريفات) من لائحة الذكاء الاصطناعي للاتحاد الأوروبي (EU AI Act)، اللائحة رقم 2024/1689، مرجع سابق.</w:t>
      </w:r>
    </w:p>
  </w:footnote>
  <w:footnote w:id="94">
    <w:p w14:paraId="7D4ED417" w14:textId="77777777" w:rsidR="00D150CD" w:rsidRPr="007E3A21" w:rsidRDefault="00D150CD" w:rsidP="003A558F">
      <w:pPr>
        <w:pStyle w:val="ae"/>
        <w:bidi/>
        <w:rPr>
          <w:sz w:val="18"/>
          <w:szCs w:val="18"/>
        </w:rPr>
      </w:pPr>
      <w:r w:rsidRPr="007E3A21">
        <w:rPr>
          <w:rStyle w:val="af"/>
          <w:sz w:val="18"/>
          <w:szCs w:val="18"/>
          <w:rtl/>
        </w:rPr>
        <w:footnoteRef/>
      </w:r>
      <w:r w:rsidRPr="007E3A21">
        <w:rPr>
          <w:sz w:val="18"/>
          <w:szCs w:val="18"/>
        </w:rPr>
        <w:t xml:space="preserve"> إسماعيل، مرجع سابق، ص52.</w:t>
      </w:r>
    </w:p>
  </w:footnote>
  <w:footnote w:id="95">
    <w:p w14:paraId="542B7DD3" w14:textId="77777777" w:rsidR="00D150CD" w:rsidRPr="007E3A21" w:rsidRDefault="00D150CD" w:rsidP="003A558F">
      <w:pPr>
        <w:pStyle w:val="ae"/>
        <w:bidi/>
        <w:rPr>
          <w:sz w:val="18"/>
          <w:szCs w:val="18"/>
        </w:rPr>
      </w:pPr>
      <w:r w:rsidRPr="007E3A21">
        <w:rPr>
          <w:rStyle w:val="af"/>
          <w:sz w:val="18"/>
          <w:szCs w:val="18"/>
          <w:rtl/>
        </w:rPr>
        <w:footnoteRef/>
      </w:r>
      <w:r w:rsidRPr="007E3A21">
        <w:rPr>
          <w:sz w:val="18"/>
          <w:szCs w:val="18"/>
        </w:rPr>
        <w:t xml:space="preserve"> الأسيوطي، مرجع سابق، ص111.</w:t>
      </w:r>
    </w:p>
  </w:footnote>
  <w:footnote w:id="96">
    <w:p w14:paraId="2386F114" w14:textId="77777777" w:rsidR="00D150CD" w:rsidRPr="007E3A21" w:rsidRDefault="00D150CD" w:rsidP="003A558F">
      <w:pPr>
        <w:pStyle w:val="ae"/>
        <w:bidi/>
        <w:rPr>
          <w:sz w:val="18"/>
          <w:szCs w:val="18"/>
        </w:rPr>
      </w:pPr>
      <w:r w:rsidRPr="007E3A21">
        <w:rPr>
          <w:rStyle w:val="af"/>
          <w:sz w:val="18"/>
          <w:szCs w:val="18"/>
          <w:rtl/>
        </w:rPr>
        <w:footnoteRef/>
      </w:r>
      <w:r>
        <w:rPr>
          <w:sz w:val="18"/>
          <w:szCs w:val="18"/>
        </w:rPr>
        <w:t xml:space="preserve"> قارن في الاهتمام الدولي والوطني بتوظيف الذكاء الاصطناعي في مرفق القضاء: بلال، مرجع سابق، ص4.</w:t>
      </w:r>
    </w:p>
  </w:footnote>
  <w:footnote w:id="97">
    <w:p w14:paraId="0ADB558D"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ص12-23.</w:t>
      </w:r>
    </w:p>
  </w:footnote>
  <w:footnote w:id="98">
    <w:p w14:paraId="1B6DA810" w14:textId="77777777" w:rsidR="00F237E4" w:rsidRPr="007E3A21" w:rsidRDefault="00F237E4" w:rsidP="003A558F">
      <w:pPr>
        <w:pStyle w:val="ae"/>
        <w:bidi/>
        <w:rPr>
          <w:sz w:val="18"/>
          <w:szCs w:val="18"/>
        </w:rPr>
      </w:pPr>
      <w:r w:rsidRPr="007E3A21">
        <w:rPr>
          <w:rStyle w:val="af"/>
          <w:sz w:val="18"/>
          <w:szCs w:val="18"/>
          <w:rtl/>
        </w:rPr>
        <w:footnoteRef/>
      </w:r>
      <w:r w:rsidRPr="007E3A21">
        <w:rPr>
          <w:sz w:val="18"/>
          <w:szCs w:val="18"/>
        </w:rPr>
        <w:t xml:space="preserve"> نظام حماية البيانات الشخصية، الصادر بالمرسوم الملكي رقم (م/19) وتاريخ 9/2/1443هـ وتعديلاته؛ وليس فيه أحكام خاصة بالمهن القانونية أو العدلية.</w:t>
      </w:r>
    </w:p>
  </w:footnote>
  <w:footnote w:id="99">
    <w:p w14:paraId="079B1552" w14:textId="77777777" w:rsidR="00F237E4" w:rsidRPr="007E3A21" w:rsidRDefault="00F237E4" w:rsidP="003A558F">
      <w:pPr>
        <w:pStyle w:val="ae"/>
        <w:bidi/>
        <w:rPr>
          <w:sz w:val="18"/>
          <w:szCs w:val="18"/>
        </w:rPr>
      </w:pPr>
      <w:r w:rsidRPr="007E3A21">
        <w:rPr>
          <w:rStyle w:val="af"/>
          <w:sz w:val="18"/>
          <w:szCs w:val="18"/>
          <w:rtl/>
        </w:rPr>
        <w:footnoteRef/>
      </w:r>
      <w:r w:rsidRPr="007E3A21">
        <w:rPr>
          <w:sz w:val="18"/>
          <w:szCs w:val="18"/>
        </w:rPr>
        <w:t xml:space="preserve"> سدايا، الدليل الاسترشادي لتقويم مخاطر نقل البيانات الشخصية، مرجع سابق، ص5.</w:t>
      </w:r>
    </w:p>
  </w:footnote>
  <w:footnote w:id="100">
    <w:p w14:paraId="4A878DAD"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مركز الدراسات والبحوث القانونية، استخدام الذكاء الاصطناعي في المحاكم، مرجع سابق، ص2.</w:t>
      </w:r>
    </w:p>
  </w:footnote>
  <w:footnote w:id="101">
    <w:p w14:paraId="1C5D621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ص385.</w:t>
      </w:r>
    </w:p>
  </w:footnote>
  <w:footnote w:id="102">
    <w:p w14:paraId="6267DF7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اشتراطات سلامة النظام الذكي ووضوح قراراته وقابليتها للشرح والتفسير: الجلعود، مرجع سابق، ص563.</w:t>
      </w:r>
    </w:p>
  </w:footnote>
  <w:footnote w:id="103">
    <w:p w14:paraId="6C1A7F79" w14:textId="77777777" w:rsidR="00957EC0" w:rsidRPr="007E3A21" w:rsidRDefault="00957EC0" w:rsidP="003A558F">
      <w:pPr>
        <w:pStyle w:val="ae"/>
        <w:bidi/>
        <w:rPr>
          <w:sz w:val="18"/>
          <w:szCs w:val="18"/>
        </w:rPr>
      </w:pPr>
      <w:r w:rsidRPr="007E3A21">
        <w:rPr>
          <w:rStyle w:val="af"/>
          <w:sz w:val="18"/>
          <w:szCs w:val="18"/>
          <w:rtl/>
        </w:rPr>
        <w:footnoteRef/>
      </w:r>
      <w:r w:rsidRPr="007E3A21">
        <w:rPr>
          <w:sz w:val="18"/>
          <w:szCs w:val="18"/>
        </w:rPr>
        <w:t xml:space="preserve"> رجب، ياسر محمد عبد السلام (د.ت). دور الدولة في تأطير أخلاقيات الذكاء الاصطناعي – دراسة مقارنة. المجلة القانونية، كلية الحقوق، جامعة القاهرة، ص2412–2413.</w:t>
      </w:r>
    </w:p>
  </w:footnote>
  <w:footnote w:id="104">
    <w:p w14:paraId="4F99392C" w14:textId="77777777" w:rsidR="00957EC0" w:rsidRPr="007E3A21" w:rsidRDefault="00957EC0" w:rsidP="003A558F">
      <w:pPr>
        <w:pStyle w:val="ae"/>
        <w:bidi/>
        <w:rPr>
          <w:sz w:val="18"/>
          <w:szCs w:val="18"/>
        </w:rPr>
      </w:pPr>
      <w:r w:rsidRPr="007E3A21">
        <w:rPr>
          <w:rStyle w:val="af"/>
          <w:sz w:val="18"/>
          <w:szCs w:val="18"/>
          <w:rtl/>
        </w:rPr>
        <w:footnoteRef/>
      </w:r>
      <w:r w:rsidRPr="007E3A21">
        <w:rPr>
          <w:sz w:val="18"/>
          <w:szCs w:val="18"/>
        </w:rPr>
        <w:t xml:space="preserve"> رجب، مرجع سابق، ص2411–2413.</w:t>
      </w:r>
    </w:p>
  </w:footnote>
  <w:footnote w:id="105">
    <w:p w14:paraId="6D92E6D9"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التونسي والمعلم، مرجع سابق، ص406.</w:t>
      </w:r>
    </w:p>
  </w:footnote>
  <w:footnote w:id="106">
    <w:p w14:paraId="37AEF969"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w:t>
      </w:r>
      <w:r w:rsidRPr="007E3A21">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07">
    <w:p w14:paraId="4EA2FE3F"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المالكي، مرجع سابق، ص1767.</w:t>
      </w:r>
    </w:p>
  </w:footnote>
  <w:footnote w:id="108">
    <w:p w14:paraId="6CF8100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ص399.</w:t>
      </w:r>
    </w:p>
  </w:footnote>
  <w:footnote w:id="109">
    <w:p w14:paraId="1BD3207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العجماني وسيد، مرجع سابق، ص453.</w:t>
      </w:r>
    </w:p>
  </w:footnote>
  <w:footnote w:id="110">
    <w:p w14:paraId="1F11037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مرجع سابق، ص66، 562.</w:t>
      </w:r>
    </w:p>
  </w:footnote>
  <w:footnote w:id="111">
    <w:p w14:paraId="6ABF604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العرشاني، مرجع سابق، ص107.</w:t>
      </w:r>
    </w:p>
  </w:footnote>
  <w:footnote w:id="112">
    <w:p w14:paraId="4ADD280F"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العرشاني، مرجع سابق، ص98.</w:t>
      </w:r>
    </w:p>
  </w:footnote>
  <w:footnote w:id="113">
    <w:p w14:paraId="21569DF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بلال، مرجع سابق؛ ومحمود وعناني، مرجع سابق؛ وEuropean Commission for the Efficiency of Justice (CEPEJ), European Ethical Charter on the Use of Artificial Intelligence in Judicial Systems and their Environment, Council of Europe, 2018، ص939.</w:t>
      </w:r>
    </w:p>
  </w:footnote>
  <w:footnote w:id="114">
    <w:p w14:paraId="01C06921"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المالكي، مرجع سابق، ص1767.</w:t>
      </w:r>
    </w:p>
  </w:footnote>
  <w:footnote w:id="115">
    <w:p w14:paraId="51BA1EA1"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وتعديلاته. المملكة العربية السعودية.</w:t>
      </w:r>
    </w:p>
  </w:footnote>
  <w:footnote w:id="116">
    <w:p w14:paraId="6C35F8AD"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المملكة العربية السعودية.</w:t>
      </w:r>
    </w:p>
  </w:footnote>
  <w:footnote w:id="117">
    <w:p w14:paraId="6D91FE2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الإثبات، الصادر بالمرسوم الملكي رقم (م/43) وتاريخ 26/5/1443هـ. المملكة العربية السعودية.</w:t>
      </w:r>
    </w:p>
  </w:footnote>
  <w:footnote w:id="118">
    <w:p w14:paraId="14D0215F"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ص106.</w:t>
      </w:r>
    </w:p>
  </w:footnote>
  <w:footnote w:id="119">
    <w:p w14:paraId="0F9CEF1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حماية البيانات الشخصية، الصادر بالمرسوم الملكي رقم (م/19) وتاريخ 9/2/1443هـ، المعدل بالمرسوم الملكي رقم (م/148) وتاريخ 5/9/1444هـ. المملكة العربية السعودية.</w:t>
      </w:r>
    </w:p>
  </w:footnote>
  <w:footnote w:id="120">
    <w:p w14:paraId="128CF3F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انظر في استعراض هذه الاتجاهات والنظريات: المالكي، مرجع سابق، ص1793–1802.</w:t>
      </w:r>
    </w:p>
  </w:footnote>
  <w:footnote w:id="121">
    <w:p w14:paraId="4477FD75"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ص944–945.</w:t>
      </w:r>
    </w:p>
  </w:footnote>
  <w:footnote w:id="122">
    <w:p w14:paraId="4A434A38"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علي، سعاد حسني، مرجع سابق، ص861.</w:t>
      </w:r>
    </w:p>
  </w:footnote>
  <w:footnote w:id="123">
    <w:p w14:paraId="12832295"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ص21.</w:t>
      </w:r>
    </w:p>
  </w:footnote>
  <w:footnote w:id="124">
    <w:p w14:paraId="4BD2789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قواعد السلوك المهني للمحامين، الصادرة بقرار وزير العدل رقم (3453) وتاريخ 24/12/1442هـ، بالتنسيق مع الهيئة السعودية للمحامين. متاحة على الموقع الرسمي للهيئة: sba.gov.sa.</w:t>
      </w:r>
    </w:p>
  </w:footnote>
  <w:footnote w:id="125">
    <w:p w14:paraId="58CF69E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واجب الكفاءة المهنية وما بات يقتضيه من إلمام المحامي بأدوات الذكاء الاصطناعي التوليدي وحدودها: ABA Standing Committee on Ethics and Professional Responsibility, Formal Opinion 512: Generative Artificial Intelligence Tools (2024), pp. 2–4.</w:t>
      </w:r>
    </w:p>
  </w:footnote>
  <w:footnote w:id="126">
    <w:p w14:paraId="281DA186"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المملكة العربية السعودية.</w:t>
      </w:r>
    </w:p>
  </w:footnote>
  <w:footnote w:id="127">
    <w:p w14:paraId="13CA61C8"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الإثبات، الصادر بالمرسوم الملكي رقم (م/43) وتاريخ 26/5/1443هـ. المملكة العربية السعودية.</w:t>
      </w:r>
    </w:p>
  </w:footnote>
  <w:footnote w:id="128">
    <w:p w14:paraId="5615EFCD"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ص106.</w:t>
      </w:r>
    </w:p>
  </w:footnote>
  <w:footnote w:id="129">
    <w:p w14:paraId="229D6384"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مركز الدراسات والبحوث القانونية، استخدام الذكاء الاصطناعي في المحاكم، مرجع سابق، ص17.</w:t>
      </w:r>
    </w:p>
  </w:footnote>
  <w:footnote w:id="130">
    <w:p w14:paraId="0AFF82D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حماية البيانات الشخصية، الصادر بالمرسوم الملكي رقم (م/19) وتاريخ 9/2/1443هـ، المادة (الحادية عشرة).</w:t>
      </w:r>
    </w:p>
  </w:footnote>
  <w:footnote w:id="131">
    <w:p w14:paraId="7ACF8B8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الهيئة السعودية للبيانات والذكاء الاصطناعي سدايا، مبادئ أخلاقيات الذكاء الاصطناعي، مرجع سابق، ص12–23؛ وإطار تبني الذكاء الاصطناعي، مرجع سابق.</w:t>
      </w:r>
    </w:p>
  </w:footnote>
  <w:footnote w:id="132">
    <w:p w14:paraId="0729020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عبد اللطيف، محمد محمد (2021م). المسئولية عن الذكاء الاصطناعي بين القانون الخاص والقانون العام. بحث مقدم إلى مؤتمر «الجوانب القانونية والاقتصادية للذكاء الاصطناعي وتكنولوجيا المعلومات»، كلية الحقوق، جامعة المنصورة، 23–24 مايو 2021م، ومنشور في مجلة البحوث القانونية والاقتصادية بالكلية ذاتها (بنك المعرفة المصري)، المجلد (11)، العدد (1)، ص354 وما بعدها؛ والإحالات في هذه الرسالة إلى الترقيم الداخلي للبحث، ص43.</w:t>
      </w:r>
    </w:p>
  </w:footnote>
  <w:footnote w:id="133">
    <w:p w14:paraId="074B3B50"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انظر في عرض نظرية إنكار الشخصية القانونية للذكاء الاصطناعي: المالكي، مرجع سابق، ص1793، 1796.</w:t>
      </w:r>
    </w:p>
  </w:footnote>
  <w:footnote w:id="134">
    <w:p w14:paraId="6C2F314B"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أبو العيد، طاهر (2022م). الذكاء الاصطناعي والقانون. نائب رئيس محكمة الاستئناف، ضمن سلسلة المعرفة القانونية. منشور عبر ResearchGate. https://www.researchgate.net/publication/361722936، ص12–13.</w:t>
      </w:r>
    </w:p>
  </w:footnote>
  <w:footnote w:id="135">
    <w:p w14:paraId="6983042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المملكة العربية السعودية.</w:t>
      </w:r>
    </w:p>
  </w:footnote>
  <w:footnote w:id="136">
    <w:p w14:paraId="62433A63"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الإثبات، الصادر بالمرسوم الملكي رقم (م/43) وتاريخ 26/5/1443هـ. المملكة العربية السعودية.</w:t>
      </w:r>
    </w:p>
  </w:footnote>
  <w:footnote w:id="137">
    <w:p w14:paraId="4823C939"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ص97.</w:t>
      </w:r>
    </w:p>
  </w:footnote>
  <w:footnote w:id="138">
    <w:p w14:paraId="1FEB60B5"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مرسي، مرجع سابق، ص944، 952.</w:t>
      </w:r>
    </w:p>
  </w:footnote>
  <w:footnote w:id="139">
    <w:p w14:paraId="23E9C0CB"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علي، سعاد حسني، مرجع سابق، ص799.</w:t>
      </w:r>
    </w:p>
  </w:footnote>
  <w:footnote w:id="140">
    <w:p w14:paraId="5995F8B2"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علي، سعاد حسني، مرجع سابق، ص849.</w:t>
      </w:r>
    </w:p>
  </w:footnote>
  <w:footnote w:id="141">
    <w:p w14:paraId="6972B368"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عبد اللطيف، مرجع سابق، ص43.</w:t>
      </w:r>
    </w:p>
  </w:footnote>
  <w:footnote w:id="142">
    <w:p w14:paraId="70598873"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محمود وعناني، مرجع سابق، ص936.</w:t>
      </w:r>
    </w:p>
  </w:footnote>
  <w:footnote w:id="143">
    <w:p w14:paraId="35D4A4A8"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المملكة العربية السعودية.</w:t>
      </w:r>
    </w:p>
  </w:footnote>
  <w:footnote w:id="144">
    <w:p w14:paraId="39BD84B1"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الإثبات، الصادر بالمرسوم الملكي رقم (م/43) وتاريخ 26/5/1443هـ. المملكة العربية السعودية.</w:t>
      </w:r>
    </w:p>
  </w:footnote>
  <w:footnote w:id="145">
    <w:p w14:paraId="369854F7"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ص106.</w:t>
      </w:r>
    </w:p>
  </w:footnote>
  <w:footnote w:id="146">
    <w:p w14:paraId="0D005955"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حماية البيانات الشخصية، الصادر بالمرسوم الملكي رقم (م/19) وتاريخ 9/2/1443هـ، المعدل بالمرسوم الملكي رقم (م/148) وتاريخ 5/9/1444هـ. المملكة العربية السعودية.</w:t>
      </w:r>
    </w:p>
  </w:footnote>
  <w:footnote w:id="147">
    <w:p w14:paraId="616FBDEF"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ص10.</w:t>
      </w:r>
    </w:p>
  </w:footnote>
  <w:footnote w:id="148">
    <w:p w14:paraId="3BF4BD26"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التونسي والمعلم، مرجع سابق، ص399.</w:t>
      </w:r>
    </w:p>
  </w:footnote>
  <w:footnote w:id="149">
    <w:p w14:paraId="4B3F98B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الهيئة السعودية للبيانات والذكاء الاصطناعي سدايا، إطار تبني الذكاء الاصطناعي، مرجع سابق، ص10.</w:t>
      </w:r>
    </w:p>
  </w:footnote>
  <w:footnote w:id="150">
    <w:p w14:paraId="37092A4E"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بجاد، عبد القادر عبد الله أحمد (2023م). تطبيقات الذكاء الاصطناعي في الحكم القضائي – دراسة قانونية. المجلة الدولية للبحوث النوعية المتخصصة (IJSSR)، العدد (42)، ص84–85.</w:t>
      </w:r>
    </w:p>
  </w:footnote>
  <w:footnote w:id="151">
    <w:p w14:paraId="75A8C175"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w:t>
      </w:r>
      <w:r w:rsidRPr="007E3A21">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152">
    <w:p w14:paraId="66129E83"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الأسيوطي، مرجع سابق، ص106.</w:t>
      </w:r>
    </w:p>
  </w:footnote>
  <w:footnote w:id="153">
    <w:p w14:paraId="7357EEEA"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عبد اللطيف، مرجع سابق، ص10.</w:t>
      </w:r>
    </w:p>
  </w:footnote>
  <w:footnote w:id="154">
    <w:p w14:paraId="61D36E7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الهيئة السعودية للبيانات والذكاء الاصطناعي سدايا، مبادئ أخلاقيات الذكاء الاصطناعي، مرجع سابق، ص21–23؛ وإطار تبني الذكاء الاصطناعي، مرجع سابق.</w:t>
      </w:r>
    </w:p>
  </w:footnote>
  <w:footnote w:id="155">
    <w:p w14:paraId="0741A2F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الاتحاد الأوروبي للذكاء الاصطناعي (EU AI Act)، مرجع سابق، الملحق الثالث (أنظمة الذكاء الاصطناعي عالية الخطورة – إقامة العدل).</w:t>
      </w:r>
    </w:p>
  </w:footnote>
  <w:footnote w:id="156">
    <w:p w14:paraId="0F75735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ص400.</w:t>
      </w:r>
    </w:p>
  </w:footnote>
  <w:footnote w:id="157">
    <w:p w14:paraId="27D736B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التونسي والمعلم، مرجع سابق، ص400–401؛ ولائحة الذكاء الاصطناعي للاتحاد الأوروبي (EU AI Act)، اللائحة رقم 2024/1689، مرجع سابق، الملحق الثالث.</w:t>
      </w:r>
    </w:p>
  </w:footnote>
  <w:footnote w:id="158">
    <w:p w14:paraId="612ADDB4"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مرجع سابق، ص566–568.</w:t>
      </w:r>
    </w:p>
  </w:footnote>
  <w:footnote w:id="159">
    <w:p w14:paraId="44881B68" w14:textId="77777777" w:rsidR="00624037" w:rsidRPr="007E3A21" w:rsidRDefault="00624037"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ص106.</w:t>
      </w:r>
    </w:p>
  </w:footnote>
  <w:footnote w:id="160">
    <w:p w14:paraId="3490368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ص1801–1802.</w:t>
      </w:r>
    </w:p>
  </w:footnote>
  <w:footnote w:id="161">
    <w:p w14:paraId="1B88B96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ص21.</w:t>
      </w:r>
    </w:p>
  </w:footnote>
  <w:footnote w:id="162">
    <w:p w14:paraId="673D6E85"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العرشاني، مرجع سابق، ص93.</w:t>
      </w:r>
    </w:p>
  </w:footnote>
  <w:footnote w:id="163">
    <w:p w14:paraId="3AC5D6CF"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نظام الإجراءات الجزائية، الصادر بالمرسوم الملكي رقم (م/2) وتاريخ 22/1/1435هـ. المملكة العربية السعودية.</w:t>
      </w:r>
    </w:p>
  </w:footnote>
  <w:footnote w:id="164">
    <w:p w14:paraId="52CE8BA7"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انظر في الدعوة إلى تحديد معايير قضائية واضحة لقبول الأدلة المبنية على الذكاء الاصطناعي واستخدامه أداةَ توازن رقابي في التحقيقات: مركز أسبار للدراسات والبحوث والإعلام (ملتقى أسبار) (2025م). توظيف الذكاء الاصطناعي في التحقيقات الجنائية: التطورات، والتحديات، وإطار متوافق أكثر ذكاءً وإنصافاً (تقرير رقم 455، الورقة الرئيسة: د. فهد معافا). الرياض، ص36.</w:t>
      </w:r>
    </w:p>
  </w:footnote>
  <w:footnote w:id="165">
    <w:p w14:paraId="58D0784F"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التونسي والمعلم، مرجع سابق، ص398، 407.</w:t>
      </w:r>
    </w:p>
  </w:footnote>
  <w:footnote w:id="166">
    <w:p w14:paraId="48FB6DC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العرشاني، مرجع سابق، ص104.</w:t>
      </w:r>
    </w:p>
  </w:footnote>
  <w:footnote w:id="167">
    <w:p w14:paraId="70AE5C4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مرجع سابق، ص563.</w:t>
      </w:r>
    </w:p>
  </w:footnote>
  <w:footnote w:id="168">
    <w:p w14:paraId="7C15F8D4"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الاتحاد الأوروبي للذكاء الاصطناعي (EU AI Act)، مرجع سابق، الملحق الثالث (أنظمة الذكاء الاصطناعي عالية الخطورة – إقامة العدل).</w:t>
      </w:r>
    </w:p>
  </w:footnote>
  <w:footnote w:id="169">
    <w:p w14:paraId="6D556A44"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ص10.</w:t>
      </w:r>
    </w:p>
  </w:footnote>
  <w:footnote w:id="170">
    <w:p w14:paraId="00DAAE91"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محمود وعناني، مرجع سابق، ص922.</w:t>
      </w:r>
    </w:p>
  </w:footnote>
  <w:footnote w:id="171">
    <w:p w14:paraId="606795EA" w14:textId="77777777" w:rsidR="00C41E32" w:rsidRPr="007E3A21" w:rsidRDefault="00000000" w:rsidP="003A558F">
      <w:pPr>
        <w:bidi/>
        <w:rPr>
          <w:sz w:val="18"/>
          <w:szCs w:val="18"/>
        </w:rPr>
      </w:pPr>
      <w:r w:rsidRPr="007E3A21">
        <w:rPr>
          <w:rStyle w:val="af"/>
          <w:sz w:val="18"/>
          <w:szCs w:val="18"/>
          <w:rtl/>
        </w:rPr>
        <w:footnoteRef/>
      </w:r>
      <w:r w:rsidRPr="007E3A21">
        <w:rPr>
          <w:sz w:val="18"/>
          <w:szCs w:val="18"/>
        </w:rPr>
        <w:t xml:space="preserve"> نظام التعاملات الإلكترونية، الصادر بالمرسوم الملكي رقم (م/18) وتاريخ 8/3/1428هـ. المملكة العربية السعودية.</w:t>
      </w:r>
    </w:p>
  </w:footnote>
  <w:footnote w:id="172">
    <w:p w14:paraId="00EF166B" w14:textId="77777777" w:rsidR="00B16B4E" w:rsidRPr="007E3A21" w:rsidRDefault="00000000" w:rsidP="003A558F">
      <w:pPr>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(2024م). دليل أخلاقيات الذكاء الاصطناعي، الطبعة الثانية. الرياض: سدايا، أبريل 2024م، ص16-17.</w:t>
      </w:r>
    </w:p>
  </w:footnote>
  <w:footnote w:id="173">
    <w:p w14:paraId="71F7DD1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الاتحاد الأوروبي للذكاء الاصطناعي (EU AI Act)، مرجع سابق، المادة (13) بشأن التزامات الشفافية وتوفير المعلومات.</w:t>
      </w:r>
    </w:p>
  </w:footnote>
  <w:footnote w:id="174">
    <w:p w14:paraId="6F3BAEBB" w14:textId="77777777" w:rsidR="00624037" w:rsidRPr="007E3A21" w:rsidRDefault="00624037" w:rsidP="003A558F">
      <w:pPr>
        <w:pStyle w:val="ae"/>
        <w:bidi/>
        <w:rPr>
          <w:sz w:val="18"/>
          <w:szCs w:val="18"/>
        </w:rPr>
      </w:pPr>
      <w:r w:rsidRPr="007E3A21">
        <w:rPr>
          <w:rStyle w:val="af"/>
          <w:sz w:val="18"/>
          <w:szCs w:val="18"/>
          <w:rtl/>
        </w:rPr>
        <w:footnoteRef/>
      </w:r>
      <w:r w:rsidRPr="007E3A21">
        <w:rPr>
          <w:sz w:val="18"/>
          <w:szCs w:val="18"/>
        </w:rPr>
        <w:t xml:space="preserve"> انظر: نظام الإثبات، الصادر بالمرسوم الملكي رقم (م/43) وتاريخ 26/5/1443هـ؛ ونظام المحاماة الصادر بالمرسوم الملكي رقم (م/38) وتاريخ 28/7/1422هـ وتعديلاته.</w:t>
      </w:r>
    </w:p>
  </w:footnote>
  <w:footnote w:id="175">
    <w:p w14:paraId="5FAB2E0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قارن في الدعوة إلى إطار تنظيمي وتقنين محدد يكون المرجعية القانونية الواضحة لهذه التقنيات: التونسي والمعلم، مرجع سابق، ص399.</w:t>
      </w:r>
    </w:p>
  </w:footnote>
  <w:footnote w:id="176">
    <w:p w14:paraId="4512805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المعيبد، مرجع سابق، ص154.</w:t>
      </w:r>
    </w:p>
  </w:footnote>
  <w:footnote w:id="177">
    <w:p w14:paraId="71D163DD"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التخريج الفقهي لتطبيقات الذكاء الاصطناعي على عون القاضي: الجلعود، مرجع سابق، ص79–80 وما بعدها.</w:t>
      </w:r>
    </w:p>
  </w:footnote>
  <w:footnote w:id="178">
    <w:p w14:paraId="08F0F73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مركز الدراسات والبحوث القانونية، استخدام الذكاء الاصطناعي في المحاكم، مرجع سابق، ص26.</w:t>
      </w:r>
    </w:p>
  </w:footnote>
  <w:footnote w:id="179">
    <w:p w14:paraId="4A227910" w14:textId="77777777" w:rsidR="00CF598B" w:rsidRPr="007E3A21" w:rsidRDefault="00CF598B" w:rsidP="003A558F">
      <w:pPr>
        <w:pStyle w:val="ae"/>
        <w:bidi/>
        <w:rPr>
          <w:sz w:val="18"/>
          <w:szCs w:val="18"/>
          <w:rtl/>
        </w:rPr>
      </w:pPr>
      <w:r w:rsidRPr="007E3A21">
        <w:rPr>
          <w:rStyle w:val="af"/>
          <w:sz w:val="18"/>
          <w:szCs w:val="18"/>
          <w:rtl/>
        </w:rPr>
        <w:footnoteRef/>
      </w:r>
      <w:r w:rsidRPr="007E3A21">
        <w:rPr>
          <w:sz w:val="18"/>
          <w:szCs w:val="18"/>
        </w:rPr>
        <w:t xml:space="preserve"> نظام المحاماة، الصادر بالمرسوم الملكي رقم (م/38) وتاريخ 28/7/1422هـ وتعديلاته. المملكة العربية السعودية.</w:t>
      </w:r>
    </w:p>
  </w:footnote>
  <w:footnote w:id="180">
    <w:p w14:paraId="278B2704" w14:textId="77777777" w:rsidR="00CF598B" w:rsidRPr="007E3A21" w:rsidRDefault="00CF598B" w:rsidP="003A558F">
      <w:pPr>
        <w:pStyle w:val="ae"/>
        <w:bidi/>
        <w:rPr>
          <w:sz w:val="18"/>
          <w:szCs w:val="18"/>
          <w:rtl/>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المملكة العربية السعودية.</w:t>
      </w:r>
    </w:p>
  </w:footnote>
  <w:footnote w:id="181">
    <w:p w14:paraId="206493E1" w14:textId="77777777" w:rsidR="00CF598B" w:rsidRPr="007E3A21" w:rsidRDefault="00CF598B"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ص10.</w:t>
      </w:r>
    </w:p>
  </w:footnote>
  <w:footnote w:id="182">
    <w:p w14:paraId="4D89E6E5" w14:textId="77777777" w:rsidR="00CF598B" w:rsidRPr="007E3A21" w:rsidRDefault="00CF598B" w:rsidP="003A558F">
      <w:pPr>
        <w:pStyle w:val="ae"/>
        <w:bidi/>
        <w:rPr>
          <w:sz w:val="18"/>
          <w:szCs w:val="18"/>
        </w:rPr>
      </w:pPr>
      <w:r w:rsidRPr="007E3A21">
        <w:rPr>
          <w:rStyle w:val="af"/>
          <w:sz w:val="18"/>
          <w:szCs w:val="18"/>
          <w:rtl/>
        </w:rPr>
        <w:footnoteRef/>
      </w:r>
      <w:r w:rsidRPr="007E3A21">
        <w:rPr>
          <w:sz w:val="18"/>
          <w:szCs w:val="18"/>
        </w:rPr>
        <w:t xml:space="preserve"> انظر في نظريات الشخصية القانونية للذكاء الاصطناعي بين الاعتراف والإنكار والقياس على الشخصية الاعتبارية: المالكي، مرجع سابق، ص1792–1796.</w:t>
      </w:r>
    </w:p>
  </w:footnote>
  <w:footnote w:id="183">
    <w:p w14:paraId="3E6BB5F5"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الخليفة، نظام الإثبات وأدلته الإجرائية مع الفهارس، مرجع سابق، ص5–6.</w:t>
      </w:r>
    </w:p>
  </w:footnote>
  <w:footnote w:id="184">
    <w:p w14:paraId="45305EE1"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السريع، عبد العزيز بن محمد؛ والزامل، عبد الله بن عبد المحسن (1445هـ). نظام المعاملات المدنية مع الفهارس. الرياض: الجمعية العلمية القضائية السعودية (قضاء)، ص6.</w:t>
      </w:r>
    </w:p>
  </w:footnote>
  <w:footnote w:id="185">
    <w:p w14:paraId="4CE8BF5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المادة (الحادية عشرة)، ولائحته التنفيذية.</w:t>
      </w:r>
    </w:p>
  </w:footnote>
  <w:footnote w:id="186">
    <w:p w14:paraId="1801A20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المعاملات المدنية الصادر بالمرسوم الملكي رقم (م/191) وتاريخ 29/11/1444هـ، المادة (العشرون بعد المائة).</w:t>
      </w:r>
    </w:p>
  </w:footnote>
  <w:footnote w:id="187">
    <w:p w14:paraId="18CA4ED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المالكي، مرجع سابق، ص1792–1796.</w:t>
      </w:r>
    </w:p>
  </w:footnote>
  <w:footnote w:id="188">
    <w:p w14:paraId="6BB4C6A3"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المالكي، مرجع سابق، ص1767.</w:t>
      </w:r>
    </w:p>
  </w:footnote>
  <w:footnote w:id="189">
    <w:p w14:paraId="243E45C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إسماعيل، مرجع سابق، ص50.</w:t>
      </w:r>
    </w:p>
  </w:footnote>
  <w:footnote w:id="190">
    <w:p w14:paraId="11354072"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لعقرب، سامية (2024م). الذكاء الاصطناعي والآثار القانونية المترتبة عن استخدامه. مجلة المحترف لعلوم الرياضة والعلوم الإنسانية والاجتماعية، 11(4)، ص2.</w:t>
      </w:r>
    </w:p>
  </w:footnote>
  <w:footnote w:id="191">
    <w:p w14:paraId="0406957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انظر في التمييز بين مخاطر الهيكل ومخاطر السلوك: عبد اللطيف، مرجع سابق، ص17–18.</w:t>
      </w:r>
    </w:p>
  </w:footnote>
  <w:footnote w:id="192">
    <w:p w14:paraId="760A4A1D"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عبد اللطيف، مرجع سابق، ص3.</w:t>
      </w:r>
    </w:p>
  </w:footnote>
  <w:footnote w:id="193">
    <w:p w14:paraId="03CA3D97" w14:textId="77777777" w:rsidR="004F0491" w:rsidRPr="007E3A21" w:rsidRDefault="004F0491"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ص1799–1800.</w:t>
      </w:r>
    </w:p>
  </w:footnote>
  <w:footnote w:id="194">
    <w:p w14:paraId="0BA0D15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الخميسي، مرجع سابق، ص30.</w:t>
      </w:r>
    </w:p>
  </w:footnote>
  <w:footnote w:id="195">
    <w:p w14:paraId="338BF20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رجب، مرجع سابق، ص2411.</w:t>
      </w:r>
    </w:p>
  </w:footnote>
  <w:footnote w:id="196">
    <w:p w14:paraId="00A9717F" w14:textId="77777777" w:rsidR="004F0491" w:rsidRPr="007E3A21" w:rsidRDefault="004F0491"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ص5.</w:t>
      </w:r>
    </w:p>
  </w:footnote>
  <w:footnote w:id="197">
    <w:p w14:paraId="7F73CBFB" w14:textId="77777777" w:rsidR="004F0491" w:rsidRPr="007E3A21" w:rsidRDefault="004F0491"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مبادئ أخلاقيات الذكاء الاصطناعي، مرجع سابق، ص23.</w:t>
      </w:r>
    </w:p>
  </w:footnote>
  <w:footnote w:id="198">
    <w:p w14:paraId="18655AE4" w14:textId="77777777" w:rsidR="004F0491" w:rsidRPr="007E3A21" w:rsidRDefault="004F0491"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ص111.</w:t>
      </w:r>
    </w:p>
  </w:footnote>
  <w:footnote w:id="199">
    <w:p w14:paraId="035CA1D7" w14:textId="77777777" w:rsidR="004F0491" w:rsidRPr="007E3A21" w:rsidRDefault="004F0491" w:rsidP="003A558F">
      <w:pPr>
        <w:pStyle w:val="ae"/>
        <w:bidi/>
        <w:rPr>
          <w:sz w:val="18"/>
          <w:szCs w:val="18"/>
        </w:rPr>
      </w:pPr>
      <w:r w:rsidRPr="007E3A21">
        <w:rPr>
          <w:rStyle w:val="af"/>
          <w:sz w:val="18"/>
          <w:szCs w:val="18"/>
          <w:rtl/>
        </w:rPr>
        <w:footnoteRef/>
      </w:r>
      <w:r>
        <w:rPr>
          <w:sz w:val="18"/>
          <w:szCs w:val="18"/>
        </w:rPr>
        <w:t xml:space="preserve"> رجب، مرجع سابق، ص2411، 2413.</w:t>
      </w:r>
    </w:p>
  </w:footnote>
  <w:footnote w:id="200">
    <w:p w14:paraId="13B973C0" w14:textId="77777777" w:rsidR="004F0491" w:rsidRPr="007E3A21" w:rsidRDefault="004F0491" w:rsidP="003A558F">
      <w:pPr>
        <w:pStyle w:val="ae"/>
        <w:bidi/>
        <w:rPr>
          <w:sz w:val="18"/>
          <w:szCs w:val="18"/>
          <w:rtl/>
        </w:rPr>
      </w:pPr>
      <w:r w:rsidRPr="007E3A21">
        <w:rPr>
          <w:rStyle w:val="af"/>
          <w:sz w:val="18"/>
          <w:szCs w:val="18"/>
          <w:rtl/>
        </w:rPr>
        <w:footnoteRef/>
      </w:r>
      <w:r w:rsidRPr="007E3A21">
        <w:rPr>
          <w:sz w:val="18"/>
          <w:szCs w:val="18"/>
        </w:rPr>
        <w:t xml:space="preserve"> إسماعيل، مرجع سابق، ص50.</w:t>
      </w:r>
    </w:p>
  </w:footnote>
  <w:footnote w:id="201">
    <w:p w14:paraId="4C9A3A88" w14:textId="77777777" w:rsidR="004F0491" w:rsidRPr="007E3A21" w:rsidRDefault="004F0491" w:rsidP="003A558F">
      <w:pPr>
        <w:bidi/>
        <w:rPr>
          <w:sz w:val="18"/>
          <w:szCs w:val="18"/>
        </w:rPr>
      </w:pPr>
      <w:r w:rsidRPr="007E3A21">
        <w:rPr>
          <w:rStyle w:val="af"/>
          <w:sz w:val="18"/>
          <w:szCs w:val="18"/>
          <w:rtl/>
        </w:rPr>
        <w:footnoteRef/>
      </w:r>
      <w:r w:rsidRPr="007E3A21">
        <w:rPr>
          <w:sz w:val="18"/>
          <w:szCs w:val="18"/>
        </w:rPr>
        <w:t xml:space="preserve"> الأسيوطي، مرجع سابق، ص96.</w:t>
      </w:r>
    </w:p>
  </w:footnote>
  <w:footnote w:id="202">
    <w:p w14:paraId="53C44C92" w14:textId="77777777" w:rsidR="004F0491" w:rsidRPr="007E3A21" w:rsidRDefault="004F0491" w:rsidP="003A558F">
      <w:pPr>
        <w:pStyle w:val="ae"/>
        <w:bidi/>
        <w:rPr>
          <w:sz w:val="18"/>
          <w:szCs w:val="18"/>
          <w:rtl/>
        </w:rPr>
      </w:pPr>
      <w:r w:rsidRPr="007E3A21">
        <w:rPr>
          <w:rStyle w:val="af"/>
          <w:sz w:val="18"/>
          <w:szCs w:val="18"/>
          <w:rtl/>
        </w:rPr>
        <w:footnoteRef/>
      </w:r>
      <w:r w:rsidRPr="007E3A21">
        <w:rPr>
          <w:sz w:val="18"/>
          <w:szCs w:val="18"/>
        </w:rPr>
        <w:t xml:space="preserve"> الأسيوطي، مرجع سابق، ص106.</w:t>
      </w:r>
    </w:p>
  </w:footnote>
  <w:footnote w:id="203">
    <w:p w14:paraId="2CBA5CB9" w14:textId="77777777" w:rsidR="004F0491" w:rsidRPr="007E3A21" w:rsidRDefault="004F0491"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ص1799–1800.</w:t>
      </w:r>
    </w:p>
  </w:footnote>
  <w:footnote w:id="204">
    <w:p w14:paraId="1AD03D2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قارن في تفرقة عبد اللطيف بين مخاطر الهيكل ومخاطر السلوك: عبد اللطيف، مرجع سابق، ص17–18.</w:t>
      </w:r>
    </w:p>
  </w:footnote>
  <w:footnote w:id="205">
    <w:p w14:paraId="0483FD54" w14:textId="77777777" w:rsidR="00CF67E5" w:rsidRPr="007E3A21" w:rsidRDefault="00CF67E5" w:rsidP="003A558F">
      <w:pPr>
        <w:pStyle w:val="ae"/>
        <w:bidi/>
        <w:rPr>
          <w:sz w:val="18"/>
          <w:szCs w:val="18"/>
          <w:rtl/>
        </w:rPr>
      </w:pPr>
      <w:r w:rsidRPr="007E3A21">
        <w:rPr>
          <w:rStyle w:val="af"/>
          <w:sz w:val="18"/>
          <w:szCs w:val="18"/>
          <w:rtl/>
        </w:rPr>
        <w:footnoteRef/>
      </w:r>
      <w:r w:rsidRPr="007E3A21">
        <w:rPr>
          <w:sz w:val="18"/>
          <w:szCs w:val="18"/>
        </w:rPr>
        <w:t xml:space="preserve"> الخميسي، مرجع سابق، ص30.</w:t>
      </w:r>
    </w:p>
  </w:footnote>
  <w:footnote w:id="206">
    <w:p w14:paraId="569A2401"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ص1799–1802.</w:t>
      </w:r>
    </w:p>
  </w:footnote>
  <w:footnote w:id="207">
    <w:p w14:paraId="726425CF"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انظر في التمييز بين حراسة الهيكل وحراسة المسلك: عبد اللطيف، مرجع سابق، ص17–18.</w:t>
      </w:r>
    </w:p>
  </w:footnote>
  <w:footnote w:id="208">
    <w:p w14:paraId="070B622D"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انظر في تأسيس المسؤولية على عيوب إنتاج أنظمة الذكاء الاصطناعي وتصنيعها (مسؤولية المنتج): المالكي، مرجع سابق، ص1801.</w:t>
      </w:r>
    </w:p>
  </w:footnote>
  <w:footnote w:id="209">
    <w:p w14:paraId="5AC20215"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الهيئة السعودية للبيانات والذكاء الاصطناعي سدايا، إطار تبني الذكاء الاصطناعي، مرجع سابق، ص10.</w:t>
      </w:r>
    </w:p>
  </w:footnote>
  <w:footnote w:id="210">
    <w:p w14:paraId="5FD6C023" w14:textId="77777777" w:rsidR="00CF67E5" w:rsidRPr="007E3A21" w:rsidRDefault="00CF67E5" w:rsidP="003A558F">
      <w:pPr>
        <w:bidi/>
        <w:rPr>
          <w:sz w:val="18"/>
          <w:szCs w:val="18"/>
        </w:rPr>
      </w:pPr>
      <w:r w:rsidRPr="007E3A21">
        <w:rPr>
          <w:rStyle w:val="af"/>
          <w:sz w:val="18"/>
          <w:szCs w:val="18"/>
          <w:rtl/>
        </w:rPr>
        <w:footnoteRef/>
      </w:r>
      <w:r>
        <w:rPr>
          <w:sz w:val="18"/>
          <w:szCs w:val="18"/>
        </w:rPr>
        <w:t xml:space="preserve"> لائحة الذكاء الاصطناعي للاتحاد الأوروبي (EU AI Act)، اللائحة رقم 2024/1689، مرجع سابق، المادتان (16) و(26).</w:t>
      </w:r>
    </w:p>
  </w:footnote>
  <w:footnote w:id="211">
    <w:p w14:paraId="4C95D6C1"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سدايا، مبادئ أخلاقيات الذكاء الاصطناعي، مرجع سابق، ص16.</w:t>
      </w:r>
    </w:p>
  </w:footnote>
  <w:footnote w:id="212">
    <w:p w14:paraId="2B5C945D" w14:textId="77777777" w:rsidR="00CF67E5" w:rsidRPr="007E3A21" w:rsidRDefault="00CF67E5" w:rsidP="003A558F">
      <w:pPr>
        <w:bidi/>
        <w:rPr>
          <w:sz w:val="18"/>
          <w:szCs w:val="18"/>
          <w:rtl/>
        </w:rPr>
      </w:pPr>
      <w:r w:rsidRPr="007E3A21">
        <w:rPr>
          <w:rStyle w:val="af"/>
          <w:sz w:val="18"/>
          <w:szCs w:val="18"/>
          <w:rtl/>
        </w:rPr>
        <w:footnoteRef/>
      </w:r>
      <w:r>
        <w:rPr>
          <w:sz w:val="18"/>
          <w:szCs w:val="18"/>
        </w:rPr>
        <w:t xml:space="preserve"> قارن في اشتراط صحة البيانات وبقاء تدخل العنصر البشري لاعتماد الأنظمة الذكية في العمل القضائي: محمود وعناني، مرجع سابق، ص936–937.</w:t>
      </w:r>
    </w:p>
  </w:footnote>
  <w:footnote w:id="213">
    <w:p w14:paraId="19B47CFE"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المالكي، مرجع سابق، ص1801–1802.</w:t>
      </w:r>
    </w:p>
  </w:footnote>
  <w:footnote w:id="214">
    <w:p w14:paraId="3C2BE182" w14:textId="77777777" w:rsidR="00CF67E5" w:rsidRPr="007E3A21" w:rsidRDefault="00CF67E5" w:rsidP="003A558F">
      <w:pPr>
        <w:pStyle w:val="ae"/>
        <w:bidi/>
        <w:rPr>
          <w:sz w:val="18"/>
          <w:szCs w:val="18"/>
        </w:rPr>
      </w:pPr>
      <w:r w:rsidRPr="007E3A21">
        <w:rPr>
          <w:rStyle w:val="af"/>
          <w:sz w:val="18"/>
          <w:szCs w:val="18"/>
          <w:rtl/>
        </w:rPr>
        <w:footnoteRef/>
      </w:r>
      <w:r w:rsidRPr="007E3A21">
        <w:rPr>
          <w:sz w:val="18"/>
          <w:szCs w:val="18"/>
        </w:rPr>
        <w:t xml:space="preserve"> نظام المعاملات المدنية، الصادر بالمرسوم الملكي رقم (م/191) وتاريخ 29/11/1444هـ، المادة (168).</w:t>
      </w:r>
    </w:p>
  </w:footnote>
  <w:footnote w:id="215">
    <w:p w14:paraId="7A770BC5" w14:textId="77777777" w:rsidR="00CF67E5" w:rsidRPr="007E3A21" w:rsidRDefault="00CF67E5" w:rsidP="003A558F">
      <w:pPr>
        <w:bidi/>
        <w:rPr>
          <w:sz w:val="18"/>
          <w:szCs w:val="18"/>
        </w:rPr>
      </w:pPr>
      <w:r w:rsidRPr="007E3A21">
        <w:rPr>
          <w:rStyle w:val="af"/>
          <w:sz w:val="18"/>
          <w:szCs w:val="18"/>
          <w:rtl/>
        </w:rPr>
        <w:footnoteRef/>
      </w:r>
      <w:r>
        <w:rPr>
          <w:sz w:val="18"/>
          <w:szCs w:val="18"/>
        </w:rPr>
        <w:t xml:space="preserve"> قارن في أحكام تعدد المسؤولين والخطأ المشترك: الخميسي، مرجع سابق، ص43–44.</w:t>
      </w:r>
    </w:p>
  </w:footnote>
  <w:footnote w:id="216">
    <w:p w14:paraId="063C8A8F" w14:textId="77777777" w:rsidR="00CF67E5" w:rsidRPr="007E3A21" w:rsidRDefault="00CF67E5" w:rsidP="003A558F">
      <w:pPr>
        <w:bidi/>
        <w:rPr>
          <w:rFonts w:asciiTheme="majorBidi" w:hAnsiTheme="majorBidi" w:cstheme="majorBidi"/>
          <w:sz w:val="18"/>
          <w:szCs w:val="18"/>
        </w:rPr>
      </w:pPr>
      <w:r w:rsidRPr="007E3A21">
        <w:rPr>
          <w:sz w:val="18"/>
          <w:szCs w:val="18"/>
          <w:rtl/>
        </w:rPr>
        <w:footnoteRef/>
      </w:r>
      <w:r w:rsidRPr="007E3A21">
        <w:rPr>
          <w:rFonts w:asciiTheme="majorBidi" w:hAnsiTheme="majorBidi" w:cstheme="majorBidi"/>
          <w:sz w:val="18"/>
          <w:szCs w:val="18"/>
          <w:rtl/>
        </w:rPr>
        <w:t xml:space="preserve"> الخميسي، مرجع سابق، ص43.</w:t>
      </w:r>
    </w:p>
  </w:footnote>
  <w:footnote w:id="217">
    <w:p w14:paraId="16350E5E" w14:textId="77777777" w:rsidR="00CF67E5" w:rsidRPr="007E3A21" w:rsidRDefault="00CF67E5" w:rsidP="003A558F">
      <w:pPr>
        <w:bidi/>
        <w:rPr>
          <w:sz w:val="18"/>
          <w:szCs w:val="18"/>
          <w:rtl/>
        </w:rPr>
      </w:pPr>
      <w:r w:rsidRPr="007E3A21">
        <w:rPr>
          <w:rStyle w:val="af"/>
          <w:sz w:val="18"/>
          <w:szCs w:val="18"/>
          <w:rtl/>
        </w:rPr>
        <w:footnoteRef/>
      </w:r>
      <w:r w:rsidRPr="007E3A21">
        <w:rPr>
          <w:sz w:val="18"/>
          <w:szCs w:val="18"/>
        </w:rPr>
        <w:t xml:space="preserve"> لائحة الذكاء الاصطناعي للاتحاد الأوروبي (EU AI Act)، اللائحة رقم 2024/1689 الصادرة عن البرلمان الأوروبي والمجلس في 13 يونيو 2024م، المنشورة في الجريدة الرسمية للاتحاد الأوروبي بتاريخ 12 يوليو 2024م.</w:t>
      </w:r>
    </w:p>
  </w:footnote>
  <w:footnote w:id="218">
    <w:p w14:paraId="0C74D703" w14:textId="77777777" w:rsidR="00CF67E5" w:rsidRPr="007E3A21" w:rsidRDefault="00CF67E5" w:rsidP="003A558F">
      <w:pPr>
        <w:bidi/>
        <w:rPr>
          <w:rFonts w:asciiTheme="majorBidi" w:hAnsiTheme="majorBidi" w:cstheme="majorBidi"/>
          <w:sz w:val="18"/>
          <w:szCs w:val="18"/>
        </w:rPr>
      </w:pPr>
      <w:r w:rsidRPr="007E3A21">
        <w:rPr>
          <w:sz w:val="18"/>
          <w:szCs w:val="18"/>
          <w:rtl/>
        </w:rPr>
        <w:footnoteRef/>
      </w:r>
      <w:r w:rsidRPr="007E3A21">
        <w:rPr>
          <w:rFonts w:asciiTheme="majorBidi" w:hAnsiTheme="majorBidi" w:cstheme="majorBidi"/>
          <w:sz w:val="18"/>
          <w:szCs w:val="18"/>
          <w:rtl/>
        </w:rPr>
        <w:t xml:space="preserve"> التونسي والمعلم، مرجع سابق، ص400.</w:t>
      </w:r>
    </w:p>
  </w:footnote>
  <w:footnote w:id="219">
    <w:p w14:paraId="79693DAB" w14:textId="77777777" w:rsidR="00CF67E5" w:rsidRPr="007E3A21" w:rsidRDefault="00CF67E5"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قارن: لائحة الذكاء الاصطناعي للاتحاد الأوروبي، مرجع سابق، المادتان (16) و(26).</w:t>
      </w:r>
    </w:p>
  </w:footnote>
  <w:footnote w:id="220">
    <w:p w14:paraId="556FB012" w14:textId="77777777" w:rsidR="00CF67E5" w:rsidRPr="007E3A21" w:rsidRDefault="00CF67E5"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التونسي والمعلم، مرجع سابق، ص407–408.</w:t>
      </w:r>
    </w:p>
  </w:footnote>
  <w:footnote w:id="221">
    <w:p w14:paraId="1B7D40A2" w14:textId="77777777" w:rsidR="00CF67E5" w:rsidRPr="007E3A21" w:rsidRDefault="00CF67E5"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الخميسي، مرجع سابق، ص22.</w:t>
      </w:r>
    </w:p>
  </w:footnote>
  <w:footnote w:id="222">
    <w:p w14:paraId="2F2541AC" w14:textId="77777777" w:rsidR="00CF67E5" w:rsidRPr="007E3A21" w:rsidRDefault="00CF67E5"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لائحة الاتحاد الأوروبي للذكاء الاصطناعي (EU AI Act)، مرجع سابق، المادة (13) بشأن التزامات الشفافية وتوفير المعلومات.</w:t>
      </w:r>
    </w:p>
  </w:footnote>
  <w:footnote w:id="223">
    <w:p w14:paraId="43552D83" w14:textId="77777777" w:rsidR="00CF67E5" w:rsidRPr="007E3A21" w:rsidRDefault="00CF67E5" w:rsidP="003A558F">
      <w:pPr>
        <w:bidi/>
        <w:rPr>
          <w:rFonts w:asciiTheme="majorBidi" w:hAnsiTheme="majorBidi" w:cstheme="majorBidi"/>
          <w:sz w:val="18"/>
          <w:szCs w:val="18"/>
          <w:rtl/>
        </w:rPr>
      </w:pPr>
      <w:r w:rsidRPr="007E3A21">
        <w:rPr>
          <w:sz w:val="18"/>
          <w:szCs w:val="18"/>
          <w:rtl/>
        </w:rPr>
        <w:footnoteRef/>
      </w:r>
      <w:r>
        <w:rPr>
          <w:rFonts w:asciiTheme="majorBidi" w:hAnsiTheme="majorBidi" w:cstheme="majorBidi"/>
          <w:sz w:val="18"/>
          <w:szCs w:val="18"/>
          <w:rtl/>
        </w:rPr>
        <w:t xml:space="preserve"> قارن توصية الجلعود بوضع أنظمة ومبادئ تضبط استخدام تطبيقات الذكاء الاصطناعي في الأمور المهمة وتحد من أضراره المتوقعة: الجلعود، مرجع سابق، ص585؛ وفي التصنيف بحسب المخاطر: لائحة الذكاء الاصطناعي للاتحاد الأوروبي، مرجع سابق.</w:t>
      </w:r>
    </w:p>
  </w:footnote>
  <w:footnote w:id="224">
    <w:p w14:paraId="35BFE61D" w14:textId="77777777" w:rsidR="00C41E32" w:rsidRPr="007E3A21" w:rsidRDefault="00000000" w:rsidP="003A558F">
      <w:pPr>
        <w:numPr>
          <w:ilvl w:val="0"/>
          <w:numId w:val="1"/>
        </w:numPr>
        <w:bidi/>
        <w:rPr>
          <w:sz w:val="18"/>
          <w:szCs w:val="18"/>
        </w:rPr>
      </w:pPr>
      <w:r w:rsidRPr="007E3A21">
        <w:rPr>
          <w:rStyle w:val="af"/>
          <w:sz w:val="18"/>
          <w:szCs w:val="18"/>
          <w:rtl/>
        </w:rPr>
        <w:footnoteRef/>
      </w:r>
      <w:r w:rsidRPr="007E3A21">
        <w:rPr>
          <w:sz w:val="18"/>
          <w:szCs w:val="18"/>
        </w:rPr>
        <w:t xml:space="preserve"> الغامدي، مرجع سابق، ص246-247.</w:t>
      </w:r>
    </w:p>
  </w:footnote>
  <w:footnote w:id="225">
    <w:p w14:paraId="1DEBB31D"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محمود وعناني، مرجع سابق، ص927.</w:t>
      </w:r>
    </w:p>
  </w:footnote>
  <w:footnote w:id="226">
    <w:p w14:paraId="518199A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الهيئة السعودية للبيانات والذكاء الاصطناعي (سدايا) (2025م). مبادئ الذكاء الاصطناعي التوليدي للجهات الحكومية (وثيقة تنظيمية رقم SDAIA-P116). الرياض: سدايا، ص6.</w:t>
      </w:r>
    </w:p>
  </w:footnote>
  <w:footnote w:id="227">
    <w:p w14:paraId="76432B6F"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Pr>
          <w:rFonts w:asciiTheme="majorBidi" w:hAnsiTheme="majorBidi" w:cstheme="majorBidi"/>
          <w:sz w:val="18"/>
          <w:szCs w:val="18"/>
          <w:rtl/>
        </w:rPr>
        <w:t xml:space="preserve"> قارن في نشأة العقود الذكية وقيامها على تقنية البلوك تشين: الغامدي، مرجع سابق، ص236، 247؛ وعلي، سعاد حسني، مرجع سابق، ص803–804.</w:t>
      </w:r>
    </w:p>
  </w:footnote>
  <w:footnote w:id="228">
    <w:p w14:paraId="09E6419B"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لائحة الاتحاد الأوروبي للذكاء الاصطناعي (EU AI Act)، مرجع سابق.</w:t>
      </w:r>
    </w:p>
  </w:footnote>
  <w:footnote w:id="229">
    <w:p w14:paraId="616F8995"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Regulation (EU) 2024/1689 of the European Parliament and of the Council of 13 June 2024 (Artificial Intelligence Act), OJ L, 2024/1689.</w:t>
      </w:r>
    </w:p>
  </w:footnote>
  <w:footnote w:id="230">
    <w:p w14:paraId="0EFE14C4"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مركز الدراسات والبحوث القانونية، استخدام الذكاء الاصطناعي في المحاكم، مرجع سابق، ص4.</w:t>
      </w:r>
    </w:p>
  </w:footnote>
  <w:footnote w:id="231">
    <w:p w14:paraId="7CADF647"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إسماعيل، مرجع سابق، ص63.</w:t>
      </w:r>
    </w:p>
  </w:footnote>
  <w:footnote w:id="232">
    <w:p w14:paraId="38CE05E4"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تقرير «الذكاء الاصطناعي باللغة العربية.. هل اقتربنا من نماذج تفهم لهجات المنطقة؟»، الجزيرة نت – قسم تكنولوجيا، 22 يوليو 2026م، aljazeera.net (تاريخ الاطلاع: 2/8/2026م)؛ وورقة AceGPT العلمية (arXiv: 2309.12053) في النماذج اللغوية العربية.</w:t>
      </w:r>
    </w:p>
  </w:footnote>
  <w:footnote w:id="233">
    <w:p w14:paraId="7E43B8A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منصة «قانونية» (Qanoniah)، شركة عدالة لتقنية نظم المعلومات، الموقع الرسمي: qanoniah.com (تاريخ الاطلاع: 1/8/2026م)؛ وانظر تعريف المنصة في بوابة «مزايا» التابعة للهيئة العامة للمنشآت الصغيرة والمتوسطة (منشآت): mazaya.monshaat.gov.sa/mazaya/13710.</w:t>
      </w:r>
    </w:p>
  </w:footnote>
  <w:footnote w:id="234">
    <w:p w14:paraId="07103F1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منصة «شورى» للحلول القانونية بالذكاء الاصطناعي، الموقع الرسمي: shwra.ai (تاريخ الاطلاع: 1/8/2026م).</w:t>
      </w:r>
    </w:p>
  </w:footnote>
  <w:footnote w:id="235">
    <w:p w14:paraId="1550BCB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منصة «عدالة» للاستشارات القانونية الذكية، الموقع الرسمي: smartsearchai.sa (تاريخ الاطلاع: 1/8/2026م).</w:t>
      </w:r>
    </w:p>
  </w:footnote>
  <w:footnote w:id="236">
    <w:p w14:paraId="52C4DEA8"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Matthew Dahl, Varun Magesh, Mirac Suzgun &amp; Daniel E. Ho, Large Legal Fictions: Profiling Legal Hallucinations in Large Language Models, 16(1) Journal of Legal Analysis 64 (2024).</w:t>
      </w:r>
    </w:p>
  </w:footnote>
  <w:footnote w:id="237">
    <w:p w14:paraId="659EC346"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Varun Magesh, Faiz Surani, Matthew Dahl, Mirac Suzgun, Christopher D. Manning &amp; Daniel E. Ho, Hallucination-Free? Assessing the Reliability of Leading AI Legal Research Tools, 22(2) Journal of Empirical Legal Studies 216 (2025).</w:t>
      </w:r>
    </w:p>
  </w:footnote>
  <w:footnote w:id="238">
    <w:p w14:paraId="73F0DAF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ص15، 20–21.</w:t>
      </w:r>
    </w:p>
  </w:footnote>
  <w:footnote w:id="239">
    <w:p w14:paraId="5CB5156C"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انظر في نماذج منصات تحليل العقود ومحركات البحث القانوني الذكي: إسماعيل، مرجع سابق، ص57.</w:t>
      </w:r>
    </w:p>
  </w:footnote>
  <w:footnote w:id="240">
    <w:p w14:paraId="3A91775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عبد الكريم، ياسين (2023م). خورزمنة الأحكام القضائية – الذكاء الصناعي القضائي: النهج والتطبيق. دراسة أعدها قاضٍ بوزارة العدل المصرية، منشورة إلكترونياً عبر منصتي ResearchGate وAcademia، ص16–17.</w:t>
      </w:r>
    </w:p>
  </w:footnote>
  <w:footnote w:id="241">
    <w:p w14:paraId="799D2D2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عبد الكريم، ياسين، مرجع سابق، ص13.</w:t>
      </w:r>
    </w:p>
  </w:footnote>
  <w:footnote w:id="242">
    <w:p w14:paraId="1DDA59D5"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State v. Loomis, 2016 WI 68, 881 N.W.2d 749 (Wis. 2016)؛ وانظر في عرض وقائع القضية وتحفظات المحكمة: عبد الكريم، ياسين، مرجع سابق، ص22–23.</w:t>
      </w:r>
    </w:p>
  </w:footnote>
  <w:footnote w:id="243">
    <w:p w14:paraId="7A0CDEC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عباس، نهاد فاروق (2022م). استخدام الذكاء الاصطناعي في تنفيذ العقوبات الجنائية بالنظام السعودي: دراسة مقارنة بالقانون الإماراتي. مجلة قضاء، الجمعية العلمية القضائية السعودية، العدد (28)، محرم 1444هـ/سبتمبر 2022م، ص481–482.</w:t>
      </w:r>
    </w:p>
  </w:footnote>
  <w:footnote w:id="244">
    <w:p w14:paraId="5ACBD9E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مركز أسبار (ملتقى أسبار)، توظيف الذكاء الاصطناعي في التحقيقات الجنائية، تقرير رقم (455)، مرجع سابق، ص3، 36.</w:t>
      </w:r>
    </w:p>
  </w:footnote>
  <w:footnote w:id="245">
    <w:p w14:paraId="5E579FA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الملحق (1)، ص16–18، 21.</w:t>
      </w:r>
    </w:p>
  </w:footnote>
  <w:footnote w:id="246">
    <w:p w14:paraId="16B63205"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عُدِّل نظام المحاماة بالمرسوم الملكي رقم (م/61) وتاريخ 14/10/1437هـ، ثم بالمرسوم الملكي رقم (م/66) وتاريخ 15/7/1443هـ.</w:t>
      </w:r>
    </w:p>
  </w:footnote>
  <w:footnote w:id="247">
    <w:p w14:paraId="66A99845"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المحاماة، الصادر بالمرسوم الملكي رقم (م/38) وتاريخ 28/7/1422هـ، ص10.</w:t>
      </w:r>
    </w:p>
  </w:footnote>
  <w:footnote w:id="248">
    <w:p w14:paraId="13438096"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المعاملات المدنية، الصادر بالمرسوم الملكي رقم (م/191) وتاريخ 29/11/1444هـ، المادة (129).</w:t>
      </w:r>
    </w:p>
  </w:footnote>
  <w:footnote w:id="249">
    <w:p w14:paraId="1FA8B517"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حماية البيانات الشخصية، المادة (الحادية عشرة)؛ وفي تخزين الأدوات التوليدية مدخلات مستخدميها لتوسيع بيانات التدريب: سدايا، مبادئ الذكاء الاصطناعي التوليدي للجهات الحكومية، مرجع سابق، ص20.</w:t>
      </w:r>
    </w:p>
  </w:footnote>
  <w:footnote w:id="250">
    <w:p w14:paraId="2637E87B"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الهيئة السعودية للبيانات والذكاء الاصطناعي (سدايا)، الدليل الاسترشادي لتقويم مخاطر نقل البيانات الشخصية إلى خارج المملكة، الرياض: سدايا، فبراير 2025م، ص5.</w:t>
      </w:r>
    </w:p>
  </w:footnote>
  <w:footnote w:id="251">
    <w:p w14:paraId="49DE8835"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حماية البيانات الشخصية، بصيغته المعدلة بالمرسوم الملكي رقم (م/148) وتاريخ 5/9/1444هـ؛ إذ قررت المادة (الخامسة والثلاثون) عقوبة السجن مدة لا تزيد على سنتين وغرامة لا تزيد على ثلاثة ملايين ريال أو إحداهما لإفشاء البيانات الحساسة أو نشرها بقصد الإضرار، وأسندت المادة (السادسة والثلاثون) إيقاع الإنذار والغرامة عن باقي المخالفات – ومنها مخالفة أحكام النقل الخارجي في المادة (التاسعة والعشرين) – إلى لجنة مختصة.</w:t>
      </w:r>
    </w:p>
  </w:footnote>
  <w:footnote w:id="252">
    <w:p w14:paraId="791C24B4"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الإثبات، الصادر بالمرسوم الملكي رقم (م/43) وتاريخ 26/5/1443هـ، المواد (54) إلى (57). وانظر في حجية الإثبات الرقمي: الأسيوطي، مرجع سابق، ص106.</w:t>
      </w:r>
    </w:p>
  </w:footnote>
  <w:footnote w:id="253">
    <w:p w14:paraId="7E707C3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القضية رقم (4470375441) لعام 1444هـ، المحكمة التجارية، منشورة في البوابة العلمية القضائية (sjp.moj.gov.sa)؛ نقلاً عن: الخالدي، مبارك بن محمد (1445هـ/2024م). الإثبات بالدليل الرقمي وتطبيقاته القضائية: دراسة فقهية مقارنة بنظام الإثبات السعودي. مجلة قضاء، الجمعية العلمية القضائية السعودية، العدد (34)، ص372–375.</w:t>
      </w:r>
    </w:p>
  </w:footnote>
  <w:footnote w:id="254">
    <w:p w14:paraId="3C5981C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القضية رقم (4470598782) لعام 1444هـ، المحكمة التجارية؛ نقلاً عن: الخالدي، مرجع سابق، ص375–382.</w:t>
      </w:r>
    </w:p>
  </w:footnote>
  <w:footnote w:id="255">
    <w:p w14:paraId="50D378B1"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القضية رقم (439157315) لعام 1443هـ، المحكمة التجارية؛ نقلاً عن: الخالدي، مرجع سابق، ص382–387.</w:t>
      </w:r>
    </w:p>
  </w:footnote>
  <w:footnote w:id="256">
    <w:p w14:paraId="61D207C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حكم دائرة تجارية في دعوى توريد (حُجبت بيانات الأطراف وأرقام القيد عند النشر)؛ نشره الحساب المتخصص «أخبار القضاء» على منصة إكس بتاريخ 26 أبريل 2026م: x.com/judiciary_news (تاريخ الاطلاع: 1/8/2026م)، ونسخة موثقة منه محفوظة في مجلد مصادر الدراسة (55). ونصا المادتين (30) و(21/2) من نظام الإثبات المشار إليهما مطابقان للنص النظامي.</w:t>
      </w:r>
    </w:p>
  </w:footnote>
  <w:footnote w:id="257">
    <w:p w14:paraId="5BCA054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القضيتان رقم (4471158470) و(4470812559) لعام 1444هـ، والصك رقم (409223361) وتاريخ 9/2/1443هـ؛ نقلاً عن: الخالدي، مرجع سابق، ص387–393.</w:t>
      </w:r>
    </w:p>
  </w:footnote>
  <w:footnote w:id="258">
    <w:p w14:paraId="71E5444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حكم محكمة التمييز القطرية، الدائرة المدنية والتجارية، في الطعن رقم (275) لسنة 2016م، جلسة 15/11/2017م؛ نقلاً عن: بلال، مرجع سابق، ص63.</w:t>
      </w:r>
    </w:p>
  </w:footnote>
  <w:footnote w:id="259">
    <w:p w14:paraId="0379A600"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حكم محكمة النقض المصرية، الدوائر التجارية، في الطعن رقم (17689) لسنة 89ق، جلسة 10/3/2020م؛ نقلاً عن: بلال، مرجع سابق، ص63.</w:t>
      </w:r>
    </w:p>
  </w:footnote>
  <w:footnote w:id="260">
    <w:p w14:paraId="47B90A39"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Pr>
          <w:rFonts w:asciiTheme="majorBidi" w:hAnsiTheme="majorBidi" w:cstheme="majorBidi"/>
          <w:sz w:val="18"/>
          <w:szCs w:val="18"/>
          <w:rtl/>
        </w:rPr>
        <w:t xml:space="preserve"> نظام المعاملات المدنية، المواد (120) و(129) و(132). وانظر في تأصيل المسؤولية المدنية عن فعل الذكاء الاصطناعي في النظام السعودي: المالكي، مرجع سابق، ص1799–1802؛ والغنامي، مرجع سابق، ص74–80.</w:t>
      </w:r>
    </w:p>
  </w:footnote>
  <w:footnote w:id="261">
    <w:p w14:paraId="20C9F7DD"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الترتيبات التنظيمية للهيئة السعودية للبيانات والذكاء الاصطناعي، الصادرة بقرار مجلس الوزراء رقم (292) وتاريخ 27/4/1441هـ، المعدلة بقرار مجلس الوزراء رقم (195) وتاريخ 15/3/1444هـ.</w:t>
      </w:r>
    </w:p>
  </w:footnote>
  <w:footnote w:id="262">
    <w:p w14:paraId="7F3693E0"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سدايا، مبادئ أخلاقيات الذكاء الاصطناعي، مرجع سابق، ص19.</w:t>
      </w:r>
    </w:p>
  </w:footnote>
  <w:footnote w:id="263">
    <w:p w14:paraId="6BD3FA39"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الهيئة السعودية للبيانات والذكاء الاصطناعي (سدايا)، إطار تبني الذكاء الاصطناعي، الرياض: سدايا، سبتمبر 2024م، ص4-5.</w:t>
      </w:r>
    </w:p>
  </w:footnote>
  <w:footnote w:id="264">
    <w:p w14:paraId="3E3354AB"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سدايا، الدليل الاسترشادي لتقويم مخاطر نقل البيانات الشخصية إلى خارج المملكة، مرجع سابق، ص1.</w:t>
      </w:r>
    </w:p>
  </w:footnote>
  <w:footnote w:id="265">
    <w:p w14:paraId="597349C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ص7–13.</w:t>
      </w:r>
    </w:p>
  </w:footnote>
  <w:footnote w:id="266">
    <w:p w14:paraId="36E1855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ص6، 12.</w:t>
      </w:r>
    </w:p>
  </w:footnote>
  <w:footnote w:id="267">
    <w:p w14:paraId="5243F69E"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رجب، مرجع سابق، ص2412–2413.</w:t>
      </w:r>
    </w:p>
  </w:footnote>
  <w:footnote w:id="268">
    <w:p w14:paraId="1458E4B7"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Regulation (EU) 2024/1689 (EU AI Act), مرجع سابق.</w:t>
      </w:r>
    </w:p>
  </w:footnote>
  <w:footnote w:id="269">
    <w:p w14:paraId="314B07BD"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انظر: الغامدي، مرجع سابق، ص227؛ ومرسي، مرجع سابق، ص944–945.</w:t>
      </w:r>
    </w:p>
  </w:footnote>
  <w:footnote w:id="270">
    <w:p w14:paraId="11B0F70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الغامدي، مرجع سابق، ص236، 239، 246–247.</w:t>
      </w:r>
    </w:p>
  </w:footnote>
  <w:footnote w:id="271">
    <w:p w14:paraId="2674AD89"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انظر: الغامدي، مرجع سابق، ص246–247.</w:t>
      </w:r>
    </w:p>
  </w:footnote>
  <w:footnote w:id="272">
    <w:p w14:paraId="65322C5F"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Mata v. Avianca, Inc., 678 F. Supp. 3d 443 (S.D.N.Y. 2023).</w:t>
      </w:r>
    </w:p>
  </w:footnote>
  <w:footnote w:id="273">
    <w:p w14:paraId="50DD1CEA"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Park v. Kim, 91 F.4th 610 (2d Cir. 2024).</w:t>
      </w:r>
    </w:p>
  </w:footnote>
  <w:footnote w:id="274">
    <w:p w14:paraId="4DAB2622"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Zhang v. Chen, 2024 BCSC 285 (Can.).</w:t>
      </w:r>
    </w:p>
  </w:footnote>
  <w:footnote w:id="275">
    <w:p w14:paraId="04C47F9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ص20.</w:t>
      </w:r>
    </w:p>
  </w:footnote>
  <w:footnote w:id="276">
    <w:p w14:paraId="6295BDC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ص20؛ وانظر في ضوابط قبول المقاطع المصورة قرائنَ وآليات كشف التزييف العميق: مركز أسبار، مرجع سابق، ص31–32.</w:t>
      </w:r>
    </w:p>
  </w:footnote>
  <w:footnote w:id="277">
    <w:p w14:paraId="259DBCB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مركز أسبار، مرجع سابق، ص32.</w:t>
      </w:r>
    </w:p>
  </w:footnote>
  <w:footnote w:id="278">
    <w:p w14:paraId="4A0B13F3"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المحاماة، المواد (1) و(18) و(37).</w:t>
      </w:r>
    </w:p>
  </w:footnote>
  <w:footnote w:id="279">
    <w:p w14:paraId="26091F34"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اللائحة التنفيذية لنظام المحاماة، البند (10/18).</w:t>
      </w:r>
    </w:p>
  </w:footnote>
  <w:footnote w:id="280">
    <w:p w14:paraId="46FEE422"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مكافحة جرائم المعلوماتية، الصادر بالمرسوم الملكي رقم (م/17) وتاريخ 8/3/1428هـ، المادة (3).</w:t>
      </w:r>
    </w:p>
  </w:footnote>
  <w:footnote w:id="281">
    <w:p w14:paraId="3B82C8D0"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المحاماة، المادتان (29) و(31).</w:t>
      </w:r>
    </w:p>
  </w:footnote>
  <w:footnote w:id="282">
    <w:p w14:paraId="6CE1FCA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حكم محكمة النقض الفرنسية الصادر سنة 2013م بشأن استبعاد مسؤولية شركة Google عن نتائج محرك البحث التلقائية؛ نقلاً عن: الشرايري، مرجع سابق، ص369.</w:t>
      </w:r>
    </w:p>
  </w:footnote>
  <w:footnote w:id="283">
    <w:p w14:paraId="7038581E"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صحيفة سبق الإلكترونية، «محكمة الرياض تنظر أول دعوى قضائية بالمملكة ضد نظام ذكاء اصطناعي بتهمة الإساءة والتشهير»، 5 أبريل 2026م، متاح على: sabq.org (تاريخ الاطلاع: 1/8/2026م). والدعوى منظورة لم يُفصل فيها حتى تاريخ إعداد هذه الدراسة.</w:t>
      </w:r>
    </w:p>
  </w:footnote>
  <w:footnote w:id="284">
    <w:p w14:paraId="015EC348"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الملحق (2)، ص27.</w:t>
      </w:r>
    </w:p>
  </w:footnote>
  <w:footnote w:id="285">
    <w:p w14:paraId="2B76605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المعاملات المدنية، الصادر بالمرسوم الملكي رقم (م/191) وتاريخ 29/11/1444هـ، المادتان (72/1) و(74).</w:t>
      </w:r>
    </w:p>
  </w:footnote>
  <w:footnote w:id="286">
    <w:p w14:paraId="775A085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المعاملات المدنية، الصادر بالمرسوم الملكي رقم (م/191) وتاريخ 29/11/1444هـ، المادة (104/3).</w:t>
      </w:r>
    </w:p>
  </w:footnote>
  <w:footnote w:id="287">
    <w:p w14:paraId="53FF2C8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نظام الإثبات، الصادر بالمرسوم الملكي رقم (م/43) وتاريخ 26/5/1443هـ، المادة (85).</w:t>
      </w:r>
    </w:p>
  </w:footnote>
  <w:footnote w:id="288">
    <w:p w14:paraId="2627C259"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الملحق (2)، ص27–28.</w:t>
      </w:r>
    </w:p>
  </w:footnote>
  <w:footnote w:id="289">
    <w:p w14:paraId="235EB2F3"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حكومة دولة الإمارات، الاستراتيجية الوطنية للذكاء الاصطناعي 2031، 2017م.</w:t>
      </w:r>
    </w:p>
  </w:footnote>
  <w:footnote w:id="290">
    <w:p w14:paraId="0303D086"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المرسوم بقانون اتحادي رقم (45) لسنة 2021م في شأن حماية البيانات الشخصية، دولة الإمارات العربية المتحدة.</w:t>
      </w:r>
    </w:p>
  </w:footnote>
  <w:footnote w:id="291">
    <w:p w14:paraId="446359A7"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ميثاق الإمارات لتطوير واستخدام الذكاء الاصطناعي، بوابة التشريعات الإماراتية، 2024م.</w:t>
      </w:r>
    </w:p>
  </w:footnote>
  <w:footnote w:id="292">
    <w:p w14:paraId="3273459F"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انظر في المبادرات الإماراتية في العدالة الرقمية: بلال، مرجع سابق، ص19.</w:t>
      </w:r>
    </w:p>
  </w:footnote>
  <w:footnote w:id="293">
    <w:p w14:paraId="4D027CC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بلال، مرجع سابق، ص19.</w:t>
      </w:r>
    </w:p>
  </w:footnote>
  <w:footnote w:id="294">
    <w:p w14:paraId="7379839B"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قاسم، مرجع سابق، ص109.</w:t>
      </w:r>
    </w:p>
  </w:footnote>
  <w:footnote w:id="295">
    <w:p w14:paraId="0B42A91A"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Regulation (EU) 2024/1689 (EU AI Act), Annex III (High-risk AI systems – administration of justice).</w:t>
      </w:r>
    </w:p>
  </w:footnote>
  <w:footnote w:id="296">
    <w:p w14:paraId="175DF0BD"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American Bar Association, Standing Committee on Ethics and Professional Responsibility, Formal Opinion 512: Generative Artificial Intelligence Tools (July 29, 2024).</w:t>
      </w:r>
    </w:p>
  </w:footnote>
  <w:footnote w:id="297">
    <w:p w14:paraId="09E92F2C"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Pr>
          <w:rFonts w:asciiTheme="majorBidi" w:hAnsiTheme="majorBidi" w:cstheme="majorBidi"/>
          <w:sz w:val="18"/>
          <w:szCs w:val="18"/>
          <w:rtl/>
        </w:rPr>
        <w:t xml:space="preserve"> مركز الدراسات والبحوث القانونية، مرجع سابق، ص17، 26.</w:t>
      </w:r>
    </w:p>
  </w:footnote>
  <w:footnote w:id="298">
    <w:p w14:paraId="51C35A6A"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المحاماة، المواد (5) و(6) و(31).</w:t>
      </w:r>
    </w:p>
  </w:footnote>
  <w:footnote w:id="299">
    <w:p w14:paraId="4E706D86"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نظام المحاماة، المادة (الحادية والعشرون مكرر)، المضافة بالمرسوم الملكي رقم (م/66) وتاريخ 15/7/1443هـ.</w:t>
      </w:r>
    </w:p>
  </w:footnote>
  <w:footnote w:id="300">
    <w:p w14:paraId="5564287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وكالة الأنباء السعودية (واس)، «مركز ناجز يبحث مع سدايا استخدامات الذكاء الاصطناعي في تعزيز الخدمات العدلية والقانونية»، 10/3/1447هـ (2/9/2025م)، الخبر رقم N2389574، متاح على: spa.gov.sa (تاريخ الاطلاع: 1/8/2026م).</w:t>
      </w:r>
    </w:p>
  </w:footnote>
  <w:footnote w:id="301">
    <w:p w14:paraId="2F5E1213"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ص14–15.</w:t>
      </w:r>
    </w:p>
  </w:footnote>
  <w:footnote w:id="302">
    <w:p w14:paraId="3C995802"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الجلعود، مرجع سابق، ص563، 567.</w:t>
      </w:r>
    </w:p>
  </w:footnote>
  <w:footnote w:id="303">
    <w:p w14:paraId="767CA08A"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العاني، قاسم بن صالح بن علي؛ والعبيدان، سلطان بن عبد الرحمن بن عبد القادر (2025م). تقنين أحكام كتاب القضاء بتقنية الذكاء الاصطناعي وأثره في تطوير المنظومة القضائية. مجلة البحوث الفقهية والقانونية، كلية الشريعة والقانون بدمنهور، جامعة الأزهر، العدد (48)، يناير 2025م/1446هـ، ص2062–2064.</w:t>
      </w:r>
    </w:p>
  </w:footnote>
  <w:footnote w:id="304">
    <w:p w14:paraId="17BABCAF"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بلال، مرجع سابق، ص44، 46.</w:t>
      </w:r>
    </w:p>
  </w:footnote>
  <w:footnote w:id="305">
    <w:p w14:paraId="4A267F6D" w14:textId="77777777" w:rsidR="00C61595" w:rsidRPr="007E3A21" w:rsidRDefault="00000000" w:rsidP="003A558F">
      <w:pPr>
        <w:bidi/>
        <w:spacing w:after="0" w:line="240" w:lineRule="auto"/>
        <w:rPr>
          <w:sz w:val="18"/>
          <w:szCs w:val="18"/>
        </w:rPr>
      </w:pPr>
      <w:r w:rsidRPr="007E3A21">
        <w:rPr>
          <w:rFonts w:asciiTheme="majorBidi" w:hAnsiTheme="majorBidi" w:cstheme="majorBidi"/>
          <w:sz w:val="18"/>
          <w:szCs w:val="18"/>
          <w:vertAlign w:val="superscript"/>
          <w:rtl/>
        </w:rPr>
        <w:footnoteRef/>
      </w:r>
      <w:r w:rsidRPr="007E3A21">
        <w:rPr>
          <w:rFonts w:asciiTheme="majorBidi" w:hAnsiTheme="majorBidi" w:cstheme="majorBidi"/>
          <w:sz w:val="18"/>
          <w:szCs w:val="18"/>
          <w:rtl/>
        </w:rPr>
        <w:t xml:space="preserve"> إسماعيل، مرجع سابق، ص69.</w:t>
      </w:r>
    </w:p>
  </w:footnote>
  <w:footnote w:id="306">
    <w:p w14:paraId="532B2E06"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أبو العيد، طاهر (2023م). دليل الذكاء الاصطناعي لطلبة القانون والباحثين في الوطن العربي (دليل إلكتروني)، ص2–3.</w:t>
      </w:r>
    </w:p>
  </w:footnote>
  <w:footnote w:id="307">
    <w:p w14:paraId="7F5B8EA7" w14:textId="77777777" w:rsidR="00C41E32" w:rsidRPr="007E3A21" w:rsidRDefault="00000000" w:rsidP="003A558F">
      <w:pPr>
        <w:bidi/>
        <w:rPr>
          <w:rFonts w:asciiTheme="majorBidi" w:hAnsiTheme="majorBidi" w:cstheme="majorBidi"/>
          <w:sz w:val="18"/>
          <w:szCs w:val="18"/>
          <w:rtl/>
        </w:rPr>
      </w:pPr>
      <w:r w:rsidRPr="007E3A21">
        <w:rPr>
          <w:sz w:val="18"/>
          <w:szCs w:val="18"/>
          <w:rtl/>
        </w:rPr>
        <w:footnoteRef/>
      </w:r>
      <w:r w:rsidRPr="007E3A21">
        <w:rPr>
          <w:rFonts w:asciiTheme="majorBidi" w:hAnsiTheme="majorBidi" w:cstheme="majorBidi"/>
          <w:sz w:val="18"/>
          <w:szCs w:val="18"/>
          <w:rtl/>
        </w:rPr>
        <w:t xml:space="preserve"> سدايا، مبادئ الذكاء الاصطناعي التوليدي للجهات الحكومية، مرجع سابق، الملحق (2)، ص27–28.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7032013">
    <w:abstractNumId w:val="16"/>
  </w:num>
  <w:num w:numId="2" w16cid:durableId="1976987853">
    <w:abstractNumId w:val="1"/>
  </w:num>
  <w:num w:numId="3" w16cid:durableId="1261523183">
    <w:abstractNumId w:val="35"/>
  </w:num>
  <w:num w:numId="4" w16cid:durableId="1312832044">
    <w:abstractNumId w:val="42"/>
  </w:num>
  <w:num w:numId="5" w16cid:durableId="1369793575">
    <w:abstractNumId w:val="8"/>
  </w:num>
  <w:num w:numId="6" w16cid:durableId="342632357">
    <w:abstractNumId w:val="0"/>
  </w:num>
  <w:num w:numId="7" w16cid:durableId="55711929">
    <w:abstractNumId w:val="24"/>
  </w:num>
  <w:num w:numId="8" w16cid:durableId="766466471">
    <w:abstractNumId w:val="30"/>
  </w:num>
  <w:num w:numId="9" w16cid:durableId="410078483">
    <w:abstractNumId w:val="15"/>
  </w:num>
  <w:num w:numId="10" w16cid:durableId="510796997">
    <w:abstractNumId w:val="6"/>
  </w:num>
  <w:num w:numId="11" w16cid:durableId="1420977882">
    <w:abstractNumId w:val="5"/>
  </w:num>
  <w:num w:numId="12" w16cid:durableId="2114474074">
    <w:abstractNumId w:val="54"/>
  </w:num>
  <w:num w:numId="13" w16cid:durableId="1242136257">
    <w:abstractNumId w:val="32"/>
  </w:num>
  <w:num w:numId="14" w16cid:durableId="241183763">
    <w:abstractNumId w:val="28"/>
  </w:num>
  <w:num w:numId="15" w16cid:durableId="1714498053">
    <w:abstractNumId w:val="13"/>
  </w:num>
  <w:num w:numId="16" w16cid:durableId="248277472">
    <w:abstractNumId w:val="27"/>
  </w:num>
  <w:num w:numId="17" w16cid:durableId="2050451305">
    <w:abstractNumId w:val="3"/>
  </w:num>
  <w:num w:numId="18" w16cid:durableId="194851513">
    <w:abstractNumId w:val="17"/>
  </w:num>
  <w:num w:numId="19" w16cid:durableId="909659309">
    <w:abstractNumId w:val="23"/>
  </w:num>
  <w:num w:numId="20" w16cid:durableId="1477911477">
    <w:abstractNumId w:val="38"/>
  </w:num>
  <w:num w:numId="21" w16cid:durableId="896933235">
    <w:abstractNumId w:val="2"/>
  </w:num>
  <w:num w:numId="22" w16cid:durableId="2054231229">
    <w:abstractNumId w:val="53"/>
  </w:num>
  <w:num w:numId="23" w16cid:durableId="92828884">
    <w:abstractNumId w:val="34"/>
  </w:num>
  <w:num w:numId="24" w16cid:durableId="1206676344">
    <w:abstractNumId w:val="29"/>
  </w:num>
  <w:num w:numId="25" w16cid:durableId="963074671">
    <w:abstractNumId w:val="33"/>
  </w:num>
  <w:num w:numId="26" w16cid:durableId="2114354074">
    <w:abstractNumId w:val="14"/>
  </w:num>
  <w:num w:numId="27" w16cid:durableId="1154183871">
    <w:abstractNumId w:val="7"/>
  </w:num>
  <w:num w:numId="28" w16cid:durableId="1876499223">
    <w:abstractNumId w:val="49"/>
  </w:num>
  <w:num w:numId="29" w16cid:durableId="2068064203">
    <w:abstractNumId w:val="11"/>
  </w:num>
  <w:num w:numId="30" w16cid:durableId="2072926728">
    <w:abstractNumId w:val="46"/>
  </w:num>
  <w:num w:numId="31" w16cid:durableId="351076755">
    <w:abstractNumId w:val="31"/>
  </w:num>
  <w:num w:numId="32" w16cid:durableId="1630933097">
    <w:abstractNumId w:val="18"/>
  </w:num>
  <w:num w:numId="33" w16cid:durableId="331376818">
    <w:abstractNumId w:val="25"/>
  </w:num>
  <w:num w:numId="34" w16cid:durableId="1705590303">
    <w:abstractNumId w:val="37"/>
  </w:num>
  <w:num w:numId="35" w16cid:durableId="1733456866">
    <w:abstractNumId w:val="19"/>
  </w:num>
  <w:num w:numId="36" w16cid:durableId="990909664">
    <w:abstractNumId w:val="50"/>
  </w:num>
  <w:num w:numId="37" w16cid:durableId="578639795">
    <w:abstractNumId w:val="12"/>
  </w:num>
  <w:num w:numId="38" w16cid:durableId="859322525">
    <w:abstractNumId w:val="22"/>
  </w:num>
  <w:num w:numId="39" w16cid:durableId="1503663813">
    <w:abstractNumId w:val="4"/>
  </w:num>
  <w:num w:numId="40" w16cid:durableId="474688712">
    <w:abstractNumId w:val="41"/>
  </w:num>
  <w:num w:numId="41" w16cid:durableId="2170763">
    <w:abstractNumId w:val="26"/>
  </w:num>
  <w:num w:numId="42" w16cid:durableId="773356757">
    <w:abstractNumId w:val="43"/>
  </w:num>
  <w:num w:numId="43" w16cid:durableId="1196652949">
    <w:abstractNumId w:val="40"/>
  </w:num>
  <w:num w:numId="44" w16cid:durableId="1599363028">
    <w:abstractNumId w:val="20"/>
  </w:num>
  <w:num w:numId="45" w16cid:durableId="1837070471">
    <w:abstractNumId w:val="10"/>
  </w:num>
  <w:num w:numId="46" w16cid:durableId="710693257">
    <w:abstractNumId w:val="9"/>
  </w:num>
  <w:num w:numId="47" w16cid:durableId="627591438">
    <w:abstractNumId w:val="36"/>
  </w:num>
  <w:num w:numId="48" w16cid:durableId="246155256">
    <w:abstractNumId w:val="47"/>
  </w:num>
  <w:num w:numId="49" w16cid:durableId="1849755017">
    <w:abstractNumId w:val="44"/>
  </w:num>
  <w:num w:numId="50" w16cid:durableId="916741522">
    <w:abstractNumId w:val="55"/>
  </w:num>
  <w:num w:numId="51" w16cid:durableId="730662006">
    <w:abstractNumId w:val="52"/>
  </w:num>
  <w:num w:numId="52" w16cid:durableId="340082586">
    <w:abstractNumId w:val="39"/>
  </w:num>
  <w:num w:numId="53" w16cid:durableId="791436716">
    <w:abstractNumId w:val="21"/>
  </w:num>
  <w:num w:numId="54" w16cid:durableId="1240093049">
    <w:abstractNumId w:val="48"/>
  </w:num>
  <w:num w:numId="55" w16cid:durableId="1008020394">
    <w:abstractNumId w:val="45"/>
  </w:num>
  <w:num w:numId="56" w16cid:durableId="1746027294">
    <w:abstractNumId w:val="51"/>
  </w:num>
  <w:num w:numId="57" w16cid:durableId="2063937575">
    <w:abstractNumId w:val="1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B95"/>
    <w:rsid w:val="000003D3"/>
    <w:rsid w:val="000004FA"/>
    <w:rsid w:val="00025234"/>
    <w:rsid w:val="00035EF7"/>
    <w:rsid w:val="00047425"/>
    <w:rsid w:val="00053121"/>
    <w:rsid w:val="00061491"/>
    <w:rsid w:val="00065298"/>
    <w:rsid w:val="00065C80"/>
    <w:rsid w:val="00071805"/>
    <w:rsid w:val="000778AD"/>
    <w:rsid w:val="0008039A"/>
    <w:rsid w:val="00085940"/>
    <w:rsid w:val="0008617A"/>
    <w:rsid w:val="000A1619"/>
    <w:rsid w:val="000B029D"/>
    <w:rsid w:val="000C69B5"/>
    <w:rsid w:val="000C7173"/>
    <w:rsid w:val="000D1E49"/>
    <w:rsid w:val="000D4B35"/>
    <w:rsid w:val="000E0175"/>
    <w:rsid w:val="000E1066"/>
    <w:rsid w:val="000E73EA"/>
    <w:rsid w:val="000F1DF5"/>
    <w:rsid w:val="000F2879"/>
    <w:rsid w:val="00101461"/>
    <w:rsid w:val="0010656B"/>
    <w:rsid w:val="00122234"/>
    <w:rsid w:val="00133FA5"/>
    <w:rsid w:val="00140472"/>
    <w:rsid w:val="00143CF0"/>
    <w:rsid w:val="00147082"/>
    <w:rsid w:val="0015633A"/>
    <w:rsid w:val="00160939"/>
    <w:rsid w:val="0016208C"/>
    <w:rsid w:val="00167525"/>
    <w:rsid w:val="00191993"/>
    <w:rsid w:val="0019493E"/>
    <w:rsid w:val="001C2B27"/>
    <w:rsid w:val="001C45D2"/>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292"/>
    <w:rsid w:val="00250688"/>
    <w:rsid w:val="00255305"/>
    <w:rsid w:val="00261A94"/>
    <w:rsid w:val="00261CD1"/>
    <w:rsid w:val="0026477A"/>
    <w:rsid w:val="002670D1"/>
    <w:rsid w:val="00271741"/>
    <w:rsid w:val="00292EA9"/>
    <w:rsid w:val="00295F2E"/>
    <w:rsid w:val="002A1329"/>
    <w:rsid w:val="002A3106"/>
    <w:rsid w:val="002A34EF"/>
    <w:rsid w:val="002B7EAA"/>
    <w:rsid w:val="002C2B60"/>
    <w:rsid w:val="002C328E"/>
    <w:rsid w:val="002C4AF7"/>
    <w:rsid w:val="002C6324"/>
    <w:rsid w:val="002C6710"/>
    <w:rsid w:val="002E0F58"/>
    <w:rsid w:val="002F0A82"/>
    <w:rsid w:val="00300C19"/>
    <w:rsid w:val="00301A79"/>
    <w:rsid w:val="003048E3"/>
    <w:rsid w:val="00355E75"/>
    <w:rsid w:val="00380C82"/>
    <w:rsid w:val="003835A4"/>
    <w:rsid w:val="0038387E"/>
    <w:rsid w:val="003874FB"/>
    <w:rsid w:val="003A40AC"/>
    <w:rsid w:val="003A558F"/>
    <w:rsid w:val="003D6819"/>
    <w:rsid w:val="003E2A0F"/>
    <w:rsid w:val="003F1942"/>
    <w:rsid w:val="00412166"/>
    <w:rsid w:val="00450EAF"/>
    <w:rsid w:val="00454BE9"/>
    <w:rsid w:val="0045525C"/>
    <w:rsid w:val="004639DD"/>
    <w:rsid w:val="00476D14"/>
    <w:rsid w:val="004855F3"/>
    <w:rsid w:val="00486D0E"/>
    <w:rsid w:val="00493ADF"/>
    <w:rsid w:val="00493FED"/>
    <w:rsid w:val="004A13DF"/>
    <w:rsid w:val="004A2304"/>
    <w:rsid w:val="004B4795"/>
    <w:rsid w:val="004B7D6E"/>
    <w:rsid w:val="004C4A98"/>
    <w:rsid w:val="004D4BEB"/>
    <w:rsid w:val="004D54F4"/>
    <w:rsid w:val="004E4318"/>
    <w:rsid w:val="004E4D2E"/>
    <w:rsid w:val="004F0491"/>
    <w:rsid w:val="004F7A59"/>
    <w:rsid w:val="005070F5"/>
    <w:rsid w:val="00510971"/>
    <w:rsid w:val="0052203F"/>
    <w:rsid w:val="00523C56"/>
    <w:rsid w:val="00525695"/>
    <w:rsid w:val="00533D74"/>
    <w:rsid w:val="00534682"/>
    <w:rsid w:val="00535C4D"/>
    <w:rsid w:val="005562AF"/>
    <w:rsid w:val="005705DD"/>
    <w:rsid w:val="00571984"/>
    <w:rsid w:val="00575B64"/>
    <w:rsid w:val="005A137C"/>
    <w:rsid w:val="005B3480"/>
    <w:rsid w:val="005B3BD6"/>
    <w:rsid w:val="005B5B7B"/>
    <w:rsid w:val="005B6F10"/>
    <w:rsid w:val="005C4986"/>
    <w:rsid w:val="005E4000"/>
    <w:rsid w:val="005E6A3A"/>
    <w:rsid w:val="005F09B0"/>
    <w:rsid w:val="005F338A"/>
    <w:rsid w:val="005F3DEC"/>
    <w:rsid w:val="00601EB6"/>
    <w:rsid w:val="00602DA0"/>
    <w:rsid w:val="0060573B"/>
    <w:rsid w:val="00624037"/>
    <w:rsid w:val="006363BC"/>
    <w:rsid w:val="006367A6"/>
    <w:rsid w:val="00640572"/>
    <w:rsid w:val="0064346D"/>
    <w:rsid w:val="00657550"/>
    <w:rsid w:val="00662232"/>
    <w:rsid w:val="00662485"/>
    <w:rsid w:val="006713B6"/>
    <w:rsid w:val="00691B95"/>
    <w:rsid w:val="0069308E"/>
    <w:rsid w:val="00693D73"/>
    <w:rsid w:val="006C5012"/>
    <w:rsid w:val="006D4AD4"/>
    <w:rsid w:val="006F4E03"/>
    <w:rsid w:val="00767C10"/>
    <w:rsid w:val="00780164"/>
    <w:rsid w:val="00781B0D"/>
    <w:rsid w:val="0078459A"/>
    <w:rsid w:val="00786384"/>
    <w:rsid w:val="007963CA"/>
    <w:rsid w:val="007A6CD6"/>
    <w:rsid w:val="007B59F6"/>
    <w:rsid w:val="007B611E"/>
    <w:rsid w:val="007C2A87"/>
    <w:rsid w:val="007C31A8"/>
    <w:rsid w:val="007C71B4"/>
    <w:rsid w:val="007D1662"/>
    <w:rsid w:val="007D4C64"/>
    <w:rsid w:val="007E3A21"/>
    <w:rsid w:val="007F1A18"/>
    <w:rsid w:val="00800814"/>
    <w:rsid w:val="00800E91"/>
    <w:rsid w:val="0080730B"/>
    <w:rsid w:val="00807AA1"/>
    <w:rsid w:val="00811A08"/>
    <w:rsid w:val="008237A5"/>
    <w:rsid w:val="00830A22"/>
    <w:rsid w:val="00836102"/>
    <w:rsid w:val="008366B9"/>
    <w:rsid w:val="00841438"/>
    <w:rsid w:val="00841BC7"/>
    <w:rsid w:val="00852F51"/>
    <w:rsid w:val="008535D1"/>
    <w:rsid w:val="00863E5E"/>
    <w:rsid w:val="00864613"/>
    <w:rsid w:val="008658B9"/>
    <w:rsid w:val="00872654"/>
    <w:rsid w:val="0089710C"/>
    <w:rsid w:val="008B2644"/>
    <w:rsid w:val="008B5FA5"/>
    <w:rsid w:val="008C5A8E"/>
    <w:rsid w:val="008D5357"/>
    <w:rsid w:val="008F0684"/>
    <w:rsid w:val="008F1250"/>
    <w:rsid w:val="00925AAC"/>
    <w:rsid w:val="00925C7C"/>
    <w:rsid w:val="00934B50"/>
    <w:rsid w:val="009426DA"/>
    <w:rsid w:val="0095427D"/>
    <w:rsid w:val="00957EC0"/>
    <w:rsid w:val="00960AA5"/>
    <w:rsid w:val="00964DF5"/>
    <w:rsid w:val="00974C84"/>
    <w:rsid w:val="0098410A"/>
    <w:rsid w:val="00992A67"/>
    <w:rsid w:val="00994DA4"/>
    <w:rsid w:val="009A390B"/>
    <w:rsid w:val="009A44B7"/>
    <w:rsid w:val="009B1A71"/>
    <w:rsid w:val="009C600B"/>
    <w:rsid w:val="009D7D1A"/>
    <w:rsid w:val="009E1814"/>
    <w:rsid w:val="009E2938"/>
    <w:rsid w:val="00A00ABB"/>
    <w:rsid w:val="00A02FE3"/>
    <w:rsid w:val="00A10B6F"/>
    <w:rsid w:val="00A17FE1"/>
    <w:rsid w:val="00A25236"/>
    <w:rsid w:val="00A302BC"/>
    <w:rsid w:val="00A3402C"/>
    <w:rsid w:val="00A40287"/>
    <w:rsid w:val="00A4106D"/>
    <w:rsid w:val="00A419BC"/>
    <w:rsid w:val="00A454B6"/>
    <w:rsid w:val="00A60CD0"/>
    <w:rsid w:val="00A6276A"/>
    <w:rsid w:val="00A67437"/>
    <w:rsid w:val="00A742CD"/>
    <w:rsid w:val="00A83851"/>
    <w:rsid w:val="00A91133"/>
    <w:rsid w:val="00A918AE"/>
    <w:rsid w:val="00A92D8E"/>
    <w:rsid w:val="00A93FA8"/>
    <w:rsid w:val="00A94FD1"/>
    <w:rsid w:val="00A96D97"/>
    <w:rsid w:val="00A97A7C"/>
    <w:rsid w:val="00AA06F2"/>
    <w:rsid w:val="00AB2138"/>
    <w:rsid w:val="00AC4E6B"/>
    <w:rsid w:val="00AC662A"/>
    <w:rsid w:val="00AD4C3C"/>
    <w:rsid w:val="00AF1E9F"/>
    <w:rsid w:val="00B102AB"/>
    <w:rsid w:val="00B16B4E"/>
    <w:rsid w:val="00B22DE0"/>
    <w:rsid w:val="00B37921"/>
    <w:rsid w:val="00B553F3"/>
    <w:rsid w:val="00B73B85"/>
    <w:rsid w:val="00B75D02"/>
    <w:rsid w:val="00B92130"/>
    <w:rsid w:val="00B92CB9"/>
    <w:rsid w:val="00B96F5A"/>
    <w:rsid w:val="00B97307"/>
    <w:rsid w:val="00BA22BF"/>
    <w:rsid w:val="00BA3890"/>
    <w:rsid w:val="00BB08F4"/>
    <w:rsid w:val="00BB185C"/>
    <w:rsid w:val="00BB4FEC"/>
    <w:rsid w:val="00BC5F38"/>
    <w:rsid w:val="00BC6811"/>
    <w:rsid w:val="00BE5579"/>
    <w:rsid w:val="00C00F5F"/>
    <w:rsid w:val="00C16B5E"/>
    <w:rsid w:val="00C35724"/>
    <w:rsid w:val="00C41E32"/>
    <w:rsid w:val="00C4231B"/>
    <w:rsid w:val="00C61595"/>
    <w:rsid w:val="00C65277"/>
    <w:rsid w:val="00C80A10"/>
    <w:rsid w:val="00C81E48"/>
    <w:rsid w:val="00C94490"/>
    <w:rsid w:val="00C965B9"/>
    <w:rsid w:val="00CA064E"/>
    <w:rsid w:val="00CB3527"/>
    <w:rsid w:val="00CB64BE"/>
    <w:rsid w:val="00CF47E9"/>
    <w:rsid w:val="00CF598B"/>
    <w:rsid w:val="00CF67E5"/>
    <w:rsid w:val="00D06FE8"/>
    <w:rsid w:val="00D150CD"/>
    <w:rsid w:val="00D41CB7"/>
    <w:rsid w:val="00D57654"/>
    <w:rsid w:val="00D650FF"/>
    <w:rsid w:val="00D843CF"/>
    <w:rsid w:val="00D9261E"/>
    <w:rsid w:val="00DC0BE2"/>
    <w:rsid w:val="00DC1C5A"/>
    <w:rsid w:val="00DC6C52"/>
    <w:rsid w:val="00DD6051"/>
    <w:rsid w:val="00DE32B0"/>
    <w:rsid w:val="00DE40A0"/>
    <w:rsid w:val="00DE638A"/>
    <w:rsid w:val="00DF18ED"/>
    <w:rsid w:val="00DF7C8B"/>
    <w:rsid w:val="00E05884"/>
    <w:rsid w:val="00E103B1"/>
    <w:rsid w:val="00E128CC"/>
    <w:rsid w:val="00E15647"/>
    <w:rsid w:val="00E23555"/>
    <w:rsid w:val="00E302A2"/>
    <w:rsid w:val="00E33F20"/>
    <w:rsid w:val="00E544D6"/>
    <w:rsid w:val="00E600F7"/>
    <w:rsid w:val="00E75685"/>
    <w:rsid w:val="00E77780"/>
    <w:rsid w:val="00E82B9E"/>
    <w:rsid w:val="00EA3EA9"/>
    <w:rsid w:val="00EA406D"/>
    <w:rsid w:val="00EA689F"/>
    <w:rsid w:val="00EC3913"/>
    <w:rsid w:val="00ED0A7F"/>
    <w:rsid w:val="00ED18A5"/>
    <w:rsid w:val="00ED5C01"/>
    <w:rsid w:val="00ED7A3B"/>
    <w:rsid w:val="00EE6037"/>
    <w:rsid w:val="00EF14BA"/>
    <w:rsid w:val="00EF734A"/>
    <w:rsid w:val="00F02C92"/>
    <w:rsid w:val="00F12321"/>
    <w:rsid w:val="00F13A24"/>
    <w:rsid w:val="00F219B4"/>
    <w:rsid w:val="00F237E4"/>
    <w:rsid w:val="00F5007B"/>
    <w:rsid w:val="00F532FA"/>
    <w:rsid w:val="00F56EF2"/>
    <w:rsid w:val="00F61505"/>
    <w:rsid w:val="00F7053A"/>
    <w:rsid w:val="00F8027F"/>
    <w:rsid w:val="00F914DE"/>
    <w:rsid w:val="00F91E80"/>
    <w:rsid w:val="00F95DA4"/>
    <w:rsid w:val="00FD50CD"/>
    <w:rsid w:val="00FE2A5F"/>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AF34C"/>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 w:type="paragraph" w:styleId="10">
    <w:name w:val="toc 1"/>
    <w:basedOn w:val="a"/>
    <w:next w:val="a"/>
    <w:autoRedefine/>
    <w:uiPriority w:val="39"/>
    <w:unhideWhenUsed/>
    <w:rsid w:val="00872654"/>
    <w:pPr>
      <w:spacing w:after="100"/>
    </w:pPr>
  </w:style>
  <w:style w:type="paragraph" w:styleId="20">
    <w:name w:val="toc 2"/>
    <w:basedOn w:val="a"/>
    <w:next w:val="a"/>
    <w:autoRedefine/>
    <w:uiPriority w:val="39"/>
    <w:unhideWhenUsed/>
    <w:rsid w:val="00872654"/>
    <w:pPr>
      <w:spacing w:after="100"/>
      <w:ind w:left="220"/>
    </w:pPr>
  </w:style>
  <w:style w:type="paragraph" w:styleId="30">
    <w:name w:val="toc 3"/>
    <w:basedOn w:val="a"/>
    <w:next w:val="a"/>
    <w:autoRedefine/>
    <w:uiPriority w:val="39"/>
    <w:unhideWhenUsed/>
    <w:rsid w:val="0087265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A57624-CD4B-4F12-9276-4546C3B49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137</Pages>
  <Words>54154</Words>
  <Characters>308682</Characters>
  <Application>Microsoft Office Word</Application>
  <DocSecurity>0</DocSecurity>
  <Lines>2572</Lines>
  <Paragraphs>724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362112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168</cp:revision>
  <dcterms:created xsi:type="dcterms:W3CDTF">2025-11-06T12:34:00Z</dcterms:created>
  <dcterms:modified xsi:type="dcterms:W3CDTF">2026-08-08T19:00:00Z</dcterms:modified>
</cp:coreProperties>
</file>