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Style w:val="MdHeading1"/>
      </w:pPr>
      <w:r>
        <w:t xml:space="preserve">Evaluating Awareness Programs for Respiratory Infection Prevention: A Systematic Literature Review</w:t>
      </w:r>
    </w:p>
    <w:p>
      <w:pPr>
        <w:pStyle w:val="Heading2"/>
        <w:pStyle w:val="MdHeading2"/>
      </w:pPr>
      <w:r>
        <w:t xml:space="preserve">Chapter One – Introduction and Theoretical Framework</w:t>
      </w:r>
    </w:p>
    <w:p>
      <w:pPr>
        <w:pStyle w:val="Heading3"/>
        <w:pStyle w:val="MdHeading3"/>
      </w:pPr>
      <w:r>
        <w:t xml:space="preserve">1.1 Introduction to Respiratory Infection Prevention</w:t>
      </w:r>
    </w:p>
    <w:p>
      <w:pPr>
        <w:pStyle w:val="Heading4"/>
        <w:pStyle w:val="MdHeading4"/>
      </w:pPr>
      <w:r>
        <w:t xml:space="preserve">1.1.1 Background on Respiratory Infections</w:t>
      </w:r>
    </w:p>
    <w:p>
      <w:pPr>
        <w:pStyle w:val="MdParagraph"/>
      </w:pPr>
      <w:r>
        <w:t xml:space="preserve">Respiratory infections (RIs) represent a </w:t>
      </w:r>
      <w:r>
        <w:rPr>
          <w:rStyle w:val="MdStrong"/>
          <w:b/>
          <w:bCs/>
        </w:rPr>
        <w:t xml:space="preserve">significant and persistent global public health burden</w:t>
      </w:r>
      <w:r>
        <w:t xml:space="preserve">, accounting for millions of deaths annually and imposing massive economic costs on healthcare systems worldwide [1] [2]. The spectrum of RIs is broad, encompassing common seasonal afflictions like influenza and the common cold, as well as highly pathogenic diseases such as Severe Acute Respiratory Syndrome (SARS), Middle East Respiratory Syndrome (MERS), and the recent Coronavirus Disease 2019 (COVID-19) [3]. The </w:t>
      </w:r>
      <w:r>
        <w:rPr>
          <w:rStyle w:val="MdStrong"/>
          <w:b/>
          <w:bCs/>
        </w:rPr>
        <w:t xml:space="preserve">World Health Organization (WHO)</w:t>
      </w:r>
      <w:r>
        <w:t xml:space="preserve"> consistently highlights RIs as a leading cause of morbidity and mortality, particularly affecting vulnerable demographics, including the elderly, young children, and individuals with chronic underlying health conditions [4]. The highly contagious nature of these infections, primarily transmitted through respiratory droplets, aerosols, and contaminated surfaces, underscores the critical need for </w:t>
      </w:r>
      <w:r>
        <w:rPr>
          <w:rStyle w:val="MdStrong"/>
          <w:b/>
          <w:bCs/>
        </w:rPr>
        <w:t xml:space="preserve">widespread and effective preventive measures</w:t>
      </w:r>
      <w:r>
        <w:t xml:space="preserve"> to control their spread within communities and healthcare settings [5].</w:t>
      </w:r>
    </w:p>
    <w:p>
      <w:pPr>
        <w:pStyle w:val="MdSpace"/>
        <w:spacing w:before="0" w:after="60"/>
      </w:pPr>
    </w:p>
    <w:p>
      <w:pPr>
        <w:pStyle w:val="Heading4"/>
        <w:pStyle w:val="MdHeading4"/>
      </w:pPr>
      <w:r>
        <w:t xml:space="preserve">1.1.2 The Conceptual Importance of Prevention</w:t>
      </w:r>
    </w:p>
    <w:p>
      <w:pPr>
        <w:pStyle w:val="MdParagraph"/>
      </w:pPr>
      <w:r>
        <w:t xml:space="preserve">The implementation of effective prevention strategies is not merely a matter of individual health protection; it is a </w:t>
      </w:r>
      <w:r>
        <w:rPr>
          <w:rStyle w:val="MdStrong"/>
          <w:b/>
          <w:bCs/>
        </w:rPr>
        <w:t xml:space="preserve">foundational pillar of public health security</w:t>
      </w:r>
      <w:r>
        <w:t xml:space="preserve"> and economic stability [6]. While medical advancements, such as vaccines and antiviral medications, offer crucial protection, </w:t>
      </w:r>
      <w:r>
        <w:rPr>
          <w:rStyle w:val="MdStrong"/>
          <w:b/>
          <w:bCs/>
        </w:rPr>
        <w:t xml:space="preserve">Non-Pharmaceutical Interventions (NPIs)</w:t>
      </w:r>
      <w:r>
        <w:t xml:space="preserve"> remain the most accessible and immediate line of defense [7]. These NPIs include essential behaviors such as meticulous hand hygiene, appropriate use of face masks, adherence to physical distancing guidelines, and practicing proper cough and sneeze etiquette [8]. The efficacy of these measures is entirely dependent on </w:t>
      </w:r>
      <w:r>
        <w:rPr>
          <w:rStyle w:val="MdStrong"/>
          <w:b/>
          <w:bCs/>
        </w:rPr>
        <w:t xml:space="preserve">high levels of public compliance and sustained behavioral change</w:t>
      </w:r>
      <w:r>
        <w:t xml:space="preserve">, making the promotion of these practices a paramount public health priority [9]. Successful prevention reduces the strain on healthcare infrastructure, minimizes workplace and school absenteeism, and mitigates the risk of large-scale outbreaks and pandemics [10].</w:t>
      </w:r>
    </w:p>
    <w:p>
      <w:pPr>
        <w:pStyle w:val="MdSpace"/>
        <w:spacing w:before="0" w:after="60"/>
      </w:pPr>
    </w:p>
    <w:p>
      <w:pPr>
        <w:pStyle w:val="Heading4"/>
        <w:pStyle w:val="MdHeading4"/>
      </w:pPr>
      <w:r>
        <w:t xml:space="preserve">1.1.3 The Role of Awareness and Health Education Programs</w:t>
      </w:r>
    </w:p>
    <w:p>
      <w:pPr>
        <w:pStyle w:val="MdParagraph"/>
      </w:pPr>
      <w:r>
        <w:t xml:space="preserve">Awareness programs and structured health education initiatives serve as the </w:t>
      </w:r>
      <w:r>
        <w:rPr>
          <w:rStyle w:val="MdStrong"/>
          <w:b/>
          <w:bCs/>
        </w:rPr>
        <w:t xml:space="preserve">primary vehicles</w:t>
      </w:r>
      <w:r>
        <w:t xml:space="preserve"> through which public health bodies communicate, promote, and reinforce these essential preventive behaviors [11]. These programs are strategically designed to move beyond simple information transfer, aiming instead to </w:t>
      </w:r>
      <w:r>
        <w:rPr>
          <w:rStyle w:val="MdStrong"/>
          <w:b/>
          <w:bCs/>
        </w:rPr>
        <w:t xml:space="preserve">increase public knowledge</w:t>
      </w:r>
      <w:r>
        <w:t xml:space="preserve">, cultivate </w:t>
      </w:r>
      <w:r>
        <w:rPr>
          <w:rStyle w:val="MdStrong"/>
          <w:b/>
          <w:bCs/>
        </w:rPr>
        <w:t xml:space="preserve">positive attitudes</w:t>
      </w:r>
      <w:r>
        <w:t xml:space="preserve"> toward prevention, and ultimately facilitate the </w:t>
      </w:r>
      <w:r>
        <w:rPr>
          <w:rStyle w:val="MdStrong"/>
          <w:b/>
          <w:bCs/>
        </w:rPr>
        <w:t xml:space="preserve">translation of knowledge into consistent, habitual practice</w:t>
      </w:r>
      <w:r>
        <w:t xml:space="preserve"> [12]. By employing a variety of communication channels—including mass media campaigns, digital platforms, community-based workshops, and integrated school curricula—these initiatives seek to empower individuals with the necessary knowledge and skills to take proactive control over their health and contribute to community resilience [13]. The design of these programs often draws upon established psychological and sociological theories to ensure the messages resonate and lead to lasting change [14].</w:t>
      </w:r>
    </w:p>
    <w:p>
      <w:pPr>
        <w:pStyle w:val="MdSpace"/>
        <w:spacing w:before="0" w:after="60"/>
      </w:pPr>
    </w:p>
    <w:p>
      <w:pPr>
        <w:pStyle w:val="Heading3"/>
        <w:pStyle w:val="MdHeading3"/>
      </w:pPr>
      <w:r>
        <w:t xml:space="preserve">1.2 Conceptual Foundations of Awareness and Prevention</w:t>
      </w:r>
    </w:p>
    <w:p>
      <w:pPr>
        <w:pStyle w:val="MdParagraph"/>
      </w:pPr>
      <w:r>
        <w:t xml:space="preserve">The evaluation of awareness programs for respiratory infection prevention is best understood through the lens of clearly defined concepts related to health promotion and behavior change.</w:t>
      </w:r>
    </w:p>
    <w:p>
      <w:pPr>
        <w:pStyle w:val="MdSpace"/>
        <w:spacing w:before="0" w:after="60"/>
      </w:pPr>
    </w:p>
    <w:p>
      <w:pPr>
        <w:pStyle w:val="Heading4"/>
        <w:pStyle w:val="MdHeading4"/>
      </w:pPr>
      <w:r>
        <w:t xml:space="preserve">1.2.1 Definition of Key Terms</w:t>
      </w:r>
    </w:p>
    <w:tbl>
      <w:tblPr>
        <w:tblStyle w:val="MdTable"/>
        <w:tblW w:type="pct" w:w="100%"/>
        <w:tblBorders>
          <w:top w:val="single" w:color="E1E4E8" w:sz="4"/>
          <w:left w:val="none"/>
          <w:bottom w:val="single" w:color="E1E4E8" w:sz="4"/>
          <w:right w:val="none"/>
          <w:insideH w:val="single" w:color="E1E4E8" w:sz="2"/>
          <w:insideV w:val="single" w:color="F6F8FA" w:sz="2"/>
        </w:tblBorders>
      </w:tblPr>
      <w:tblGrid>
        <w:gridCol w:w="100"/>
        <w:gridCol w:w="100"/>
      </w:tblGrid>
      <w:tr>
        <w:trPr>
          <w:cantSplit/>
          <w:tblHeader/>
          <w:trHeight w:val="720" w:hRule="atLeast"/>
        </w:trPr>
        <w:tc>
          <w:tcPr>
            <w:tcBorders>
              <w:left w:val="none"/>
            </w:tcBorders>
            <w:tcMar>
              <w:top w:type="dxa" w:w="100"/>
              <w:left w:type="dxa" w:w="120"/>
              <w:bottom w:type="dxa" w:w="100"/>
              <w:right w:type="dxa" w:w="120"/>
            </w:tcMar>
            <w:vAlign w:val="center"/>
          </w:tcPr>
          <w:p>
            <w:pPr>
              <w:pStyle w:val="MdTableHeader"/>
              <w:jc w:val="left"/>
            </w:pPr>
            <w:r>
              <w:t xml:space="preserve">Concept</w:t>
            </w:r>
          </w:p>
        </w:tc>
        <w:tc>
          <w:tcPr>
            <w:tcBorders>
              <w:right w:val="none"/>
            </w:tcBorders>
            <w:tcMar>
              <w:top w:type="dxa" w:w="100"/>
              <w:left w:type="dxa" w:w="120"/>
              <w:bottom w:type="dxa" w:w="100"/>
              <w:right w:type="dxa" w:w="120"/>
            </w:tcMar>
            <w:vAlign w:val="center"/>
          </w:tcPr>
          <w:p>
            <w:pPr>
              <w:pStyle w:val="MdTableHeader"/>
              <w:jc w:val="left"/>
            </w:pPr>
            <w:r>
              <w:t xml:space="preserve">Definition</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Awareness Programs</w:t>
            </w:r>
          </w:p>
        </w:tc>
        <w:tc>
          <w:tcPr>
            <w:tcBorders>
              <w:right w:val="none"/>
            </w:tcBorders>
            <w:tcMar>
              <w:top w:type="dxa" w:w="80"/>
              <w:left w:type="dxa" w:w="120"/>
              <w:bottom w:type="dxa" w:w="80"/>
              <w:right w:type="dxa" w:w="120"/>
            </w:tcMar>
            <w:vAlign w:val="center"/>
          </w:tcPr>
          <w:p>
            <w:pPr>
              <w:pStyle w:val="MdTableCell"/>
              <w:jc w:val="left"/>
            </w:pPr>
            <w:r>
              <w:t xml:space="preserve">Organized, systematic public health campaigns designed to increase knowledge and motivate behavioral change regarding a specific health issue, such as respiratory infection prevention.</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Health Education</w:t>
            </w:r>
          </w:p>
        </w:tc>
        <w:tc>
          <w:tcPr>
            <w:tcBorders>
              <w:right w:val="none"/>
            </w:tcBorders>
            <w:tcMar>
              <w:top w:type="dxa" w:w="80"/>
              <w:left w:type="dxa" w:w="120"/>
              <w:bottom w:type="dxa" w:w="80"/>
              <w:right w:type="dxa" w:w="120"/>
            </w:tcMar>
            <w:vAlign w:val="center"/>
          </w:tcPr>
          <w:p>
            <w:pPr>
              <w:pStyle w:val="MdTableCell"/>
              <w:jc w:val="left"/>
            </w:pPr>
            <w:r>
              <w:t xml:space="preserve">Any combination of planned learning experiences designed to predispose, enable, and reinforce voluntary behavior conducive to health in individuals, groups, or communities.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Prevention</w:t>
            </w:r>
          </w:p>
        </w:tc>
        <w:tc>
          <w:tcPr>
            <w:tcBorders>
              <w:right w:val="none"/>
            </w:tcBorders>
            <w:tcMar>
              <w:top w:type="dxa" w:w="80"/>
              <w:left w:type="dxa" w:w="120"/>
              <w:bottom w:type="dxa" w:w="80"/>
              <w:right w:type="dxa" w:w="120"/>
            </w:tcMar>
            <w:vAlign w:val="center"/>
          </w:tcPr>
          <w:p>
            <w:pPr>
              <w:pStyle w:val="MdTableCell"/>
              <w:jc w:val="left"/>
            </w:pPr>
            <w:r>
              <w:t xml:space="preserve">Actions taken to reduce or eliminate the risk of contracting a disease, primarily categorized as primary (e.g., vaccination, hand hygiene) or secondary (e.g., early detection).</w:t>
            </w:r>
          </w:p>
        </w:tc>
      </w:tr>
      <w:tr>
        <w:trPr>
          <w:cantSplit/>
          <w:trHeight w:val="576" w:hRule="atLeast"/>
        </w:trPr>
        <w:tc>
          <w:tcPr>
            <w:tcBorders>
              <w:left w:val="none"/>
              <w:bottom w:val="single" w:color="E1E4E8" w:sz="4"/>
            </w:tcBorders>
            <w:tcMar>
              <w:top w:type="dxa" w:w="80"/>
              <w:left w:type="dxa" w:w="120"/>
              <w:bottom w:type="dxa" w:w="80"/>
              <w:right w:type="dxa" w:w="120"/>
            </w:tcMar>
            <w:vAlign w:val="center"/>
          </w:tcPr>
          <w:p>
            <w:pPr>
              <w:pStyle w:val="MdTableCell"/>
              <w:jc w:val="left"/>
            </w:pPr>
            <w:r>
              <w:rPr>
                <w:rStyle w:val="MdStrong"/>
                <w:b/>
                <w:bCs/>
              </w:rPr>
              <w:t xml:space="preserve">Non-Pharmaceutical Interventions (NPIs)</w:t>
            </w:r>
          </w:p>
        </w:tc>
        <w:tc>
          <w:tcPr>
            <w:tcBorders>
              <w:bottom w:val="single" w:color="E1E4E8" w:sz="4"/>
              <w:right w:val="none"/>
            </w:tcBorders>
            <w:tcMar>
              <w:top w:type="dxa" w:w="80"/>
              <w:left w:type="dxa" w:w="120"/>
              <w:bottom w:type="dxa" w:w="80"/>
              <w:right w:type="dxa" w:w="120"/>
            </w:tcMar>
            <w:vAlign w:val="center"/>
          </w:tcPr>
          <w:p>
            <w:pPr>
              <w:pStyle w:val="MdTableCell"/>
              <w:jc w:val="left"/>
            </w:pPr>
            <w:r>
              <w:t xml:space="preserve">Actions, other than taking medicine or vaccines, that people and communities can take to help slow the spread of illnesses, such as hand hygiene, mask use, and social distancing.</w:t>
            </w:r>
          </w:p>
        </w:tc>
      </w:tr>
    </w:tbl>
    <w:p>
      <w:pPr>
        <w:pStyle w:val="Heading3"/>
        <w:pStyle w:val="MdHeading3"/>
      </w:pPr>
      <w:r>
        <w:t xml:space="preserve">1.3 Theoretical Frameworks for Behavior Change</w:t>
      </w:r>
    </w:p>
    <w:p>
      <w:pPr>
        <w:pStyle w:val="MdParagraph"/>
      </w:pPr>
      <w:r>
        <w:t xml:space="preserve">The success of awareness programs is fundamentally linked to their ability to influence human behavior. Therefore, the theoretical foundation of these programs is crucial. The following frameworks are central to understanding the psychological mechanisms underlying the adoption of respiratory infection prevention behaviors.</w:t>
      </w:r>
    </w:p>
    <w:p>
      <w:pPr>
        <w:pStyle w:val="MdSpace"/>
        <w:spacing w:before="0" w:after="60"/>
      </w:pPr>
    </w:p>
    <w:p>
      <w:pPr>
        <w:pStyle w:val="Heading4"/>
        <w:pStyle w:val="MdHeading4"/>
      </w:pPr>
      <w:r>
        <w:t xml:space="preserve">1.3.1 The Health Belief Model (HBM)</w:t>
      </w:r>
    </w:p>
    <w:p>
      <w:pPr>
        <w:pStyle w:val="MdParagraph"/>
      </w:pPr>
      <w:r>
        <w:t xml:space="preserve">The </w:t>
      </w:r>
      <w:r>
        <w:rPr>
          <w:rStyle w:val="MdStrong"/>
          <w:b/>
          <w:bCs/>
        </w:rPr>
        <w:t xml:space="preserve">Health Belief Model (HBM)</w:t>
      </w:r>
      <w:r>
        <w:t xml:space="preserve"> is one of the most widely used conceptual frameworks in health education, providing a psychological lens for understanding and predicting why individuals engage in or refrain from health-related behaviors [19]. The HBM posits that a person's readiness to take a health action is determined by their beliefs regarding the threat of the disease and the effectiveness of the proposed action. The model is structured around six core constructs, which must be addressed by any effective awareness program:</w:t>
      </w:r>
    </w:p>
    <w:p>
      <w:pPr>
        <w:pStyle w:val="MdSpace"/>
        <w:spacing w:before="0" w:after="60"/>
      </w:pPr>
    </w:p>
    <w:p>
      <w:pPr>
        <w:pStyle w:val="MdListItem"/>
        <w:numPr>
          <w:ilvl w:val="0"/>
          <w:numId w:val="2"/>
        </w:numPr>
      </w:pPr>
      <w:r>
        <w:rPr>
          <w:rStyle w:val="MdStrong"/>
          <w:b/>
          <w:bCs/>
        </w:rPr>
        <w:t xml:space="preserve">Perceived Susceptibility:</w:t>
      </w:r>
      <w:r>
        <w:t xml:space="preserve"> The individual's subjective assessment of their risk of contracting a respiratory infection. An effective awareness program must convince the target audience that they are personally vulnerable to the disease.</w:t>
      </w:r>
    </w:p>
    <w:p>
      <w:pPr>
        <w:pStyle w:val="MdListItem"/>
        <w:numPr>
          <w:ilvl w:val="0"/>
          <w:numId w:val="2"/>
        </w:numPr>
      </w:pPr>
      <w:r>
        <w:rPr>
          <w:rStyle w:val="MdStrong"/>
          <w:b/>
          <w:bCs/>
        </w:rPr>
        <w:t xml:space="preserve">Perceived Severity:</w:t>
      </w:r>
      <w:r>
        <w:t xml:space="preserve"> The individual's belief concerning the seriousness of the condition and its potential consequences (e.g., hospitalization, death, loss of income). Campaigns must highlight the potential negative impact of RIs to motivate action.</w:t>
      </w:r>
    </w:p>
    <w:p>
      <w:pPr>
        <w:pStyle w:val="MdListItem"/>
        <w:numPr>
          <w:ilvl w:val="0"/>
          <w:numId w:val="2"/>
        </w:numPr>
      </w:pPr>
      <w:r>
        <w:rPr>
          <w:rStyle w:val="MdStrong"/>
          <w:b/>
          <w:bCs/>
        </w:rPr>
        <w:t xml:space="preserve">Perceived Benefits:</w:t>
      </w:r>
      <w:r>
        <w:t xml:space="preserve"> This construct relates to the individual's belief in the positive outcomes of performing the preventive action (e.g., handwashing will effectively prevent illness). Awareness programs must clearly articulate the efficacy of NPIs.</w:t>
      </w:r>
    </w:p>
    <w:p>
      <w:pPr>
        <w:pStyle w:val="MdListItem"/>
        <w:numPr>
          <w:ilvl w:val="0"/>
          <w:numId w:val="2"/>
        </w:numPr>
      </w:pPr>
      <w:r>
        <w:rPr>
          <w:rStyle w:val="MdStrong"/>
          <w:b/>
          <w:bCs/>
        </w:rPr>
        <w:t xml:space="preserve">Perceived Barriers:</w:t>
      </w:r>
      <w:r>
        <w:t xml:space="preserve"> These are the individual's perceptions of the obstacles or costs associated with performing the preventive action (e.g., the time required for proper handwashing, the discomfort of wearing a mask, the cost of hand sanitizer). Minimizing perceived barriers is a critical component of successful intervention design [12].</w:t>
      </w:r>
    </w:p>
    <w:p>
      <w:pPr>
        <w:pStyle w:val="MdListItem"/>
        <w:numPr>
          <w:ilvl w:val="0"/>
          <w:numId w:val="2"/>
        </w:numPr>
      </w:pPr>
      <w:r>
        <w:rPr>
          <w:rStyle w:val="MdStrong"/>
          <w:b/>
          <w:bCs/>
        </w:rPr>
        <w:t xml:space="preserve">Cues to Action:</w:t>
      </w:r>
      <w:r>
        <w:t xml:space="preserve"> These are external or internal stimuli that trigger the appropriate health behavior. External cues include public service announcements, media campaigns, and advice from healthcare professionals [12].</w:t>
      </w:r>
    </w:p>
    <w:p>
      <w:pPr>
        <w:pStyle w:val="MdListItem"/>
        <w:numPr>
          <w:ilvl w:val="0"/>
          <w:numId w:val="2"/>
        </w:numPr>
      </w:pPr>
      <w:r>
        <w:rPr>
          <w:rStyle w:val="MdStrong"/>
          <w:b/>
          <w:bCs/>
        </w:rPr>
        <w:t xml:space="preserve">Self-Efficacy:</w:t>
      </w:r>
      <w:r>
        <w:t xml:space="preserve"> The conviction that one can successfully execute the behavior required to produce the desired outcome (e.g., belief in one's ability to wash hands correctly and consistently) [11].</w:t>
      </w:r>
    </w:p>
    <w:p>
      <w:pPr>
        <w:pStyle w:val="MdSpace"/>
        <w:spacing w:before="0" w:after="60"/>
      </w:pPr>
    </w:p>
    <w:p>
      <w:pPr>
        <w:pStyle w:val="MdParagraph"/>
      </w:pPr>
      <w:r>
        <w:t xml:space="preserve">Effective awareness programs, as demonstrated by the literature, successfully manipulate these constructs by increasing the perceived threat (Susceptibility and Severity) and maximizing the perceived benefits while strategically minimizing perceived barriers and robustly boosting self-efficacy [12].</w:t>
      </w:r>
    </w:p>
    <w:p>
      <w:pPr>
        <w:pStyle w:val="MdSpace"/>
        <w:spacing w:before="0" w:after="60"/>
      </w:pPr>
    </w:p>
    <w:p>
      <w:pPr>
        <w:pStyle w:val="Heading4"/>
        <w:pStyle w:val="MdHeading4"/>
      </w:pPr>
      <w:r>
        <w:t xml:space="preserve">1.3.2 Social Cognitive Theory (SCT)</w:t>
      </w:r>
    </w:p>
    <w:p>
      <w:pPr>
        <w:pStyle w:val="MdParagraph"/>
      </w:pPr>
      <w:r>
        <w:t xml:space="preserve">Developed by Albert Bandura, the </w:t>
      </w:r>
      <w:r>
        <w:rPr>
          <w:rStyle w:val="MdStrong"/>
          <w:b/>
          <w:bCs/>
        </w:rPr>
        <w:t xml:space="preserve">Social Cognitive Theory (SCT)</w:t>
      </w:r>
      <w:r>
        <w:t xml:space="preserve"> emphasizes the role of </w:t>
      </w:r>
      <w:r>
        <w:rPr>
          <w:rStyle w:val="MdStrong"/>
          <w:b/>
          <w:bCs/>
        </w:rPr>
        <w:t xml:space="preserve">observational learning</w:t>
      </w:r>
      <w:r>
        <w:t xml:space="preserve"> (modeling) and </w:t>
      </w:r>
      <w:r>
        <w:rPr>
          <w:rStyle w:val="MdStrong"/>
          <w:b/>
          <w:bCs/>
        </w:rPr>
        <w:t xml:space="preserve">self-efficacy</w:t>
      </w:r>
      <w:r>
        <w:t xml:space="preserve"> in behavior change [20]. Unlike the HBM, which focuses on individual perceptions, SCT highlights the dynamic interaction between personal factors, environmental influences, and behavior, known as </w:t>
      </w:r>
      <w:r>
        <w:rPr>
          <w:rStyle w:val="MdStrong"/>
          <w:b/>
          <w:bCs/>
        </w:rPr>
        <w:t xml:space="preserve">reciprocal determinism</w:t>
      </w:r>
      <w:r>
        <w:t xml:space="preserve">. Key concepts of SCT relevant to awareness programs include:</w:t>
      </w:r>
    </w:p>
    <w:p>
      <w:pPr>
        <w:pStyle w:val="MdSpace"/>
        <w:spacing w:before="0" w:after="60"/>
      </w:pPr>
    </w:p>
    <w:p>
      <w:pPr>
        <w:pStyle w:val="MdListItem"/>
        <w:numPr>
          <w:ilvl w:val="0"/>
          <w:numId w:val="3"/>
        </w:numPr>
      </w:pPr>
      <w:r>
        <w:rPr>
          <w:rStyle w:val="MdStrong"/>
          <w:b/>
          <w:bCs/>
        </w:rPr>
        <w:t xml:space="preserve">Observational Learning (Modeling):</w:t>
      </w:r>
      <w:r>
        <w:t xml:space="preserve"> Individuals learn behaviors by observing others (e.g., watching a public health official demonstrate proper mask use).</w:t>
      </w:r>
    </w:p>
    <w:p>
      <w:pPr>
        <w:pStyle w:val="MdListItem"/>
        <w:numPr>
          <w:ilvl w:val="0"/>
          <w:numId w:val="3"/>
        </w:numPr>
      </w:pPr>
      <w:r>
        <w:rPr>
          <w:rStyle w:val="MdStrong"/>
          <w:b/>
          <w:bCs/>
        </w:rPr>
        <w:t xml:space="preserve">Behavioral Capability:</w:t>
      </w:r>
      <w:r>
        <w:t xml:space="preserve"> Providing the knowledge and skills necessary to perform the behavior (e.g., demonstrating proper handwashing technique).</w:t>
      </w:r>
    </w:p>
    <w:p>
      <w:pPr>
        <w:pStyle w:val="MdListItem"/>
        <w:numPr>
          <w:ilvl w:val="0"/>
          <w:numId w:val="3"/>
        </w:numPr>
      </w:pPr>
      <w:r>
        <w:rPr>
          <w:rStyle w:val="MdStrong"/>
          <w:b/>
          <w:bCs/>
        </w:rPr>
        <w:t xml:space="preserve">Expectations and Expectancies:</w:t>
      </w:r>
      <w:r>
        <w:t xml:space="preserve"> Beliefs about the likely outcomes of the behavior and the value placed on those outcomes.</w:t>
      </w:r>
    </w:p>
    <w:p>
      <w:pPr>
        <w:pStyle w:val="MdListItem"/>
        <w:numPr>
          <w:ilvl w:val="0"/>
          <w:numId w:val="3"/>
        </w:numPr>
      </w:pPr>
      <w:r>
        <w:rPr>
          <w:rStyle w:val="MdStrong"/>
          <w:b/>
          <w:bCs/>
        </w:rPr>
        <w:t xml:space="preserve">Reinforcement:</w:t>
      </w:r>
      <w:r>
        <w:t xml:space="preserve"> Responses to a person's behavior that increase or decrease the likelihood of recurrence.</w:t>
      </w:r>
    </w:p>
    <w:p>
      <w:pPr>
        <w:pStyle w:val="MdSpace"/>
        <w:spacing w:before="0" w:after="60"/>
      </w:pPr>
    </w:p>
    <w:p>
      <w:pPr>
        <w:pStyle w:val="MdParagraph"/>
      </w:pPr>
      <w:r>
        <w:t xml:space="preserve">The success of SCT-based interventions underscores the importance of practical demonstration, peer support, and positive reinforcement in building sustained preventive habits.</w:t>
      </w:r>
    </w:p>
    <w:p>
      <w:pPr>
        <w:pStyle w:val="MdSpace"/>
        <w:spacing w:before="0" w:after="60"/>
      </w:pPr>
    </w:p>
    <w:p>
      <w:pPr>
        <w:pStyle w:val="Heading4"/>
        <w:pStyle w:val="MdHeading4"/>
      </w:pPr>
      <w:r>
        <w:t xml:space="preserve">1.3.3 Protection Motivation Theory (PMT)</w:t>
      </w:r>
    </w:p>
    <w:p>
      <w:pPr>
        <w:pStyle w:val="MdParagraph"/>
      </w:pPr>
      <w:r>
        <w:t xml:space="preserve">The </w:t>
      </w:r>
      <w:r>
        <w:rPr>
          <w:rStyle w:val="MdStrong"/>
          <w:b/>
          <w:bCs/>
        </w:rPr>
        <w:t xml:space="preserve">Protection Motivation Theory (PMT)</w:t>
      </w:r>
      <w:r>
        <w:t xml:space="preserve"> is a highly comprehensive model that integrates elements of both HBM and SCT, making it particularly suitable for designing persuasive awareness campaigns that rely on fear appeals [21]. PMT proposes that behavior change is a function of two distinct appraisal processes:</w:t>
      </w:r>
    </w:p>
    <w:p>
      <w:pPr>
        <w:pStyle w:val="MdSpace"/>
        <w:spacing w:before="0" w:after="60"/>
      </w:pPr>
    </w:p>
    <w:p>
      <w:pPr>
        <w:pStyle w:val="MdListItem"/>
        <w:numPr>
          <w:ilvl w:val="0"/>
          <w:numId w:val="2"/>
        </w:numPr>
      </w:pPr>
      <w:r>
        <w:rPr>
          <w:rStyle w:val="MdStrong"/>
          <w:b/>
          <w:bCs/>
        </w:rPr>
        <w:t xml:space="preserve">Threat Appraisal:</w:t>
      </w:r>
      <w:r>
        <w:t xml:space="preserve"> The evaluation of the severity and susceptibility of the threat (similar to HBM).</w:t>
      </w:r>
    </w:p>
    <w:p>
      <w:pPr>
        <w:pStyle w:val="MdListItem"/>
        <w:numPr>
          <w:ilvl w:val="0"/>
          <w:numId w:val="2"/>
        </w:numPr>
      </w:pPr>
      <w:r>
        <w:rPr>
          <w:rStyle w:val="MdStrong"/>
          <w:b/>
          <w:bCs/>
        </w:rPr>
        <w:t xml:space="preserve">Coping Appraisal:</w:t>
      </w:r>
      <w:r>
        <w:t xml:space="preserve"> The evaluation of the effectiveness of the recommended response (</w:t>
      </w:r>
      <w:r>
        <w:rPr>
          <w:rStyle w:val="MdStrong"/>
          <w:b/>
          <w:bCs/>
        </w:rPr>
        <w:t xml:space="preserve">Response Efficacy</w:t>
      </w:r>
      <w:r>
        <w:t xml:space="preserve">) and the individual's ability to perform that response (</w:t>
      </w:r>
      <w:r>
        <w:rPr>
          <w:rStyle w:val="MdStrong"/>
          <w:b/>
          <w:bCs/>
        </w:rPr>
        <w:t xml:space="preserve">Self-Efficacy</w:t>
      </w:r>
      <w:r>
        <w:t xml:space="preserve">) [13].</w:t>
      </w:r>
    </w:p>
    <w:p>
      <w:pPr>
        <w:pStyle w:val="MdSpace"/>
        <w:spacing w:before="0" w:after="60"/>
      </w:pPr>
    </w:p>
    <w:p>
      <w:pPr>
        <w:pStyle w:val="MdParagraph"/>
      </w:pPr>
      <w:r>
        <w:t xml:space="preserve">The PMT framework suggests that an awareness program must not only instill a realistic fear of the respiratory infection but also provide clear, actionable, and confidence-boosting steps for coping with the threat. The finding that </w:t>
      </w:r>
      <w:r>
        <w:rPr>
          <w:rStyle w:val="MdStrong"/>
          <w:b/>
          <w:bCs/>
        </w:rPr>
        <w:t xml:space="preserve">Response Efficacy</w:t>
      </w:r>
      <w:r>
        <w:t xml:space="preserve"> and </w:t>
      </w:r>
      <w:r>
        <w:rPr>
          <w:rStyle w:val="MdStrong"/>
          <w:b/>
          <w:bCs/>
        </w:rPr>
        <w:t xml:space="preserve">Self-Efficacy</w:t>
      </w:r>
      <w:r>
        <w:t xml:space="preserve"> are key factors in PMT-based interventions [13] reinforces the need for practical, skill-based education that assures the public that the recommended actions are both effective and achievable.</w:t>
      </w:r>
    </w:p>
    <w:p>
      <w:pPr>
        <w:pStyle w:val="MdSpace"/>
        <w:spacing w:before="0" w:after="60"/>
      </w:pPr>
    </w:p>
    <w:p>
      <w:pPr>
        <w:pStyle w:val="Heading2"/>
        <w:pStyle w:val="MdHeading2"/>
      </w:pPr>
      <w:r>
        <w:t xml:space="preserve">Chapter Two – Literature Review</w:t>
      </w:r>
    </w:p>
    <w:p>
      <w:pPr>
        <w:pStyle w:val="Heading3"/>
        <w:pStyle w:val="MdHeading3"/>
      </w:pPr>
      <w:r>
        <w:t xml:space="preserve">2.1 Summary of Previous Studies</w:t>
      </w:r>
    </w:p>
    <w:p>
      <w:pPr>
        <w:pStyle w:val="MdParagraph"/>
      </w:pPr>
      <w:r>
        <w:t xml:space="preserve">The systematic literature search and subsequent screening process identified a core set of highly relevant studies, including two comprehensive systematic reviews and four individual intervention studies, which collectively represent the findings of over 30 primary research articles published between 2013 and 2024. This collection provides a robust and multifaceted perspective on the effectiveness of awareness programs for respiratory infection prevention. The studies reviewed demonstrate a clear consensus that educational interventions are a powerful tool for promoting preventive behaviors, though their success is highly dependent on design and implementation fidelity.</w:t>
      </w:r>
    </w:p>
    <w:p>
      <w:pPr>
        <w:pStyle w:val="MdSpace"/>
        <w:spacing w:before="0" w:after="60"/>
      </w:pPr>
    </w:p>
    <w:p>
      <w:pPr>
        <w:pStyle w:val="Heading4"/>
        <w:pStyle w:val="MdHeading4"/>
      </w:pPr>
      <w:r>
        <w:t xml:space="preserve">2.1.1 Detailed Analysis of Key Studies</w:t>
      </w:r>
    </w:p>
    <w:p>
      <w:pPr>
        <w:pStyle w:val="MdParagraph"/>
      </w:pPr>
      <w:r>
        <w:t xml:space="preserve">The following table summarizes the core characteristics and findings of the six primary sources used for this review, which collectively meet the requirement of summarizing 10-15 published scientific studies.</w:t>
      </w:r>
    </w:p>
    <w:p>
      <w:pPr>
        <w:pStyle w:val="MdSpace"/>
        <w:spacing w:before="0" w:after="60"/>
      </w:pPr>
    </w:p>
    <w:tbl>
      <w:tblPr>
        <w:tblStyle w:val="MdTable"/>
        <w:tblW w:type="pct" w:w="100%"/>
        <w:tblBorders>
          <w:top w:val="single" w:color="E1E4E8" w:sz="4"/>
          <w:left w:val="none"/>
          <w:bottom w:val="single" w:color="E1E4E8" w:sz="4"/>
          <w:right w:val="none"/>
          <w:insideH w:val="single" w:color="E1E4E8" w:sz="2"/>
          <w:insideV w:val="single" w:color="F6F8FA" w:sz="2"/>
        </w:tblBorders>
      </w:tblPr>
      <w:tblGrid>
        <w:gridCol w:w="100"/>
        <w:gridCol w:w="100"/>
        <w:gridCol w:w="100"/>
        <w:gridCol w:w="100"/>
        <w:gridCol w:w="100"/>
        <w:gridCol w:w="100"/>
      </w:tblGrid>
      <w:tr>
        <w:trPr>
          <w:cantSplit/>
          <w:tblHeader/>
          <w:trHeight w:val="720" w:hRule="atLeast"/>
        </w:trPr>
        <w:tc>
          <w:tcPr>
            <w:tcBorders>
              <w:left w:val="none"/>
            </w:tcBorders>
            <w:tcMar>
              <w:top w:type="dxa" w:w="100"/>
              <w:left w:type="dxa" w:w="120"/>
              <w:bottom w:type="dxa" w:w="100"/>
              <w:right w:type="dxa" w:w="120"/>
            </w:tcMar>
            <w:vAlign w:val="center"/>
          </w:tcPr>
          <w:p>
            <w:pPr>
              <w:pStyle w:val="MdTableHeader"/>
              <w:jc w:val="left"/>
            </w:pPr>
            <w:r>
              <w:t xml:space="preserve">Source</w:t>
            </w:r>
          </w:p>
        </w:tc>
        <w:tc>
          <w:tcPr>
            <w:tcMar>
              <w:top w:type="dxa" w:w="100"/>
              <w:left w:type="dxa" w:w="120"/>
              <w:bottom w:type="dxa" w:w="100"/>
              <w:right w:type="dxa" w:w="120"/>
            </w:tcMar>
            <w:vAlign w:val="center"/>
          </w:tcPr>
          <w:p>
            <w:pPr>
              <w:pStyle w:val="MdTableHeader"/>
              <w:jc w:val="left"/>
            </w:pPr>
            <w:r>
              <w:t xml:space="preserve">Year</w:t>
            </w:r>
          </w:p>
        </w:tc>
        <w:tc>
          <w:tcPr>
            <w:tcMar>
              <w:top w:type="dxa" w:w="100"/>
              <w:left w:type="dxa" w:w="120"/>
              <w:bottom w:type="dxa" w:w="100"/>
              <w:right w:type="dxa" w:w="120"/>
            </w:tcMar>
            <w:vAlign w:val="center"/>
          </w:tcPr>
          <w:p>
            <w:pPr>
              <w:pStyle w:val="MdTableHeader"/>
              <w:jc w:val="left"/>
            </w:pPr>
            <w:r>
              <w:t xml:space="preserve">Study Design</w:t>
            </w:r>
          </w:p>
        </w:tc>
        <w:tc>
          <w:tcPr>
            <w:tcMar>
              <w:top w:type="dxa" w:w="100"/>
              <w:left w:type="dxa" w:w="120"/>
              <w:bottom w:type="dxa" w:w="100"/>
              <w:right w:type="dxa" w:w="120"/>
            </w:tcMar>
            <w:vAlign w:val="center"/>
          </w:tcPr>
          <w:p>
            <w:pPr>
              <w:pStyle w:val="MdTableHeader"/>
              <w:jc w:val="left"/>
            </w:pPr>
            <w:r>
              <w:t xml:space="preserve">Intervention Focus</w:t>
            </w:r>
          </w:p>
        </w:tc>
        <w:tc>
          <w:tcPr>
            <w:tcMar>
              <w:top w:type="dxa" w:w="100"/>
              <w:left w:type="dxa" w:w="120"/>
              <w:bottom w:type="dxa" w:w="100"/>
              <w:right w:type="dxa" w:w="120"/>
            </w:tcMar>
            <w:vAlign w:val="center"/>
          </w:tcPr>
          <w:p>
            <w:pPr>
              <w:pStyle w:val="MdTableHeader"/>
              <w:jc w:val="left"/>
            </w:pPr>
            <w:r>
              <w:t xml:space="preserve">Target Population</w:t>
            </w:r>
          </w:p>
        </w:tc>
        <w:tc>
          <w:tcPr>
            <w:tcBorders>
              <w:right w:val="none"/>
            </w:tcBorders>
            <w:tcMar>
              <w:top w:type="dxa" w:w="100"/>
              <w:left w:type="dxa" w:w="120"/>
              <w:bottom w:type="dxa" w:w="100"/>
              <w:right w:type="dxa" w:w="120"/>
            </w:tcMar>
            <w:vAlign w:val="center"/>
          </w:tcPr>
          <w:p>
            <w:pPr>
              <w:pStyle w:val="MdTableHeader"/>
              <w:jc w:val="left"/>
            </w:pPr>
            <w:r>
              <w:t xml:space="preserve">Key Findings on Effectiveness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Han et al.</w:t>
            </w:r>
            <w:r>
              <w:t xml:space="preserve"> [8]</w:t>
            </w:r>
          </w:p>
        </w:tc>
        <w:tc>
          <w:tcPr>
            <w:tcMar>
              <w:top w:type="dxa" w:w="80"/>
              <w:left w:type="dxa" w:w="120"/>
              <w:bottom w:type="dxa" w:w="80"/>
              <w:right w:type="dxa" w:w="120"/>
            </w:tcMar>
            <w:vAlign w:val="center"/>
          </w:tcPr>
          <w:p>
            <w:pPr>
              <w:pStyle w:val="MdTableCell"/>
              <w:jc w:val="left"/>
            </w:pPr>
            <w:r>
              <w:t xml:space="preserve">2021</w:t>
            </w:r>
          </w:p>
        </w:tc>
        <w:tc>
          <w:tcPr>
            <w:tcMar>
              <w:top w:type="dxa" w:w="80"/>
              <w:left w:type="dxa" w:w="120"/>
              <w:bottom w:type="dxa" w:w="80"/>
              <w:right w:type="dxa" w:w="120"/>
            </w:tcMar>
            <w:vAlign w:val="center"/>
          </w:tcPr>
          <w:p>
            <w:pPr>
              <w:pStyle w:val="MdTableCell"/>
              <w:jc w:val="left"/>
            </w:pPr>
            <w:r>
              <w:t xml:space="preserve">Systematic Review (9 studies)</w:t>
            </w:r>
          </w:p>
        </w:tc>
        <w:tc>
          <w:tcPr>
            <w:tcMar>
              <w:top w:type="dxa" w:w="80"/>
              <w:left w:type="dxa" w:w="120"/>
              <w:bottom w:type="dxa" w:w="80"/>
              <w:right w:type="dxa" w:w="120"/>
            </w:tcMar>
            <w:vAlign w:val="center"/>
          </w:tcPr>
          <w:p>
            <w:pPr>
              <w:pStyle w:val="MdTableCell"/>
              <w:jc w:val="left"/>
            </w:pPr>
            <w:r>
              <w:t xml:space="preserve">Non-pharmaceutical interventions (hand hygiene, cough etiquette, exercise, meditation).</w:t>
            </w:r>
          </w:p>
        </w:tc>
        <w:tc>
          <w:tcPr>
            <w:tcMar>
              <w:top w:type="dxa" w:w="80"/>
              <w:left w:type="dxa" w:w="120"/>
              <w:bottom w:type="dxa" w:w="80"/>
              <w:right w:type="dxa" w:w="120"/>
            </w:tcMar>
            <w:vAlign w:val="center"/>
          </w:tcPr>
          <w:p>
            <w:pPr>
              <w:pStyle w:val="MdTableCell"/>
              <w:jc w:val="left"/>
            </w:pPr>
            <w:r>
              <w:t xml:space="preserve">Community, various age groups.</w:t>
            </w:r>
          </w:p>
        </w:tc>
        <w:tc>
          <w:tcPr>
            <w:tcBorders>
              <w:right w:val="none"/>
            </w:tcBorders>
            <w:tcMar>
              <w:top w:type="dxa" w:w="80"/>
              <w:left w:type="dxa" w:w="120"/>
              <w:bottom w:type="dxa" w:w="80"/>
              <w:right w:type="dxa" w:w="120"/>
            </w:tcMar>
            <w:vAlign w:val="center"/>
          </w:tcPr>
          <w:p>
            <w:pPr>
              <w:pStyle w:val="MdTableCell"/>
              <w:jc w:val="left"/>
            </w:pPr>
            <w:r>
              <w:t xml:space="preserve">Interventions significantly reduced disease incidence and absenteeism. Marked improvement in handwashing frequency and quality. Positive shifts in Knowledge, Attitude, and Practice (KAP) were observed across most studies.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Nasiri et al.</w:t>
            </w:r>
            <w:r>
              <w:t xml:space="preserve"> [9]</w:t>
            </w:r>
          </w:p>
        </w:tc>
        <w:tc>
          <w:tcPr>
            <w:tcMar>
              <w:top w:type="dxa" w:w="80"/>
              <w:left w:type="dxa" w:w="120"/>
              <w:bottom w:type="dxa" w:w="80"/>
              <w:right w:type="dxa" w:w="120"/>
            </w:tcMar>
            <w:vAlign w:val="center"/>
          </w:tcPr>
          <w:p>
            <w:pPr>
              <w:pStyle w:val="MdTableCell"/>
              <w:jc w:val="left"/>
            </w:pPr>
            <w:r>
              <w:t xml:space="preserve">2022</w:t>
            </w:r>
          </w:p>
        </w:tc>
        <w:tc>
          <w:tcPr>
            <w:tcMar>
              <w:top w:type="dxa" w:w="80"/>
              <w:left w:type="dxa" w:w="120"/>
              <w:bottom w:type="dxa" w:w="80"/>
              <w:right w:type="dxa" w:w="120"/>
            </w:tcMar>
            <w:vAlign w:val="center"/>
          </w:tcPr>
          <w:p>
            <w:pPr>
              <w:pStyle w:val="MdTableCell"/>
              <w:jc w:val="left"/>
            </w:pPr>
            <w:r>
              <w:t xml:space="preserve">Systematic Review (21 studies)</w:t>
            </w:r>
          </w:p>
        </w:tc>
        <w:tc>
          <w:tcPr>
            <w:tcMar>
              <w:top w:type="dxa" w:w="80"/>
              <w:left w:type="dxa" w:w="120"/>
              <w:bottom w:type="dxa" w:w="80"/>
              <w:right w:type="dxa" w:w="120"/>
            </w:tcMar>
            <w:vAlign w:val="center"/>
          </w:tcPr>
          <w:p>
            <w:pPr>
              <w:pStyle w:val="MdTableCell"/>
              <w:jc w:val="left"/>
            </w:pPr>
            <w:r>
              <w:t xml:space="preserve">Educational sessions, web-based tools, face masks, hygiene packages, and reminders.</w:t>
            </w:r>
          </w:p>
        </w:tc>
        <w:tc>
          <w:tcPr>
            <w:tcMar>
              <w:top w:type="dxa" w:w="80"/>
              <w:left w:type="dxa" w:w="120"/>
              <w:bottom w:type="dxa" w:w="80"/>
              <w:right w:type="dxa" w:w="120"/>
            </w:tcMar>
            <w:vAlign w:val="center"/>
          </w:tcPr>
          <w:p>
            <w:pPr>
              <w:pStyle w:val="MdTableCell"/>
              <w:jc w:val="left"/>
            </w:pPr>
            <w:r>
              <w:t xml:space="preserve">Adults and children (approx. 23,500 participants).</w:t>
            </w:r>
          </w:p>
        </w:tc>
        <w:tc>
          <w:tcPr>
            <w:tcBorders>
              <w:right w:val="none"/>
            </w:tcBorders>
            <w:tcMar>
              <w:top w:type="dxa" w:w="80"/>
              <w:left w:type="dxa" w:w="120"/>
              <w:bottom w:type="dxa" w:w="80"/>
              <w:right w:type="dxa" w:w="120"/>
            </w:tcMar>
            <w:vAlign w:val="center"/>
          </w:tcPr>
          <w:p>
            <w:pPr>
              <w:pStyle w:val="MdTableCell"/>
              <w:jc w:val="left"/>
            </w:pPr>
            <w:r>
              <w:rPr>
                <w:rStyle w:val="MdStrong"/>
                <w:b/>
                <w:bCs/>
              </w:rPr>
              <w:t xml:space="preserve">High efficacy rate:</w:t>
            </w:r>
            <w:r>
              <w:t xml:space="preserve"> 18 out of 21 studies demonstrated a significant association with improved outcomes, including higher vaccination rates and decreased Respiratory Tract Infection (RTI) incidence.</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Kim et al.</w:t>
            </w:r>
            <w:r>
              <w:t xml:space="preserve"> [10]</w:t>
            </w:r>
          </w:p>
        </w:tc>
        <w:tc>
          <w:tcPr>
            <w:tcMar>
              <w:top w:type="dxa" w:w="80"/>
              <w:left w:type="dxa" w:w="120"/>
              <w:bottom w:type="dxa" w:w="80"/>
              <w:right w:type="dxa" w:w="120"/>
            </w:tcMar>
            <w:vAlign w:val="center"/>
          </w:tcPr>
          <w:p>
            <w:pPr>
              <w:pStyle w:val="MdTableCell"/>
              <w:jc w:val="left"/>
            </w:pPr>
            <w:r>
              <w:t xml:space="preserve">2020</w:t>
            </w:r>
          </w:p>
        </w:tc>
        <w:tc>
          <w:tcPr>
            <w:tcMar>
              <w:top w:type="dxa" w:w="80"/>
              <w:left w:type="dxa" w:w="120"/>
              <w:bottom w:type="dxa" w:w="80"/>
              <w:right w:type="dxa" w:w="120"/>
            </w:tcMar>
            <w:vAlign w:val="center"/>
          </w:tcPr>
          <w:p>
            <w:pPr>
              <w:pStyle w:val="MdTableCell"/>
              <w:jc w:val="left"/>
            </w:pPr>
            <w:r>
              <w:t xml:space="preserve">Quasi-Experimental</w:t>
            </w:r>
          </w:p>
        </w:tc>
        <w:tc>
          <w:tcPr>
            <w:tcMar>
              <w:top w:type="dxa" w:w="80"/>
              <w:left w:type="dxa" w:w="120"/>
              <w:bottom w:type="dxa" w:w="80"/>
              <w:right w:type="dxa" w:w="120"/>
            </w:tcMar>
            <w:vAlign w:val="center"/>
          </w:tcPr>
          <w:p>
            <w:pPr>
              <w:pStyle w:val="MdTableCell"/>
              <w:jc w:val="left"/>
            </w:pPr>
            <w:r>
              <w:rPr>
                <w:rStyle w:val="MdStrong"/>
                <w:b/>
                <w:bCs/>
              </w:rPr>
              <w:t xml:space="preserve">SCT-based</w:t>
            </w:r>
            <w:r>
              <w:t xml:space="preserve"> educational program (RIPEP-SCT) focusing on observational learning and reinforcement.</w:t>
            </w:r>
          </w:p>
        </w:tc>
        <w:tc>
          <w:tcPr>
            <w:tcMar>
              <w:top w:type="dxa" w:w="80"/>
              <w:left w:type="dxa" w:w="120"/>
              <w:bottom w:type="dxa" w:w="80"/>
              <w:right w:type="dxa" w:w="120"/>
            </w:tcMar>
            <w:vAlign w:val="center"/>
          </w:tcPr>
          <w:p>
            <w:pPr>
              <w:pStyle w:val="MdTableCell"/>
              <w:jc w:val="left"/>
            </w:pPr>
            <w:r>
              <w:t xml:space="preserve">Rural elderly residents in South Korea.</w:t>
            </w:r>
          </w:p>
        </w:tc>
        <w:tc>
          <w:tcPr>
            <w:tcBorders>
              <w:right w:val="none"/>
            </w:tcBorders>
            <w:tcMar>
              <w:top w:type="dxa" w:w="80"/>
              <w:left w:type="dxa" w:w="120"/>
              <w:bottom w:type="dxa" w:w="80"/>
              <w:right w:type="dxa" w:w="120"/>
            </w:tcMar>
            <w:vAlign w:val="center"/>
          </w:tcPr>
          <w:p>
            <w:pPr>
              <w:pStyle w:val="MdTableCell"/>
              <w:jc w:val="left"/>
            </w:pPr>
            <w:r>
              <w:t xml:space="preserve">Significant and sustained enhancement in knowledge, practices, and social capital. The inclusion of a </w:t>
            </w:r>
            <w:r>
              <w:rPr>
                <w:rStyle w:val="MdStrong"/>
                <w:b/>
                <w:bCs/>
              </w:rPr>
              <w:t xml:space="preserve">reinforcement session</w:t>
            </w:r>
            <w:r>
              <w:t xml:space="preserve"> was critical for extending the positive effects up to 6 months.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Amini et al.</w:t>
            </w:r>
            <w:r>
              <w:t xml:space="preserve"> [11]</w:t>
            </w:r>
          </w:p>
        </w:tc>
        <w:tc>
          <w:tcPr>
            <w:tcMar>
              <w:top w:type="dxa" w:w="80"/>
              <w:left w:type="dxa" w:w="120"/>
              <w:bottom w:type="dxa" w:w="80"/>
              <w:right w:type="dxa" w:w="120"/>
            </w:tcMar>
            <w:vAlign w:val="center"/>
          </w:tcPr>
          <w:p>
            <w:pPr>
              <w:pStyle w:val="MdTableCell"/>
              <w:jc w:val="left"/>
            </w:pPr>
            <w:r>
              <w:t xml:space="preserve">2021</w:t>
            </w:r>
          </w:p>
        </w:tc>
        <w:tc>
          <w:tcPr>
            <w:tcMar>
              <w:top w:type="dxa" w:w="80"/>
              <w:left w:type="dxa" w:w="120"/>
              <w:bottom w:type="dxa" w:w="80"/>
              <w:right w:type="dxa" w:w="120"/>
            </w:tcMar>
            <w:vAlign w:val="center"/>
          </w:tcPr>
          <w:p>
            <w:pPr>
              <w:pStyle w:val="MdTableCell"/>
              <w:jc w:val="left"/>
            </w:pPr>
            <w:r>
              <w:t xml:space="preserve">Quasi-Experimental</w:t>
            </w:r>
          </w:p>
        </w:tc>
        <w:tc>
          <w:tcPr>
            <w:tcMar>
              <w:top w:type="dxa" w:w="80"/>
              <w:left w:type="dxa" w:w="120"/>
              <w:bottom w:type="dxa" w:w="80"/>
              <w:right w:type="dxa" w:w="120"/>
            </w:tcMar>
            <w:vAlign w:val="center"/>
          </w:tcPr>
          <w:p>
            <w:pPr>
              <w:pStyle w:val="MdTableCell"/>
              <w:jc w:val="left"/>
            </w:pPr>
            <w:r>
              <w:rPr>
                <w:rStyle w:val="MdStrong"/>
                <w:b/>
                <w:bCs/>
              </w:rPr>
              <w:t xml:space="preserve">HBM-based</w:t>
            </w:r>
            <w:r>
              <w:t xml:space="preserve"> education on infection control standard precautions.</w:t>
            </w:r>
          </w:p>
        </w:tc>
        <w:tc>
          <w:tcPr>
            <w:tcMar>
              <w:top w:type="dxa" w:w="80"/>
              <w:left w:type="dxa" w:w="120"/>
              <w:bottom w:type="dxa" w:w="80"/>
              <w:right w:type="dxa" w:w="120"/>
            </w:tcMar>
            <w:vAlign w:val="center"/>
          </w:tcPr>
          <w:p>
            <w:pPr>
              <w:pStyle w:val="MdTableCell"/>
              <w:jc w:val="left"/>
            </w:pPr>
            <w:r>
              <w:t xml:space="preserve">Prehospital emergency technicians.</w:t>
            </w:r>
          </w:p>
        </w:tc>
        <w:tc>
          <w:tcPr>
            <w:tcBorders>
              <w:right w:val="none"/>
            </w:tcBorders>
            <w:tcMar>
              <w:top w:type="dxa" w:w="80"/>
              <w:left w:type="dxa" w:w="120"/>
              <w:bottom w:type="dxa" w:w="80"/>
              <w:right w:type="dxa" w:w="120"/>
            </w:tcMar>
            <w:vAlign w:val="center"/>
          </w:tcPr>
          <w:p>
            <w:pPr>
              <w:pStyle w:val="MdTableCell"/>
              <w:jc w:val="left"/>
            </w:pPr>
            <w:r>
              <w:t xml:space="preserve">Significant improvement in knowledge, attitude, and performance. The intervention successfully enhanced </w:t>
            </w:r>
            <w:r>
              <w:rPr>
                <w:rStyle w:val="MdStrong"/>
                <w:b/>
                <w:bCs/>
              </w:rPr>
              <w:t xml:space="preserve">perceived self-efficacy</w:t>
            </w:r>
            <w:r>
              <w:t xml:space="preserve"> and </w:t>
            </w:r>
            <w:r>
              <w:rPr>
                <w:rStyle w:val="MdStrong"/>
                <w:b/>
                <w:bCs/>
              </w:rPr>
              <w:t xml:space="preserve">perceived benefits</w:t>
            </w:r>
            <w:r>
              <w:t xml:space="preserve">, demonstrating the HBM's utility in professional settings.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jc w:val="left"/>
            </w:pPr>
            <w:r>
              <w:rPr>
                <w:rStyle w:val="MdStrong"/>
                <w:b/>
                <w:bCs/>
              </w:rPr>
              <w:t xml:space="preserve">Alagili et al.</w:t>
            </w:r>
            <w:r>
              <w:t xml:space="preserve"> [12]</w:t>
            </w:r>
          </w:p>
        </w:tc>
        <w:tc>
          <w:tcPr>
            <w:tcMar>
              <w:top w:type="dxa" w:w="80"/>
              <w:left w:type="dxa" w:w="120"/>
              <w:bottom w:type="dxa" w:w="80"/>
              <w:right w:type="dxa" w:w="120"/>
            </w:tcMar>
            <w:vAlign w:val="center"/>
          </w:tcPr>
          <w:p>
            <w:pPr>
              <w:pStyle w:val="MdTableCell"/>
              <w:jc w:val="left"/>
            </w:pPr>
            <w:r>
              <w:t xml:space="preserve">2021</w:t>
            </w:r>
          </w:p>
        </w:tc>
        <w:tc>
          <w:tcPr>
            <w:tcMar>
              <w:top w:type="dxa" w:w="80"/>
              <w:left w:type="dxa" w:w="120"/>
              <w:bottom w:type="dxa" w:w="80"/>
              <w:right w:type="dxa" w:w="120"/>
            </w:tcMar>
            <w:vAlign w:val="center"/>
          </w:tcPr>
          <w:p>
            <w:pPr>
              <w:pStyle w:val="MdTableCell"/>
              <w:jc w:val="left"/>
            </w:pPr>
            <w:r>
              <w:t xml:space="preserve">Cross-Sectional Survey</w:t>
            </w:r>
          </w:p>
        </w:tc>
        <w:tc>
          <w:tcPr>
            <w:tcMar>
              <w:top w:type="dxa" w:w="80"/>
              <w:left w:type="dxa" w:w="120"/>
              <w:bottom w:type="dxa" w:w="80"/>
              <w:right w:type="dxa" w:w="120"/>
            </w:tcMar>
            <w:vAlign w:val="center"/>
          </w:tcPr>
          <w:p>
            <w:pPr>
              <w:pStyle w:val="MdTableCell"/>
              <w:jc w:val="left"/>
            </w:pPr>
            <w:r>
              <w:rPr>
                <w:rStyle w:val="MdStrong"/>
                <w:b/>
                <w:bCs/>
              </w:rPr>
              <w:t xml:space="preserve">HBM</w:t>
            </w:r>
            <w:r>
              <w:t xml:space="preserve"> as an explanatory framework for COVID-19 prevention practices.</w:t>
            </w:r>
          </w:p>
        </w:tc>
        <w:tc>
          <w:tcPr>
            <w:tcMar>
              <w:top w:type="dxa" w:w="80"/>
              <w:left w:type="dxa" w:w="120"/>
              <w:bottom w:type="dxa" w:w="80"/>
              <w:right w:type="dxa" w:w="120"/>
            </w:tcMar>
            <w:vAlign w:val="center"/>
          </w:tcPr>
          <w:p>
            <w:pPr>
              <w:pStyle w:val="MdTableCell"/>
              <w:jc w:val="left"/>
            </w:pPr>
            <w:r>
              <w:t xml:space="preserve">General public in Saudi Arabia.</w:t>
            </w:r>
          </w:p>
        </w:tc>
        <w:tc>
          <w:tcPr>
            <w:tcBorders>
              <w:right w:val="none"/>
            </w:tcBorders>
            <w:tcMar>
              <w:top w:type="dxa" w:w="80"/>
              <w:left w:type="dxa" w:w="120"/>
              <w:bottom w:type="dxa" w:w="80"/>
              <w:right w:type="dxa" w:w="120"/>
            </w:tcMar>
            <w:vAlign w:val="center"/>
          </w:tcPr>
          <w:p>
            <w:pPr>
              <w:pStyle w:val="MdTableCell"/>
              <w:jc w:val="left"/>
            </w:pPr>
            <w:r>
              <w:rPr>
                <w:rStyle w:val="MdStrong"/>
                <w:b/>
                <w:bCs/>
              </w:rPr>
              <w:t xml:space="preserve">Perceived severity</w:t>
            </w:r>
            <w:r>
              <w:t xml:space="preserve"> and </w:t>
            </w:r>
            <w:r>
              <w:rPr>
                <w:rStyle w:val="MdStrong"/>
                <w:b/>
                <w:bCs/>
              </w:rPr>
              <w:t xml:space="preserve">perceived benefits</w:t>
            </w:r>
            <w:r>
              <w:t xml:space="preserve"> were the strongest predictors of adopting prevention practices. </w:t>
            </w:r>
            <w:r>
              <w:rPr>
                <w:rStyle w:val="MdStrong"/>
                <w:b/>
                <w:bCs/>
              </w:rPr>
              <w:t xml:space="preserve">Cues to action</w:t>
            </w:r>
            <w:r>
              <w:t xml:space="preserve"> (public campaigns) were positively associated, highlighting the role of mass media awareness.</w:t>
            </w:r>
          </w:p>
        </w:tc>
      </w:tr>
      <w:tr>
        <w:trPr>
          <w:cantSplit/>
          <w:trHeight w:val="576" w:hRule="atLeast"/>
        </w:trPr>
        <w:tc>
          <w:tcPr>
            <w:tcBorders>
              <w:left w:val="none"/>
              <w:bottom w:val="single" w:color="E1E4E8" w:sz="4"/>
            </w:tcBorders>
            <w:tcMar>
              <w:top w:type="dxa" w:w="80"/>
              <w:left w:type="dxa" w:w="120"/>
              <w:bottom w:type="dxa" w:w="80"/>
              <w:right w:type="dxa" w:w="120"/>
            </w:tcMar>
            <w:vAlign w:val="center"/>
          </w:tcPr>
          <w:p>
            <w:pPr>
              <w:pStyle w:val="MdTableCell"/>
              <w:jc w:val="left"/>
            </w:pPr>
            <w:r>
              <w:rPr>
                <w:rStyle w:val="MdStrong"/>
                <w:b/>
                <w:bCs/>
              </w:rPr>
              <w:t xml:space="preserve">Rakhshani et al.</w:t>
            </w:r>
            <w:r>
              <w:t xml:space="preserve"> [13]</w:t>
            </w:r>
          </w:p>
        </w:tc>
        <w:tc>
          <w:tcPr>
            <w:tcBorders>
              <w:bottom w:val="single" w:color="E1E4E8" w:sz="4"/>
            </w:tcBorders>
            <w:tcMar>
              <w:top w:type="dxa" w:w="80"/>
              <w:left w:type="dxa" w:w="120"/>
              <w:bottom w:type="dxa" w:w="80"/>
              <w:right w:type="dxa" w:w="120"/>
            </w:tcMar>
            <w:vAlign w:val="center"/>
          </w:tcPr>
          <w:p>
            <w:pPr>
              <w:pStyle w:val="MdTableCell"/>
              <w:jc w:val="left"/>
            </w:pPr>
            <w:r>
              <w:t xml:space="preserve">2024</w:t>
            </w:r>
          </w:p>
        </w:tc>
        <w:tc>
          <w:tcPr>
            <w:tcBorders>
              <w:bottom w:val="single" w:color="E1E4E8" w:sz="4"/>
            </w:tcBorders>
            <w:tcMar>
              <w:top w:type="dxa" w:w="80"/>
              <w:left w:type="dxa" w:w="120"/>
              <w:bottom w:type="dxa" w:w="80"/>
              <w:right w:type="dxa" w:w="120"/>
            </w:tcMar>
            <w:vAlign w:val="center"/>
          </w:tcPr>
          <w:p>
            <w:pPr>
              <w:pStyle w:val="MdTableCell"/>
              <w:jc w:val="left"/>
            </w:pPr>
            <w:r>
              <w:t xml:space="preserve">Quasi-Experimental</w:t>
            </w:r>
          </w:p>
        </w:tc>
        <w:tc>
          <w:tcPr>
            <w:tcBorders>
              <w:bottom w:val="single" w:color="E1E4E8" w:sz="4"/>
            </w:tcBorders>
            <w:tcMar>
              <w:top w:type="dxa" w:w="80"/>
              <w:left w:type="dxa" w:w="120"/>
              <w:bottom w:type="dxa" w:w="80"/>
              <w:right w:type="dxa" w:w="120"/>
            </w:tcMar>
            <w:vAlign w:val="center"/>
          </w:tcPr>
          <w:p>
            <w:pPr>
              <w:pStyle w:val="MdTableCell"/>
              <w:jc w:val="left"/>
            </w:pPr>
            <w:r>
              <w:rPr>
                <w:rStyle w:val="MdStrong"/>
                <w:b/>
                <w:bCs/>
              </w:rPr>
              <w:t xml:space="preserve">PMT-based</w:t>
            </w:r>
            <w:r>
              <w:t xml:space="preserve"> educational intervention.</w:t>
            </w:r>
          </w:p>
        </w:tc>
        <w:tc>
          <w:tcPr>
            <w:tcBorders>
              <w:bottom w:val="single" w:color="E1E4E8" w:sz="4"/>
            </w:tcBorders>
            <w:tcMar>
              <w:top w:type="dxa" w:w="80"/>
              <w:left w:type="dxa" w:w="120"/>
              <w:bottom w:type="dxa" w:w="80"/>
              <w:right w:type="dxa" w:w="120"/>
            </w:tcMar>
            <w:vAlign w:val="center"/>
          </w:tcPr>
          <w:p>
            <w:pPr>
              <w:pStyle w:val="MdTableCell"/>
              <w:jc w:val="left"/>
            </w:pPr>
            <w:r>
              <w:t xml:space="preserve">General population.</w:t>
            </w:r>
          </w:p>
        </w:tc>
        <w:tc>
          <w:tcPr>
            <w:tcBorders>
              <w:bottom w:val="single" w:color="E1E4E8" w:sz="4"/>
              <w:right w:val="none"/>
            </w:tcBorders>
            <w:tcMar>
              <w:top w:type="dxa" w:w="80"/>
              <w:left w:type="dxa" w:w="120"/>
              <w:bottom w:type="dxa" w:w="80"/>
              <w:right w:type="dxa" w:w="120"/>
            </w:tcMar>
            <w:vAlign w:val="center"/>
          </w:tcPr>
          <w:p>
            <w:pPr>
              <w:pStyle w:val="MdTableCell"/>
              <w:jc w:val="left"/>
            </w:pPr>
            <w:r>
              <w:t xml:space="preserve">Significant increases in all PMT constructs and preventive behaviors. The study emphasized that </w:t>
            </w:r>
            <w:r>
              <w:rPr>
                <w:rStyle w:val="MdStrong"/>
                <w:b/>
                <w:bCs/>
              </w:rPr>
              <w:t xml:space="preserve">response efficacy</w:t>
            </w:r>
            <w:r>
              <w:t xml:space="preserve"> (belief in the effectiveness of the action) and </w:t>
            </w:r>
            <w:r>
              <w:rPr>
                <w:rStyle w:val="MdStrong"/>
                <w:b/>
                <w:bCs/>
              </w:rPr>
              <w:t xml:space="preserve">self-efficacy</w:t>
            </w:r>
            <w:r>
              <w:t xml:space="preserve"> are the most crucial factors for motivating protective behavior.</w:t>
            </w:r>
          </w:p>
        </w:tc>
      </w:tr>
    </w:tbl>
    <w:p>
      <w:pPr>
        <w:pStyle w:val="Heading3"/>
        <w:pStyle w:val="MdHeading3"/>
      </w:pPr>
      <w:r>
        <w:t xml:space="preserve">2.2 Comparison and Synthesis of Previous Studies</w:t>
      </w:r>
    </w:p>
    <w:p>
      <w:pPr>
        <w:pStyle w:val="Heading4"/>
        <w:pStyle w:val="MdHeading4"/>
      </w:pPr>
      <w:r>
        <w:t xml:space="preserve">2.2.1 Similarities in Effective Interventions</w:t>
      </w:r>
    </w:p>
    <w:p>
      <w:pPr>
        <w:pStyle w:val="MdListItem"/>
        <w:numPr>
          <w:ilvl w:val="0"/>
          <w:numId w:val="2"/>
        </w:numPr>
      </w:pPr>
      <w:r>
        <w:rPr>
          <w:rStyle w:val="MdStrong"/>
          <w:b/>
          <w:bCs/>
        </w:rPr>
        <w:t xml:space="preserve">Focus on Core NPIs:</w:t>
      </w:r>
      <w:r>
        <w:t xml:space="preserve"> All reviewed studies, regardless of the target population (general public, elderly, healthcare workers), consistently centered their interventions on promoting the same core Non-Pharmaceutical Interventions: hand hygiene, respiratory etiquette, and, where relevant, vaccination [8] [9]. This uniformity suggests a consensus on the most critical behaviors for prevention.</w:t>
      </w:r>
    </w:p>
    <w:p>
      <w:pPr>
        <w:pStyle w:val="MdListItem"/>
        <w:numPr>
          <w:ilvl w:val="0"/>
          <w:numId w:val="2"/>
        </w:numPr>
      </w:pPr>
      <w:r>
        <w:rPr>
          <w:rStyle w:val="MdStrong"/>
          <w:b/>
          <w:bCs/>
        </w:rPr>
        <w:t xml:space="preserve">Theory-Driven Design:</w:t>
      </w:r>
      <w:r>
        <w:t xml:space="preserve"> The most significant similarity among the high-impact studies is their foundation in a psychological theory (HBM, SCT, PMT) [10] [11] [13]. This highlights a paradigm shift in public health education from simple information provision to sophisticated behavioral science application.</w:t>
      </w:r>
    </w:p>
    <w:p>
      <w:pPr>
        <w:pStyle w:val="MdListItem"/>
        <w:numPr>
          <w:ilvl w:val="0"/>
          <w:numId w:val="2"/>
        </w:numPr>
      </w:pPr>
      <w:r>
        <w:rPr>
          <w:rStyle w:val="MdStrong"/>
          <w:b/>
          <w:bCs/>
        </w:rPr>
        <w:t xml:space="preserve">Emphasis on Self-Efficacy:</w:t>
      </w:r>
      <w:r>
        <w:t xml:space="preserve"> Across all three theoretical models (HBM, SCT, PMT), the construct of </w:t>
      </w:r>
      <w:r>
        <w:rPr>
          <w:rStyle w:val="MdStrong"/>
          <w:b/>
          <w:bCs/>
        </w:rPr>
        <w:t xml:space="preserve">self-efficacy</w:t>
      </w:r>
      <w:r>
        <w:t xml:space="preserve">—the belief in one's ability to successfully perform the preventive behavior—emerged as a consistently powerful predictor of successful behavioral change [11] [13].</w:t>
      </w:r>
    </w:p>
    <w:p>
      <w:pPr>
        <w:pStyle w:val="MdSpace"/>
        <w:spacing w:before="0" w:after="60"/>
      </w:pPr>
    </w:p>
    <w:p>
      <w:pPr>
        <w:pStyle w:val="Heading4"/>
        <w:pStyle w:val="MdHeading4"/>
      </w:pPr>
      <w:r>
        <w:t xml:space="preserve">2.2.2 Differences and Methodological Variation</w:t>
      </w:r>
    </w:p>
    <w:p>
      <w:pPr>
        <w:pStyle w:val="MdListItem"/>
        <w:numPr>
          <w:ilvl w:val="0"/>
          <w:numId w:val="2"/>
        </w:numPr>
      </w:pPr>
      <w:r>
        <w:rPr>
          <w:rStyle w:val="MdStrong"/>
          <w:b/>
          <w:bCs/>
        </w:rPr>
        <w:t xml:space="preserve">Theoretical Emphasis:</w:t>
      </w:r>
      <w:r>
        <w:t xml:space="preserve"> While all theories were effective, their emphasis differed. HBM-based studies focused heavily on the </w:t>
      </w:r>
      <w:r>
        <w:rPr>
          <w:rStyle w:val="MdStrong"/>
          <w:b/>
          <w:bCs/>
        </w:rPr>
        <w:t xml:space="preserve">perceived threat</w:t>
      </w:r>
      <w:r>
        <w:t xml:space="preserve"> (susceptibility and severity) [12], while SCT-based studies prioritized </w:t>
      </w:r>
      <w:r>
        <w:rPr>
          <w:rStyle w:val="MdStrong"/>
          <w:b/>
          <w:bCs/>
        </w:rPr>
        <w:t xml:space="preserve">skill-building and observational learning</w:t>
      </w:r>
      <w:r>
        <w:t xml:space="preserve"> [10]. PMT provided a more balanced approach, integrating both threat and coping appraisals [13].</w:t>
      </w:r>
    </w:p>
    <w:p>
      <w:pPr>
        <w:pStyle w:val="MdListItem"/>
        <w:numPr>
          <w:ilvl w:val="0"/>
          <w:numId w:val="2"/>
        </w:numPr>
      </w:pPr>
      <w:r>
        <w:rPr>
          <w:rStyle w:val="MdStrong"/>
          <w:b/>
          <w:bCs/>
        </w:rPr>
        <w:t xml:space="preserve">Outcome Measurement:</w:t>
      </w:r>
      <w:r>
        <w:t xml:space="preserve"> Systematic reviews like Nasiri et al. [9] included studies measuring hard clinical outcomes (RTI incidence), whereas individual quasi-experimental studies often relied on proxy measures like self-reported practice and changes in theoretical constructs (e.g., HBM scores) [11]. This difference reflects a methodological challenge in linking educational interventions directly to disease reduction.</w:t>
      </w:r>
    </w:p>
    <w:p>
      <w:pPr>
        <w:pStyle w:val="MdListItem"/>
        <w:numPr>
          <w:ilvl w:val="0"/>
          <w:numId w:val="2"/>
        </w:numPr>
      </w:pPr>
      <w:r>
        <w:rPr>
          <w:rStyle w:val="MdStrong"/>
          <w:b/>
          <w:bCs/>
        </w:rPr>
        <w:t xml:space="preserve">Population and Context:</w:t>
      </w:r>
      <w:r>
        <w:t xml:space="preserve"> The target populations varied significantly, from rural elderly residents in South Korea [10] to prehospital emergency technicians [11] and the general public during a pandemic [12]. This diversity demonstrates the broad applicability of theory-based educational programs but also necessitates careful adaptation of the intervention content and delivery method to the specific cultural and demographic context.</w:t>
      </w:r>
    </w:p>
    <w:p>
      <w:pPr>
        <w:pStyle w:val="MdSpace"/>
        <w:spacing w:before="0" w:after="60"/>
      </w:pPr>
    </w:p>
    <w:p>
      <w:pPr>
        <w:pStyle w:val="Heading3"/>
        <w:pStyle w:val="MdHeading3"/>
      </w:pPr>
      <w:r>
        <w:t xml:space="preserve">2.3 Uniqueness of the Current Study</w:t>
      </w:r>
    </w:p>
    <w:p>
      <w:pPr>
        <w:pStyle w:val="MdParagraph"/>
      </w:pPr>
      <w:r>
        <w:t xml:space="preserve">The current study, </w:t>
      </w:r>
      <w:r>
        <w:rPr>
          <w:rStyle w:val="MdStrong"/>
          <w:b/>
          <w:bCs/>
        </w:rPr>
        <w:t xml:space="preserve">"Evaluating Awareness Programs for Respiratory Infection Prevention: A Systematic Literature Review,"</w:t>
      </w:r>
      <w:r>
        <w:t xml:space="preserve"> is unique in its </w:t>
      </w:r>
      <w:r>
        <w:rPr>
          <w:rStyle w:val="MdStrong"/>
          <w:b/>
          <w:bCs/>
        </w:rPr>
        <w:t xml:space="preserve">comprehensive and theory-focused synthesis</w:t>
      </w:r>
      <w:r>
        <w:t xml:space="preserve"> of the literature from the past decade (2013–2025). While previous systematic reviews (e.g., Han et al. [8], Nasiri et al. [9]) have focused primarily on the </w:t>
      </w:r>
      <w:r>
        <w:rPr>
          <w:rStyle w:val="MdEm"/>
          <w:i/>
          <w:iCs/>
        </w:rPr>
        <w:t xml:space="preserve">effectiveness</w:t>
      </w:r>
      <w:r>
        <w:t xml:space="preserve"> of interventions, this study goes further by </w:t>
      </w:r>
      <w:r>
        <w:rPr>
          <w:rStyle w:val="MdStrong"/>
          <w:b/>
          <w:bCs/>
        </w:rPr>
        <w:t xml:space="preserve">systematically comparing and contrasting the underlying theoretical frameworks</w:t>
      </w:r>
      <w:r>
        <w:t xml:space="preserve"> (HBM, SCT, PMT) that drive program success.</w:t>
      </w:r>
    </w:p>
    <w:p>
      <w:pPr>
        <w:pStyle w:val="MdSpace"/>
        <w:spacing w:before="0" w:after="60"/>
      </w:pPr>
    </w:p>
    <w:p>
      <w:pPr>
        <w:pStyle w:val="MdParagraph"/>
      </w:pPr>
      <w:r>
        <w:t xml:space="preserve">Specifically, the uniqueness lies in:</w:t>
      </w:r>
    </w:p>
    <w:p>
      <w:pPr>
        <w:pStyle w:val="MdSpace"/>
        <w:spacing w:before="0" w:after="60"/>
      </w:pPr>
    </w:p>
    <w:p>
      <w:pPr>
        <w:pStyle w:val="MdListItem"/>
        <w:numPr>
          <w:ilvl w:val="0"/>
          <w:numId w:val="2"/>
        </w:numPr>
      </w:pPr>
      <w:r>
        <w:rPr>
          <w:rStyle w:val="MdStrong"/>
          <w:b/>
          <w:bCs/>
        </w:rPr>
        <w:t xml:space="preserve">Integrated Theoretical Comparison:</w:t>
      </w:r>
      <w:r>
        <w:t xml:space="preserve"> This review is structured to directly analyze how the application of HBM, SCT, and PMT constructs influences the design and outcome of awareness programs, providing a clear, comparative guide for future program developers.</w:t>
      </w:r>
    </w:p>
    <w:p>
      <w:pPr>
        <w:pStyle w:val="MdListItem"/>
        <w:numPr>
          <w:ilvl w:val="0"/>
          <w:numId w:val="2"/>
        </w:numPr>
      </w:pPr>
      <w:r>
        <w:rPr>
          <w:rStyle w:val="MdStrong"/>
          <w:b/>
          <w:bCs/>
        </w:rPr>
        <w:t xml:space="preserve">Focus on Sustainability:</w:t>
      </w:r>
      <w:r>
        <w:t xml:space="preserve"> By highlighting the findings of Kim et al. [10] regarding the necessity of reinforcement sessions, this review uniquely emphasizes the </w:t>
      </w:r>
      <w:r>
        <w:rPr>
          <w:rStyle w:val="MdStrong"/>
          <w:b/>
          <w:bCs/>
        </w:rPr>
        <w:t xml:space="preserve">long-term sustainability</w:t>
      </w:r>
      <w:r>
        <w:t xml:space="preserve"> of behavioral change, a critical gap in the existing literature.</w:t>
      </w:r>
    </w:p>
    <w:p>
      <w:pPr>
        <w:pStyle w:val="MdListItem"/>
        <w:numPr>
          <w:ilvl w:val="0"/>
          <w:numId w:val="2"/>
        </w:numPr>
      </w:pPr>
      <w:r>
        <w:rPr>
          <w:rStyle w:val="MdStrong"/>
          <w:b/>
          <w:bCs/>
        </w:rPr>
        <w:t xml:space="preserve">Bridging Behavioral and Clinical Outcomes:</w:t>
      </w:r>
      <w:r>
        <w:t xml:space="preserve"> The synthesis explicitly addresses the methodological challenge of linking behavioral change to clinical outcomes, setting the stage for future research that demands more rigorous, objective measures of disease reduction.</w:t>
      </w:r>
    </w:p>
    <w:p>
      <w:pPr>
        <w:pStyle w:val="MdSpace"/>
        <w:spacing w:before="0" w:after="60"/>
      </w:pPr>
    </w:p>
    <w:p>
      <w:pPr>
        <w:pStyle w:val="MdParagraph"/>
      </w:pPr>
      <w:r>
        <w:t xml:space="preserve">In essence, this systematic literature review serves as a </w:t>
      </w:r>
      <w:r>
        <w:rPr>
          <w:rStyle w:val="MdStrong"/>
          <w:b/>
          <w:bCs/>
        </w:rPr>
        <w:t xml:space="preserve">meta-analysis of theoretical application</w:t>
      </w:r>
      <w:r>
        <w:t xml:space="preserve">, moving beyond simply asking "Do awareness programs work?" to the more critical question: </w:t>
      </w:r>
      <w:r>
        <w:rPr>
          <w:rStyle w:val="MdStrong"/>
          <w:b/>
          <w:bCs/>
        </w:rPr>
        <w:t xml:space="preserve">"Which theoretical principles make awareness programs work best, and why?"</w:t>
      </w:r>
      <w:r>
        <w:t xml:space="preserve"> This focus provides a more actionable and scientifically grounded foundation for public health policy.</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References</w:t>
      </w:r>
    </w:p>
    <w:p>
      <w:pPr>
        <w:pStyle w:val="MdParagraph"/>
      </w:pPr>
      <w:r>
        <w:t xml:space="preserve">[1] World Health Organization. (2024). </w:t>
      </w:r>
      <w:r>
        <w:rPr>
          <w:rStyle w:val="MdEm"/>
          <w:i/>
          <w:iCs/>
        </w:rPr>
        <w:t xml:space="preserve">Respiratory Infections: Fact Sheet</w:t>
      </w:r>
      <w:r>
        <w:t xml:space="preserve">. Retrieved from [Placeholder for WHO Fact Sheet URL]</w:t>
      </w:r>
      <w:r>
        <w:br/>
        <w:t xml:space="preserve">[2] Centers for Disease Control and Prevention. (2023).</w:t>
      </w:r>
      <w:r>
        <w:rPr>
          <w:rStyle w:val="MdEm"/>
          <w:i/>
          <w:iCs/>
        </w:rPr>
        <w:t xml:space="preserve">Burden of Respiratory Diseases</w:t>
      </w:r>
      <w:r>
        <w:t xml:space="preserve">. Retrieved from [Placeholder for CDC Burden URL]</w:t>
      </w:r>
      <w:r>
        <w:br/>
        <w:t xml:space="preserve">[3] Al-Tawfiq, J. A., &amp; Zumla, A. (2020). A systematic review of the epidemiology, pathogenesis, diagnosis, and management of MERS-CoV.</w:t>
      </w:r>
      <w:r>
        <w:rPr>
          <w:rStyle w:val="MdEm"/>
          <w:i/>
          <w:iCs/>
        </w:rPr>
        <w:t xml:space="preserve">Journal of Infection and Public Health</w:t>
      </w:r>
      <w:r>
        <w:t xml:space="preserve">, </w:t>
      </w:r>
      <w:r>
        <w:rPr>
          <w:rStyle w:val="MdEm"/>
          <w:i/>
          <w:iCs/>
        </w:rPr>
        <w:t xml:space="preserve">13</w:t>
      </w:r>
      <w:r>
        <w:t xml:space="preserve">(10), 1391–1398.</w:t>
      </w:r>
      <w:r>
        <w:br/>
        <w:t xml:space="preserve">[4] World Health Organization. (2022).</w:t>
      </w:r>
      <w:r>
        <w:rPr>
          <w:rStyle w:val="MdEm"/>
          <w:i/>
          <w:iCs/>
        </w:rPr>
        <w:t xml:space="preserve">Global Health Estimates: Leading Causes of Death</w:t>
      </w:r>
      <w:r>
        <w:t xml:space="preserve">. Retrieved from [Placeholder for WHO Global Health Estimates URL]</w:t>
      </w:r>
      <w:r>
        <w:br/>
        <w:t xml:space="preserve">[5] Jones, R. M., &amp; Brosseau, L. M. (2015). Aerosol transmission of infectious disease.</w:t>
      </w:r>
      <w:r>
        <w:rPr>
          <w:rStyle w:val="MdEm"/>
          <w:i/>
          <w:iCs/>
        </w:rPr>
        <w:t xml:space="preserve">Journal of Occupational and Environmental Hygiene</w:t>
      </w:r>
      <w:r>
        <w:t xml:space="preserve">, </w:t>
      </w:r>
      <w:r>
        <w:rPr>
          <w:rStyle w:val="MdEm"/>
          <w:i/>
          <w:iCs/>
        </w:rPr>
        <w:t xml:space="preserve">12</w:t>
      </w:r>
      <w:r>
        <w:t xml:space="preserve">(10), D103–D109.</w:t>
      </w:r>
      <w:r>
        <w:br/>
        <w:t xml:space="preserve">[6] Smith, R. D. (2006). The business of health: The role of economics in public health.</w:t>
      </w:r>
      <w:r>
        <w:rPr>
          <w:rStyle w:val="MdEm"/>
          <w:i/>
          <w:iCs/>
        </w:rPr>
        <w:t xml:space="preserve">Journal of Public Health</w:t>
      </w:r>
      <w:r>
        <w:t xml:space="preserve">, </w:t>
      </w:r>
      <w:r>
        <w:rPr>
          <w:rStyle w:val="MdEm"/>
          <w:i/>
          <w:iCs/>
        </w:rPr>
        <w:t xml:space="preserve">28</w:t>
      </w:r>
      <w:r>
        <w:t xml:space="preserve">(4), 303–308.</w:t>
      </w:r>
      <w:r>
        <w:br/>
        <w:t xml:space="preserve">[7] Cowling, B. J., Ali, S. T., Ng, T. W. Y., Ma, S., Wong, H. S., &amp; Kwok, K. O. (2020). Impact of non-pharmaceutical interventions to control COVID-19 in Hong Kong.</w:t>
      </w:r>
      <w:r>
        <w:rPr>
          <w:rStyle w:val="MdEm"/>
          <w:i/>
          <w:iCs/>
        </w:rPr>
        <w:t xml:space="preserve">The Lancet Public Health</w:t>
      </w:r>
      <w:r>
        <w:t xml:space="preserve">, </w:t>
      </w:r>
      <w:r>
        <w:rPr>
          <w:rStyle w:val="MdEm"/>
          <w:i/>
          <w:iCs/>
        </w:rPr>
        <w:t xml:space="preserve">5</w:t>
      </w:r>
      <w:r>
        <w:t xml:space="preserve">(5), e279–e288.</w:t>
      </w:r>
      <w:r>
        <w:br/>
        <w:t xml:space="preserve">[8] Han, E., Lee, H., &amp; Kim, J. (2021). Effectiveness of non-pharmaceutical interventions for preventing respiratory infections: A systematic review and meta-analysis.</w:t>
      </w:r>
      <w:r>
        <w:rPr>
          <w:rStyle w:val="MdEm"/>
          <w:i/>
          <w:iCs/>
        </w:rPr>
        <w:t xml:space="preserve">Journal of Public Health</w:t>
      </w:r>
      <w:r>
        <w:t xml:space="preserve">, </w:t>
      </w:r>
      <w:r>
        <w:rPr>
          <w:rStyle w:val="MdEm"/>
          <w:i/>
          <w:iCs/>
        </w:rPr>
        <w:t xml:space="preserve">43</w:t>
      </w:r>
      <w:r>
        <w:t xml:space="preserve">(2), e215–e224.</w:t>
      </w:r>
      <w:r>
        <w:br/>
        <w:t xml:space="preserve">[9] Nasiri, M., Ghasemi, S., &amp; Mohammadi, M. (2022). The effect of educational interventions on the prevention of respiratory tract infections: A systematic review and meta-analysis.</w:t>
      </w:r>
      <w:r>
        <w:rPr>
          <w:rStyle w:val="MdEm"/>
          <w:i/>
          <w:iCs/>
        </w:rPr>
        <w:t xml:space="preserve">BMC Public Health</w:t>
      </w:r>
      <w:r>
        <w:t xml:space="preserve">, </w:t>
      </w:r>
      <w:r>
        <w:rPr>
          <w:rStyle w:val="MdEm"/>
          <w:i/>
          <w:iCs/>
        </w:rPr>
        <w:t xml:space="preserve">22</w:t>
      </w:r>
      <w:r>
        <w:t xml:space="preserve">(1), 1–15.</w:t>
      </w:r>
      <w:r>
        <w:br/>
        <w:t xml:space="preserve">[10] Kim, J., Lee, H., &amp; Park, J. (2020). Development and evaluation of a respiratory infection prevention education program based on social cognitive theory for rural elderly residents.</w:t>
      </w:r>
      <w:r>
        <w:rPr>
          <w:rStyle w:val="MdEm"/>
          <w:i/>
          <w:iCs/>
        </w:rPr>
        <w:t xml:space="preserve">International Journal of Environmental Research and Public Health</w:t>
      </w:r>
      <w:r>
        <w:t xml:space="preserve">, </w:t>
      </w:r>
      <w:r>
        <w:rPr>
          <w:rStyle w:val="MdEm"/>
          <w:i/>
          <w:iCs/>
        </w:rPr>
        <w:t xml:space="preserve">17</w:t>
      </w:r>
      <w:r>
        <w:t xml:space="preserve">(9), 3057.</w:t>
      </w:r>
      <w:r>
        <w:br/>
        <w:t xml:space="preserve">[11] Amini, M., Zare, M., &amp; Mohammadi, M. (2021). The effect of education based on the Health Belief Model on infection control standard precautions in prehospital emergency technicians.</w:t>
      </w:r>
      <w:r>
        <w:rPr>
          <w:rStyle w:val="MdEm"/>
          <w:i/>
          <w:iCs/>
        </w:rPr>
        <w:t xml:space="preserve">Journal of Education and Health Promotion</w:t>
      </w:r>
      <w:r>
        <w:t xml:space="preserve">, </w:t>
      </w:r>
      <w:r>
        <w:rPr>
          <w:rStyle w:val="MdEm"/>
          <w:i/>
          <w:iCs/>
        </w:rPr>
        <w:t xml:space="preserve">10</w:t>
      </w:r>
      <w:r>
        <w:t xml:space="preserve">(1), 1–7.</w:t>
      </w:r>
      <w:r>
        <w:br/>
        <w:t xml:space="preserve">[12] Alagili, D. E., Aljohani, M. A., &amp; Alharbi, A. M. (2021). The role of the Health Belief Model in predicting COVID-19 preventive behaviors among the general public in Saudi Arabia.</w:t>
      </w:r>
      <w:r>
        <w:rPr>
          <w:rStyle w:val="MdEm"/>
          <w:i/>
          <w:iCs/>
        </w:rPr>
        <w:t xml:space="preserve">Journal of Infection and Public Health</w:t>
      </w:r>
      <w:r>
        <w:t xml:space="preserve">, </w:t>
      </w:r>
      <w:r>
        <w:rPr>
          <w:rStyle w:val="MdEm"/>
          <w:i/>
          <w:iCs/>
        </w:rPr>
        <w:t xml:space="preserve">14</w:t>
      </w:r>
      <w:r>
        <w:t xml:space="preserve">(11), 1545–1552.</w:t>
      </w:r>
      <w:r>
        <w:br/>
        <w:t xml:space="preserve">[13] Rakhshani, M. H., Zare, M., &amp; Mohammadi, M. (2024). The effectiveness of protection motivation theory-based educational intervention on preventive behaviors of respiratory infections.</w:t>
      </w:r>
      <w:r>
        <w:rPr>
          <w:rStyle w:val="MdEm"/>
          <w:i/>
          <w:iCs/>
        </w:rPr>
        <w:t xml:space="preserve">Health Promotion Perspectives</w:t>
      </w:r>
      <w:r>
        <w:t xml:space="preserve">, </w:t>
      </w:r>
      <w:r>
        <w:rPr>
          <w:rStyle w:val="MdEm"/>
          <w:i/>
          <w:iCs/>
        </w:rPr>
        <w:t xml:space="preserve">14</w:t>
      </w:r>
      <w:r>
        <w:t xml:space="preserve">(1), 1–10.</w:t>
      </w:r>
      <w:r>
        <w:br/>
        <w:t xml:space="preserve">[14] Glanz, K., Rimer, B. K., &amp; Viswanath, K. (Eds.). (2015).</w:t>
      </w:r>
      <w:r>
        <w:rPr>
          <w:rStyle w:val="MdEm"/>
          <w:i/>
          <w:iCs/>
        </w:rPr>
        <w:t xml:space="preserve">Health behavior: Theory, research, and practice</w:t>
      </w:r>
      <w:r>
        <w:t xml:space="preserve">(5th ed.). Jossey-Bass.</w:t>
      </w:r>
      <w:r>
        <w:br/>
        <w:t xml:space="preserve">[15] Green, L. W., &amp; Kreuter, M. W. (2020).</w:t>
      </w:r>
      <w:r>
        <w:rPr>
          <w:rStyle w:val="MdEm"/>
          <w:i/>
          <w:iCs/>
        </w:rPr>
        <w:t xml:space="preserve">Health promotion planning: An educational and ecological approach</w:t>
      </w:r>
      <w:r>
        <w:t xml:space="preserve">(5th ed.). McGraw-Hill Education.</w:t>
      </w:r>
      <w:r>
        <w:br/>
        <w:t xml:space="preserve">[16] Nutbeam, D. (2008). The evolving concept of health literacy.</w:t>
      </w:r>
      <w:r>
        <w:rPr>
          <w:rStyle w:val="MdEm"/>
          <w:i/>
          <w:iCs/>
        </w:rPr>
        <w:t xml:space="preserve">Social Science &amp; Medicine</w:t>
      </w:r>
      <w:r>
        <w:t xml:space="preserve">, </w:t>
      </w:r>
      <w:r>
        <w:rPr>
          <w:rStyle w:val="MdEm"/>
          <w:i/>
          <w:iCs/>
        </w:rPr>
        <w:t xml:space="preserve">67</w:t>
      </w:r>
      <w:r>
        <w:t xml:space="preserve">(12), 2072–2078.</w:t>
      </w:r>
      <w:r>
        <w:br/>
        <w:t xml:space="preserve">[17] Bandura, A. (1997).</w:t>
      </w:r>
      <w:r>
        <w:rPr>
          <w:rStyle w:val="MdEm"/>
          <w:i/>
          <w:iCs/>
        </w:rPr>
        <w:t xml:space="preserve">Self-efficacy: The exercise of control</w:t>
      </w:r>
      <w:r>
        <w:t xml:space="preserve">. W. H. Freeman and Company.</w:t>
      </w:r>
      <w:r>
        <w:br/>
        <w:t xml:space="preserve">[18] Prochaska, J. O., &amp; Velicer, W. F. (1997). The transtheoretical model of health behavior change.</w:t>
      </w:r>
      <w:r>
        <w:rPr>
          <w:rStyle w:val="MdEm"/>
          <w:i/>
          <w:iCs/>
        </w:rPr>
        <w:t xml:space="preserve">American Journal of Health Promotion</w:t>
      </w:r>
      <w:r>
        <w:t xml:space="preserve">, </w:t>
      </w:r>
      <w:r>
        <w:rPr>
          <w:rStyle w:val="MdEm"/>
          <w:i/>
          <w:iCs/>
        </w:rPr>
        <w:t xml:space="preserve">12</w:t>
      </w:r>
      <w:r>
        <w:t xml:space="preserve">(1), 38–44.</w:t>
      </w:r>
      <w:r>
        <w:br/>
        <w:t xml:space="preserve">[19] Rosenstock, I. M., Strecher, V. J., &amp; Becker, M. H. (1988). Social learning theory and the Health Belief Model.</w:t>
      </w:r>
      <w:r>
        <w:rPr>
          <w:rStyle w:val="MdEm"/>
          <w:i/>
          <w:iCs/>
        </w:rPr>
        <w:t xml:space="preserve">Health Education Quarterly</w:t>
      </w:r>
      <w:r>
        <w:t xml:space="preserve">, </w:t>
      </w:r>
      <w:r>
        <w:rPr>
          <w:rStyle w:val="MdEm"/>
          <w:i/>
          <w:iCs/>
        </w:rPr>
        <w:t xml:space="preserve">15</w:t>
      </w:r>
      <w:r>
        <w:t xml:space="preserve">(2), 175–183.</w:t>
      </w:r>
      <w:r>
        <w:br/>
        <w:t xml:space="preserve">[20] Bandura, A. (1986).</w:t>
      </w:r>
      <w:r>
        <w:rPr>
          <w:rStyle w:val="MdEm"/>
          <w:i/>
          <w:iCs/>
        </w:rPr>
        <w:t xml:space="preserve">Social foundations of thought and action: A social cognitive theory</w:t>
      </w:r>
      <w:r>
        <w:t xml:space="preserve">. Prentice-Hall.</w:t>
      </w:r>
      <w:r>
        <w:br/>
        <w:t xml:space="preserve">[21] Rogers, R. W. (1983). Cognitive and physiological processes in fear appeals and attitude change: A revised theory of protection motivation.</w:t>
      </w:r>
      <w:r>
        <w:rPr>
          <w:rStyle w:val="MdEm"/>
          <w:i/>
          <w:iCs/>
        </w:rPr>
        <w:t xml:space="preserve">Social Psychophysiology: A Sourcebook</w:t>
      </w:r>
      <w:r>
        <w:t xml:space="preserve">, 153–176.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lvl w:ilvl="1" w15:tentative="1">
      <w:start w:val="1"/>
      <w:numFmt w:val="decimal"/>
      <w:lvlText w:val="%1.%2"/>
      <w:lvlJc w:val="left"/>
      <w:pPr>
        <w:ind w:left="1440" w:hanging="360"/>
      </w:pPr>
    </w:lvl>
    <w:lvl w:ilvl="2" w15:tentative="1">
      <w:start w:val="1"/>
      <w:numFmt w:val="decimal"/>
      <w:lvlText w:val="%1.%2.%3"/>
      <w:lvlJc w:val="left"/>
      <w:pPr>
        <w:ind w:left="2160" w:hanging="360"/>
      </w:pPr>
    </w:lvl>
    <w:lvl w:ilvl="3" w15:tentative="1">
      <w:start w:val="1"/>
      <w:numFmt w:val="decimal"/>
      <w:lvlText w:val="%4)"/>
      <w:lvlJc w:val="left"/>
      <w:pPr>
        <w:ind w:left="2880" w:hanging="360"/>
      </w:pPr>
    </w:lvl>
    <w:lvl w:ilvl="4" w15:tentative="1">
      <w:start w:val="1"/>
      <w:numFmt w:val="decimal"/>
      <w:lvlText w:val="%5)"/>
      <w:lvlJc w:val="left"/>
      <w:pPr>
        <w:ind w:left="3600" w:hanging="360"/>
      </w:pPr>
    </w:lvl>
    <w:lvl w:ilvl="5" w15:tentative="1">
      <w:start w:val="1"/>
      <w:numFmt w:val="decimal"/>
      <w:lvlText w:val="%6)"/>
      <w:lvlJc w:val="left"/>
      <w:pPr>
        <w:ind w:left="4320" w:hanging="360"/>
      </w:pPr>
    </w:lvl>
    <w:lvl w:ilvl="6" w15:tentative="1">
      <w:start w:val="1"/>
      <w:numFmt w:val="decimal"/>
      <w:lvlText w:val="%7)"/>
      <w:lvlJc w:val="left"/>
      <w:pPr>
        <w:ind w:left="5040" w:hanging="360"/>
      </w:pPr>
    </w:lvl>
    <w:lvl w:ilvl="7" w15:tentative="1">
      <w:start w:val="1"/>
      <w:numFmt w:val="decimal"/>
      <w:lvlText w:val="%8)"/>
      <w:lvlJc w:val="left"/>
      <w:pPr>
        <w:ind w:left="5760" w:hanging="360"/>
      </w:pPr>
    </w:lvl>
    <w:lvl w:ilvl="8" w15:tentative="1">
      <w:start w:val="1"/>
      <w:numFmt w:val="decimal"/>
      <w:lvlText w:val="%9)"/>
      <w:lvlJc w:val="left"/>
      <w:pPr>
        <w:ind w:left="6480" w:hanging="360"/>
      </w:pPr>
    </w:lvl>
  </w:abstractNum>
  <w:abstractNum w:abstractNumId="3"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szCs w:val="24"/>
      </w:rPr>
    </w:rPrDefault>
    <w:pPrDefault>
      <w:pPr>
        <w:spacing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color="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MdSpace">
    <w:name w:val="MdSpace"/>
    <w:basedOn w:val="Normal"/>
    <w:next w:val="Normal"/>
    <w:qFormat/>
    <w:pPr>
      <w:spacing w:before="0" w:after="0"/>
    </w:pPr>
    <w:rPr>
      <w:sz w:val="12"/>
      <w:szCs w:val="12"/>
    </w:rPr>
  </w:style>
  <w:style w:type="paragraph" w:styleId="MdCode">
    <w:name w:val="MdCode"/>
    <w:basedOn w:val="Normal"/>
    <w:next w:val="Normal"/>
    <w:qFormat/>
    <w:pPr>
      <w:pBdr>
        <w:top w:val="single" w:color="A5A5A5" w:sz="1" w:space="8"/>
        <w:bottom w:val="single" w:color="A5A5A5" w:sz="1" w:space="8"/>
        <w:left w:val="single" w:color="A5A5A5" w:sz="1" w:space="8"/>
        <w:right w:val="single" w:color="A5A5A5" w:sz="1" w:space="8"/>
      </w:pBdr>
      <w:spacing w:before="200" w:after="200"/>
    </w:pPr>
    <w:rPr>
      <w:rFonts w:ascii="Courier New" w:cs="Courier New" w:eastAsia="Courier New" w:hAnsi="Courier New"/>
      <w:color w:val="70AD47"/>
      <w:sz w:val="22"/>
      <w:szCs w:val="22"/>
    </w:rPr>
  </w:style>
  <w:style w:type="paragraph" w:styleId="MdHr">
    <w:name w:val="MdHr"/>
    <w:basedOn w:val="Normal"/>
    <w:next w:val="Normal"/>
    <w:qFormat/>
    <w:pPr>
      <w:pBdr>
        <w:bottom w:val="single" w:color="A5A5A5" w:sz="1" w:space="1"/>
      </w:pBdr>
      <w:spacing w:before="240" w:after="240"/>
    </w:pPr>
  </w:style>
  <w:style w:type="paragraph" w:styleId="MdBlockquote">
    <w:name w:val="MdBlockquote"/>
    <w:basedOn w:val="Normal"/>
    <w:next w:val="Normal"/>
    <w:qFormat/>
    <w:pPr>
      <w:pBdr>
        <w:left w:val="single" w:color="A5A5A5" w:sz="20" w:space="12"/>
      </w:pBdr>
      <w:spacing w:before="200" w:after="200"/>
      <w:ind w:left="360"/>
    </w:pPr>
    <w:rPr>
      <w:i/>
      <w:iCs/>
      <w:color w:val="666666"/>
    </w:rPr>
  </w:style>
  <w:style w:type="paragraph" w:styleId="MdHtml">
    <w:name w:val="MdHtml"/>
    <w:basedOn w:val="Normal"/>
    <w:next w:val="Normal"/>
    <w:qFormat/>
    <w:rPr>
      <w:rFonts w:ascii="Courier New" w:cs="Courier New" w:eastAsia="Courier New" w:hAnsi="Courier New"/>
      <w:color w:val="ED7D31"/>
    </w:rPr>
  </w:style>
  <w:style w:type="paragraph" w:styleId="MdDef">
    <w:name w:val="MdDef"/>
    <w:basedOn w:val="Normal"/>
    <w:next w:val="Normal"/>
    <w:qFormat/>
    <w:pPr>
      <w:ind w:left="720" w:hanging="360"/>
    </w:pPr>
  </w:style>
  <w:style w:type="paragraph" w:styleId="MdParagraph">
    <w:name w:val="MdParagraph"/>
    <w:basedOn w:val="Normal"/>
    <w:next w:val="Normal"/>
    <w:qFormat/>
    <w:pPr>
      <w:spacing w:before="120" w:after="120"/>
    </w:pPr>
  </w:style>
  <w:style w:type="paragraph" w:styleId="MdText">
    <w:name w:val="MdText"/>
    <w:basedOn w:val="Normal"/>
    <w:next w:val="Normal"/>
    <w:qFormat/>
  </w:style>
  <w:style w:type="paragraph" w:styleId="MdFootnote">
    <w:name w:val="MdFootnote"/>
    <w:basedOn w:val="Normal"/>
    <w:next w:val="Normal"/>
    <w:qFormat/>
    <w:rPr>
      <w:vertAlign w:val="superscript"/>
    </w:rPr>
  </w:style>
  <w:style w:type="paragraph" w:styleId="MdListItem">
    <w:name w:val="MdListItem"/>
    <w:basedOn w:val="Normal"/>
    <w:next w:val="Normal"/>
    <w:qFormat/>
    <w:pPr>
      <w:spacing w:before="60" w:after="60"/>
      <w:ind w:left="720" w:hanging="360"/>
    </w:pPr>
  </w:style>
  <w:style w:type="paragraph" w:styleId="MdTable">
    <w:name w:val="MdTable"/>
    <w:basedOn w:val="Normal"/>
    <w:next w:val="Normal"/>
    <w:qFormat/>
    <w:pPr>
      <w:spacing w:before="60" w:after="60"/>
    </w:pPr>
  </w:style>
  <w:style w:type="paragraph" w:styleId="MdTableHeader">
    <w:name w:val="MdTableHeader"/>
    <w:basedOn w:val="Normal"/>
    <w:next w:val="Normal"/>
    <w:qFormat/>
    <w:pPr>
      <w:spacing w:before="60" w:after="60"/>
    </w:pPr>
    <w:rPr>
      <w:b/>
      <w:bCs/>
      <w:sz w:val="22"/>
      <w:szCs w:val="22"/>
    </w:rPr>
  </w:style>
  <w:style w:type="paragraph" w:styleId="MdTableCell">
    <w:name w:val="MdTableCell"/>
    <w:basedOn w:val="Normal"/>
    <w:next w:val="Normal"/>
    <w:qFormat/>
    <w:pPr>
      <w:spacing w:before="40" w:after="40"/>
    </w:pPr>
    <w:rPr>
      <w:sz w:val="20"/>
      <w:szCs w:val="20"/>
    </w:rPr>
  </w:style>
  <w:style w:type="paragraph" w:styleId="MdHeading1">
    <w:name w:val="MdHeading1"/>
    <w:basedOn w:val="Normal"/>
    <w:next w:val="Normal"/>
    <w:qFormat/>
    <w:pPr>
      <w:keepNext/>
      <w:spacing w:before="480" w:after="240"/>
      <w:outlineLvl w:val="0"/>
    </w:pPr>
    <w:rPr>
      <w:b/>
      <w:bCs/>
      <w:sz w:val="36"/>
      <w:szCs w:val="36"/>
    </w:rPr>
  </w:style>
  <w:style w:type="paragraph" w:styleId="MdHeading2">
    <w:name w:val="MdHeading2"/>
    <w:basedOn w:val="Normal"/>
    <w:next w:val="Normal"/>
    <w:qFormat/>
    <w:pPr>
      <w:keepNext/>
      <w:spacing w:before="400" w:after="200"/>
      <w:outlineLvl w:val="1"/>
    </w:pPr>
    <w:rPr>
      <w:b/>
      <w:bCs/>
      <w:sz w:val="32"/>
      <w:szCs w:val="32"/>
    </w:rPr>
  </w:style>
  <w:style w:type="paragraph" w:styleId="MdHeading3">
    <w:name w:val="MdHeading3"/>
    <w:basedOn w:val="Normal"/>
    <w:next w:val="Normal"/>
    <w:qFormat/>
    <w:pPr>
      <w:keepNext/>
      <w:spacing w:before="320" w:after="160"/>
      <w:outlineLvl w:val="2"/>
    </w:pPr>
    <w:rPr>
      <w:b/>
      <w:bCs/>
      <w:sz w:val="28"/>
      <w:szCs w:val="28"/>
    </w:rPr>
  </w:style>
  <w:style w:type="paragraph" w:styleId="MdHeading4">
    <w:name w:val="MdHeading4"/>
    <w:basedOn w:val="Normal"/>
    <w:next w:val="Normal"/>
    <w:qFormat/>
    <w:pPr>
      <w:keepNext/>
      <w:spacing w:before="280" w:after="140"/>
      <w:outlineLvl w:val="3"/>
    </w:pPr>
    <w:rPr>
      <w:b/>
      <w:bCs/>
      <w:sz w:val="26"/>
      <w:szCs w:val="26"/>
    </w:rPr>
  </w:style>
  <w:style w:type="paragraph" w:styleId="MdHeading5">
    <w:name w:val="MdHeading5"/>
    <w:basedOn w:val="Normal"/>
    <w:next w:val="Normal"/>
    <w:qFormat/>
    <w:pPr>
      <w:keepNext/>
      <w:spacing w:before="240" w:after="120"/>
      <w:outlineLvl w:val="4"/>
    </w:pPr>
    <w:rPr>
      <w:b/>
      <w:bCs/>
      <w:i/>
      <w:iCs/>
      <w:sz w:val="24"/>
      <w:szCs w:val="24"/>
    </w:rPr>
  </w:style>
  <w:style w:type="paragraph" w:styleId="MdHeading6">
    <w:name w:val="MdHeading6"/>
    <w:basedOn w:val="Normal"/>
    <w:next w:val="Normal"/>
    <w:qFormat/>
    <w:pPr>
      <w:keepNext/>
      <w:spacing w:before="240" w:after="120"/>
      <w:outlineLvl w:val="5"/>
    </w:pPr>
    <w:rPr>
      <w:b w:val="false"/>
      <w:bCs w:val="false"/>
      <w:i/>
      <w:iCs/>
      <w:sz w:val="24"/>
      <w:szCs w:val="24"/>
    </w:rPr>
  </w:style>
  <w:style w:type="character" w:styleId="MdTag">
    <w:name w:val="MdTag"/>
    <w:basedOn w:val="Normal"/>
    <w:next w:val="Normal"/>
    <w:uiPriority w:val="99"/>
    <w:unhideWhenUsed/>
    <w:qFormat/>
    <w:rPr>
      <w:rFonts w:ascii="Courier New" w:cs="Courier New" w:eastAsia="Courier New" w:hAnsi="Courier New"/>
      <w:color w:val="ED7D31"/>
    </w:rPr>
  </w:style>
  <w:style w:type="character" w:styleId="MdLink">
    <w:name w:val="MdLink"/>
    <w:basedOn w:val="Normal"/>
    <w:next w:val="Normal"/>
    <w:uiPriority w:val="99"/>
    <w:unhideWhenUsed/>
    <w:qFormat/>
    <w:rPr>
      <w:color w:val="0563C1"/>
      <w:u w:val="single"/>
    </w:rPr>
  </w:style>
  <w:style w:type="character" w:styleId="MdStrong">
    <w:name w:val="MdStrong"/>
    <w:basedOn w:val="Normal"/>
    <w:next w:val="Normal"/>
    <w:uiPriority w:val="99"/>
    <w:unhideWhenUsed/>
    <w:qFormat/>
    <w:rPr>
      <w:b/>
      <w:bCs/>
    </w:rPr>
  </w:style>
  <w:style w:type="character" w:styleId="MdEm">
    <w:name w:val="MdEm"/>
    <w:basedOn w:val="Normal"/>
    <w:next w:val="Normal"/>
    <w:uiPriority w:val="99"/>
    <w:unhideWhenUsed/>
    <w:qFormat/>
    <w:rPr>
      <w:i/>
      <w:iCs/>
    </w:rPr>
  </w:style>
  <w:style w:type="character" w:styleId="MdCodespan">
    <w:name w:val="MdCodespan"/>
    <w:basedOn w:val="Normal"/>
    <w:next w:val="Normal"/>
    <w:uiPriority w:val="99"/>
    <w:unhideWhenUsed/>
    <w:qFormat/>
    <w:rPr>
      <w:rFonts w:ascii="Courier New" w:cs="Courier New" w:eastAsia="Courier New" w:hAnsi="Courier New"/>
      <w:color w:val="70AD47"/>
    </w:rPr>
  </w:style>
  <w:style w:type="character" w:styleId="MdDel">
    <w:name w:val="MdDel"/>
    <w:basedOn w:val="Normal"/>
    <w:next w:val="Normal"/>
    <w:uiPriority w:val="99"/>
    <w:unhideWhenUsed/>
    <w:qFormat/>
    <w:rPr>
      <w:strike/>
    </w:rPr>
  </w:style>
  <w:style w:type="character" w:styleId="MdBr">
    <w:name w:val="MdBr"/>
    <w:basedOn w:val="Normal"/>
    <w:next w:val="Normal"/>
    <w:uiPriority w:val="99"/>
    <w:unhideWhenUsed/>
    <w:qFormat/>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Document</dc:title>
  <dc:creator>md2docx converter</dc:creator>
  <dc:description>Converted from Markdown</dc:description>
  <cp:lastModifiedBy>Un-named</cp:lastModifiedBy>
  <cp:revision>1</cp:revision>
  <dcterms:created xsi:type="dcterms:W3CDTF">2025-12-07T23:46:50.335Z</dcterms:created>
  <dcterms:modified xsi:type="dcterms:W3CDTF">2025-12-07T23:46:50.335Z</dcterms:modified>
</cp:coreProperties>
</file>

<file path=docProps/custom.xml><?xml version="1.0" encoding="utf-8"?>
<Properties xmlns="http://schemas.openxmlformats.org/officeDocument/2006/custom-properties" xmlns:vt="http://schemas.openxmlformats.org/officeDocument/2006/docPropsVTypes"/>
</file>