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CE967A" w14:textId="1B4DEAB9" w:rsidR="00270DA0" w:rsidRPr="00270DA0" w:rsidRDefault="00270DA0" w:rsidP="00D432D9">
      <w:pPr>
        <w:bidi/>
        <w:spacing w:line="480" w:lineRule="auto"/>
        <w:jc w:val="center"/>
        <w:rPr>
          <w:rFonts w:ascii="Traditional Arabic" w:hAnsi="Traditional Arabic" w:cs="Traditional Arabic"/>
          <w:b/>
          <w:bCs/>
          <w:sz w:val="40"/>
          <w:szCs w:val="40"/>
          <w:rtl/>
        </w:rPr>
      </w:pPr>
      <w:r w:rsidRPr="00270DA0">
        <w:rPr>
          <w:rFonts w:ascii="Traditional Arabic" w:hAnsi="Traditional Arabic" w:cs="Traditional Arabic" w:hint="cs"/>
          <w:b/>
          <w:bCs/>
          <w:sz w:val="40"/>
          <w:szCs w:val="40"/>
          <w:rtl/>
        </w:rPr>
        <w:t>الجانب النظري</w:t>
      </w:r>
    </w:p>
    <w:p w14:paraId="2CB6022A" w14:textId="7FC3971A" w:rsidR="004D61FE" w:rsidRPr="004D61FE" w:rsidRDefault="004D61FE" w:rsidP="002D62DA">
      <w:pPr>
        <w:bidi/>
        <w:spacing w:line="480" w:lineRule="auto"/>
        <w:jc w:val="both"/>
        <w:rPr>
          <w:rFonts w:ascii="Traditional Arabic" w:hAnsi="Traditional Arabic" w:cs="Traditional Arabic"/>
          <w:sz w:val="28"/>
          <w:szCs w:val="28"/>
        </w:rPr>
      </w:pPr>
      <w:r w:rsidRPr="004D61FE">
        <w:rPr>
          <w:rFonts w:ascii="Traditional Arabic" w:hAnsi="Traditional Arabic" w:cs="Traditional Arabic"/>
          <w:sz w:val="28"/>
          <w:szCs w:val="28"/>
          <w:rtl/>
        </w:rPr>
        <w:t>يعد الإطار النظري أحد المرتكزات الأساسية في البحوث العلمية، إذ يُوفر الخلفية المفاهيمية والمنهجية التي يتم من خلالها فهم المشكلة البحثية وتحليلها. وفي سياق هذا البحث، الذي يتناول "أثر تطبيق مبادئ الاستدامة على أداء المشاريع الإنشائية في المملكة العربية السعودية"، يُشكل هذا الفصل منطلقًا لفهم الأبعاد النظرية ذات الصلة، وبناء العلاقات بين مفاهيم الاستدامة، وجودة الأداء، والمؤشرات التي تحكم نجاح أو فشل المشاريع</w:t>
      </w:r>
      <w:r w:rsidRPr="004D61FE">
        <w:rPr>
          <w:rFonts w:ascii="Traditional Arabic" w:hAnsi="Traditional Arabic" w:cs="Traditional Arabic"/>
          <w:sz w:val="28"/>
          <w:szCs w:val="28"/>
        </w:rPr>
        <w:t>.</w:t>
      </w:r>
    </w:p>
    <w:p w14:paraId="5D7DDA3A" w14:textId="77777777" w:rsidR="004D61FE" w:rsidRPr="004D61FE" w:rsidRDefault="004D61FE" w:rsidP="002D62DA">
      <w:pPr>
        <w:bidi/>
        <w:spacing w:line="480" w:lineRule="auto"/>
        <w:jc w:val="both"/>
        <w:rPr>
          <w:rFonts w:ascii="Traditional Arabic" w:hAnsi="Traditional Arabic" w:cs="Traditional Arabic"/>
          <w:sz w:val="28"/>
          <w:szCs w:val="28"/>
        </w:rPr>
      </w:pPr>
      <w:r w:rsidRPr="004D61FE">
        <w:rPr>
          <w:rFonts w:ascii="Traditional Arabic" w:hAnsi="Traditional Arabic" w:cs="Traditional Arabic"/>
          <w:sz w:val="28"/>
          <w:szCs w:val="28"/>
          <w:rtl/>
        </w:rPr>
        <w:t>لقد أصبحت الاستدامة محورًا رئيسيًا في صناعة التشييد والبناء، مع تصاعد التحديات البيئية والاجتماعية والاقتصادية، التي تفرض على المشاريع الإنشائية الالتزام بأطر جديدة من التفكير والتخطيط والتنفيذ. فالمشاريع لم تعد تُقيم فقط من خلال قدرتها على تسليم منتج نهائي، بل أيضًا من خلال مدى التزامها باستخدام الموارد بكفاءة، وتحقيق التوازن بين الجدوى الاقتصادية وحماية البيئة ورفاهية المجتمعات. وهو ما يتوافق مع رؤية المملكة العربية السعودية 2030 التي جعلت من الاستدامة هدفًا استراتيجيًا عابرًا للقطاعات</w:t>
      </w:r>
      <w:r w:rsidRPr="004D61FE">
        <w:rPr>
          <w:rFonts w:ascii="Traditional Arabic" w:hAnsi="Traditional Arabic" w:cs="Traditional Arabic"/>
          <w:sz w:val="28"/>
          <w:szCs w:val="28"/>
        </w:rPr>
        <w:t>.</w:t>
      </w:r>
    </w:p>
    <w:p w14:paraId="4E63B44B" w14:textId="77777777" w:rsidR="009E5C94" w:rsidRDefault="004D61FE" w:rsidP="009E5C94">
      <w:pPr>
        <w:bidi/>
        <w:spacing w:line="480" w:lineRule="auto"/>
        <w:jc w:val="both"/>
        <w:rPr>
          <w:rFonts w:ascii="Traditional Arabic" w:hAnsi="Traditional Arabic" w:cs="Traditional Arabic"/>
          <w:sz w:val="28"/>
          <w:szCs w:val="28"/>
          <w:rtl/>
        </w:rPr>
      </w:pPr>
      <w:r w:rsidRPr="004D61FE">
        <w:rPr>
          <w:rFonts w:ascii="Traditional Arabic" w:hAnsi="Traditional Arabic" w:cs="Traditional Arabic"/>
          <w:sz w:val="28"/>
          <w:szCs w:val="28"/>
          <w:rtl/>
        </w:rPr>
        <w:t>ينقسم هذا الفصل إلى عدة محاور تتناول أولًا: المفهوم العام للاستدامة في المشاريع الإنشائية، وأبعادها البيئية والاقتصادية والاجتماعية. ثم ينتقل إلى تعريف أداء المشاريع ومؤشرات قياسه، مثل التكلفة، الوقت، الجودة، السلامة، ورضا العملاء. بعد ذلك، يستعرض الفصل العلاقة بين ممارسات الاستدامة وأداء المشاريع من حيث الكفاءة التشغيلية، التكاليف طويلة المدى، السمعة التنافسية، والامتثال للأنظمة البيئية، بالاستناد إلى مجموعة من الدراسات الحديثة والتجارب الواقعية في السياق السعودي. ويُختتم الفصل بمراجعة نقدية للدراسات السابقة، وتحديد الفجوة المعرفية التي يسعى هذا البحث إلى معالجتها</w:t>
      </w:r>
      <w:r w:rsidRPr="004D61FE">
        <w:rPr>
          <w:rFonts w:ascii="Traditional Arabic" w:hAnsi="Traditional Arabic" w:cs="Traditional Arabic"/>
          <w:sz w:val="28"/>
          <w:szCs w:val="28"/>
        </w:rPr>
        <w:t>.</w:t>
      </w:r>
    </w:p>
    <w:p w14:paraId="7A5E8837" w14:textId="786B6382" w:rsidR="009E5C94" w:rsidRPr="007205A8" w:rsidRDefault="009E5C94" w:rsidP="007205A8">
      <w:pPr>
        <w:pStyle w:val="ListParagraph"/>
        <w:numPr>
          <w:ilvl w:val="0"/>
          <w:numId w:val="21"/>
        </w:numPr>
        <w:bidi/>
        <w:spacing w:line="480" w:lineRule="auto"/>
        <w:jc w:val="both"/>
        <w:rPr>
          <w:rFonts w:ascii="Traditional Arabic" w:hAnsi="Traditional Arabic" w:cs="Traditional Arabic"/>
          <w:b/>
          <w:bCs/>
          <w:sz w:val="28"/>
          <w:szCs w:val="28"/>
        </w:rPr>
      </w:pPr>
      <w:r w:rsidRPr="007205A8">
        <w:rPr>
          <w:rFonts w:ascii="Traditional Arabic" w:hAnsi="Traditional Arabic" w:cs="Traditional Arabic"/>
          <w:b/>
          <w:bCs/>
          <w:sz w:val="28"/>
          <w:szCs w:val="28"/>
          <w:rtl/>
        </w:rPr>
        <w:lastRenderedPageBreak/>
        <w:t xml:space="preserve">مفهوم الاستدامة </w:t>
      </w:r>
    </w:p>
    <w:p w14:paraId="179CB0FA" w14:textId="77777777" w:rsidR="009E5C94" w:rsidRPr="009E5C94" w:rsidRDefault="009E5C94" w:rsidP="009E5C94">
      <w:pPr>
        <w:bidi/>
        <w:spacing w:line="480" w:lineRule="auto"/>
        <w:jc w:val="both"/>
        <w:rPr>
          <w:rFonts w:ascii="Traditional Arabic" w:hAnsi="Traditional Arabic" w:cs="Traditional Arabic"/>
          <w:sz w:val="28"/>
          <w:szCs w:val="28"/>
        </w:rPr>
      </w:pPr>
      <w:r w:rsidRPr="009E5C94">
        <w:rPr>
          <w:rFonts w:ascii="Traditional Arabic" w:hAnsi="Traditional Arabic" w:cs="Traditional Arabic"/>
          <w:sz w:val="28"/>
          <w:szCs w:val="28"/>
          <w:rtl/>
        </w:rPr>
        <w:t xml:space="preserve">شهد مفهوم الاستدامة تطورًا تدريجيًا متسلسلًا منذ ظهوره الواضح في ثمانينيات القرن العشرين، حيث شكّل تقرير </w:t>
      </w:r>
      <w:proofErr w:type="spellStart"/>
      <w:r w:rsidRPr="009E5C94">
        <w:rPr>
          <w:rFonts w:ascii="Traditional Arabic" w:hAnsi="Traditional Arabic" w:cs="Traditional Arabic"/>
          <w:sz w:val="28"/>
          <w:szCs w:val="28"/>
          <w:rtl/>
        </w:rPr>
        <w:t>برونتلاند</w:t>
      </w:r>
      <w:proofErr w:type="spellEnd"/>
      <w:r w:rsidRPr="009E5C94">
        <w:rPr>
          <w:rFonts w:ascii="Traditional Arabic" w:hAnsi="Traditional Arabic" w:cs="Traditional Arabic"/>
          <w:sz w:val="28"/>
          <w:szCs w:val="28"/>
        </w:rPr>
        <w:t xml:space="preserve"> (WCED, 1987) </w:t>
      </w:r>
      <w:r w:rsidRPr="009E5C94">
        <w:rPr>
          <w:rFonts w:ascii="Traditional Arabic" w:hAnsi="Traditional Arabic" w:cs="Traditional Arabic"/>
          <w:sz w:val="28"/>
          <w:szCs w:val="28"/>
          <w:rtl/>
        </w:rPr>
        <w:t>نقطة التحول الأولى التي انتقلت بالاستدامة من فكرة بيئية ضيقة إلى إطار فكري شامل للتنمية. وقد قدّم هذا التقرير التعريف المؤسس للتنمية المستدامة باعتبارها تحقيق احتياجات الجيل الحالي دون المساس بقدرة الأجيال القادمة، وهو تعريف أصبح مرجعًا عالميًا تبنّته الحكومات والمنظمات الدولية. وفي تسعينيات القرن نفسه، توسّعت الاستدامة لتشمل علاقة أوثق بين البيئة والتنمية الاقتصادية، خاصة بعد قمّة الأرض في ريو عام 1992، التي رسّخت الالتزام الدولي بمبادئ الإدارة البيئية والحوكمة الرشيدة للموارد</w:t>
      </w:r>
      <w:r w:rsidRPr="009E5C94">
        <w:rPr>
          <w:rFonts w:ascii="Traditional Arabic" w:hAnsi="Traditional Arabic" w:cs="Traditional Arabic"/>
          <w:sz w:val="28"/>
          <w:szCs w:val="28"/>
        </w:rPr>
        <w:t>.</w:t>
      </w:r>
    </w:p>
    <w:p w14:paraId="713E1832" w14:textId="76F5F5EA" w:rsidR="009E5C94" w:rsidRPr="009E5C94" w:rsidRDefault="009E5C94" w:rsidP="009E5C94">
      <w:pPr>
        <w:bidi/>
        <w:spacing w:line="480" w:lineRule="auto"/>
        <w:jc w:val="both"/>
        <w:rPr>
          <w:rFonts w:ascii="Traditional Arabic" w:hAnsi="Traditional Arabic" w:cs="Traditional Arabic"/>
          <w:sz w:val="28"/>
          <w:szCs w:val="28"/>
        </w:rPr>
      </w:pPr>
      <w:r w:rsidRPr="009E5C94">
        <w:rPr>
          <w:rFonts w:ascii="Traditional Arabic" w:hAnsi="Traditional Arabic" w:cs="Traditional Arabic"/>
          <w:sz w:val="28"/>
          <w:szCs w:val="28"/>
          <w:rtl/>
        </w:rPr>
        <w:t xml:space="preserve">ومع مطلع الألفية، ظهر تطوّر جوهري في المفهوم من خلال طرح </w:t>
      </w:r>
      <w:proofErr w:type="spellStart"/>
      <w:r w:rsidRPr="009E5C94">
        <w:rPr>
          <w:rFonts w:ascii="Traditional Arabic" w:hAnsi="Traditional Arabic" w:cs="Traditional Arabic"/>
          <w:sz w:val="28"/>
          <w:szCs w:val="28"/>
          <w:rtl/>
        </w:rPr>
        <w:t>إلكينغتون</w:t>
      </w:r>
      <w:proofErr w:type="spellEnd"/>
      <w:r w:rsidRPr="009E5C94">
        <w:rPr>
          <w:rFonts w:ascii="Traditional Arabic" w:hAnsi="Traditional Arabic" w:cs="Traditional Arabic"/>
          <w:sz w:val="28"/>
          <w:szCs w:val="28"/>
        </w:rPr>
        <w:t xml:space="preserve"> (Elkington, 1997) </w:t>
      </w:r>
      <w:r w:rsidRPr="009E5C94">
        <w:rPr>
          <w:rFonts w:ascii="Traditional Arabic" w:hAnsi="Traditional Arabic" w:cs="Traditional Arabic"/>
          <w:sz w:val="28"/>
          <w:szCs w:val="28"/>
          <w:rtl/>
        </w:rPr>
        <w:t xml:space="preserve">لإطار </w:t>
      </w:r>
      <w:r w:rsidRPr="009E5C94">
        <w:rPr>
          <w:rFonts w:ascii="Traditional Arabic" w:hAnsi="Traditional Arabic" w:cs="Traditional Arabic"/>
          <w:sz w:val="28"/>
          <w:szCs w:val="28"/>
        </w:rPr>
        <w:t>Triple Bottom Line</w:t>
      </w:r>
      <w:r w:rsidRPr="009E5C94">
        <w:rPr>
          <w:rFonts w:ascii="Traditional Arabic" w:hAnsi="Traditional Arabic" w:cs="Traditional Arabic"/>
          <w:sz w:val="28"/>
          <w:szCs w:val="28"/>
          <w:rtl/>
        </w:rPr>
        <w:t xml:space="preserve">، الذي أعاد صياغة الاستدامة بوصفها نتيجة لتفاعل ثلاثة أبعاد رئيسية: البيئة، الاقتصاد، والمجتمع. وقد سمح هذا الإطار بتحويل الاستدامة إلى نموذج قياس ومؤشرات أداء، بدلًا من أن تكون مفهومًا فلسفيًا عامًا. ثم تواصل التطور المفاهيمي في العقد الثاني من القرن الحادي والعشرين مع بروز نماذج مثل الاقتصاد الدائري الذي روّجت له مؤسسة </w:t>
      </w:r>
      <w:r w:rsidRPr="009E5C94">
        <w:rPr>
          <w:rFonts w:ascii="Traditional Arabic" w:hAnsi="Traditional Arabic" w:cs="Traditional Arabic"/>
          <w:sz w:val="28"/>
          <w:szCs w:val="28"/>
        </w:rPr>
        <w:t>MacArthur (2013)</w:t>
      </w:r>
      <w:r w:rsidRPr="009E5C94">
        <w:rPr>
          <w:rFonts w:ascii="Traditional Arabic" w:hAnsi="Traditional Arabic" w:cs="Traditional Arabic"/>
          <w:sz w:val="28"/>
          <w:szCs w:val="28"/>
          <w:rtl/>
        </w:rPr>
        <w:t>، والذي يعيد تصميم سلاسل الإنتاج والاستهلاك بحيث تُغلق دورة الموارد، ويُعاد تدويرها باستمرار، بدلًا من الهدر التقليدي. وفي عام 2015، برزت نقلة نوعية جديدة في تطور الاستدامة عبر اعتماد الأمم المتحدة أهداف التنمية المستدامة</w:t>
      </w:r>
      <w:r w:rsidRPr="009E5C94">
        <w:rPr>
          <w:rFonts w:ascii="Traditional Arabic" w:hAnsi="Traditional Arabic" w:cs="Traditional Arabic"/>
          <w:sz w:val="28"/>
          <w:szCs w:val="28"/>
        </w:rPr>
        <w:t xml:space="preserve"> (UN SDGs) </w:t>
      </w:r>
      <w:r w:rsidRPr="009E5C94">
        <w:rPr>
          <w:rFonts w:ascii="Traditional Arabic" w:hAnsi="Traditional Arabic" w:cs="Traditional Arabic"/>
          <w:sz w:val="28"/>
          <w:szCs w:val="28"/>
          <w:rtl/>
        </w:rPr>
        <w:t>التي شكلت مرجعًا عالميًا لدمج الاستدامة في السياسات، بما في ذلك البنية التحتية والمشاريع الإنشائية. وهكذا، أصبح مفهوم الاستدامة نتاجًا لتراكم معرفي عالمي طويل، وليس مجرد إطار معاصر، مما يستدعي دمجه داخل المشاريع الإنشائية وفق هذا الامتداد التاريخي والمنهجي</w:t>
      </w:r>
      <w:r w:rsidRPr="009E5C94">
        <w:rPr>
          <w:rFonts w:ascii="Traditional Arabic" w:hAnsi="Traditional Arabic" w:cs="Traditional Arabic"/>
          <w:sz w:val="28"/>
          <w:szCs w:val="28"/>
        </w:rPr>
        <w:t>.</w:t>
      </w:r>
    </w:p>
    <w:p w14:paraId="6B4C5149" w14:textId="059821AD" w:rsidR="008E6B0A" w:rsidRPr="008E6B0A" w:rsidRDefault="008E6B0A" w:rsidP="009E5C94">
      <w:pPr>
        <w:bidi/>
        <w:spacing w:line="480" w:lineRule="auto"/>
        <w:jc w:val="both"/>
        <w:rPr>
          <w:rFonts w:ascii="Traditional Arabic" w:hAnsi="Traditional Arabic" w:cs="Traditional Arabic"/>
          <w:sz w:val="28"/>
          <w:szCs w:val="28"/>
        </w:rPr>
      </w:pPr>
      <w:r w:rsidRPr="009E5C94">
        <w:rPr>
          <w:rFonts w:ascii="Traditional Arabic" w:hAnsi="Traditional Arabic" w:cs="Traditional Arabic" w:hint="cs"/>
          <w:b/>
          <w:bCs/>
          <w:sz w:val="28"/>
          <w:szCs w:val="28"/>
          <w:rtl/>
        </w:rPr>
        <w:lastRenderedPageBreak/>
        <w:t xml:space="preserve"> </w:t>
      </w:r>
      <w:r w:rsidRPr="008E6B0A">
        <w:rPr>
          <w:rFonts w:ascii="Traditional Arabic" w:hAnsi="Traditional Arabic" w:cs="Traditional Arabic"/>
          <w:sz w:val="28"/>
          <w:szCs w:val="28"/>
          <w:rtl/>
        </w:rPr>
        <w:t>ويُعرّف مفهوم الاستدامة في المشاريع الإنشائية على أنه نهج متكامل يُعنى بإدارة الموارد الطبيعية والمالية والبشرية بطريقة تحافظ على البيئة، وتُحقق الكفاءة، وتُلبي حاجات المجتمع الحالي دون المساس بحقوق الأجيال القادمة في ذات الموارد (الحسن والفارسي، 2025)</w:t>
      </w:r>
      <w:r w:rsidRPr="008E6B0A">
        <w:rPr>
          <w:rFonts w:ascii="Traditional Arabic" w:hAnsi="Traditional Arabic" w:cs="Traditional Arabic"/>
          <w:sz w:val="28"/>
          <w:szCs w:val="28"/>
        </w:rPr>
        <w:t>.</w:t>
      </w:r>
    </w:p>
    <w:p w14:paraId="69D7533B" w14:textId="77777777" w:rsidR="008E6B0A" w:rsidRPr="008E6B0A" w:rsidRDefault="008E6B0A" w:rsidP="002D62DA">
      <w:pPr>
        <w:bidi/>
        <w:spacing w:line="480" w:lineRule="auto"/>
        <w:jc w:val="both"/>
        <w:rPr>
          <w:rFonts w:ascii="Traditional Arabic" w:hAnsi="Traditional Arabic" w:cs="Traditional Arabic"/>
          <w:sz w:val="28"/>
          <w:szCs w:val="28"/>
        </w:rPr>
      </w:pPr>
      <w:r w:rsidRPr="008E6B0A">
        <w:rPr>
          <w:rFonts w:ascii="Traditional Arabic" w:hAnsi="Traditional Arabic" w:cs="Traditional Arabic"/>
          <w:sz w:val="28"/>
          <w:szCs w:val="28"/>
          <w:rtl/>
        </w:rPr>
        <w:t>تعكس الاستدامة الإنشائية التزامًا طويل الأمد من قبل الجهات المنفذة والمشرفة، لا يقتصر فقط على جودة المنتج النهائي، بل يشمل أثر المشروع في كل مراحله على المحيط الطبيعي والاجتماعي. وقد أشار تقرير وزارة الاقتصاد والتخطيط السعودية (2018) إلى أن المملكة تدمج أهداف التنمية المستدامة في سياساتها العامة من خلال رؤية 2030، والتي تهدف إلى تحفيز النمو الاقتصادي المستدام، وتحسين كفاءة الطاقة، وتعزيز التنمية الاجتماعية، وهو ما يُعد ترجمة عملية لمبادئ الاستدامة في المشاريع</w:t>
      </w:r>
      <w:r w:rsidRPr="008E6B0A">
        <w:rPr>
          <w:rFonts w:ascii="Traditional Arabic" w:hAnsi="Traditional Arabic" w:cs="Traditional Arabic"/>
          <w:sz w:val="28"/>
          <w:szCs w:val="28"/>
        </w:rPr>
        <w:t>.</w:t>
      </w:r>
    </w:p>
    <w:p w14:paraId="2BA648EB" w14:textId="1E7F4A29" w:rsidR="008E6B0A" w:rsidRPr="009E5C94" w:rsidRDefault="007205A8" w:rsidP="009E5C94">
      <w:pPr>
        <w:bidi/>
        <w:spacing w:line="480" w:lineRule="auto"/>
        <w:jc w:val="both"/>
        <w:rPr>
          <w:rFonts w:ascii="Traditional Arabic" w:hAnsi="Traditional Arabic" w:cs="Traditional Arabic"/>
          <w:b/>
          <w:bCs/>
          <w:sz w:val="28"/>
          <w:szCs w:val="28"/>
          <w:rtl/>
        </w:rPr>
      </w:pPr>
      <w:r>
        <w:rPr>
          <w:rFonts w:ascii="Traditional Arabic" w:hAnsi="Traditional Arabic" w:cs="Traditional Arabic" w:hint="cs"/>
          <w:b/>
          <w:bCs/>
          <w:sz w:val="28"/>
          <w:szCs w:val="28"/>
          <w:rtl/>
        </w:rPr>
        <w:t xml:space="preserve">1.1 </w:t>
      </w:r>
      <w:r w:rsidR="009E5C94" w:rsidRPr="009E5C94">
        <w:rPr>
          <w:rFonts w:ascii="Traditional Arabic" w:hAnsi="Traditional Arabic" w:cs="Traditional Arabic"/>
          <w:b/>
          <w:bCs/>
          <w:sz w:val="28"/>
          <w:szCs w:val="28"/>
          <w:rtl/>
        </w:rPr>
        <w:t>المدارس الفكرية للاستدامة</w:t>
      </w:r>
    </w:p>
    <w:p w14:paraId="0466CA57" w14:textId="77777777" w:rsidR="009E5C94" w:rsidRPr="009E5C94" w:rsidRDefault="009E5C94" w:rsidP="009E5C94">
      <w:pPr>
        <w:bidi/>
        <w:spacing w:line="480" w:lineRule="auto"/>
        <w:jc w:val="both"/>
        <w:rPr>
          <w:rFonts w:ascii="Traditional Arabic" w:hAnsi="Traditional Arabic" w:cs="Traditional Arabic"/>
          <w:sz w:val="28"/>
          <w:szCs w:val="28"/>
        </w:rPr>
      </w:pPr>
      <w:r w:rsidRPr="009E5C94">
        <w:rPr>
          <w:rFonts w:ascii="Traditional Arabic" w:hAnsi="Traditional Arabic" w:cs="Traditional Arabic"/>
          <w:sz w:val="28"/>
          <w:szCs w:val="28"/>
          <w:rtl/>
        </w:rPr>
        <w:t xml:space="preserve">تطوّر مفهوم الاستدامة عبر مدارس فكرية متعددة، لكل منها منظور مختلف في تفسير العلاقة بين الإنسان والموارد والاقتصاد. ويُعدّ استيعاب هذه المدارس ضرورة لبناء إطار نظري راسخ قادر على توجيه ممارسات الاستدامة في المشاريع الإنشائية. وتنطلق المدرسة البيئية للاستدامة من فرضية أن البيئة هي الأساس لأي عملية تنموية، وأن استنزاف الموارد أو ارتفاع الانبعاثات سيقود بالضرورة إلى تدهور بيئي يؤثر سلبًا على الاقتصاد والمجتمع. وقد رسّخت قمة الأرض في ريو 1992 من خلال </w:t>
      </w:r>
      <w:r w:rsidRPr="009E5C94">
        <w:rPr>
          <w:rFonts w:ascii="Traditional Arabic" w:hAnsi="Traditional Arabic" w:cs="Traditional Arabic"/>
          <w:i/>
          <w:iCs/>
          <w:sz w:val="28"/>
          <w:szCs w:val="28"/>
          <w:rtl/>
        </w:rPr>
        <w:t>اتفاقية التنوع الحيوي</w:t>
      </w:r>
      <w:r w:rsidRPr="009E5C94">
        <w:rPr>
          <w:rFonts w:ascii="Traditional Arabic" w:hAnsi="Traditional Arabic" w:cs="Traditional Arabic"/>
          <w:sz w:val="28"/>
          <w:szCs w:val="28"/>
          <w:rtl/>
        </w:rPr>
        <w:t xml:space="preserve"> و </w:t>
      </w:r>
      <w:r w:rsidRPr="009E5C94">
        <w:rPr>
          <w:rFonts w:ascii="Traditional Arabic" w:hAnsi="Traditional Arabic" w:cs="Traditional Arabic"/>
          <w:i/>
          <w:iCs/>
          <w:sz w:val="28"/>
          <w:szCs w:val="28"/>
          <w:rtl/>
        </w:rPr>
        <w:t>أجندة 21</w:t>
      </w:r>
      <w:r w:rsidRPr="009E5C94">
        <w:rPr>
          <w:rFonts w:ascii="Traditional Arabic" w:hAnsi="Traditional Arabic" w:cs="Traditional Arabic"/>
          <w:sz w:val="28"/>
          <w:szCs w:val="28"/>
          <w:rtl/>
        </w:rPr>
        <w:t xml:space="preserve"> هذا التوجه العالمي الذي يؤكد ضرورة حماية البيئة كأساس للتنمية، وهو ما يدعم تطبيق الإدارة البيئية المتكاملة والالتزام بمعايير مثل </w:t>
      </w:r>
      <w:r w:rsidRPr="009E5C94">
        <w:rPr>
          <w:rFonts w:ascii="Traditional Arabic" w:hAnsi="Traditional Arabic" w:cs="Traditional Arabic"/>
          <w:sz w:val="28"/>
          <w:szCs w:val="28"/>
        </w:rPr>
        <w:t xml:space="preserve">ISO 14001 </w:t>
      </w:r>
      <w:r w:rsidRPr="009E5C94">
        <w:rPr>
          <w:rFonts w:ascii="Traditional Arabic" w:hAnsi="Traditional Arabic" w:cs="Traditional Arabic"/>
          <w:sz w:val="28"/>
          <w:szCs w:val="28"/>
          <w:rtl/>
        </w:rPr>
        <w:t>في المشاريع الإنشائية لضمان إدارة الموارد وتقليل النفايات وتقييم الأثر البيئي للمشاريع</w:t>
      </w:r>
      <w:r w:rsidRPr="009E5C94">
        <w:rPr>
          <w:rFonts w:ascii="Traditional Arabic" w:hAnsi="Traditional Arabic" w:cs="Traditional Arabic"/>
          <w:sz w:val="28"/>
          <w:szCs w:val="28"/>
        </w:rPr>
        <w:t xml:space="preserve"> (United Nations, 1992; ISO, 2015).</w:t>
      </w:r>
    </w:p>
    <w:p w14:paraId="766D2034" w14:textId="77777777" w:rsidR="009E5C94" w:rsidRPr="009E5C94" w:rsidRDefault="009E5C94" w:rsidP="009E5C94">
      <w:pPr>
        <w:bidi/>
        <w:spacing w:line="480" w:lineRule="auto"/>
        <w:jc w:val="both"/>
        <w:rPr>
          <w:rFonts w:ascii="Traditional Arabic" w:hAnsi="Traditional Arabic" w:cs="Traditional Arabic"/>
          <w:sz w:val="28"/>
          <w:szCs w:val="28"/>
        </w:rPr>
      </w:pPr>
      <w:r w:rsidRPr="009E5C94">
        <w:rPr>
          <w:rFonts w:ascii="Traditional Arabic" w:hAnsi="Traditional Arabic" w:cs="Traditional Arabic"/>
          <w:sz w:val="28"/>
          <w:szCs w:val="28"/>
          <w:rtl/>
        </w:rPr>
        <w:lastRenderedPageBreak/>
        <w:t xml:space="preserve">أما المدرسة الاقتصادية، فترى أن الاستدامة لا تتحقق إلا من خلال الاستخدام الكفء للموارد وتعظيم العائد الاقتصادي طويل المدى. وترتبط هذه المدرسة مباشرة بإسهامات </w:t>
      </w:r>
      <w:r w:rsidRPr="009E5C94">
        <w:rPr>
          <w:rFonts w:ascii="Traditional Arabic" w:hAnsi="Traditional Arabic" w:cs="Traditional Arabic"/>
          <w:sz w:val="28"/>
          <w:szCs w:val="28"/>
        </w:rPr>
        <w:t xml:space="preserve">OECD </w:t>
      </w:r>
      <w:r w:rsidRPr="009E5C94">
        <w:rPr>
          <w:rFonts w:ascii="Traditional Arabic" w:hAnsi="Traditional Arabic" w:cs="Traditional Arabic"/>
          <w:sz w:val="28"/>
          <w:szCs w:val="28"/>
          <w:rtl/>
        </w:rPr>
        <w:t>التي قدّمت إطار “النمو الأخضر” بوصفه مسارًا لتحقيق اقتصاد عالي الكفاءة منخفض الانبعاثات، يقوم على تقليل الهدر وزيادة الإنتاجية والابتكار. وقد أثّرت هذه الأفكار بشكل واضح في قطاع المشاريع الإنشائية عبر تعزيز دور إدارة القيمة، وتحسين سلسلة التوريد، وتشجيع استخدام تقنيات تقلل التكاليف التشغيلية مثل الطاقة المتجددة وأنظمة العزل الحراري</w:t>
      </w:r>
      <w:r w:rsidRPr="009E5C94">
        <w:rPr>
          <w:rFonts w:ascii="Traditional Arabic" w:hAnsi="Traditional Arabic" w:cs="Traditional Arabic"/>
          <w:sz w:val="28"/>
          <w:szCs w:val="28"/>
        </w:rPr>
        <w:t xml:space="preserve"> (OECD, 2011).</w:t>
      </w:r>
    </w:p>
    <w:p w14:paraId="5379585C" w14:textId="5187B3C9" w:rsidR="009E5C94" w:rsidRPr="009E5C94" w:rsidRDefault="009E5C94" w:rsidP="009E5C94">
      <w:pPr>
        <w:bidi/>
        <w:spacing w:line="480" w:lineRule="auto"/>
        <w:jc w:val="both"/>
        <w:rPr>
          <w:rFonts w:ascii="Traditional Arabic" w:hAnsi="Traditional Arabic" w:cs="Traditional Arabic"/>
          <w:sz w:val="28"/>
          <w:szCs w:val="28"/>
        </w:rPr>
      </w:pPr>
      <w:r w:rsidRPr="009E5C94">
        <w:rPr>
          <w:rFonts w:ascii="Traditional Arabic" w:hAnsi="Traditional Arabic" w:cs="Traditional Arabic"/>
          <w:sz w:val="28"/>
          <w:szCs w:val="28"/>
          <w:rtl/>
        </w:rPr>
        <w:t xml:space="preserve">وفي المقابل، تؤكد المدرسة الاجتماعية أن الاستدامة لا يمكن اختزالها في البيئة أو الاقتصاد، بل يجب أن تشمل تحسين جودة حياة الناس، وتعزيز العدالة الاجتماعية، وحماية حقوق العمال، وضمان مشاركة المجتمع في مشاريع التنمية. وقد رسّخت لجنة الأمم المتحدة للتنمية الاجتماعية ومبادئ </w:t>
      </w:r>
      <w:r w:rsidRPr="009E5C94">
        <w:rPr>
          <w:rFonts w:ascii="Traditional Arabic" w:hAnsi="Traditional Arabic" w:cs="Traditional Arabic"/>
          <w:i/>
          <w:iCs/>
          <w:sz w:val="28"/>
          <w:szCs w:val="28"/>
          <w:rtl/>
        </w:rPr>
        <w:t>العدالة البيئية</w:t>
      </w:r>
      <w:r w:rsidRPr="009E5C94">
        <w:rPr>
          <w:rFonts w:ascii="Traditional Arabic" w:hAnsi="Traditional Arabic" w:cs="Traditional Arabic"/>
          <w:sz w:val="28"/>
          <w:szCs w:val="28"/>
          <w:rtl/>
        </w:rPr>
        <w:t xml:space="preserve"> هذا التوجه الذي ينظر إلى الإنسان باعتباره محور العملية التنموية. ويكتسب هذا البعد أهمية كبيرة في المشاريع الإنشائية التي غالبًا ما تؤثر بشكل مباشر على المجتمعات الحضرية من خلال الخدمات المقدمة والبنية التحتية والبيئة العمرانية المحيطة</w:t>
      </w:r>
      <w:r w:rsidR="007205A8">
        <w:rPr>
          <w:rFonts w:ascii="Traditional Arabic" w:hAnsi="Traditional Arabic" w:cs="Traditional Arabic"/>
          <w:sz w:val="28"/>
          <w:szCs w:val="28"/>
        </w:rPr>
        <w:t>.</w:t>
      </w:r>
    </w:p>
    <w:p w14:paraId="541FF6A3" w14:textId="5E090C25" w:rsidR="009E5C94" w:rsidRPr="009E5C94" w:rsidRDefault="009E5C94" w:rsidP="007205A8">
      <w:pPr>
        <w:bidi/>
        <w:spacing w:line="480" w:lineRule="auto"/>
        <w:jc w:val="both"/>
        <w:rPr>
          <w:rFonts w:ascii="Traditional Arabic" w:hAnsi="Traditional Arabic" w:cs="Traditional Arabic"/>
          <w:sz w:val="28"/>
          <w:szCs w:val="28"/>
          <w:rtl/>
        </w:rPr>
      </w:pPr>
      <w:r w:rsidRPr="009E5C94">
        <w:rPr>
          <w:rFonts w:ascii="Traditional Arabic" w:hAnsi="Traditional Arabic" w:cs="Traditional Arabic"/>
          <w:sz w:val="28"/>
          <w:szCs w:val="28"/>
          <w:rtl/>
        </w:rPr>
        <w:t xml:space="preserve">وإضافة إلى تلك الاتجاهات، ظهرت المدرسة التكاملية الحديثة التي تجمع بين المدارس الثلاث، وترى أن الاستدامة لا تكون حقيقية إلا إذا تم تحقيق توازن ثلاثي بين البيئة والاقتصاد والمجتمع، وهو ما يتسق مع إطار </w:t>
      </w:r>
      <w:r w:rsidRPr="009E5C94">
        <w:rPr>
          <w:rFonts w:ascii="Traditional Arabic" w:hAnsi="Traditional Arabic" w:cs="Traditional Arabic"/>
          <w:sz w:val="28"/>
          <w:szCs w:val="28"/>
        </w:rPr>
        <w:t xml:space="preserve">Triple Bottom Line </w:t>
      </w:r>
      <w:r w:rsidRPr="009E5C94">
        <w:rPr>
          <w:rFonts w:ascii="Traditional Arabic" w:hAnsi="Traditional Arabic" w:cs="Traditional Arabic"/>
          <w:sz w:val="28"/>
          <w:szCs w:val="28"/>
          <w:rtl/>
        </w:rPr>
        <w:t xml:space="preserve">الذي قدّمه </w:t>
      </w:r>
      <w:proofErr w:type="spellStart"/>
      <w:r w:rsidRPr="009E5C94">
        <w:rPr>
          <w:rFonts w:ascii="Traditional Arabic" w:hAnsi="Traditional Arabic" w:cs="Traditional Arabic"/>
          <w:sz w:val="28"/>
          <w:szCs w:val="28"/>
          <w:rtl/>
        </w:rPr>
        <w:t>إلكينغتون</w:t>
      </w:r>
      <w:proofErr w:type="spellEnd"/>
      <w:r w:rsidRPr="009E5C94">
        <w:rPr>
          <w:rFonts w:ascii="Traditional Arabic" w:hAnsi="Traditional Arabic" w:cs="Traditional Arabic"/>
          <w:sz w:val="28"/>
          <w:szCs w:val="28"/>
        </w:rPr>
        <w:t xml:space="preserve"> (1997). </w:t>
      </w:r>
      <w:r w:rsidRPr="009E5C94">
        <w:rPr>
          <w:rFonts w:ascii="Traditional Arabic" w:hAnsi="Traditional Arabic" w:cs="Traditional Arabic"/>
          <w:sz w:val="28"/>
          <w:szCs w:val="28"/>
          <w:rtl/>
        </w:rPr>
        <w:t xml:space="preserve">وقد تبنّت العديد من المنظمات الدولية منها البنك الدولي والأمم المتحدة هذا النموذج بوصفه إطارًا مرجعيًا لتقييم كفاءة المشاريع الإنشائية، لا سيما تلك التي تتداخل فيها اعتبارات الكفاءة الاقتصادية والعدالة الاجتماعية وحماية البيئة. ويُعدّ القطاع الإنشائي </w:t>
      </w:r>
      <w:r w:rsidRPr="009E5C94">
        <w:rPr>
          <w:rFonts w:ascii="Traditional Arabic" w:hAnsi="Traditional Arabic" w:cs="Traditional Arabic"/>
          <w:sz w:val="28"/>
          <w:szCs w:val="28"/>
          <w:rtl/>
        </w:rPr>
        <w:lastRenderedPageBreak/>
        <w:t>أحد أكثر القطاعات التي تحتاج إلى هذا التكامل نظرًا لتعدد الأطراف وتداخل الأبعاد البيئية والاقتصادية والاجتماعية في دورة حياة المشروع</w:t>
      </w:r>
      <w:r w:rsidRPr="009E5C94">
        <w:rPr>
          <w:rFonts w:ascii="Traditional Arabic" w:hAnsi="Traditional Arabic" w:cs="Traditional Arabic"/>
          <w:sz w:val="28"/>
          <w:szCs w:val="28"/>
        </w:rPr>
        <w:t xml:space="preserve"> (Elkington, 1997).</w:t>
      </w:r>
    </w:p>
    <w:p w14:paraId="37F7AAF0" w14:textId="2CA14056" w:rsidR="009E5C94" w:rsidRPr="009E5C94" w:rsidRDefault="007205A8" w:rsidP="009E5C94">
      <w:pPr>
        <w:bidi/>
        <w:spacing w:line="480" w:lineRule="auto"/>
        <w:rPr>
          <w:rFonts w:ascii="Traditional Arabic" w:hAnsi="Traditional Arabic" w:cs="Traditional Arabic"/>
          <w:b/>
          <w:bCs/>
          <w:sz w:val="28"/>
          <w:szCs w:val="28"/>
        </w:rPr>
      </w:pPr>
      <w:r>
        <w:rPr>
          <w:rFonts w:ascii="Traditional Arabic" w:hAnsi="Traditional Arabic" w:cs="Traditional Arabic"/>
          <w:b/>
          <w:bCs/>
          <w:sz w:val="28"/>
          <w:szCs w:val="28"/>
        </w:rPr>
        <w:t xml:space="preserve">1.2 </w:t>
      </w:r>
      <w:r w:rsidR="009E5C94" w:rsidRPr="009E5C94">
        <w:rPr>
          <w:rFonts w:ascii="Traditional Arabic" w:hAnsi="Traditional Arabic" w:cs="Traditional Arabic"/>
          <w:b/>
          <w:bCs/>
          <w:sz w:val="28"/>
          <w:szCs w:val="28"/>
          <w:rtl/>
        </w:rPr>
        <w:t>النظريات المؤسسة للاستدامة</w:t>
      </w:r>
    </w:p>
    <w:p w14:paraId="3365877D" w14:textId="77777777" w:rsidR="009E5C94" w:rsidRPr="009E5C94" w:rsidRDefault="009E5C94" w:rsidP="009E5C94">
      <w:pPr>
        <w:bidi/>
        <w:spacing w:line="480" w:lineRule="auto"/>
        <w:jc w:val="both"/>
        <w:rPr>
          <w:rFonts w:ascii="Traditional Arabic" w:hAnsi="Traditional Arabic" w:cs="Traditional Arabic"/>
          <w:sz w:val="28"/>
          <w:szCs w:val="28"/>
        </w:rPr>
      </w:pPr>
      <w:r w:rsidRPr="009E5C94">
        <w:rPr>
          <w:rFonts w:ascii="Traditional Arabic" w:hAnsi="Traditional Arabic" w:cs="Traditional Arabic"/>
          <w:sz w:val="28"/>
          <w:szCs w:val="28"/>
          <w:rtl/>
        </w:rPr>
        <w:t xml:space="preserve">تستند الاستدامة في جوهرها إلى منظومة من النظريات العلمية التي شكّلت الأساس الفلسفي والتطبيقي لها، وفي مقدمتها نظرية التنمية المستدامة التي تأسست مع تقرير </w:t>
      </w:r>
      <w:r w:rsidRPr="009E5C94">
        <w:rPr>
          <w:rFonts w:ascii="Traditional Arabic" w:hAnsi="Traditional Arabic" w:cs="Traditional Arabic"/>
          <w:sz w:val="28"/>
          <w:szCs w:val="28"/>
        </w:rPr>
        <w:t>WCED (1987)</w:t>
      </w:r>
      <w:r w:rsidRPr="009E5C94">
        <w:rPr>
          <w:rFonts w:ascii="Traditional Arabic" w:hAnsi="Traditional Arabic" w:cs="Traditional Arabic"/>
          <w:sz w:val="28"/>
          <w:szCs w:val="28"/>
          <w:rtl/>
        </w:rPr>
        <w:t>، والتي أكدت أن استمرار النمو الاقتصادي مشروط بقدرة البيئة على التجدد، وأن التنمية التي لا تراعي حقوق الأجيال المقبلة ليست تنمية حقيقية. وقد جاءت هذه النظرية ردًا على المخاوف العالمية من الاستهلاك الجائر للموارد، وأصبحت القاعدة التي انطلقت منها السياسات البيئية والاقتصادية في العقود اللاحقة</w:t>
      </w:r>
      <w:r w:rsidRPr="009E5C94">
        <w:rPr>
          <w:rFonts w:ascii="Traditional Arabic" w:hAnsi="Traditional Arabic" w:cs="Traditional Arabic"/>
          <w:sz w:val="28"/>
          <w:szCs w:val="28"/>
        </w:rPr>
        <w:t>.</w:t>
      </w:r>
    </w:p>
    <w:p w14:paraId="590B9921" w14:textId="77777777" w:rsidR="009E5C94" w:rsidRPr="009E5C94" w:rsidRDefault="009E5C94" w:rsidP="009E5C94">
      <w:pPr>
        <w:bidi/>
        <w:spacing w:line="480" w:lineRule="auto"/>
        <w:jc w:val="both"/>
        <w:rPr>
          <w:rFonts w:ascii="Traditional Arabic" w:hAnsi="Traditional Arabic" w:cs="Traditional Arabic"/>
          <w:sz w:val="28"/>
          <w:szCs w:val="28"/>
        </w:rPr>
      </w:pPr>
      <w:r w:rsidRPr="009E5C94">
        <w:rPr>
          <w:rFonts w:ascii="Traditional Arabic" w:hAnsi="Traditional Arabic" w:cs="Traditional Arabic"/>
          <w:sz w:val="28"/>
          <w:szCs w:val="28"/>
          <w:rtl/>
        </w:rPr>
        <w:t>ثم جاءت نظرية الثلاثي المتكامل</w:t>
      </w:r>
      <w:r w:rsidRPr="009E5C94">
        <w:rPr>
          <w:rFonts w:ascii="Traditional Arabic" w:hAnsi="Traditional Arabic" w:cs="Traditional Arabic"/>
          <w:sz w:val="28"/>
          <w:szCs w:val="28"/>
        </w:rPr>
        <w:t xml:space="preserve"> (Triple Bottom Line) </w:t>
      </w:r>
      <w:r w:rsidRPr="009E5C94">
        <w:rPr>
          <w:rFonts w:ascii="Traditional Arabic" w:hAnsi="Traditional Arabic" w:cs="Traditional Arabic"/>
          <w:sz w:val="28"/>
          <w:szCs w:val="28"/>
          <w:rtl/>
        </w:rPr>
        <w:t xml:space="preserve">التي قدّمها </w:t>
      </w:r>
      <w:proofErr w:type="spellStart"/>
      <w:r w:rsidRPr="009E5C94">
        <w:rPr>
          <w:rFonts w:ascii="Traditional Arabic" w:hAnsi="Traditional Arabic" w:cs="Traditional Arabic"/>
          <w:sz w:val="28"/>
          <w:szCs w:val="28"/>
          <w:rtl/>
        </w:rPr>
        <w:t>إلكينغتون</w:t>
      </w:r>
      <w:proofErr w:type="spellEnd"/>
      <w:r w:rsidRPr="009E5C94">
        <w:rPr>
          <w:rFonts w:ascii="Traditional Arabic" w:hAnsi="Traditional Arabic" w:cs="Traditional Arabic"/>
          <w:sz w:val="28"/>
          <w:szCs w:val="28"/>
        </w:rPr>
        <w:t xml:space="preserve"> (1997) </w:t>
      </w:r>
      <w:r w:rsidRPr="009E5C94">
        <w:rPr>
          <w:rFonts w:ascii="Traditional Arabic" w:hAnsi="Traditional Arabic" w:cs="Traditional Arabic"/>
          <w:sz w:val="28"/>
          <w:szCs w:val="28"/>
          <w:rtl/>
        </w:rPr>
        <w:t>لتوسع نطاق الاستدامة من إطار بيئي اقتصادي إلى نموذج متكامل يشمل العوائد الاجتماعية. وقد أدى هذا التحول إلى اعتماد الشركات والمنظمات لآليات قياس جديدة، بحيث أصبح تقييم المشروع لا يعتمد فقط على الأرباح، بل على مقدار تأثيره الاجتماعي والبيئي كذلك، وهو ما يعد حجر الزاوية في تقييم أداء المشاريع الإنشائية الحديثة</w:t>
      </w:r>
      <w:r w:rsidRPr="009E5C94">
        <w:rPr>
          <w:rFonts w:ascii="Traditional Arabic" w:hAnsi="Traditional Arabic" w:cs="Traditional Arabic"/>
          <w:sz w:val="28"/>
          <w:szCs w:val="28"/>
        </w:rPr>
        <w:t>.</w:t>
      </w:r>
    </w:p>
    <w:p w14:paraId="2CFE7536" w14:textId="17ACD5D8" w:rsidR="009E5C94" w:rsidRPr="009E5C94" w:rsidRDefault="009E5C94" w:rsidP="009E5C94">
      <w:pPr>
        <w:bidi/>
        <w:spacing w:line="480" w:lineRule="auto"/>
        <w:jc w:val="both"/>
        <w:rPr>
          <w:rFonts w:ascii="Traditional Arabic" w:hAnsi="Traditional Arabic" w:cs="Traditional Arabic"/>
          <w:sz w:val="28"/>
          <w:szCs w:val="28"/>
        </w:rPr>
      </w:pPr>
      <w:r w:rsidRPr="009E5C94">
        <w:rPr>
          <w:rFonts w:ascii="Traditional Arabic" w:hAnsi="Traditional Arabic" w:cs="Traditional Arabic"/>
          <w:sz w:val="28"/>
          <w:szCs w:val="28"/>
          <w:rtl/>
        </w:rPr>
        <w:t>وتطوّر</w:t>
      </w:r>
      <w:r w:rsidRPr="009E5C94">
        <w:rPr>
          <w:rFonts w:ascii="Traditional Arabic" w:hAnsi="Traditional Arabic" w:cs="Traditional Arabic"/>
          <w:sz w:val="28"/>
          <w:szCs w:val="28"/>
        </w:rPr>
        <w:t xml:space="preserve"> conceptual </w:t>
      </w:r>
      <w:r w:rsidRPr="009E5C94">
        <w:rPr>
          <w:rFonts w:ascii="Traditional Arabic" w:hAnsi="Traditional Arabic" w:cs="Traditional Arabic"/>
          <w:sz w:val="28"/>
          <w:szCs w:val="28"/>
          <w:rtl/>
        </w:rPr>
        <w:t xml:space="preserve">أكثر مع ظهور نظرية الاقتصاد الدائري التي طرحتها مؤسسة </w:t>
      </w:r>
      <w:r w:rsidRPr="009E5C94">
        <w:rPr>
          <w:rFonts w:ascii="Traditional Arabic" w:hAnsi="Traditional Arabic" w:cs="Traditional Arabic"/>
          <w:sz w:val="28"/>
          <w:szCs w:val="28"/>
        </w:rPr>
        <w:t>MacArthur (2013)</w:t>
      </w:r>
      <w:r w:rsidRPr="009E5C94">
        <w:rPr>
          <w:rFonts w:ascii="Traditional Arabic" w:hAnsi="Traditional Arabic" w:cs="Traditional Arabic"/>
          <w:sz w:val="28"/>
          <w:szCs w:val="28"/>
          <w:rtl/>
        </w:rPr>
        <w:t>، والتي أعادت تصميم نماذج الإنتاج والاستهلاك بحيث تعتمد على التدوير وإعادة الاستخدام بدلاً من الهدر. وقد شكّلت هذه النظرية تحولًا مهمًا في قطاع التشييد نظرًا لارتفاع نسب نفايات البناء، مما كشف عن فرص هائلة لإعادة التدوير وتقليل التكاليف البيئية والاقتصادية للمشاريع</w:t>
      </w:r>
      <w:r w:rsidRPr="009E5C94">
        <w:rPr>
          <w:rFonts w:ascii="Traditional Arabic" w:hAnsi="Traditional Arabic" w:cs="Traditional Arabic"/>
          <w:sz w:val="28"/>
          <w:szCs w:val="28"/>
        </w:rPr>
        <w:t>.</w:t>
      </w:r>
    </w:p>
    <w:p w14:paraId="38E35383" w14:textId="5B43214D" w:rsidR="009E5C94" w:rsidRPr="009E5C94" w:rsidRDefault="009E5C94" w:rsidP="006C3304">
      <w:pPr>
        <w:bidi/>
        <w:spacing w:line="480" w:lineRule="auto"/>
        <w:jc w:val="both"/>
        <w:rPr>
          <w:rFonts w:ascii="Traditional Arabic" w:hAnsi="Traditional Arabic" w:cs="Traditional Arabic"/>
          <w:sz w:val="28"/>
          <w:szCs w:val="28"/>
        </w:rPr>
      </w:pPr>
      <w:r w:rsidRPr="009E5C94">
        <w:rPr>
          <w:rFonts w:ascii="Traditional Arabic" w:hAnsi="Traditional Arabic" w:cs="Traditional Arabic"/>
          <w:sz w:val="28"/>
          <w:szCs w:val="28"/>
          <w:rtl/>
        </w:rPr>
        <w:lastRenderedPageBreak/>
        <w:t>أما نظرية الإدارة البيئية المتكاملة</w:t>
      </w:r>
      <w:r w:rsidRPr="009E5C94">
        <w:rPr>
          <w:rFonts w:ascii="Traditional Arabic" w:hAnsi="Traditional Arabic" w:cs="Traditional Arabic"/>
          <w:sz w:val="28"/>
          <w:szCs w:val="28"/>
        </w:rPr>
        <w:t xml:space="preserve"> (IEM)</w:t>
      </w:r>
      <w:r w:rsidRPr="009E5C94">
        <w:rPr>
          <w:rFonts w:ascii="Traditional Arabic" w:hAnsi="Traditional Arabic" w:cs="Traditional Arabic"/>
          <w:sz w:val="28"/>
          <w:szCs w:val="28"/>
          <w:rtl/>
        </w:rPr>
        <w:t xml:space="preserve">، فقد استندت إلى المعايير الدولية مثل </w:t>
      </w:r>
      <w:r w:rsidRPr="009E5C94">
        <w:rPr>
          <w:rFonts w:ascii="Traditional Arabic" w:hAnsi="Traditional Arabic" w:cs="Traditional Arabic"/>
          <w:sz w:val="28"/>
          <w:szCs w:val="28"/>
        </w:rPr>
        <w:t xml:space="preserve">ISO 14001 </w:t>
      </w:r>
      <w:r w:rsidRPr="009E5C94">
        <w:rPr>
          <w:rFonts w:ascii="Traditional Arabic" w:hAnsi="Traditional Arabic" w:cs="Traditional Arabic"/>
          <w:sz w:val="28"/>
          <w:szCs w:val="28"/>
          <w:rtl/>
        </w:rPr>
        <w:t>بهدف دمج الاعتبارات البيئية داخل عملية اتخاذ القرار في المشاريع. وقد أصبحت هذه النظرية جزءًا أساسيًا من ممارسات المشاريع الكبرى، حيث بات الالتزام بالتنظيمات البيئية وإدارة النفايات وتقليل الانبعاثات معيارًا لا يمكن تجاوزه في أي مشروع إنشائي معاصر</w:t>
      </w:r>
      <w:r w:rsidR="006C3304">
        <w:rPr>
          <w:rFonts w:ascii="Traditional Arabic" w:hAnsi="Traditional Arabic" w:cs="Traditional Arabic"/>
          <w:sz w:val="28"/>
          <w:szCs w:val="28"/>
        </w:rPr>
        <w:t>(</w:t>
      </w:r>
      <w:r w:rsidR="006C3304" w:rsidRPr="006C3304">
        <w:rPr>
          <w:rFonts w:ascii="Traditional Arabic" w:hAnsi="Traditional Arabic" w:cs="Traditional Arabic"/>
          <w:sz w:val="28"/>
          <w:szCs w:val="28"/>
        </w:rPr>
        <w:t>International Organization for Standardization</w:t>
      </w:r>
      <w:r w:rsidR="006C3304">
        <w:rPr>
          <w:rFonts w:ascii="Traditional Arabic" w:hAnsi="Traditional Arabic" w:cs="Traditional Arabic"/>
          <w:sz w:val="28"/>
          <w:szCs w:val="28"/>
        </w:rPr>
        <w:t>,</w:t>
      </w:r>
      <w:r w:rsidR="006C3304" w:rsidRPr="006C3304">
        <w:rPr>
          <w:rFonts w:ascii="Traditional Arabic" w:hAnsi="Traditional Arabic" w:cs="Traditional Arabic"/>
          <w:sz w:val="28"/>
          <w:szCs w:val="28"/>
        </w:rPr>
        <w:t>1996).</w:t>
      </w:r>
    </w:p>
    <w:p w14:paraId="25482DD3" w14:textId="134C0F5B" w:rsidR="008E6B0A" w:rsidRPr="008E6B0A" w:rsidRDefault="007205A8" w:rsidP="006337C0">
      <w:pPr>
        <w:bidi/>
        <w:spacing w:line="480" w:lineRule="auto"/>
        <w:rPr>
          <w:rFonts w:ascii="Traditional Arabic" w:hAnsi="Traditional Arabic" w:cs="Traditional Arabic"/>
          <w:b/>
          <w:bCs/>
          <w:sz w:val="28"/>
          <w:szCs w:val="28"/>
        </w:rPr>
      </w:pPr>
      <w:r>
        <w:rPr>
          <w:rFonts w:ascii="Traditional Arabic" w:hAnsi="Traditional Arabic" w:cs="Traditional Arabic"/>
          <w:b/>
          <w:bCs/>
          <w:sz w:val="28"/>
          <w:szCs w:val="28"/>
        </w:rPr>
        <w:t xml:space="preserve">1.3 </w:t>
      </w:r>
      <w:r w:rsidR="004D61FE">
        <w:rPr>
          <w:rFonts w:ascii="Traditional Arabic" w:hAnsi="Traditional Arabic" w:cs="Traditional Arabic" w:hint="cs"/>
          <w:b/>
          <w:bCs/>
          <w:sz w:val="28"/>
          <w:szCs w:val="28"/>
          <w:rtl/>
        </w:rPr>
        <w:t xml:space="preserve"> </w:t>
      </w:r>
      <w:r w:rsidR="008E6B0A" w:rsidRPr="008E6B0A">
        <w:rPr>
          <w:rFonts w:ascii="Traditional Arabic" w:hAnsi="Traditional Arabic" w:cs="Traditional Arabic"/>
          <w:b/>
          <w:bCs/>
          <w:sz w:val="28"/>
          <w:szCs w:val="28"/>
          <w:rtl/>
        </w:rPr>
        <w:t>معايير الاستدامة في القطاع الإنشائي</w:t>
      </w:r>
    </w:p>
    <w:p w14:paraId="5D12B1F2" w14:textId="789E1278" w:rsidR="008E6B0A" w:rsidRPr="008E6B0A" w:rsidRDefault="008E6B0A" w:rsidP="002D62DA">
      <w:pPr>
        <w:bidi/>
        <w:spacing w:line="480" w:lineRule="auto"/>
        <w:jc w:val="both"/>
        <w:rPr>
          <w:rFonts w:ascii="Traditional Arabic" w:hAnsi="Traditional Arabic" w:cs="Traditional Arabic"/>
          <w:sz w:val="28"/>
          <w:szCs w:val="28"/>
        </w:rPr>
      </w:pPr>
      <w:r w:rsidRPr="008E6B0A">
        <w:rPr>
          <w:rFonts w:ascii="Traditional Arabic" w:hAnsi="Traditional Arabic" w:cs="Traditional Arabic"/>
          <w:sz w:val="28"/>
          <w:szCs w:val="28"/>
          <w:rtl/>
        </w:rPr>
        <w:t>لضمان تحقيق الاستدامة وفق أسس علمية قابلة للقياس، تم تطوير عدد من الأنظمة والمعايير المعتمدة دوليًا ومحليًا لتقييم مدى التزام المشاريع بالمبادئ المستدامة. من أبرز هذه المعايير، نظام</w:t>
      </w:r>
      <w:r w:rsidRPr="008E6B0A">
        <w:rPr>
          <w:rFonts w:ascii="Traditional Arabic" w:hAnsi="Traditional Arabic" w:cs="Traditional Arabic"/>
          <w:sz w:val="28"/>
          <w:szCs w:val="28"/>
        </w:rPr>
        <w:t xml:space="preserve"> LEED </w:t>
      </w:r>
      <w:r w:rsidRPr="008E6B0A">
        <w:rPr>
          <w:rFonts w:ascii="Traditional Arabic" w:hAnsi="Traditional Arabic" w:cs="Traditional Arabic"/>
          <w:sz w:val="28"/>
          <w:szCs w:val="28"/>
          <w:rtl/>
        </w:rPr>
        <w:t>الأمريكي الذي يُعد من أشهر أنظمة تقييم المباني الخضراء عالميًا، ويركز على عناصر مثل كفاءة الطاقة، وجودة الهواء، واستخدام المواد المحلية الصديقة للبيئة</w:t>
      </w:r>
      <w:r w:rsidR="00C82DFC">
        <w:rPr>
          <w:rFonts w:ascii="Traditional Arabic" w:hAnsi="Traditional Arabic" w:cs="Traditional Arabic" w:hint="cs"/>
          <w:sz w:val="28"/>
          <w:szCs w:val="28"/>
          <w:rtl/>
        </w:rPr>
        <w:t>(</w:t>
      </w:r>
      <w:r w:rsidR="00C82DFC" w:rsidRPr="00C82DFC">
        <w:rPr>
          <w:rFonts w:ascii="Traditional Arabic" w:hAnsi="Traditional Arabic" w:cs="Traditional Arabic"/>
          <w:sz w:val="28"/>
          <w:szCs w:val="28"/>
          <w:rtl/>
        </w:rPr>
        <w:t>العنزي،</w:t>
      </w:r>
      <w:r w:rsidR="00C82DFC">
        <w:rPr>
          <w:rFonts w:ascii="Traditional Arabic" w:hAnsi="Traditional Arabic" w:cs="Traditional Arabic" w:hint="cs"/>
          <w:sz w:val="28"/>
          <w:szCs w:val="28"/>
          <w:rtl/>
        </w:rPr>
        <w:t>2024).</w:t>
      </w:r>
      <w:r w:rsidRPr="008E6B0A">
        <w:rPr>
          <w:rFonts w:ascii="Traditional Arabic" w:hAnsi="Traditional Arabic" w:cs="Traditional Arabic"/>
          <w:sz w:val="28"/>
          <w:szCs w:val="28"/>
          <w:rtl/>
        </w:rPr>
        <w:t>كما يُعتبر نظام</w:t>
      </w:r>
      <w:r w:rsidRPr="008E6B0A">
        <w:rPr>
          <w:rFonts w:ascii="Traditional Arabic" w:hAnsi="Traditional Arabic" w:cs="Traditional Arabic"/>
          <w:sz w:val="28"/>
          <w:szCs w:val="28"/>
        </w:rPr>
        <w:t xml:space="preserve"> BREEAM </w:t>
      </w:r>
      <w:r w:rsidRPr="008E6B0A">
        <w:rPr>
          <w:rFonts w:ascii="Traditional Arabic" w:hAnsi="Traditional Arabic" w:cs="Traditional Arabic"/>
          <w:sz w:val="28"/>
          <w:szCs w:val="28"/>
          <w:rtl/>
        </w:rPr>
        <w:t>البريطاني من أبرز المعايير المستخدمة في أوروبا والشرق الأوسط، ويعتمد في تقييمه على عناصر تشمل إدارة المياه، واستخدام الطاقة المتجددة، وتقليل الانبعاثات</w:t>
      </w:r>
      <w:r w:rsidRPr="008E6B0A">
        <w:rPr>
          <w:rFonts w:ascii="Traditional Arabic" w:hAnsi="Traditional Arabic" w:cs="Traditional Arabic"/>
          <w:sz w:val="28"/>
          <w:szCs w:val="28"/>
        </w:rPr>
        <w:t>.</w:t>
      </w:r>
    </w:p>
    <w:p w14:paraId="314176E5" w14:textId="77777777" w:rsidR="008E6B0A" w:rsidRPr="008E6B0A" w:rsidRDefault="008E6B0A" w:rsidP="002D62DA">
      <w:pPr>
        <w:bidi/>
        <w:spacing w:line="480" w:lineRule="auto"/>
        <w:jc w:val="both"/>
        <w:rPr>
          <w:rFonts w:ascii="Traditional Arabic" w:hAnsi="Traditional Arabic" w:cs="Traditional Arabic"/>
          <w:sz w:val="28"/>
          <w:szCs w:val="28"/>
        </w:rPr>
      </w:pPr>
      <w:r w:rsidRPr="008E6B0A">
        <w:rPr>
          <w:rFonts w:ascii="Traditional Arabic" w:hAnsi="Traditional Arabic" w:cs="Traditional Arabic"/>
          <w:sz w:val="28"/>
          <w:szCs w:val="28"/>
          <w:rtl/>
        </w:rPr>
        <w:t>وقد أظهرت الدراسات مثل الحسن والفارسي (2025) أن الالتزام بمعايير مثل</w:t>
      </w:r>
      <w:r w:rsidRPr="008E6B0A">
        <w:rPr>
          <w:rFonts w:ascii="Traditional Arabic" w:hAnsi="Traditional Arabic" w:cs="Traditional Arabic"/>
          <w:sz w:val="28"/>
          <w:szCs w:val="28"/>
        </w:rPr>
        <w:t xml:space="preserve"> LEED </w:t>
      </w:r>
      <w:r w:rsidRPr="008E6B0A">
        <w:rPr>
          <w:rFonts w:ascii="Traditional Arabic" w:hAnsi="Traditional Arabic" w:cs="Traditional Arabic"/>
          <w:sz w:val="28"/>
          <w:szCs w:val="28"/>
          <w:rtl/>
        </w:rPr>
        <w:t>يُسهم في تعزيز كفاءة المشروع، وتقليل الهدر، وتحسين صورة الشركة المنفذة، مما ينعكس إيجابيًا على أدائها في السوق. كما تشير دراسة العابد وآخرون (2022) إلى أن غياب تطبيق هذه المعايير في حي الشرائع بمكة المكرمة أدى إلى تدهور بيئي ملحوظ، تجلى في ارتفاع استهلاك الطاقة وسوء إدارة المياه، وتراكم النفايات، ما يدل على أهمية هذه المعايير في ضمان بيئة عمرانية مستدامة</w:t>
      </w:r>
      <w:r w:rsidRPr="008E6B0A">
        <w:rPr>
          <w:rFonts w:ascii="Traditional Arabic" w:hAnsi="Traditional Arabic" w:cs="Traditional Arabic"/>
          <w:sz w:val="28"/>
          <w:szCs w:val="28"/>
        </w:rPr>
        <w:t>.</w:t>
      </w:r>
    </w:p>
    <w:p w14:paraId="6B37357E" w14:textId="7E2C0A49" w:rsidR="00A03BD5" w:rsidRPr="008E6B0A" w:rsidRDefault="008E6B0A" w:rsidP="009E5C94">
      <w:pPr>
        <w:bidi/>
        <w:spacing w:line="480" w:lineRule="auto"/>
        <w:jc w:val="both"/>
        <w:rPr>
          <w:rFonts w:ascii="Traditional Arabic" w:hAnsi="Traditional Arabic" w:cs="Traditional Arabic"/>
          <w:sz w:val="28"/>
          <w:szCs w:val="28"/>
        </w:rPr>
      </w:pPr>
      <w:r w:rsidRPr="008E6B0A">
        <w:rPr>
          <w:rFonts w:ascii="Traditional Arabic" w:hAnsi="Traditional Arabic" w:cs="Traditional Arabic"/>
          <w:sz w:val="28"/>
          <w:szCs w:val="28"/>
          <w:rtl/>
        </w:rPr>
        <w:lastRenderedPageBreak/>
        <w:t>على المستوى المحلي، طورت المملكة العربية السعودية "كود البناء السعودي" الذي يتضمن معايير خاصة بالعزل الحراري، وكفاءة الطاقة، واستخدام المواد المستدامة، وذلك تماشيًا مع مبادرات رؤية 2030. كما أشارت دراسة البقعي والهزايمة (2023) إلى أن أمانة جدة تطبق مؤشرات محلية للاستدامة البيئية تشمل زيادة الغطاء النباتي، ووضع ضوابط لحماية الموارد الطبيعية، وفرض غرامات على المخالفات البيئية، وهي ممارسات تعكس اتجاهًا حقيقيًا نحو تفعيل الاستدامة في قطاع البناء المحلي</w:t>
      </w:r>
      <w:r w:rsidRPr="008E6B0A">
        <w:rPr>
          <w:rFonts w:ascii="Traditional Arabic" w:hAnsi="Traditional Arabic" w:cs="Traditional Arabic"/>
          <w:sz w:val="28"/>
          <w:szCs w:val="28"/>
        </w:rPr>
        <w:t>.</w:t>
      </w:r>
    </w:p>
    <w:p w14:paraId="018FDDB3" w14:textId="222916E9" w:rsidR="008E6B0A" w:rsidRPr="008E6B0A" w:rsidRDefault="007205A8" w:rsidP="002D62DA">
      <w:pPr>
        <w:bidi/>
        <w:spacing w:line="480" w:lineRule="auto"/>
        <w:jc w:val="both"/>
        <w:rPr>
          <w:rFonts w:ascii="Traditional Arabic" w:hAnsi="Traditional Arabic" w:cs="Traditional Arabic"/>
          <w:b/>
          <w:bCs/>
          <w:sz w:val="28"/>
          <w:szCs w:val="28"/>
        </w:rPr>
      </w:pPr>
      <w:r>
        <w:rPr>
          <w:rFonts w:ascii="Traditional Arabic" w:hAnsi="Traditional Arabic" w:cs="Traditional Arabic"/>
          <w:b/>
          <w:bCs/>
          <w:sz w:val="28"/>
          <w:szCs w:val="28"/>
        </w:rPr>
        <w:t>1.4</w:t>
      </w:r>
      <w:r w:rsidR="004D61FE">
        <w:rPr>
          <w:rFonts w:ascii="Traditional Arabic" w:hAnsi="Traditional Arabic" w:cs="Traditional Arabic" w:hint="cs"/>
          <w:b/>
          <w:bCs/>
          <w:sz w:val="28"/>
          <w:szCs w:val="28"/>
          <w:rtl/>
        </w:rPr>
        <w:t xml:space="preserve"> </w:t>
      </w:r>
      <w:r w:rsidR="008E6B0A">
        <w:rPr>
          <w:rFonts w:ascii="Traditional Arabic" w:hAnsi="Traditional Arabic" w:cs="Traditional Arabic" w:hint="cs"/>
          <w:b/>
          <w:bCs/>
          <w:sz w:val="28"/>
          <w:szCs w:val="28"/>
          <w:rtl/>
        </w:rPr>
        <w:t xml:space="preserve">  </w:t>
      </w:r>
      <w:r w:rsidR="008E6B0A" w:rsidRPr="008E6B0A">
        <w:rPr>
          <w:rFonts w:ascii="Traditional Arabic" w:hAnsi="Traditional Arabic" w:cs="Traditional Arabic"/>
          <w:b/>
          <w:bCs/>
          <w:sz w:val="28"/>
          <w:szCs w:val="28"/>
          <w:rtl/>
        </w:rPr>
        <w:t>أثر تبني مفهوم الاستدامة على أداء المشاريع</w:t>
      </w:r>
    </w:p>
    <w:p w14:paraId="0738DA39" w14:textId="77777777" w:rsidR="008E6B0A" w:rsidRPr="008E6B0A" w:rsidRDefault="008E6B0A" w:rsidP="002D62DA">
      <w:pPr>
        <w:bidi/>
        <w:spacing w:line="480" w:lineRule="auto"/>
        <w:jc w:val="both"/>
        <w:rPr>
          <w:rFonts w:ascii="Traditional Arabic" w:hAnsi="Traditional Arabic" w:cs="Traditional Arabic"/>
          <w:sz w:val="28"/>
          <w:szCs w:val="28"/>
        </w:rPr>
      </w:pPr>
      <w:r w:rsidRPr="008E6B0A">
        <w:rPr>
          <w:rFonts w:ascii="Traditional Arabic" w:hAnsi="Traditional Arabic" w:cs="Traditional Arabic"/>
          <w:sz w:val="28"/>
          <w:szCs w:val="28"/>
          <w:rtl/>
        </w:rPr>
        <w:t>تتفق جميع الدراسات التي تمت مراجعتها على أن دمج الاستدامة في المشاريع الإنشائية يُفضي إلى تحسينات ملموسة في الأداء العام للمشاريع، سواء من حيث الكفاءة، أو الجدوى الاقتصادية، أو التأثير المجتمعي. وقد بيّنت دراسة الحسن والفارسي (2025) أن تبني مبادئ الاستدامة في التخطيط والتنفيذ يساعد في تقليل التأخير، وتحسين الجدوى الاقتصادية، وتقليل الآثار البيئية السلبية. كما أكدت دراسة العابد وآخرون (2022) أن غياب هذه المبادئ يؤدي إلى مشاكل كبيرة في البيئة الحضرية مثل تدهور جودة الهواء، وضعف النقل العام، وارتفاع التكاليف التشغيلية</w:t>
      </w:r>
      <w:r w:rsidRPr="008E6B0A">
        <w:rPr>
          <w:rFonts w:ascii="Traditional Arabic" w:hAnsi="Traditional Arabic" w:cs="Traditional Arabic"/>
          <w:sz w:val="28"/>
          <w:szCs w:val="28"/>
        </w:rPr>
        <w:t>.</w:t>
      </w:r>
    </w:p>
    <w:p w14:paraId="2B18670B" w14:textId="77777777" w:rsidR="008E6B0A" w:rsidRDefault="008E6B0A" w:rsidP="002D62DA">
      <w:pPr>
        <w:bidi/>
        <w:spacing w:line="480" w:lineRule="auto"/>
        <w:jc w:val="both"/>
        <w:rPr>
          <w:rFonts w:ascii="Traditional Arabic" w:hAnsi="Traditional Arabic" w:cs="Traditional Arabic"/>
          <w:sz w:val="28"/>
          <w:szCs w:val="28"/>
        </w:rPr>
      </w:pPr>
      <w:r w:rsidRPr="008E6B0A">
        <w:rPr>
          <w:rFonts w:ascii="Traditional Arabic" w:hAnsi="Traditional Arabic" w:cs="Traditional Arabic"/>
          <w:sz w:val="28"/>
          <w:szCs w:val="28"/>
          <w:rtl/>
        </w:rPr>
        <w:t>وتؤكد الدراسات مجتمعة أن الاستدامة لم تعد خيارًا ترفيهيًا، بل أصبحت ضرورة استراتيجية تؤثر مباشرة في جودة التنفيذ، ورضا العملاء، واستمرارية الموارد، وقوة الاقتصاد الوطني. ويُعد ذلك انسجامًا مع التوجه العالمي والمحلي لتعزيز الاستدامة في مختلف القطاعات، وعلى رأسها قطاع البناء والتشييد</w:t>
      </w:r>
      <w:r w:rsidRPr="008E6B0A">
        <w:rPr>
          <w:rFonts w:ascii="Traditional Arabic" w:hAnsi="Traditional Arabic" w:cs="Traditional Arabic"/>
          <w:sz w:val="28"/>
          <w:szCs w:val="28"/>
        </w:rPr>
        <w:t>.</w:t>
      </w:r>
    </w:p>
    <w:p w14:paraId="69B4873F" w14:textId="77777777" w:rsidR="006C3304" w:rsidRPr="008E6B0A" w:rsidRDefault="006C3304" w:rsidP="006C3304">
      <w:pPr>
        <w:bidi/>
        <w:spacing w:line="480" w:lineRule="auto"/>
        <w:jc w:val="both"/>
        <w:rPr>
          <w:rFonts w:ascii="Traditional Arabic" w:hAnsi="Traditional Arabic" w:cs="Traditional Arabic"/>
          <w:sz w:val="28"/>
          <w:szCs w:val="28"/>
        </w:rPr>
      </w:pPr>
    </w:p>
    <w:p w14:paraId="2F4E7FC4" w14:textId="7DD3EECB" w:rsidR="009E5536" w:rsidRPr="004D61FE" w:rsidRDefault="009E5536" w:rsidP="007205A8">
      <w:pPr>
        <w:pStyle w:val="ListParagraph"/>
        <w:numPr>
          <w:ilvl w:val="0"/>
          <w:numId w:val="21"/>
        </w:numPr>
        <w:bidi/>
        <w:spacing w:line="480" w:lineRule="auto"/>
        <w:jc w:val="both"/>
        <w:rPr>
          <w:rFonts w:ascii="Traditional Arabic" w:hAnsi="Traditional Arabic" w:cs="Traditional Arabic"/>
          <w:b/>
          <w:bCs/>
          <w:sz w:val="28"/>
          <w:szCs w:val="28"/>
        </w:rPr>
      </w:pPr>
      <w:r w:rsidRPr="004D61FE">
        <w:rPr>
          <w:rFonts w:ascii="Traditional Arabic" w:hAnsi="Traditional Arabic" w:cs="Traditional Arabic" w:hint="cs"/>
          <w:sz w:val="28"/>
          <w:szCs w:val="28"/>
          <w:rtl/>
        </w:rPr>
        <w:lastRenderedPageBreak/>
        <w:t xml:space="preserve"> </w:t>
      </w:r>
      <w:r w:rsidRPr="004D61FE">
        <w:rPr>
          <w:rFonts w:ascii="Traditional Arabic" w:hAnsi="Traditional Arabic" w:cs="Traditional Arabic"/>
          <w:b/>
          <w:bCs/>
          <w:sz w:val="28"/>
          <w:szCs w:val="28"/>
          <w:rtl/>
        </w:rPr>
        <w:t>أداء المشاريع الإنشائية ومؤشرات قياس الأداء</w:t>
      </w:r>
    </w:p>
    <w:p w14:paraId="718843C3" w14:textId="163AF734" w:rsidR="009E5536" w:rsidRPr="009E5536" w:rsidRDefault="009E5536" w:rsidP="002D62DA">
      <w:pPr>
        <w:bidi/>
        <w:spacing w:line="480" w:lineRule="auto"/>
        <w:jc w:val="both"/>
        <w:rPr>
          <w:rFonts w:ascii="Traditional Arabic" w:hAnsi="Traditional Arabic" w:cs="Traditional Arabic"/>
          <w:sz w:val="28"/>
          <w:szCs w:val="28"/>
        </w:rPr>
      </w:pPr>
      <w:r w:rsidRPr="009E5536">
        <w:rPr>
          <w:rFonts w:ascii="Traditional Arabic" w:hAnsi="Traditional Arabic" w:cs="Traditional Arabic"/>
          <w:sz w:val="28"/>
          <w:szCs w:val="28"/>
          <w:rtl/>
        </w:rPr>
        <w:t>يمثل أداء المشاريع الإنشائية إحدى الركائز الأساسية في تقييم نجاح القطاع الإنشائي وقدرته على مواكبة متطلبات التنمية المستدامة، خصوصًا في الدول التي تشهد تحولات عمرانية واقتصادية متسارعة مثل المملكة العربية السعودية. ويُعرّف أداء المشاريع بأنه مدى تحقيق المشروع لأهدافه المحددة ضمن محاور رئيسية تشمل التكلفة، الوقت، الجودة، السلامة، ورضا العملاء. وتشير الدراسات إلى أن هذه الأبعاد مجتمعة تُستخدم كمؤشرات أداء رئيسية</w:t>
      </w:r>
      <w:r w:rsidRPr="009E5536">
        <w:rPr>
          <w:rFonts w:ascii="Traditional Arabic" w:hAnsi="Traditional Arabic" w:cs="Traditional Arabic"/>
          <w:sz w:val="28"/>
          <w:szCs w:val="28"/>
        </w:rPr>
        <w:t xml:space="preserve"> (Key Performance Indicators - KPIs) </w:t>
      </w:r>
      <w:r w:rsidRPr="009E5536">
        <w:rPr>
          <w:rFonts w:ascii="Traditional Arabic" w:hAnsi="Traditional Arabic" w:cs="Traditional Arabic"/>
          <w:sz w:val="28"/>
          <w:szCs w:val="28"/>
          <w:rtl/>
        </w:rPr>
        <w:t>يتم من خلالها قياس كفاءة المشروع ومدى مطابقته للمعايير المستهدفة</w:t>
      </w:r>
      <w:r w:rsidR="00C82DFC">
        <w:rPr>
          <w:rFonts w:ascii="Traditional Arabic" w:hAnsi="Traditional Arabic" w:cs="Traditional Arabic" w:hint="cs"/>
          <w:sz w:val="28"/>
          <w:szCs w:val="28"/>
          <w:rtl/>
        </w:rPr>
        <w:t>(</w:t>
      </w:r>
      <w:r w:rsidR="00C82DFC" w:rsidRPr="00C82DFC">
        <w:rPr>
          <w:rFonts w:ascii="Traditional Arabic" w:hAnsi="Traditional Arabic" w:cs="Traditional Arabic"/>
          <w:sz w:val="28"/>
          <w:szCs w:val="28"/>
          <w:rtl/>
        </w:rPr>
        <w:t>القحطاني و شعيبي، 2022).</w:t>
      </w:r>
    </w:p>
    <w:p w14:paraId="139C8D93" w14:textId="77777777" w:rsidR="009E5536" w:rsidRPr="009E5536" w:rsidRDefault="009E5536" w:rsidP="002D62DA">
      <w:pPr>
        <w:bidi/>
        <w:spacing w:line="480" w:lineRule="auto"/>
        <w:jc w:val="both"/>
        <w:rPr>
          <w:rFonts w:ascii="Traditional Arabic" w:hAnsi="Traditional Arabic" w:cs="Traditional Arabic"/>
          <w:sz w:val="28"/>
          <w:szCs w:val="28"/>
        </w:rPr>
      </w:pPr>
      <w:r w:rsidRPr="009E5536">
        <w:rPr>
          <w:rFonts w:ascii="Traditional Arabic" w:hAnsi="Traditional Arabic" w:cs="Traditional Arabic"/>
          <w:sz w:val="28"/>
          <w:szCs w:val="28"/>
          <w:rtl/>
        </w:rPr>
        <w:t>أوضحت دراسة</w:t>
      </w:r>
      <w:r w:rsidRPr="009E5536">
        <w:rPr>
          <w:rFonts w:ascii="Traditional Arabic" w:hAnsi="Traditional Arabic" w:cs="Traditional Arabic"/>
          <w:sz w:val="28"/>
          <w:szCs w:val="28"/>
        </w:rPr>
        <w:t xml:space="preserve"> </w:t>
      </w:r>
      <w:proofErr w:type="spellStart"/>
      <w:r w:rsidRPr="009E5536">
        <w:rPr>
          <w:rFonts w:ascii="Traditional Arabic" w:hAnsi="Traditional Arabic" w:cs="Traditional Arabic"/>
          <w:sz w:val="28"/>
          <w:szCs w:val="28"/>
        </w:rPr>
        <w:t>Almahmoud</w:t>
      </w:r>
      <w:proofErr w:type="spellEnd"/>
      <w:r w:rsidRPr="009E5536">
        <w:rPr>
          <w:rFonts w:ascii="Traditional Arabic" w:hAnsi="Traditional Arabic" w:cs="Traditional Arabic"/>
          <w:sz w:val="28"/>
          <w:szCs w:val="28"/>
        </w:rPr>
        <w:t xml:space="preserve"> et al. (2012) </w:t>
      </w:r>
      <w:r w:rsidRPr="009E5536">
        <w:rPr>
          <w:rFonts w:ascii="Traditional Arabic" w:hAnsi="Traditional Arabic" w:cs="Traditional Arabic"/>
          <w:sz w:val="28"/>
          <w:szCs w:val="28"/>
          <w:rtl/>
        </w:rPr>
        <w:t>أن عملية تقييم الأداء لا تتعلق فقط بالمخرجات النهائية، بل تشمل كذلك تحليل العوامل التنظيمية والتشغيلية المؤثرة، مثل نضج الممارسات الإدارية وكفاءة فرق العمل. وهذا التوجه يُسهم في تقديم صورة أكثر شمولًا حول الحالة الصحية للمشروع، حيث يرتبط كل مؤشر من مؤشرات الأداء بعوامل تمكينية مثل التنظيم، التواصل، وإدارة الجودة</w:t>
      </w:r>
      <w:r w:rsidRPr="009E5536">
        <w:rPr>
          <w:rFonts w:ascii="Traditional Arabic" w:hAnsi="Traditional Arabic" w:cs="Traditional Arabic"/>
          <w:sz w:val="28"/>
          <w:szCs w:val="28"/>
        </w:rPr>
        <w:t>.</w:t>
      </w:r>
    </w:p>
    <w:p w14:paraId="77EFEC15" w14:textId="77777777" w:rsidR="009E5536" w:rsidRPr="009E5536" w:rsidRDefault="009E5536" w:rsidP="002D62DA">
      <w:pPr>
        <w:bidi/>
        <w:spacing w:line="480" w:lineRule="auto"/>
        <w:jc w:val="both"/>
        <w:rPr>
          <w:rFonts w:ascii="Traditional Arabic" w:hAnsi="Traditional Arabic" w:cs="Traditional Arabic"/>
          <w:sz w:val="28"/>
          <w:szCs w:val="28"/>
        </w:rPr>
      </w:pPr>
      <w:r w:rsidRPr="009E5536">
        <w:rPr>
          <w:rFonts w:ascii="Traditional Arabic" w:hAnsi="Traditional Arabic" w:cs="Traditional Arabic"/>
          <w:sz w:val="28"/>
          <w:szCs w:val="28"/>
          <w:rtl/>
        </w:rPr>
        <w:t>تشير الدراسات التطبيقية الحديثة إلى أن الأداء في المشاريع السعودية يعاني من تباين واضح في تحقيق المؤشرات المستهدفة، لا سيما في مشاريع المقاولات والبنية التحتية. ففي دراسة</w:t>
      </w:r>
      <w:r w:rsidRPr="009E5536">
        <w:rPr>
          <w:rFonts w:ascii="Traditional Arabic" w:hAnsi="Traditional Arabic" w:cs="Traditional Arabic"/>
          <w:sz w:val="28"/>
          <w:szCs w:val="28"/>
        </w:rPr>
        <w:t xml:space="preserve"> Alfalah et al. (2024)</w:t>
      </w:r>
      <w:r w:rsidRPr="009E5536">
        <w:rPr>
          <w:rFonts w:ascii="Traditional Arabic" w:hAnsi="Traditional Arabic" w:cs="Traditional Arabic"/>
          <w:sz w:val="28"/>
          <w:szCs w:val="28"/>
          <w:rtl/>
        </w:rPr>
        <w:t>، وُجد أن ما يقارب 60% من المشاريع تتأخر عن الجدول الزمني المخطط، في حين يتجاوز كثير منها الميزانية المحددة، الأمر الذي يعكس تحديات جوهرية في التخطيط، والمتابعة، واختيار المقاولين. وقد أظهرت الدراسة أيضًا أن غياب نماذج تقييم معيارية يساهم في تكرار حالات التأخر وضعف الجودة، مما يجعل تطوير أدوات قياس الأداء ضرورة ملحة لتحسين القطاع</w:t>
      </w:r>
      <w:r w:rsidRPr="009E5536">
        <w:rPr>
          <w:rFonts w:ascii="Traditional Arabic" w:hAnsi="Traditional Arabic" w:cs="Traditional Arabic"/>
          <w:sz w:val="28"/>
          <w:szCs w:val="28"/>
        </w:rPr>
        <w:t>.</w:t>
      </w:r>
    </w:p>
    <w:p w14:paraId="4A40DDDC" w14:textId="77777777" w:rsidR="009E5536" w:rsidRPr="00146D14" w:rsidRDefault="009E5536" w:rsidP="002D62DA">
      <w:pPr>
        <w:bidi/>
        <w:spacing w:line="480" w:lineRule="auto"/>
        <w:jc w:val="both"/>
        <w:rPr>
          <w:rFonts w:ascii="Traditional Arabic" w:hAnsi="Traditional Arabic" w:cs="Traditional Arabic"/>
          <w:sz w:val="28"/>
          <w:szCs w:val="28"/>
        </w:rPr>
      </w:pPr>
      <w:r w:rsidRPr="00146D14">
        <w:rPr>
          <w:rFonts w:ascii="Traditional Arabic" w:hAnsi="Traditional Arabic" w:cs="Traditional Arabic"/>
          <w:sz w:val="28"/>
          <w:szCs w:val="28"/>
          <w:rtl/>
        </w:rPr>
        <w:lastRenderedPageBreak/>
        <w:t>وفي السياق نفسه، أكدت دراسة</w:t>
      </w:r>
      <w:r w:rsidRPr="00146D14">
        <w:rPr>
          <w:rFonts w:ascii="Traditional Arabic" w:hAnsi="Traditional Arabic" w:cs="Traditional Arabic"/>
          <w:sz w:val="28"/>
          <w:szCs w:val="28"/>
        </w:rPr>
        <w:t xml:space="preserve"> </w:t>
      </w:r>
      <w:proofErr w:type="spellStart"/>
      <w:r w:rsidRPr="00146D14">
        <w:rPr>
          <w:rFonts w:ascii="Traditional Arabic" w:hAnsi="Traditional Arabic" w:cs="Traditional Arabic"/>
          <w:sz w:val="28"/>
          <w:szCs w:val="28"/>
        </w:rPr>
        <w:t>Alazmi</w:t>
      </w:r>
      <w:proofErr w:type="spellEnd"/>
      <w:r w:rsidRPr="00146D14">
        <w:rPr>
          <w:rFonts w:ascii="Traditional Arabic" w:hAnsi="Traditional Arabic" w:cs="Traditional Arabic"/>
          <w:sz w:val="28"/>
          <w:szCs w:val="28"/>
        </w:rPr>
        <w:t xml:space="preserve"> et al. (2025) </w:t>
      </w:r>
      <w:r w:rsidRPr="00146D14">
        <w:rPr>
          <w:rFonts w:ascii="Traditional Arabic" w:hAnsi="Traditional Arabic" w:cs="Traditional Arabic"/>
          <w:sz w:val="28"/>
          <w:szCs w:val="28"/>
          <w:rtl/>
        </w:rPr>
        <w:t>أن التحديات البيئية مثل ضعف إدارة النفايات في المشاريع الإنشائية السعودية تؤثر سلبًا على الأداء العام، حيث يؤدي سوء التخطيط والتنسيق بين الأطراف المختلفة إلى زيادة نسب الهدر، وارتفاع التكاليف، وتأخر التسليم، ما يُبرز العلاقة الوثيقة بين كفاءة العمليات التشغيلية ومستوى الأداء الكلي للمشروع</w:t>
      </w:r>
      <w:r w:rsidRPr="00146D14">
        <w:rPr>
          <w:rFonts w:ascii="Traditional Arabic" w:hAnsi="Traditional Arabic" w:cs="Traditional Arabic"/>
          <w:sz w:val="28"/>
          <w:szCs w:val="28"/>
        </w:rPr>
        <w:t>.</w:t>
      </w:r>
    </w:p>
    <w:p w14:paraId="358C210E" w14:textId="77777777" w:rsidR="009E5536" w:rsidRPr="00146D14" w:rsidRDefault="009E5536" w:rsidP="002D62DA">
      <w:pPr>
        <w:bidi/>
        <w:spacing w:line="480" w:lineRule="auto"/>
        <w:jc w:val="both"/>
        <w:rPr>
          <w:rFonts w:ascii="Traditional Arabic" w:hAnsi="Traditional Arabic" w:cs="Traditional Arabic"/>
          <w:sz w:val="28"/>
          <w:szCs w:val="28"/>
        </w:rPr>
      </w:pPr>
      <w:r w:rsidRPr="00146D14">
        <w:rPr>
          <w:rFonts w:ascii="Traditional Arabic" w:hAnsi="Traditional Arabic" w:cs="Traditional Arabic"/>
          <w:sz w:val="28"/>
          <w:szCs w:val="28"/>
          <w:rtl/>
        </w:rPr>
        <w:t>من بين أبرز مؤشرات الأداء المستخدمة في المشاريع الإنشائية، تأتي تكلفة المشروع كعنصر أولي لقياس مدى نجاح المشروع في الالتزام بالميزانية المحددة. وتُقاس الكفاءة في هذا البُعد من خلال مقارنة التكلفة الفعلية بالتكلفة المخططة، مع تحليل أسباب الانحرافات إن وجدت. وقد أشار</w:t>
      </w:r>
      <w:r w:rsidRPr="00146D14">
        <w:rPr>
          <w:rFonts w:ascii="Traditional Arabic" w:hAnsi="Traditional Arabic" w:cs="Traditional Arabic"/>
          <w:sz w:val="28"/>
          <w:szCs w:val="28"/>
        </w:rPr>
        <w:t xml:space="preserve"> </w:t>
      </w:r>
      <w:proofErr w:type="spellStart"/>
      <w:r w:rsidRPr="00146D14">
        <w:rPr>
          <w:rFonts w:ascii="Traditional Arabic" w:hAnsi="Traditional Arabic" w:cs="Traditional Arabic"/>
          <w:sz w:val="28"/>
          <w:szCs w:val="28"/>
        </w:rPr>
        <w:t>Almahmoud</w:t>
      </w:r>
      <w:proofErr w:type="spellEnd"/>
      <w:r w:rsidRPr="00146D14">
        <w:rPr>
          <w:rFonts w:ascii="Traditional Arabic" w:hAnsi="Traditional Arabic" w:cs="Traditional Arabic"/>
          <w:sz w:val="28"/>
          <w:szCs w:val="28"/>
        </w:rPr>
        <w:t xml:space="preserve"> et al. (2012) </w:t>
      </w:r>
      <w:r w:rsidRPr="00146D14">
        <w:rPr>
          <w:rFonts w:ascii="Traditional Arabic" w:hAnsi="Traditional Arabic" w:cs="Traditional Arabic"/>
          <w:sz w:val="28"/>
          <w:szCs w:val="28"/>
          <w:rtl/>
        </w:rPr>
        <w:t>إلى أن تجاوز التكلفة عادة ما يكون ناتجًا عن ضعف التخطيط المالي، أو سوء إدارة الموارد، أو تغييرات متكررة في نطاق العمل. كما أن إعادة العمل بسبب أخطاء في التنفيذ أو التصميم يؤدي إلى زيادة المصروفات بما يتجاوز التقديرات الأولية</w:t>
      </w:r>
      <w:r w:rsidRPr="00146D14">
        <w:rPr>
          <w:rFonts w:ascii="Traditional Arabic" w:hAnsi="Traditional Arabic" w:cs="Traditional Arabic"/>
          <w:sz w:val="28"/>
          <w:szCs w:val="28"/>
        </w:rPr>
        <w:t>.</w:t>
      </w:r>
    </w:p>
    <w:p w14:paraId="5BDCF1A6" w14:textId="77777777" w:rsidR="009E5536" w:rsidRPr="00146D14" w:rsidRDefault="009E5536" w:rsidP="002D62DA">
      <w:pPr>
        <w:bidi/>
        <w:spacing w:line="480" w:lineRule="auto"/>
        <w:jc w:val="both"/>
        <w:rPr>
          <w:rFonts w:ascii="Traditional Arabic" w:hAnsi="Traditional Arabic" w:cs="Traditional Arabic"/>
          <w:sz w:val="28"/>
          <w:szCs w:val="28"/>
        </w:rPr>
      </w:pPr>
      <w:r w:rsidRPr="00146D14">
        <w:rPr>
          <w:rFonts w:ascii="Traditional Arabic" w:hAnsi="Traditional Arabic" w:cs="Traditional Arabic"/>
          <w:sz w:val="28"/>
          <w:szCs w:val="28"/>
          <w:rtl/>
        </w:rPr>
        <w:t>أما الوقت، فهو يُعد من أكثر مؤشرات الأداء حساسية وتأثيرًا على رضا العملاء ومخرجات المشروع. وقد أظهرت دراسة</w:t>
      </w:r>
      <w:r w:rsidRPr="00146D14">
        <w:rPr>
          <w:rFonts w:ascii="Traditional Arabic" w:hAnsi="Traditional Arabic" w:cs="Traditional Arabic"/>
          <w:sz w:val="28"/>
          <w:szCs w:val="28"/>
        </w:rPr>
        <w:t xml:space="preserve"> Alfalah et al. (2024) </w:t>
      </w:r>
      <w:r w:rsidRPr="00146D14">
        <w:rPr>
          <w:rFonts w:ascii="Traditional Arabic" w:hAnsi="Traditional Arabic" w:cs="Traditional Arabic"/>
          <w:sz w:val="28"/>
          <w:szCs w:val="28"/>
          <w:rtl/>
        </w:rPr>
        <w:t>أن مؤشرات مثل وقت الإنجاز الفعلي، ووقت إعادة العمل، ووقت الاستجابة للحوادث تمثل معايير حاسمة في تقييم كفاءة المقاولين. وتُعد التأخيرات الناتجة عن التغيرات التصميمية، أو ضعف التنسيق، أو ظروف الموقع غير المتوقعة من أكثر الأسباب شيوعًا في انخفاض الأداء الزمني للمشروعات. وبيّن الباحثون أن تطوير نموذج تقييم يعتمد على أوزان نسبية لمؤشرات الوقت، كما تم باستخدام منهجية</w:t>
      </w:r>
      <w:r w:rsidRPr="00146D14">
        <w:rPr>
          <w:rFonts w:ascii="Traditional Arabic" w:hAnsi="Traditional Arabic" w:cs="Traditional Arabic"/>
          <w:sz w:val="28"/>
          <w:szCs w:val="28"/>
        </w:rPr>
        <w:t xml:space="preserve"> AHP</w:t>
      </w:r>
      <w:r w:rsidRPr="00146D14">
        <w:rPr>
          <w:rFonts w:ascii="Traditional Arabic" w:hAnsi="Traditional Arabic" w:cs="Traditional Arabic"/>
          <w:sz w:val="28"/>
          <w:szCs w:val="28"/>
          <w:rtl/>
        </w:rPr>
        <w:t>، يمكن أن يُساعد في اختيار المقاولين الأكفأ والأكثر التزامًا</w:t>
      </w:r>
      <w:r w:rsidRPr="00146D14">
        <w:rPr>
          <w:rFonts w:ascii="Traditional Arabic" w:hAnsi="Traditional Arabic" w:cs="Traditional Arabic"/>
          <w:sz w:val="28"/>
          <w:szCs w:val="28"/>
        </w:rPr>
        <w:t>.</w:t>
      </w:r>
    </w:p>
    <w:p w14:paraId="462F45CC" w14:textId="77777777" w:rsidR="009E5536" w:rsidRPr="00146D14" w:rsidRDefault="009E5536" w:rsidP="002D62DA">
      <w:pPr>
        <w:bidi/>
        <w:spacing w:line="480" w:lineRule="auto"/>
        <w:jc w:val="both"/>
        <w:rPr>
          <w:rFonts w:ascii="Traditional Arabic" w:hAnsi="Traditional Arabic" w:cs="Traditional Arabic"/>
          <w:sz w:val="28"/>
          <w:szCs w:val="28"/>
        </w:rPr>
      </w:pPr>
      <w:r w:rsidRPr="00146D14">
        <w:rPr>
          <w:rFonts w:ascii="Traditional Arabic" w:hAnsi="Traditional Arabic" w:cs="Traditional Arabic"/>
          <w:sz w:val="28"/>
          <w:szCs w:val="28"/>
          <w:rtl/>
        </w:rPr>
        <w:t xml:space="preserve">تُعد الجودة مؤشرًا رئيسيًا ينعكس مباشرة على مدى مطابقة المنتج النهائي للمواصفات الفنية والمعايير المعتمدة. وتُقاس الجودة من خلال عدة مؤشرات فرعية منها معدل العيوب، وعدد مرات إعادة العمل، ونتائج الفحوصات الميدانية. كما تشمل جودة التنفيذ، وجودة </w:t>
      </w:r>
      <w:r w:rsidRPr="00146D14">
        <w:rPr>
          <w:rFonts w:ascii="Traditional Arabic" w:hAnsi="Traditional Arabic" w:cs="Traditional Arabic"/>
          <w:sz w:val="28"/>
          <w:szCs w:val="28"/>
          <w:rtl/>
        </w:rPr>
        <w:lastRenderedPageBreak/>
        <w:t>المستندات الفنية، ومستوى إنتاجية العمالة. وأشارت</w:t>
      </w:r>
      <w:r w:rsidRPr="00146D14">
        <w:rPr>
          <w:rFonts w:ascii="Traditional Arabic" w:hAnsi="Traditional Arabic" w:cs="Traditional Arabic"/>
          <w:sz w:val="28"/>
          <w:szCs w:val="28"/>
        </w:rPr>
        <w:t xml:space="preserve"> </w:t>
      </w:r>
      <w:proofErr w:type="spellStart"/>
      <w:r w:rsidRPr="00146D14">
        <w:rPr>
          <w:rFonts w:ascii="Traditional Arabic" w:hAnsi="Traditional Arabic" w:cs="Traditional Arabic"/>
          <w:sz w:val="28"/>
          <w:szCs w:val="28"/>
        </w:rPr>
        <w:t>Almahmoud</w:t>
      </w:r>
      <w:proofErr w:type="spellEnd"/>
      <w:r w:rsidRPr="00146D14">
        <w:rPr>
          <w:rFonts w:ascii="Traditional Arabic" w:hAnsi="Traditional Arabic" w:cs="Traditional Arabic"/>
          <w:sz w:val="28"/>
          <w:szCs w:val="28"/>
        </w:rPr>
        <w:t xml:space="preserve"> et al. (2012) </w:t>
      </w:r>
      <w:r w:rsidRPr="00146D14">
        <w:rPr>
          <w:rFonts w:ascii="Traditional Arabic" w:hAnsi="Traditional Arabic" w:cs="Traditional Arabic"/>
          <w:sz w:val="28"/>
          <w:szCs w:val="28"/>
          <w:rtl/>
        </w:rPr>
        <w:t>إلى أن ضعف الجودة يؤدي إلى سلسلة من التكاليف الخفية مثل إصلاح العيوب، والتأخير، وانخفاض رضا العميل، ما يجعل من إدارة الجودة عنصرًا أساسيًا في أي إطار تقييم للأداء</w:t>
      </w:r>
      <w:r w:rsidRPr="00146D14">
        <w:rPr>
          <w:rFonts w:ascii="Traditional Arabic" w:hAnsi="Traditional Arabic" w:cs="Traditional Arabic"/>
          <w:sz w:val="28"/>
          <w:szCs w:val="28"/>
        </w:rPr>
        <w:t>.</w:t>
      </w:r>
    </w:p>
    <w:p w14:paraId="1E956A72" w14:textId="77777777" w:rsidR="009E5536" w:rsidRPr="00146D14" w:rsidRDefault="009E5536" w:rsidP="002D62DA">
      <w:pPr>
        <w:bidi/>
        <w:spacing w:line="480" w:lineRule="auto"/>
        <w:jc w:val="both"/>
        <w:rPr>
          <w:rFonts w:ascii="Traditional Arabic" w:hAnsi="Traditional Arabic" w:cs="Traditional Arabic"/>
          <w:sz w:val="28"/>
          <w:szCs w:val="28"/>
        </w:rPr>
      </w:pPr>
      <w:r w:rsidRPr="00146D14">
        <w:rPr>
          <w:rFonts w:ascii="Traditional Arabic" w:hAnsi="Traditional Arabic" w:cs="Traditional Arabic"/>
          <w:sz w:val="28"/>
          <w:szCs w:val="28"/>
          <w:rtl/>
        </w:rPr>
        <w:t>لا يقل مؤشر السلامة أهمية عن المؤشرات السابقة، حيث يمثل عنصرًا حاسمًا في بيئة العمل الإنشائية نظرًا لطبيعة المخاطر المرتبطة بها. ويُقاس هذا المؤشر من خلال معدل الحوادث، وعدد الإصابات أو الوفيات، والامتثال لمعايير الصحة والسلامة، ومدى فعالية إدارة المخاطر. وبينت دراسة</w:t>
      </w:r>
      <w:r w:rsidRPr="00146D14">
        <w:rPr>
          <w:rFonts w:ascii="Traditional Arabic" w:hAnsi="Traditional Arabic" w:cs="Traditional Arabic"/>
          <w:sz w:val="28"/>
          <w:szCs w:val="28"/>
        </w:rPr>
        <w:t xml:space="preserve"> Alfalah et al. (2024) </w:t>
      </w:r>
      <w:r w:rsidRPr="00146D14">
        <w:rPr>
          <w:rFonts w:ascii="Traditional Arabic" w:hAnsi="Traditional Arabic" w:cs="Traditional Arabic"/>
          <w:sz w:val="28"/>
          <w:szCs w:val="28"/>
          <w:rtl/>
        </w:rPr>
        <w:t>أن المشاريع التي تُسجل مستويات سلامة مرتفعة تنعكس عليها نتائج إيجابية في الجوانب الإنتاجية والمالية، كما أنها تعزز من سمعة المقاول وثقة الجهات المالكة. فيما توضح</w:t>
      </w:r>
      <w:r w:rsidRPr="00146D14">
        <w:rPr>
          <w:rFonts w:ascii="Traditional Arabic" w:hAnsi="Traditional Arabic" w:cs="Traditional Arabic"/>
          <w:sz w:val="28"/>
          <w:szCs w:val="28"/>
        </w:rPr>
        <w:t xml:space="preserve"> </w:t>
      </w:r>
      <w:proofErr w:type="spellStart"/>
      <w:r w:rsidRPr="00146D14">
        <w:rPr>
          <w:rFonts w:ascii="Traditional Arabic" w:hAnsi="Traditional Arabic" w:cs="Traditional Arabic"/>
          <w:sz w:val="28"/>
          <w:szCs w:val="28"/>
        </w:rPr>
        <w:t>Almahmoud</w:t>
      </w:r>
      <w:proofErr w:type="spellEnd"/>
      <w:r w:rsidRPr="00146D14">
        <w:rPr>
          <w:rFonts w:ascii="Traditional Arabic" w:hAnsi="Traditional Arabic" w:cs="Traditional Arabic"/>
          <w:sz w:val="28"/>
          <w:szCs w:val="28"/>
        </w:rPr>
        <w:t xml:space="preserve"> et al. (2012) </w:t>
      </w:r>
      <w:r w:rsidRPr="00146D14">
        <w:rPr>
          <w:rFonts w:ascii="Traditional Arabic" w:hAnsi="Traditional Arabic" w:cs="Traditional Arabic"/>
          <w:sz w:val="28"/>
          <w:szCs w:val="28"/>
          <w:rtl/>
        </w:rPr>
        <w:t>أن إدارة السلامة ترتبط أيضًا بالاستدامة الاجتماعية، من خلال الحفاظ على صحة العاملين وتقليل التعرض للمخاطر البيئية</w:t>
      </w:r>
      <w:r w:rsidRPr="00146D14">
        <w:rPr>
          <w:rFonts w:ascii="Traditional Arabic" w:hAnsi="Traditional Arabic" w:cs="Traditional Arabic"/>
          <w:sz w:val="28"/>
          <w:szCs w:val="28"/>
        </w:rPr>
        <w:t>.</w:t>
      </w:r>
    </w:p>
    <w:p w14:paraId="652147E4" w14:textId="77777777" w:rsidR="009E5536" w:rsidRPr="00146D14" w:rsidRDefault="009E5536" w:rsidP="002D62DA">
      <w:pPr>
        <w:bidi/>
        <w:spacing w:line="480" w:lineRule="auto"/>
        <w:jc w:val="both"/>
        <w:rPr>
          <w:rFonts w:ascii="Traditional Arabic" w:hAnsi="Traditional Arabic" w:cs="Traditional Arabic"/>
          <w:sz w:val="28"/>
          <w:szCs w:val="28"/>
        </w:rPr>
      </w:pPr>
      <w:r w:rsidRPr="00146D14">
        <w:rPr>
          <w:rFonts w:ascii="Traditional Arabic" w:hAnsi="Traditional Arabic" w:cs="Traditional Arabic"/>
          <w:sz w:val="28"/>
          <w:szCs w:val="28"/>
          <w:rtl/>
        </w:rPr>
        <w:t>ويأتي رضا العملاء كمؤشر تجميعي يعكس مدى تطابق المنتج مع توقعات العميل سواء من حيث الجودة، أو الوقت، أو التكلفة. وتُقاس هذه الرضا من خلال ملاحظات العملاء، واستبيانات ما بعد التسليم، ودرجة التواصل والاستجابة مع العملاء خلال مراحل المشروع. وقد وجدت دراسة</w:t>
      </w:r>
      <w:r w:rsidRPr="00146D14">
        <w:rPr>
          <w:rFonts w:ascii="Traditional Arabic" w:hAnsi="Traditional Arabic" w:cs="Traditional Arabic"/>
          <w:sz w:val="28"/>
          <w:szCs w:val="28"/>
        </w:rPr>
        <w:t xml:space="preserve"> Alfalah et al. (2024) </w:t>
      </w:r>
      <w:r w:rsidRPr="00146D14">
        <w:rPr>
          <w:rFonts w:ascii="Traditional Arabic" w:hAnsi="Traditional Arabic" w:cs="Traditional Arabic"/>
          <w:sz w:val="28"/>
          <w:szCs w:val="28"/>
          <w:rtl/>
        </w:rPr>
        <w:t>أن رضا العميل يتأثر بشكل مباشر بجودة التركيب، وحسن التواصل، ومرونة التعامل مع التعديلات، ما يعكس أهمية البُعد الإنساني في علاقة المقاول بالمالك</w:t>
      </w:r>
      <w:r w:rsidRPr="00146D14">
        <w:rPr>
          <w:rFonts w:ascii="Traditional Arabic" w:hAnsi="Traditional Arabic" w:cs="Traditional Arabic"/>
          <w:sz w:val="28"/>
          <w:szCs w:val="28"/>
        </w:rPr>
        <w:t>.</w:t>
      </w:r>
    </w:p>
    <w:p w14:paraId="48CFE3AC" w14:textId="77777777" w:rsidR="009E5536" w:rsidRPr="00146D14" w:rsidRDefault="009E5536" w:rsidP="002D62DA">
      <w:pPr>
        <w:bidi/>
        <w:spacing w:line="480" w:lineRule="auto"/>
        <w:jc w:val="both"/>
        <w:rPr>
          <w:rFonts w:ascii="Traditional Arabic" w:hAnsi="Traditional Arabic" w:cs="Traditional Arabic"/>
          <w:sz w:val="28"/>
          <w:szCs w:val="28"/>
        </w:rPr>
      </w:pPr>
      <w:r w:rsidRPr="00146D14">
        <w:rPr>
          <w:rFonts w:ascii="Traditional Arabic" w:hAnsi="Traditional Arabic" w:cs="Traditional Arabic"/>
          <w:sz w:val="28"/>
          <w:szCs w:val="28"/>
          <w:rtl/>
        </w:rPr>
        <w:t>وتجدر الإشارة إلى أن أداء المشروع لا يُقاس فقط عبر المؤشرات الكمية، بل إن الأداء المستدام أصبح يُدمج اليوم كمفهوم عابر لكل المؤشرات التقليدية. إذ أظهرت دراسة</w:t>
      </w:r>
      <w:r w:rsidRPr="00146D14">
        <w:rPr>
          <w:rFonts w:ascii="Traditional Arabic" w:hAnsi="Traditional Arabic" w:cs="Traditional Arabic"/>
          <w:sz w:val="28"/>
          <w:szCs w:val="28"/>
        </w:rPr>
        <w:t xml:space="preserve"> </w:t>
      </w:r>
      <w:proofErr w:type="spellStart"/>
      <w:r w:rsidRPr="00146D14">
        <w:rPr>
          <w:rFonts w:ascii="Traditional Arabic" w:hAnsi="Traditional Arabic" w:cs="Traditional Arabic"/>
          <w:sz w:val="28"/>
          <w:szCs w:val="28"/>
        </w:rPr>
        <w:t>Alazmi</w:t>
      </w:r>
      <w:proofErr w:type="spellEnd"/>
      <w:r w:rsidRPr="00146D14">
        <w:rPr>
          <w:rFonts w:ascii="Traditional Arabic" w:hAnsi="Traditional Arabic" w:cs="Traditional Arabic"/>
          <w:sz w:val="28"/>
          <w:szCs w:val="28"/>
        </w:rPr>
        <w:t xml:space="preserve"> et al. (2025) </w:t>
      </w:r>
      <w:r w:rsidRPr="00146D14">
        <w:rPr>
          <w:rFonts w:ascii="Traditional Arabic" w:hAnsi="Traditional Arabic" w:cs="Traditional Arabic"/>
          <w:sz w:val="28"/>
          <w:szCs w:val="28"/>
          <w:rtl/>
        </w:rPr>
        <w:t xml:space="preserve">أن تبني ممارسات الاستدامة في إدارة النفايات يمكن أن يحسّن الأداء المالي والزمني والجودة معًا، حيث يساعد تقليل الأنشطة غير ذات القيمة، وإعادة تدوير المواد، وتبني البناء الهزيل في خفض </w:t>
      </w:r>
      <w:r w:rsidRPr="00146D14">
        <w:rPr>
          <w:rFonts w:ascii="Traditional Arabic" w:hAnsi="Traditional Arabic" w:cs="Traditional Arabic"/>
          <w:sz w:val="28"/>
          <w:szCs w:val="28"/>
          <w:rtl/>
        </w:rPr>
        <w:lastRenderedPageBreak/>
        <w:t>التكاليف وتحسين الكفاءة. على سبيل المثال، استخدام مواد معاد تدويرها أو التربة الزائدة في عمليات البناء يمكن أن يقلل من استهلاك الموارد الطبيعية، ويسرع تنفيذ الأعمال، ويقلل من النفايات، ما ينعكس على التكلفة والوقت والجودة في آن واحد</w:t>
      </w:r>
      <w:r w:rsidRPr="00146D14">
        <w:rPr>
          <w:rFonts w:ascii="Traditional Arabic" w:hAnsi="Traditional Arabic" w:cs="Traditional Arabic"/>
          <w:sz w:val="28"/>
          <w:szCs w:val="28"/>
        </w:rPr>
        <w:t>.</w:t>
      </w:r>
    </w:p>
    <w:p w14:paraId="6A5E2243" w14:textId="77777777" w:rsidR="009E5536" w:rsidRPr="00146D14" w:rsidRDefault="009E5536" w:rsidP="002D62DA">
      <w:pPr>
        <w:bidi/>
        <w:spacing w:line="480" w:lineRule="auto"/>
        <w:jc w:val="both"/>
        <w:rPr>
          <w:rFonts w:ascii="Traditional Arabic" w:hAnsi="Traditional Arabic" w:cs="Traditional Arabic"/>
          <w:sz w:val="28"/>
          <w:szCs w:val="28"/>
        </w:rPr>
      </w:pPr>
      <w:r w:rsidRPr="00146D14">
        <w:rPr>
          <w:rFonts w:ascii="Traditional Arabic" w:hAnsi="Traditional Arabic" w:cs="Traditional Arabic"/>
          <w:sz w:val="28"/>
          <w:szCs w:val="28"/>
          <w:rtl/>
        </w:rPr>
        <w:t>كما يُسهم رفع وعي العاملين وتدريبهم على ممارسات الاستدامة البيئية في تحسين جودة التنفيذ، وتقليل الأخطاء، وتحقيق بيئة عمل أكثر أمانًا. وبينت الدراسة أن وجود إطار عمل متكامل يجمع بين البناء الهزيل ونظم الإدارة البيئية يُعد أحد الوسائل الأكثر فاعلية لتعزيز الأداء الإنشائي، إلا أن التطبيق يواجه تحديات كبيرة تتعلق بنقص المعرفة، ومقاومة التغيير، والتكلفة الأولية المرتفعة</w:t>
      </w:r>
      <w:r w:rsidRPr="00146D14">
        <w:rPr>
          <w:rFonts w:ascii="Traditional Arabic" w:hAnsi="Traditional Arabic" w:cs="Traditional Arabic"/>
          <w:sz w:val="28"/>
          <w:szCs w:val="28"/>
        </w:rPr>
        <w:t xml:space="preserve"> (</w:t>
      </w:r>
      <w:proofErr w:type="spellStart"/>
      <w:r w:rsidRPr="00146D14">
        <w:rPr>
          <w:rFonts w:ascii="Traditional Arabic" w:hAnsi="Traditional Arabic" w:cs="Traditional Arabic"/>
          <w:sz w:val="28"/>
          <w:szCs w:val="28"/>
        </w:rPr>
        <w:t>Alazmi</w:t>
      </w:r>
      <w:proofErr w:type="spellEnd"/>
      <w:r w:rsidRPr="00146D14">
        <w:rPr>
          <w:rFonts w:ascii="Traditional Arabic" w:hAnsi="Traditional Arabic" w:cs="Traditional Arabic"/>
          <w:sz w:val="28"/>
          <w:szCs w:val="28"/>
        </w:rPr>
        <w:t xml:space="preserve"> et al., 2025).</w:t>
      </w:r>
    </w:p>
    <w:p w14:paraId="385549F2" w14:textId="19E06CCB" w:rsidR="009E5536" w:rsidRPr="00146D14" w:rsidRDefault="009E5536" w:rsidP="002D62DA">
      <w:pPr>
        <w:bidi/>
        <w:spacing w:line="480" w:lineRule="auto"/>
        <w:jc w:val="both"/>
        <w:rPr>
          <w:rFonts w:ascii="Traditional Arabic" w:hAnsi="Traditional Arabic" w:cs="Traditional Arabic"/>
          <w:sz w:val="28"/>
          <w:szCs w:val="28"/>
        </w:rPr>
      </w:pPr>
      <w:r w:rsidRPr="00146D14">
        <w:rPr>
          <w:rFonts w:ascii="Traditional Arabic" w:hAnsi="Traditional Arabic" w:cs="Traditional Arabic"/>
          <w:sz w:val="28"/>
          <w:szCs w:val="28"/>
          <w:rtl/>
        </w:rPr>
        <w:t>وفي ضوء ذلك، يصبح واضحًا أن قياس أداء المشاريع لا يمكن أن يقتصر على مؤشرات منفصلة، بل ينبغي أن يتم من خلال نماذج تقييم شاملة تدمج بين الأبعاد الفنية، والمالية، والبيئية، والاجتماعية. وتوصي الدراسات التي أجريت في السعودية بضرورة تبني نماذج تقييم مثل</w:t>
      </w:r>
      <w:r w:rsidRPr="00146D14">
        <w:rPr>
          <w:rFonts w:ascii="Traditional Arabic" w:hAnsi="Traditional Arabic" w:cs="Traditional Arabic"/>
          <w:sz w:val="28"/>
          <w:szCs w:val="28"/>
        </w:rPr>
        <w:t xml:space="preserve"> AHP </w:t>
      </w:r>
      <w:r w:rsidRPr="00146D14">
        <w:rPr>
          <w:rFonts w:ascii="Traditional Arabic" w:hAnsi="Traditional Arabic" w:cs="Traditional Arabic"/>
          <w:sz w:val="28"/>
          <w:szCs w:val="28"/>
          <w:rtl/>
        </w:rPr>
        <w:t>أو نماذج قائمة على</w:t>
      </w:r>
      <w:r w:rsidRPr="00146D14">
        <w:rPr>
          <w:rFonts w:ascii="Traditional Arabic" w:hAnsi="Traditional Arabic" w:cs="Traditional Arabic"/>
          <w:sz w:val="28"/>
          <w:szCs w:val="28"/>
        </w:rPr>
        <w:t xml:space="preserve"> MCDM (Multiple Criteria Decision Making) </w:t>
      </w:r>
      <w:r w:rsidRPr="00146D14">
        <w:rPr>
          <w:rFonts w:ascii="Traditional Arabic" w:hAnsi="Traditional Arabic" w:cs="Traditional Arabic"/>
          <w:sz w:val="28"/>
          <w:szCs w:val="28"/>
          <w:rtl/>
        </w:rPr>
        <w:t>لتحليل الأداء بطريقة مرجحة وشاملة</w:t>
      </w:r>
      <w:r w:rsidRPr="00146D14">
        <w:rPr>
          <w:rFonts w:ascii="Traditional Arabic" w:hAnsi="Traditional Arabic" w:cs="Traditional Arabic"/>
          <w:sz w:val="28"/>
          <w:szCs w:val="28"/>
        </w:rPr>
        <w:t xml:space="preserve"> (Alfalah et al., 2024). </w:t>
      </w:r>
      <w:r w:rsidRPr="00146D14">
        <w:rPr>
          <w:rFonts w:ascii="Traditional Arabic" w:hAnsi="Traditional Arabic" w:cs="Traditional Arabic"/>
          <w:sz w:val="28"/>
          <w:szCs w:val="28"/>
          <w:rtl/>
        </w:rPr>
        <w:t>كما يُوصى بتطوير أنظمة رقمية قادرة على تتبع مؤشرات الأداء الفعلية في الزمن الحقيقي، مما يساعد في اتخاذ قرارات استباقية، ويعزز من قدرة الفرق على معالجة الانحرافات في وقت مبكر</w:t>
      </w:r>
      <w:r w:rsidRPr="00146D14">
        <w:rPr>
          <w:rFonts w:ascii="Traditional Arabic" w:hAnsi="Traditional Arabic" w:cs="Traditional Arabic"/>
          <w:sz w:val="28"/>
          <w:szCs w:val="28"/>
        </w:rPr>
        <w:t>.</w:t>
      </w:r>
    </w:p>
    <w:p w14:paraId="0D0EC857" w14:textId="4DB57199" w:rsidR="007205A8" w:rsidRPr="00146D14" w:rsidRDefault="009E5536" w:rsidP="006C3304">
      <w:pPr>
        <w:bidi/>
        <w:spacing w:line="480" w:lineRule="auto"/>
        <w:jc w:val="both"/>
        <w:rPr>
          <w:rFonts w:ascii="Traditional Arabic" w:hAnsi="Traditional Arabic" w:cs="Traditional Arabic"/>
          <w:sz w:val="28"/>
          <w:szCs w:val="28"/>
        </w:rPr>
      </w:pPr>
      <w:r w:rsidRPr="00146D14">
        <w:rPr>
          <w:rFonts w:ascii="Traditional Arabic" w:hAnsi="Traditional Arabic" w:cs="Traditional Arabic"/>
          <w:sz w:val="28"/>
          <w:szCs w:val="28"/>
          <w:rtl/>
        </w:rPr>
        <w:t>وعلى الرغم من أن الدراسة التي أجراها</w:t>
      </w:r>
      <w:r w:rsidRPr="00146D14">
        <w:rPr>
          <w:rFonts w:ascii="Traditional Arabic" w:hAnsi="Traditional Arabic" w:cs="Traditional Arabic"/>
          <w:sz w:val="28"/>
          <w:szCs w:val="28"/>
        </w:rPr>
        <w:t xml:space="preserve"> </w:t>
      </w:r>
      <w:proofErr w:type="spellStart"/>
      <w:r w:rsidRPr="00146D14">
        <w:rPr>
          <w:rFonts w:ascii="Traditional Arabic" w:hAnsi="Traditional Arabic" w:cs="Traditional Arabic"/>
          <w:sz w:val="28"/>
          <w:szCs w:val="28"/>
        </w:rPr>
        <w:t>Almahmoud</w:t>
      </w:r>
      <w:proofErr w:type="spellEnd"/>
      <w:r w:rsidRPr="00146D14">
        <w:rPr>
          <w:rFonts w:ascii="Traditional Arabic" w:hAnsi="Traditional Arabic" w:cs="Traditional Arabic"/>
          <w:sz w:val="28"/>
          <w:szCs w:val="28"/>
        </w:rPr>
        <w:t xml:space="preserve"> et al. (2012) </w:t>
      </w:r>
      <w:r w:rsidRPr="00146D14">
        <w:rPr>
          <w:rFonts w:ascii="Traditional Arabic" w:hAnsi="Traditional Arabic" w:cs="Traditional Arabic"/>
          <w:sz w:val="28"/>
          <w:szCs w:val="28"/>
          <w:rtl/>
        </w:rPr>
        <w:t>لم تتناول موضوع الاستدامة بشكل مباشر، إلا أنها ربطت بين الأداء الفعلي وعوامل داخلية مثل جودة الإدارة، والتنظيم، والتخطيط، وهي عوامل ترتبط بشكل غير مباشر بمفاهيم الاستدامة. حيث أوضحت الدراسة أن جودة المستندات والتواصل والقيادة داخل المشروع تُسهم بشكل جوهري في تحسين الأداء عبر تقليل الحاجة إلى إعادة العمل، وتحسين التخطيط، وتقليل الهدر</w:t>
      </w:r>
      <w:r w:rsidRPr="00146D14">
        <w:rPr>
          <w:rFonts w:ascii="Traditional Arabic" w:hAnsi="Traditional Arabic" w:cs="Traditional Arabic"/>
          <w:sz w:val="28"/>
          <w:szCs w:val="28"/>
        </w:rPr>
        <w:t>.</w:t>
      </w:r>
    </w:p>
    <w:p w14:paraId="49536F26" w14:textId="0A541D95" w:rsidR="00BB2147" w:rsidRPr="004D61FE" w:rsidRDefault="00BB2147" w:rsidP="007205A8">
      <w:pPr>
        <w:pStyle w:val="ListParagraph"/>
        <w:numPr>
          <w:ilvl w:val="0"/>
          <w:numId w:val="21"/>
        </w:numPr>
        <w:bidi/>
        <w:spacing w:line="480" w:lineRule="auto"/>
        <w:rPr>
          <w:rFonts w:ascii="Traditional Arabic" w:hAnsi="Traditional Arabic" w:cs="Traditional Arabic"/>
          <w:b/>
          <w:bCs/>
          <w:sz w:val="28"/>
          <w:szCs w:val="28"/>
        </w:rPr>
      </w:pPr>
      <w:r w:rsidRPr="004D61FE">
        <w:rPr>
          <w:rFonts w:ascii="Traditional Arabic" w:hAnsi="Traditional Arabic" w:cs="Traditional Arabic" w:hint="cs"/>
          <w:sz w:val="28"/>
          <w:szCs w:val="28"/>
          <w:rtl/>
        </w:rPr>
        <w:lastRenderedPageBreak/>
        <w:t xml:space="preserve"> </w:t>
      </w:r>
      <w:r w:rsidRPr="004D61FE">
        <w:rPr>
          <w:rFonts w:ascii="Traditional Arabic" w:hAnsi="Traditional Arabic" w:cs="Traditional Arabic"/>
          <w:b/>
          <w:bCs/>
          <w:sz w:val="28"/>
          <w:szCs w:val="28"/>
          <w:rtl/>
        </w:rPr>
        <w:t>العلاقة بين الاستدامة وأداء المشاريع الإنشائية</w:t>
      </w:r>
    </w:p>
    <w:p w14:paraId="20DBE05F" w14:textId="05B986C1" w:rsidR="00BB2147" w:rsidRPr="00BB2147" w:rsidRDefault="004D61FE" w:rsidP="006337C0">
      <w:pPr>
        <w:bidi/>
        <w:spacing w:line="480" w:lineRule="auto"/>
        <w:rPr>
          <w:rFonts w:ascii="Traditional Arabic" w:hAnsi="Traditional Arabic" w:cs="Traditional Arabic"/>
          <w:sz w:val="28"/>
          <w:szCs w:val="28"/>
        </w:rPr>
      </w:pPr>
      <w:r>
        <w:rPr>
          <w:rFonts w:ascii="Traditional Arabic" w:hAnsi="Traditional Arabic" w:cs="Traditional Arabic" w:hint="cs"/>
          <w:b/>
          <w:bCs/>
          <w:sz w:val="28"/>
          <w:szCs w:val="28"/>
          <w:rtl/>
        </w:rPr>
        <w:t xml:space="preserve">3.1 </w:t>
      </w:r>
      <w:r w:rsidR="00BB2147" w:rsidRPr="00BB2147">
        <w:rPr>
          <w:rFonts w:ascii="Traditional Arabic" w:hAnsi="Traditional Arabic" w:cs="Traditional Arabic"/>
          <w:b/>
          <w:bCs/>
          <w:sz w:val="28"/>
          <w:szCs w:val="28"/>
          <w:rtl/>
        </w:rPr>
        <w:t>تأثير ممارسات الاستدامة على الكفاءة التشغيلية والتكاليف طويلة المدى</w:t>
      </w:r>
    </w:p>
    <w:p w14:paraId="245322B3" w14:textId="77777777" w:rsidR="00585596" w:rsidRPr="00585596" w:rsidRDefault="00585596" w:rsidP="00585596">
      <w:pPr>
        <w:bidi/>
        <w:spacing w:line="480" w:lineRule="auto"/>
        <w:rPr>
          <w:rFonts w:ascii="Traditional Arabic" w:hAnsi="Traditional Arabic" w:cs="Traditional Arabic"/>
          <w:sz w:val="28"/>
          <w:szCs w:val="28"/>
        </w:rPr>
      </w:pPr>
      <w:r w:rsidRPr="00585596">
        <w:rPr>
          <w:rFonts w:ascii="Traditional Arabic" w:hAnsi="Traditional Arabic" w:cs="Traditional Arabic"/>
          <w:sz w:val="28"/>
          <w:szCs w:val="28"/>
          <w:rtl/>
        </w:rPr>
        <w:t>يُظهر تحليل العلاقة بين الاستدامة وأداء المشاريع الإنشائية أن دمج مبادئ الاستدامة لم يعد مجرد خيار تنظيمي أو بيئي، بل يمثل توجهًا إستراتيجيًا يدعم البنية التشغيلية للمشاريع، خصوصًا في البيئات التي تواجه ضغوطًا مرتبطة باستهلاك الموارد وارتفاع التكاليف كما هو الحال في المملكة العربية السعودية. وتكشف الأدبيات أن التأثير لا يقتصر على البعد البيئي، بل يمتد ليعيد تشكيل منهجية إدارة المشروع، من حيث الكفاءة التشغيلية والتكاليف طويلة الأمد. ومن خلال استقراء الاتجاهات البحثية، يمكن القول إن الاستدامة أصبحت إطارًا تشغيليًا يُسهم في إعادة تعريف مفهوم الأداء، عبر تحويله من مجرد مخرجات زمنية ومالية إلى كفاءة شمولية في إدارة الموارد وتحقيق قيمة مستدامة</w:t>
      </w:r>
      <w:r w:rsidRPr="00585596">
        <w:rPr>
          <w:rFonts w:ascii="Traditional Arabic" w:hAnsi="Traditional Arabic" w:cs="Traditional Arabic"/>
          <w:sz w:val="28"/>
          <w:szCs w:val="28"/>
        </w:rPr>
        <w:t>.</w:t>
      </w:r>
    </w:p>
    <w:p w14:paraId="2466F376" w14:textId="43B5F59B" w:rsidR="00585596" w:rsidRPr="00585596" w:rsidRDefault="00585596" w:rsidP="00585596">
      <w:pPr>
        <w:bidi/>
        <w:spacing w:line="480" w:lineRule="auto"/>
        <w:rPr>
          <w:rFonts w:ascii="Traditional Arabic" w:hAnsi="Traditional Arabic" w:cs="Traditional Arabic"/>
          <w:sz w:val="28"/>
          <w:szCs w:val="28"/>
        </w:rPr>
      </w:pPr>
      <w:r w:rsidRPr="00585596">
        <w:rPr>
          <w:rFonts w:ascii="Traditional Arabic" w:hAnsi="Traditional Arabic" w:cs="Traditional Arabic"/>
          <w:sz w:val="28"/>
          <w:szCs w:val="28"/>
          <w:rtl/>
        </w:rPr>
        <w:t>وعند تحليل ما طرحه الحسن (2025)، يظهر أن الكفاءة التشغيلية في المشاريع المستدامة ليست نتيجة مباشرة لتطبيق أدوات الجودة فحسب، بل هي نتاج دمج فكري بين مبادئ الاستدامة ونظم الإدارة الحديثة. فالدراسة تُظهر واقعًا، بينما التفسير العلمي يشير إلى أن هذا الاندماج يؤدي إلى بناء “نظام تشغيل متوازن” يحدّ من الأخطاء ويزيد الإنتاجية</w:t>
      </w:r>
      <w:r w:rsidR="00C82DFC">
        <w:rPr>
          <w:rFonts w:ascii="Traditional Arabic" w:hAnsi="Traditional Arabic" w:cs="Traditional Arabic"/>
          <w:sz w:val="28"/>
          <w:szCs w:val="28"/>
        </w:rPr>
        <w:t>)</w:t>
      </w:r>
      <w:r w:rsidR="00C82DFC" w:rsidRPr="00C82DFC">
        <w:rPr>
          <w:rFonts w:ascii="Traditional Arabic" w:hAnsi="Traditional Arabic" w:cs="Traditional Arabic"/>
          <w:sz w:val="28"/>
          <w:szCs w:val="28"/>
          <w:rtl/>
        </w:rPr>
        <w:t xml:space="preserve"> </w:t>
      </w:r>
      <w:r w:rsidR="00C82DFC" w:rsidRPr="00C82DFC">
        <w:rPr>
          <w:rFonts w:ascii="Traditional Arabic" w:hAnsi="Traditional Arabic" w:cs="Traditional Arabic"/>
          <w:sz w:val="28"/>
          <w:szCs w:val="28"/>
          <w:rtl/>
        </w:rPr>
        <w:t>النويصر</w:t>
      </w:r>
      <w:r w:rsidR="00C82DFC">
        <w:rPr>
          <w:rFonts w:ascii="Traditional Arabic" w:hAnsi="Traditional Arabic" w:cs="Traditional Arabic" w:hint="cs"/>
          <w:sz w:val="28"/>
          <w:szCs w:val="28"/>
          <w:rtl/>
        </w:rPr>
        <w:t xml:space="preserve"> واخرون</w:t>
      </w:r>
      <w:r w:rsidR="00C82DFC" w:rsidRPr="00C82DFC">
        <w:rPr>
          <w:rFonts w:ascii="Traditional Arabic" w:hAnsi="Traditional Arabic" w:cs="Traditional Arabic"/>
          <w:sz w:val="28"/>
          <w:szCs w:val="28"/>
          <w:rtl/>
        </w:rPr>
        <w:t xml:space="preserve">، </w:t>
      </w:r>
      <w:r w:rsidR="00C82DFC">
        <w:rPr>
          <w:rFonts w:ascii="Traditional Arabic" w:hAnsi="Traditional Arabic" w:cs="Traditional Arabic" w:hint="cs"/>
          <w:sz w:val="28"/>
          <w:szCs w:val="28"/>
          <w:rtl/>
          <w:lang w:bidi="ar-EG"/>
        </w:rPr>
        <w:t>2025)</w:t>
      </w:r>
      <w:r w:rsidRPr="00585596">
        <w:rPr>
          <w:rFonts w:ascii="Traditional Arabic" w:hAnsi="Traditional Arabic" w:cs="Traditional Arabic"/>
          <w:sz w:val="28"/>
          <w:szCs w:val="28"/>
          <w:rtl/>
        </w:rPr>
        <w:t xml:space="preserve"> ومن منظور الباحث، فإن القيمة الحقيقية للاستدامة تكمن في قدرتها على تحويل الممارسات اليومية إلى عمليات محسّنة تعتمد على البيانات، ما يجعل القرار أكثر وعيًا، ويُسهم في تقليل إعادة العمل وتعزيز التكامل بين فرق المشروع</w:t>
      </w:r>
      <w:r w:rsidRPr="00585596">
        <w:rPr>
          <w:rFonts w:ascii="Traditional Arabic" w:hAnsi="Traditional Arabic" w:cs="Traditional Arabic"/>
          <w:sz w:val="28"/>
          <w:szCs w:val="28"/>
        </w:rPr>
        <w:t>.</w:t>
      </w:r>
    </w:p>
    <w:p w14:paraId="1C96C5D1" w14:textId="77777777" w:rsidR="00585596" w:rsidRPr="00585596" w:rsidRDefault="00585596" w:rsidP="00585596">
      <w:pPr>
        <w:bidi/>
        <w:spacing w:line="480" w:lineRule="auto"/>
        <w:rPr>
          <w:rFonts w:ascii="Traditional Arabic" w:hAnsi="Traditional Arabic" w:cs="Traditional Arabic"/>
          <w:sz w:val="28"/>
          <w:szCs w:val="28"/>
        </w:rPr>
      </w:pPr>
      <w:r w:rsidRPr="00585596">
        <w:rPr>
          <w:rFonts w:ascii="Traditional Arabic" w:hAnsi="Traditional Arabic" w:cs="Traditional Arabic"/>
          <w:sz w:val="28"/>
          <w:szCs w:val="28"/>
          <w:rtl/>
        </w:rPr>
        <w:t>كما أن ما عرضه</w:t>
      </w:r>
      <w:r w:rsidRPr="00585596">
        <w:rPr>
          <w:rFonts w:ascii="Traditional Arabic" w:hAnsi="Traditional Arabic" w:cs="Traditional Arabic"/>
          <w:sz w:val="28"/>
          <w:szCs w:val="28"/>
        </w:rPr>
        <w:t xml:space="preserve"> </w:t>
      </w:r>
      <w:proofErr w:type="spellStart"/>
      <w:r w:rsidRPr="00585596">
        <w:rPr>
          <w:rFonts w:ascii="Traditional Arabic" w:hAnsi="Traditional Arabic" w:cs="Traditional Arabic"/>
          <w:sz w:val="28"/>
          <w:szCs w:val="28"/>
        </w:rPr>
        <w:t>Alghuried</w:t>
      </w:r>
      <w:proofErr w:type="spellEnd"/>
      <w:r w:rsidRPr="00585596">
        <w:rPr>
          <w:rFonts w:ascii="Traditional Arabic" w:hAnsi="Traditional Arabic" w:cs="Traditional Arabic"/>
          <w:sz w:val="28"/>
          <w:szCs w:val="28"/>
        </w:rPr>
        <w:t xml:space="preserve"> (2025) </w:t>
      </w:r>
      <w:r w:rsidRPr="00585596">
        <w:rPr>
          <w:rFonts w:ascii="Traditional Arabic" w:hAnsi="Traditional Arabic" w:cs="Traditional Arabic"/>
          <w:sz w:val="28"/>
          <w:szCs w:val="28"/>
          <w:rtl/>
        </w:rPr>
        <w:t xml:space="preserve">حول دور التخطيط الاستراتيجي يعكس حقيقة أعمق، وهي أن الاستدامة ليست أدوات فقط، بل فلسفة إدارية تنعكس على طريقة تفكير المؤسسة. فاعتماد نظم الإدارة الرقمية لا يُحسن الأداء فحسب، بل يعيد </w:t>
      </w:r>
      <w:r w:rsidRPr="00585596">
        <w:rPr>
          <w:rFonts w:ascii="Traditional Arabic" w:hAnsi="Traditional Arabic" w:cs="Traditional Arabic"/>
          <w:sz w:val="28"/>
          <w:szCs w:val="28"/>
          <w:rtl/>
        </w:rPr>
        <w:lastRenderedPageBreak/>
        <w:t>صياغة العلاقة بين الموارد، مما يؤدي إلى خلق بيئة تشغيلية أكثر مرونة وقدرة على التكيف. ومن منظور نقدي، يمكن القول إن هذه الممارسات تكشف عن تحول من إدارة تقليدية تعتمد على ردّ الفعل إلى إدارة استباقية تستند إلى التنبؤ والتحكم</w:t>
      </w:r>
      <w:r w:rsidRPr="00585596">
        <w:rPr>
          <w:rFonts w:ascii="Traditional Arabic" w:hAnsi="Traditional Arabic" w:cs="Traditional Arabic"/>
          <w:sz w:val="28"/>
          <w:szCs w:val="28"/>
        </w:rPr>
        <w:t>.</w:t>
      </w:r>
    </w:p>
    <w:p w14:paraId="5F2FB57F" w14:textId="6921CDA1" w:rsidR="00585596" w:rsidRPr="00585596" w:rsidRDefault="00585596" w:rsidP="00585596">
      <w:pPr>
        <w:bidi/>
        <w:spacing w:line="480" w:lineRule="auto"/>
        <w:rPr>
          <w:rFonts w:ascii="Traditional Arabic" w:hAnsi="Traditional Arabic" w:cs="Traditional Arabic"/>
          <w:sz w:val="28"/>
          <w:szCs w:val="28"/>
        </w:rPr>
      </w:pPr>
      <w:r w:rsidRPr="00585596">
        <w:rPr>
          <w:rFonts w:ascii="Traditional Arabic" w:hAnsi="Traditional Arabic" w:cs="Traditional Arabic"/>
          <w:sz w:val="28"/>
          <w:szCs w:val="28"/>
          <w:rtl/>
        </w:rPr>
        <w:t>أما ما طرحه</w:t>
      </w:r>
      <w:r w:rsidRPr="00585596">
        <w:rPr>
          <w:rFonts w:ascii="Traditional Arabic" w:hAnsi="Traditional Arabic" w:cs="Traditional Arabic"/>
          <w:sz w:val="28"/>
          <w:szCs w:val="28"/>
        </w:rPr>
        <w:t xml:space="preserve"> Al-Yami (2008) </w:t>
      </w:r>
      <w:r w:rsidRPr="00585596">
        <w:rPr>
          <w:rFonts w:ascii="Traditional Arabic" w:hAnsi="Traditional Arabic" w:cs="Traditional Arabic"/>
          <w:sz w:val="28"/>
          <w:szCs w:val="28"/>
          <w:rtl/>
        </w:rPr>
        <w:t>فيقدم مثالًا تطبيقيًا يوضح كيف يمكن للاستدامة إعادة تشكيل القرارات التصميمية والتنفيذية في المشروع. فالنتائج التشغيلية المحسّنة لم تكن مجرد نتيجة اختيار مواد ذات جودة، بل نتيجة نهج “التصميم القائم على القيمة”، وهو نهج يُظهر أن الاستدامة ليست مجرد نفقات إضافية، بل مدخل يمكنه أن يعيد تشكيل هوية المشروع بأكملها. ومن منظور الباحث، فإن هذا يوضح أن دمج مبادئ الاستدامة منذ مرحلة التخطيط ليس خيارًا تقنيًا، بل خطوة استراتيجية تضمن أعلى كفاءة تشغيلية لاحقًا</w:t>
      </w:r>
      <w:r w:rsidR="00C82DFC">
        <w:rPr>
          <w:rFonts w:ascii="Traditional Arabic" w:hAnsi="Traditional Arabic" w:cs="Traditional Arabic" w:hint="cs"/>
          <w:sz w:val="28"/>
          <w:szCs w:val="28"/>
          <w:rtl/>
        </w:rPr>
        <w:t>(</w:t>
      </w:r>
      <w:r w:rsidR="00C82DFC" w:rsidRPr="00C82DFC">
        <w:rPr>
          <w:rFonts w:ascii="Traditional Arabic" w:hAnsi="Traditional Arabic" w:cs="Traditional Arabic"/>
          <w:sz w:val="28"/>
          <w:szCs w:val="28"/>
          <w:rtl/>
        </w:rPr>
        <w:t>ماجد وبدوي، 2025).</w:t>
      </w:r>
    </w:p>
    <w:p w14:paraId="4452A96B" w14:textId="77777777" w:rsidR="00585596" w:rsidRPr="00585596" w:rsidRDefault="00585596" w:rsidP="00585596">
      <w:pPr>
        <w:bidi/>
        <w:spacing w:line="480" w:lineRule="auto"/>
        <w:rPr>
          <w:rFonts w:ascii="Traditional Arabic" w:hAnsi="Traditional Arabic" w:cs="Traditional Arabic"/>
          <w:sz w:val="28"/>
          <w:szCs w:val="28"/>
        </w:rPr>
      </w:pPr>
      <w:r w:rsidRPr="00585596">
        <w:rPr>
          <w:rFonts w:ascii="Traditional Arabic" w:hAnsi="Traditional Arabic" w:cs="Traditional Arabic"/>
          <w:sz w:val="28"/>
          <w:szCs w:val="28"/>
          <w:rtl/>
        </w:rPr>
        <w:t>كما أن الربط بين الاستدامة وإدارة النفايات يعكس بعدًا تحليليًا مهمًا لم تتطرق إليه الدراسات بشكل مباشر، وهو أن إدارة النفايات ليست هدفًا بيئيًا فقط، بل آلية تشغيلية تُحسن انسيابية العمل. فالدراسة التي قدمها الحسن (2025) تُظهر سياقًا واقعيًا، لكن التحليل يشير إلى أن البيئة المنظمة الناتجة عن تقليل النفايات تمنح المشروع قدرة أعلى على التحكم والتخطيط، وتقلل من الاضطرابات التشغيلية، مما ينعكس مباشرة على التكلفة والزمن</w:t>
      </w:r>
      <w:r w:rsidRPr="00585596">
        <w:rPr>
          <w:rFonts w:ascii="Traditional Arabic" w:hAnsi="Traditional Arabic" w:cs="Traditional Arabic"/>
          <w:sz w:val="28"/>
          <w:szCs w:val="28"/>
        </w:rPr>
        <w:t>.</w:t>
      </w:r>
    </w:p>
    <w:p w14:paraId="323A575F" w14:textId="77777777" w:rsidR="00585596" w:rsidRPr="00585596" w:rsidRDefault="00585596" w:rsidP="00585596">
      <w:pPr>
        <w:bidi/>
        <w:spacing w:line="480" w:lineRule="auto"/>
        <w:rPr>
          <w:rFonts w:ascii="Traditional Arabic" w:hAnsi="Traditional Arabic" w:cs="Traditional Arabic"/>
          <w:sz w:val="28"/>
          <w:szCs w:val="28"/>
        </w:rPr>
      </w:pPr>
      <w:r w:rsidRPr="00585596">
        <w:rPr>
          <w:rFonts w:ascii="Traditional Arabic" w:hAnsi="Traditional Arabic" w:cs="Traditional Arabic"/>
          <w:sz w:val="28"/>
          <w:szCs w:val="28"/>
          <w:rtl/>
        </w:rPr>
        <w:t>وما طرحه</w:t>
      </w:r>
      <w:r w:rsidRPr="00585596">
        <w:rPr>
          <w:rFonts w:ascii="Traditional Arabic" w:hAnsi="Traditional Arabic" w:cs="Traditional Arabic"/>
          <w:sz w:val="28"/>
          <w:szCs w:val="28"/>
        </w:rPr>
        <w:t xml:space="preserve"> </w:t>
      </w:r>
      <w:proofErr w:type="spellStart"/>
      <w:r w:rsidRPr="00585596">
        <w:rPr>
          <w:rFonts w:ascii="Traditional Arabic" w:hAnsi="Traditional Arabic" w:cs="Traditional Arabic"/>
          <w:sz w:val="28"/>
          <w:szCs w:val="28"/>
        </w:rPr>
        <w:t>Alghuried</w:t>
      </w:r>
      <w:proofErr w:type="spellEnd"/>
      <w:r w:rsidRPr="00585596">
        <w:rPr>
          <w:rFonts w:ascii="Traditional Arabic" w:hAnsi="Traditional Arabic" w:cs="Traditional Arabic"/>
          <w:sz w:val="28"/>
          <w:szCs w:val="28"/>
        </w:rPr>
        <w:t xml:space="preserve"> (2025) </w:t>
      </w:r>
      <w:r w:rsidRPr="00585596">
        <w:rPr>
          <w:rFonts w:ascii="Traditional Arabic" w:hAnsi="Traditional Arabic" w:cs="Traditional Arabic"/>
          <w:sz w:val="28"/>
          <w:szCs w:val="28"/>
          <w:rtl/>
        </w:rPr>
        <w:t>بشأن الدور الثقافي للاستدامة يعالج بُعدًا غالبًا ما يُغفل في التحليل، وهو أن نجاح الاستدامة لا يعتمد فقط على القرارات الفنية، بل على تبني العاملين لها كممارسة يومية. ومن خلال رؤية الباحث، يمكن القول إن بناء ثقافة مستدامة داخل المؤسسة يخلق “تجانسًا سلوكيًا” يعزز الالتزام، ويرفع المساءلة، ويُحسن التنسيق بين الأطراف المختلفة، ما ينعكس إيجابًا على الكفاءة التشغيلية للمشروع</w:t>
      </w:r>
      <w:r w:rsidRPr="00585596">
        <w:rPr>
          <w:rFonts w:ascii="Traditional Arabic" w:hAnsi="Traditional Arabic" w:cs="Traditional Arabic"/>
          <w:sz w:val="28"/>
          <w:szCs w:val="28"/>
        </w:rPr>
        <w:t>.</w:t>
      </w:r>
    </w:p>
    <w:p w14:paraId="0336A7C4" w14:textId="77777777" w:rsidR="00585596" w:rsidRPr="00585596" w:rsidRDefault="00585596" w:rsidP="00585596">
      <w:pPr>
        <w:bidi/>
        <w:spacing w:line="480" w:lineRule="auto"/>
        <w:rPr>
          <w:rFonts w:ascii="Traditional Arabic" w:hAnsi="Traditional Arabic" w:cs="Traditional Arabic"/>
          <w:sz w:val="28"/>
          <w:szCs w:val="28"/>
        </w:rPr>
      </w:pPr>
      <w:r w:rsidRPr="00585596">
        <w:rPr>
          <w:rFonts w:ascii="Traditional Arabic" w:hAnsi="Traditional Arabic" w:cs="Traditional Arabic"/>
          <w:sz w:val="28"/>
          <w:szCs w:val="28"/>
          <w:rtl/>
        </w:rPr>
        <w:lastRenderedPageBreak/>
        <w:t>وتُظهر نتائج</w:t>
      </w:r>
      <w:r w:rsidRPr="00585596">
        <w:rPr>
          <w:rFonts w:ascii="Traditional Arabic" w:hAnsi="Traditional Arabic" w:cs="Traditional Arabic"/>
          <w:sz w:val="28"/>
          <w:szCs w:val="28"/>
        </w:rPr>
        <w:t xml:space="preserve"> Al-Yami (2008) </w:t>
      </w:r>
      <w:r w:rsidRPr="00585596">
        <w:rPr>
          <w:rFonts w:ascii="Traditional Arabic" w:hAnsi="Traditional Arabic" w:cs="Traditional Arabic"/>
          <w:sz w:val="28"/>
          <w:szCs w:val="28"/>
          <w:rtl/>
        </w:rPr>
        <w:t>حول التكاليف طويلة المدى أن الاستدامة تعيد صياغة مفهوم التكلفة نفسه. فالتركيز لم يعد مقتصرًا على التكلفة الأولية، بل على “تكلفة دورة الحياة”، وهو مفهوم يتسق مع المنهج التحليلي للمشاريع المستدامة. ومن منظور نقدي، فإن هذا التحول يمثل انتقالًا من تحليل مالي قصير الأمد إلى تحليل استراتيجي يرى المشروع ككيان مستمر وليس كمرحلة إنشائية فقط. وهذا يوضح أن ارتفاع التكلفة الأولية لا يمثل عائقًا حقيقيًا، بل يُعد استثمارًا يعيد إنتاج قيم اقتصادية وتشغيلية في المستقبل</w:t>
      </w:r>
      <w:r w:rsidRPr="00585596">
        <w:rPr>
          <w:rFonts w:ascii="Traditional Arabic" w:hAnsi="Traditional Arabic" w:cs="Traditional Arabic"/>
          <w:sz w:val="28"/>
          <w:szCs w:val="28"/>
        </w:rPr>
        <w:t>.</w:t>
      </w:r>
    </w:p>
    <w:p w14:paraId="62CEABEB" w14:textId="77777777" w:rsidR="00585596" w:rsidRPr="00585596" w:rsidRDefault="00585596" w:rsidP="00585596">
      <w:pPr>
        <w:bidi/>
        <w:spacing w:line="480" w:lineRule="auto"/>
        <w:rPr>
          <w:rFonts w:ascii="Traditional Arabic" w:hAnsi="Traditional Arabic" w:cs="Traditional Arabic"/>
          <w:sz w:val="28"/>
          <w:szCs w:val="28"/>
        </w:rPr>
      </w:pPr>
      <w:r w:rsidRPr="00585596">
        <w:rPr>
          <w:rFonts w:ascii="Traditional Arabic" w:hAnsi="Traditional Arabic" w:cs="Traditional Arabic"/>
          <w:sz w:val="28"/>
          <w:szCs w:val="28"/>
          <w:rtl/>
        </w:rPr>
        <w:t>كما أن الربط بين الاستدامة والمخاطر القانونية كما ورد لدى الحسن (2025) يؤكد أن الاستدامة ليست فقط أداة لخفض النفقات التشغيلية، بل كذلك وسيلة لتخفيض المخاطر. ومن خلال تحليل هذه العلاقة، يظهر أن الالتزام البيئي يقلل من احتمالية التعرض لعقوبات أو توقفات، ما يمنح المشروع درجة أعلى من الاستقرار المالي والعملي</w:t>
      </w:r>
      <w:r w:rsidRPr="00585596">
        <w:rPr>
          <w:rFonts w:ascii="Traditional Arabic" w:hAnsi="Traditional Arabic" w:cs="Traditional Arabic"/>
          <w:sz w:val="28"/>
          <w:szCs w:val="28"/>
        </w:rPr>
        <w:t>.</w:t>
      </w:r>
    </w:p>
    <w:p w14:paraId="2DA64C89" w14:textId="77777777" w:rsidR="00585596" w:rsidRPr="00585596" w:rsidRDefault="00585596" w:rsidP="00585596">
      <w:pPr>
        <w:bidi/>
        <w:spacing w:line="480" w:lineRule="auto"/>
        <w:rPr>
          <w:rFonts w:ascii="Traditional Arabic" w:hAnsi="Traditional Arabic" w:cs="Traditional Arabic"/>
          <w:sz w:val="28"/>
          <w:szCs w:val="28"/>
        </w:rPr>
      </w:pPr>
      <w:r w:rsidRPr="00585596">
        <w:rPr>
          <w:rFonts w:ascii="Traditional Arabic" w:hAnsi="Traditional Arabic" w:cs="Traditional Arabic"/>
          <w:sz w:val="28"/>
          <w:szCs w:val="28"/>
          <w:rtl/>
        </w:rPr>
        <w:t>ويعكس ما طرحه</w:t>
      </w:r>
      <w:r w:rsidRPr="00585596">
        <w:rPr>
          <w:rFonts w:ascii="Traditional Arabic" w:hAnsi="Traditional Arabic" w:cs="Traditional Arabic"/>
          <w:sz w:val="28"/>
          <w:szCs w:val="28"/>
        </w:rPr>
        <w:t xml:space="preserve"> Al-Yami (2008) </w:t>
      </w:r>
      <w:r w:rsidRPr="00585596">
        <w:rPr>
          <w:rFonts w:ascii="Traditional Arabic" w:hAnsi="Traditional Arabic" w:cs="Traditional Arabic"/>
          <w:sz w:val="28"/>
          <w:szCs w:val="28"/>
          <w:rtl/>
        </w:rPr>
        <w:t>حول استخدام مواد بناء محلية ومنخفضة الانبعاثات أن الاستدامة ليست مجرد التزام بيئي، بل خيار اقتصادي يُحسن الأداء. ومن منظور الباحث، يمكن القول إن هذا النوع من الخيارات يُجسد التحول نحو تصميم وإدارة مشاريع تُحقق القيمة بتوازن بين التكلفة والجودة وتأثير البيئة</w:t>
      </w:r>
      <w:r w:rsidRPr="00585596">
        <w:rPr>
          <w:rFonts w:ascii="Traditional Arabic" w:hAnsi="Traditional Arabic" w:cs="Traditional Arabic"/>
          <w:sz w:val="28"/>
          <w:szCs w:val="28"/>
        </w:rPr>
        <w:t>.</w:t>
      </w:r>
    </w:p>
    <w:p w14:paraId="5FD2FF68" w14:textId="77777777" w:rsidR="00585596" w:rsidRPr="00585596" w:rsidRDefault="00585596" w:rsidP="00585596">
      <w:pPr>
        <w:bidi/>
        <w:spacing w:line="480" w:lineRule="auto"/>
        <w:rPr>
          <w:rFonts w:ascii="Traditional Arabic" w:hAnsi="Traditional Arabic" w:cs="Traditional Arabic"/>
          <w:sz w:val="28"/>
          <w:szCs w:val="28"/>
        </w:rPr>
      </w:pPr>
      <w:r w:rsidRPr="00585596">
        <w:rPr>
          <w:rFonts w:ascii="Traditional Arabic" w:hAnsi="Traditional Arabic" w:cs="Traditional Arabic"/>
          <w:sz w:val="28"/>
          <w:szCs w:val="28"/>
          <w:rtl/>
        </w:rPr>
        <w:t>وتوضح الأدبيات الحديثة أن تطبيق الاستدامة يتطلب التوسع في استخدام أدوات مثل “تكلفة دورة الحياة الكاملة</w:t>
      </w:r>
      <w:r w:rsidRPr="00585596">
        <w:rPr>
          <w:rFonts w:ascii="Traditional Arabic" w:hAnsi="Traditional Arabic" w:cs="Traditional Arabic"/>
          <w:sz w:val="28"/>
          <w:szCs w:val="28"/>
        </w:rPr>
        <w:t xml:space="preserve">” WLCC </w:t>
      </w:r>
      <w:r w:rsidRPr="00585596">
        <w:rPr>
          <w:rFonts w:ascii="Traditional Arabic" w:hAnsi="Traditional Arabic" w:cs="Traditional Arabic"/>
          <w:sz w:val="28"/>
          <w:szCs w:val="28"/>
          <w:rtl/>
        </w:rPr>
        <w:t>لتحليل البدائل التشغيلية المختلفة. ومن وجهة نظر نقدية، يُعد هذا النموذج أحد أهم الأدوات التي تمنح مدير المشروع رؤية شمولية على المدى البعيد، مما يمكّنه من اتخاذ قرارات محسوبة بدقة تعتمد على الكلفة الحقيقية للمشروع وليس على الإنفاق الإنشائي فقط</w:t>
      </w:r>
      <w:r w:rsidRPr="00585596">
        <w:rPr>
          <w:rFonts w:ascii="Traditional Arabic" w:hAnsi="Traditional Arabic" w:cs="Traditional Arabic"/>
          <w:sz w:val="28"/>
          <w:szCs w:val="28"/>
        </w:rPr>
        <w:t>.</w:t>
      </w:r>
    </w:p>
    <w:p w14:paraId="3C9D183E" w14:textId="77777777" w:rsidR="00585596" w:rsidRPr="00585596" w:rsidRDefault="00585596" w:rsidP="00585596">
      <w:pPr>
        <w:bidi/>
        <w:spacing w:line="480" w:lineRule="auto"/>
        <w:rPr>
          <w:rFonts w:ascii="Traditional Arabic" w:hAnsi="Traditional Arabic" w:cs="Traditional Arabic"/>
          <w:sz w:val="28"/>
          <w:szCs w:val="28"/>
        </w:rPr>
      </w:pPr>
      <w:r w:rsidRPr="00585596">
        <w:rPr>
          <w:rFonts w:ascii="Traditional Arabic" w:hAnsi="Traditional Arabic" w:cs="Traditional Arabic"/>
          <w:sz w:val="28"/>
          <w:szCs w:val="28"/>
          <w:rtl/>
        </w:rPr>
        <w:lastRenderedPageBreak/>
        <w:t>كما تكشف التحديات التي عرضها</w:t>
      </w:r>
      <w:r w:rsidRPr="00585596">
        <w:rPr>
          <w:rFonts w:ascii="Traditional Arabic" w:hAnsi="Traditional Arabic" w:cs="Traditional Arabic"/>
          <w:sz w:val="28"/>
          <w:szCs w:val="28"/>
        </w:rPr>
        <w:t xml:space="preserve"> Al-Yami (2008) </w:t>
      </w:r>
      <w:r w:rsidRPr="00585596">
        <w:rPr>
          <w:rFonts w:ascii="Traditional Arabic" w:hAnsi="Traditional Arabic" w:cs="Traditional Arabic"/>
          <w:sz w:val="28"/>
          <w:szCs w:val="28"/>
          <w:rtl/>
        </w:rPr>
        <w:t>أن الاستدامة ليست مجرد خطوات تقنية، بل هي تغيير مؤسسي يحتاج إلى قيادة فعّالة ورؤية واضحة. ومن خلال تحليل الباحث، يمكن القول إن المقاومة للتغيير ليست مشكلة استدامة بحد ذاتها، بل مشكلة إدارة تتطلب آليات ملائمة لاحتوائها. لذلك تُعد أدوات مثل إدارة القيمة</w:t>
      </w:r>
      <w:r w:rsidRPr="00585596">
        <w:rPr>
          <w:rFonts w:ascii="Traditional Arabic" w:hAnsi="Traditional Arabic" w:cs="Traditional Arabic"/>
          <w:sz w:val="28"/>
          <w:szCs w:val="28"/>
        </w:rPr>
        <w:t xml:space="preserve"> VM </w:t>
      </w:r>
      <w:r w:rsidRPr="00585596">
        <w:rPr>
          <w:rFonts w:ascii="Traditional Arabic" w:hAnsi="Traditional Arabic" w:cs="Traditional Arabic"/>
          <w:sz w:val="28"/>
          <w:szCs w:val="28"/>
          <w:rtl/>
        </w:rPr>
        <w:t>ضرورة وليست خيارًا، لأنها تخلق مسارًا للتوافق بين الأبعاد الاقتصادية والاجتماعية والبيئية</w:t>
      </w:r>
      <w:r w:rsidRPr="00585596">
        <w:rPr>
          <w:rFonts w:ascii="Traditional Arabic" w:hAnsi="Traditional Arabic" w:cs="Traditional Arabic"/>
          <w:sz w:val="28"/>
          <w:szCs w:val="28"/>
        </w:rPr>
        <w:t>.</w:t>
      </w:r>
    </w:p>
    <w:p w14:paraId="71B7C5BB" w14:textId="77777777" w:rsidR="00585596" w:rsidRPr="00585596" w:rsidRDefault="00585596" w:rsidP="00585596">
      <w:pPr>
        <w:bidi/>
        <w:spacing w:line="480" w:lineRule="auto"/>
        <w:rPr>
          <w:rFonts w:ascii="Traditional Arabic" w:hAnsi="Traditional Arabic" w:cs="Traditional Arabic"/>
          <w:sz w:val="28"/>
          <w:szCs w:val="28"/>
        </w:rPr>
      </w:pPr>
      <w:r w:rsidRPr="00585596">
        <w:rPr>
          <w:rFonts w:ascii="Traditional Arabic" w:hAnsi="Traditional Arabic" w:cs="Traditional Arabic"/>
          <w:sz w:val="28"/>
          <w:szCs w:val="28"/>
          <w:rtl/>
        </w:rPr>
        <w:t>وتدعم نتائج</w:t>
      </w:r>
      <w:r w:rsidRPr="00585596">
        <w:rPr>
          <w:rFonts w:ascii="Traditional Arabic" w:hAnsi="Traditional Arabic" w:cs="Traditional Arabic"/>
          <w:sz w:val="28"/>
          <w:szCs w:val="28"/>
        </w:rPr>
        <w:t xml:space="preserve"> </w:t>
      </w:r>
      <w:proofErr w:type="spellStart"/>
      <w:r w:rsidRPr="00585596">
        <w:rPr>
          <w:rFonts w:ascii="Traditional Arabic" w:hAnsi="Traditional Arabic" w:cs="Traditional Arabic"/>
          <w:sz w:val="28"/>
          <w:szCs w:val="28"/>
        </w:rPr>
        <w:t>Alghuried</w:t>
      </w:r>
      <w:proofErr w:type="spellEnd"/>
      <w:r w:rsidRPr="00585596">
        <w:rPr>
          <w:rFonts w:ascii="Traditional Arabic" w:hAnsi="Traditional Arabic" w:cs="Traditional Arabic"/>
          <w:sz w:val="28"/>
          <w:szCs w:val="28"/>
        </w:rPr>
        <w:t xml:space="preserve"> (2025) </w:t>
      </w:r>
      <w:r w:rsidRPr="00585596">
        <w:rPr>
          <w:rFonts w:ascii="Traditional Arabic" w:hAnsi="Traditional Arabic" w:cs="Traditional Arabic"/>
          <w:sz w:val="28"/>
          <w:szCs w:val="28"/>
          <w:rtl/>
        </w:rPr>
        <w:t>هذا الاتجاه، حيث يظهر أن القيادة الكفؤة والإطار التنظيمي الفعّال يمثلان حجر الزاوية في نجاح الاستدامة. ومن منظور تنظيري، يمكن القول إن الاستدامة في سياق المشاريع السعودية ليست مجرد مجموع ممارسات، بل نظام إداري متكامل يحتاج إلى مواءمة بين الاستراتيجية، والحوكمة، والموارد، واللوائح، من أجل تحقيق أثر ملموس على الأداء</w:t>
      </w:r>
      <w:r w:rsidRPr="00585596">
        <w:rPr>
          <w:rFonts w:ascii="Traditional Arabic" w:hAnsi="Traditional Arabic" w:cs="Traditional Arabic"/>
          <w:sz w:val="28"/>
          <w:szCs w:val="28"/>
        </w:rPr>
        <w:t>.</w:t>
      </w:r>
    </w:p>
    <w:p w14:paraId="32299484" w14:textId="77777777" w:rsidR="00585596" w:rsidRPr="00585596" w:rsidRDefault="00585596" w:rsidP="00585596">
      <w:pPr>
        <w:bidi/>
        <w:spacing w:line="480" w:lineRule="auto"/>
        <w:rPr>
          <w:rFonts w:ascii="Traditional Arabic" w:hAnsi="Traditional Arabic" w:cs="Traditional Arabic"/>
          <w:sz w:val="28"/>
          <w:szCs w:val="28"/>
        </w:rPr>
      </w:pPr>
      <w:r w:rsidRPr="00585596">
        <w:rPr>
          <w:rFonts w:ascii="Traditional Arabic" w:hAnsi="Traditional Arabic" w:cs="Traditional Arabic"/>
          <w:sz w:val="28"/>
          <w:szCs w:val="28"/>
          <w:rtl/>
        </w:rPr>
        <w:t>وبناءً على ذلك، يمكن التأكيد أن دمج الاستدامة في المشاريع الإنشائية في السعودية يشكل تحولًا في طريقة إدارة المشروع، وليس تحسينًا تقنيًا فقط. وتكشف الأدبيات أن هذا التوجه يحتاج إلى سياسات حكومية داعمة، وأمثلة تنفيذية ناجحة، وبرامج تدريب متخصصة، مما يعني أن الاستدامة أصبحت عنصرًا جوهريًا لإعادة تشكيل مستقبل قطاع البناء في المملكة</w:t>
      </w:r>
      <w:r w:rsidRPr="00585596">
        <w:rPr>
          <w:rFonts w:ascii="Traditional Arabic" w:hAnsi="Traditional Arabic" w:cs="Traditional Arabic"/>
          <w:sz w:val="28"/>
          <w:szCs w:val="28"/>
        </w:rPr>
        <w:t>.</w:t>
      </w:r>
    </w:p>
    <w:p w14:paraId="2F4042F1" w14:textId="54B76B6B" w:rsidR="004D61FE" w:rsidRPr="004D61FE" w:rsidRDefault="004D61FE" w:rsidP="006337C0">
      <w:pPr>
        <w:bidi/>
        <w:spacing w:line="480" w:lineRule="auto"/>
        <w:rPr>
          <w:rFonts w:ascii="Traditional Arabic" w:hAnsi="Traditional Arabic" w:cs="Traditional Arabic"/>
          <w:sz w:val="28"/>
          <w:szCs w:val="28"/>
        </w:rPr>
      </w:pPr>
      <w:r>
        <w:rPr>
          <w:rFonts w:ascii="Traditional Arabic" w:hAnsi="Traditional Arabic" w:cs="Traditional Arabic" w:hint="cs"/>
          <w:b/>
          <w:bCs/>
          <w:sz w:val="28"/>
          <w:szCs w:val="28"/>
          <w:rtl/>
        </w:rPr>
        <w:t xml:space="preserve">3.2 </w:t>
      </w:r>
      <w:r w:rsidRPr="004D61FE">
        <w:rPr>
          <w:rFonts w:ascii="Traditional Arabic" w:hAnsi="Traditional Arabic" w:cs="Traditional Arabic"/>
          <w:b/>
          <w:bCs/>
          <w:sz w:val="28"/>
          <w:szCs w:val="28"/>
          <w:rtl/>
        </w:rPr>
        <w:t>تأثير ممارسات الاستدامة على السمعة التنافسية والامتثال للأنظمة البيئية</w:t>
      </w:r>
    </w:p>
    <w:p w14:paraId="1892E87F" w14:textId="77777777" w:rsidR="00585596" w:rsidRPr="00585596" w:rsidRDefault="00585596" w:rsidP="00585596">
      <w:pPr>
        <w:bidi/>
        <w:spacing w:line="480" w:lineRule="auto"/>
        <w:rPr>
          <w:rFonts w:ascii="Traditional Arabic" w:hAnsi="Traditional Arabic" w:cs="Traditional Arabic"/>
          <w:sz w:val="28"/>
          <w:szCs w:val="28"/>
        </w:rPr>
      </w:pPr>
      <w:r w:rsidRPr="00585596">
        <w:rPr>
          <w:rFonts w:ascii="Traditional Arabic" w:hAnsi="Traditional Arabic" w:cs="Traditional Arabic"/>
          <w:sz w:val="28"/>
          <w:szCs w:val="28"/>
          <w:rtl/>
        </w:rPr>
        <w:t xml:space="preserve">يشير تحليل الأدبيات الحديثة إلى أن ممارسات الاستدامة في المشاريع الإنشائية تمثل تحولًا في فلسفة البناء من نموذج تقليدي يعتمد على التكلفة والوقت فقط إلى نموذج شمولي يربط الأداء بالمسؤولية البيئية والاجتماعية. ومن منظور الباحث، فإن هذا التحول لم يأتِ نتيجة ضغوط تنظيمية فحسب، بل نتيجة اقتناع متزايد بأن تحسين السمعة التنافسية والامتثال البيئي أصبحا عنصرين جوهريين في نجاة </w:t>
      </w:r>
      <w:r w:rsidRPr="00585596">
        <w:rPr>
          <w:rFonts w:ascii="Traditional Arabic" w:hAnsi="Traditional Arabic" w:cs="Traditional Arabic"/>
          <w:sz w:val="28"/>
          <w:szCs w:val="28"/>
          <w:rtl/>
        </w:rPr>
        <w:lastRenderedPageBreak/>
        <w:t>الشركات داخل سوق إنشائي شديد التنافس، خاصة في المملكة العربية السعودية التي تتبنّى رؤية 2030 كإطار استراتيجي موجّه نحو تنمية مستدامة</w:t>
      </w:r>
      <w:r w:rsidRPr="00585596">
        <w:rPr>
          <w:rFonts w:ascii="Traditional Arabic" w:hAnsi="Traditional Arabic" w:cs="Traditional Arabic"/>
          <w:sz w:val="28"/>
          <w:szCs w:val="28"/>
        </w:rPr>
        <w:t>.</w:t>
      </w:r>
    </w:p>
    <w:p w14:paraId="56EDFBE5" w14:textId="77777777" w:rsidR="00585596" w:rsidRPr="00585596" w:rsidRDefault="00585596" w:rsidP="00585596">
      <w:pPr>
        <w:bidi/>
        <w:spacing w:line="480" w:lineRule="auto"/>
        <w:rPr>
          <w:rFonts w:ascii="Traditional Arabic" w:hAnsi="Traditional Arabic" w:cs="Traditional Arabic"/>
          <w:sz w:val="28"/>
          <w:szCs w:val="28"/>
        </w:rPr>
      </w:pPr>
      <w:r w:rsidRPr="00585596">
        <w:rPr>
          <w:rFonts w:ascii="Traditional Arabic" w:hAnsi="Traditional Arabic" w:cs="Traditional Arabic"/>
          <w:sz w:val="28"/>
          <w:szCs w:val="28"/>
          <w:rtl/>
        </w:rPr>
        <w:t>وتقدم دراسة</w:t>
      </w:r>
      <w:r w:rsidRPr="00585596">
        <w:rPr>
          <w:rFonts w:ascii="Traditional Arabic" w:hAnsi="Traditional Arabic" w:cs="Traditional Arabic"/>
          <w:sz w:val="28"/>
          <w:szCs w:val="28"/>
        </w:rPr>
        <w:t xml:space="preserve"> Al-Otaibi et al. (2025) </w:t>
      </w:r>
      <w:r w:rsidRPr="00585596">
        <w:rPr>
          <w:rFonts w:ascii="Traditional Arabic" w:hAnsi="Traditional Arabic" w:cs="Traditional Arabic"/>
          <w:sz w:val="28"/>
          <w:szCs w:val="28"/>
          <w:rtl/>
        </w:rPr>
        <w:t>دليلاً على أن الاستدامة لا تُعزز السمعة التنافسية للشركات من خلال تقليل الهدر وتحسين إدارة الموارد فقط، بل لأنها تُظهر قدرة الشركة على الابتكار واعتماد تقنيات حديثة مثل</w:t>
      </w:r>
      <w:r w:rsidRPr="00585596">
        <w:rPr>
          <w:rFonts w:ascii="Traditional Arabic" w:hAnsi="Traditional Arabic" w:cs="Traditional Arabic"/>
          <w:sz w:val="28"/>
          <w:szCs w:val="28"/>
        </w:rPr>
        <w:t xml:space="preserve"> BIM</w:t>
      </w:r>
      <w:r w:rsidRPr="00585596">
        <w:rPr>
          <w:rFonts w:ascii="Traditional Arabic" w:hAnsi="Traditional Arabic" w:cs="Traditional Arabic"/>
          <w:sz w:val="28"/>
          <w:szCs w:val="28"/>
          <w:rtl/>
        </w:rPr>
        <w:t>، وهو ما يعكس، من وجهة نظر الباحث، قدرة المؤسسة على الانتقال من نموذج تشغيل تقليدي إلى نموذج معرفي قائم على التكنولوجيا والشفافية. ورغم أن الدراسة تُبرز تأثيرات كمية مثل خفض الأخطاء التصميمية</w:t>
      </w:r>
      <w:r w:rsidRPr="00585596">
        <w:rPr>
          <w:rFonts w:ascii="Traditional Arabic" w:hAnsi="Traditional Arabic" w:cs="Traditional Arabic"/>
          <w:sz w:val="28"/>
          <w:szCs w:val="28"/>
        </w:rPr>
        <w:t xml:space="preserve"> (RII = 0.792)</w:t>
      </w:r>
      <w:r w:rsidRPr="00585596">
        <w:rPr>
          <w:rFonts w:ascii="Traditional Arabic" w:hAnsi="Traditional Arabic" w:cs="Traditional Arabic"/>
          <w:sz w:val="28"/>
          <w:szCs w:val="28"/>
          <w:rtl/>
        </w:rPr>
        <w:t>، إلا أن التحليل يوضح أن القيمة الحقيقية لهذه التقنيات تكمن في خلق ثقة أكبر لدى المستثمرين والمستفيدين، مما يضع الشركات في موقع تنافسي أفضل</w:t>
      </w:r>
      <w:r w:rsidRPr="00585596">
        <w:rPr>
          <w:rFonts w:ascii="Traditional Arabic" w:hAnsi="Traditional Arabic" w:cs="Traditional Arabic"/>
          <w:sz w:val="28"/>
          <w:szCs w:val="28"/>
        </w:rPr>
        <w:t>.</w:t>
      </w:r>
    </w:p>
    <w:p w14:paraId="02E55D08" w14:textId="77777777" w:rsidR="00585596" w:rsidRPr="00585596" w:rsidRDefault="00585596" w:rsidP="00585596">
      <w:pPr>
        <w:bidi/>
        <w:spacing w:line="480" w:lineRule="auto"/>
        <w:rPr>
          <w:rFonts w:ascii="Traditional Arabic" w:hAnsi="Traditional Arabic" w:cs="Traditional Arabic"/>
          <w:sz w:val="28"/>
          <w:szCs w:val="28"/>
        </w:rPr>
      </w:pPr>
      <w:r w:rsidRPr="00585596">
        <w:rPr>
          <w:rFonts w:ascii="Traditional Arabic" w:hAnsi="Traditional Arabic" w:cs="Traditional Arabic"/>
          <w:sz w:val="28"/>
          <w:szCs w:val="28"/>
          <w:rtl/>
        </w:rPr>
        <w:t>كما توضح دراسة</w:t>
      </w:r>
      <w:r w:rsidRPr="00585596">
        <w:rPr>
          <w:rFonts w:ascii="Traditional Arabic" w:hAnsi="Traditional Arabic" w:cs="Traditional Arabic"/>
          <w:sz w:val="28"/>
          <w:szCs w:val="28"/>
        </w:rPr>
        <w:t xml:space="preserve"> </w:t>
      </w:r>
      <w:proofErr w:type="spellStart"/>
      <w:r w:rsidRPr="00585596">
        <w:rPr>
          <w:rFonts w:ascii="Traditional Arabic" w:hAnsi="Traditional Arabic" w:cs="Traditional Arabic"/>
          <w:sz w:val="28"/>
          <w:szCs w:val="28"/>
        </w:rPr>
        <w:t>Shaawat</w:t>
      </w:r>
      <w:proofErr w:type="spellEnd"/>
      <w:r w:rsidRPr="00585596">
        <w:rPr>
          <w:rFonts w:ascii="Traditional Arabic" w:hAnsi="Traditional Arabic" w:cs="Traditional Arabic"/>
          <w:sz w:val="28"/>
          <w:szCs w:val="28"/>
        </w:rPr>
        <w:t xml:space="preserve"> et al. (2023) </w:t>
      </w:r>
      <w:r w:rsidRPr="00585596">
        <w:rPr>
          <w:rFonts w:ascii="Traditional Arabic" w:hAnsi="Traditional Arabic" w:cs="Traditional Arabic"/>
          <w:sz w:val="28"/>
          <w:szCs w:val="28"/>
          <w:rtl/>
        </w:rPr>
        <w:t>أن جودة التنفيذ تُعد مدخلًا محوريًا للسمعة التنافسية، إذ وجد الباحثون أن جودة الأداء المهني تؤثر بنسبة 43% في بناء السمعة. وهنا يتبنى الباحث رؤية نقدية مفادها أن جودة التنفيذ ليست مجرد مؤشرات تشغيلية، بل هي انعكاس لمدى التزام الشركة بفلسفة العمل المستدام. ويعني ذلك أن الشركات التي تتبنى نظم إدارة الجودة مثل</w:t>
      </w:r>
      <w:r w:rsidRPr="00585596">
        <w:rPr>
          <w:rFonts w:ascii="Traditional Arabic" w:hAnsi="Traditional Arabic" w:cs="Traditional Arabic"/>
          <w:sz w:val="28"/>
          <w:szCs w:val="28"/>
        </w:rPr>
        <w:t xml:space="preserve"> ISO 9000 </w:t>
      </w:r>
      <w:r w:rsidRPr="00585596">
        <w:rPr>
          <w:rFonts w:ascii="Traditional Arabic" w:hAnsi="Traditional Arabic" w:cs="Traditional Arabic"/>
          <w:sz w:val="28"/>
          <w:szCs w:val="28"/>
          <w:rtl/>
        </w:rPr>
        <w:t>لا تحقق رضا العملاء فحسب، بل تؤسس لصورة ذهنية إيجابية مبنية على الموثوقية والاتساق والالتزام، وهي عناصر يصعب اكتسابها بدون ممارسات مستدامة راسخة</w:t>
      </w:r>
      <w:r w:rsidRPr="00585596">
        <w:rPr>
          <w:rFonts w:ascii="Traditional Arabic" w:hAnsi="Traditional Arabic" w:cs="Traditional Arabic"/>
          <w:sz w:val="28"/>
          <w:szCs w:val="28"/>
        </w:rPr>
        <w:t>.</w:t>
      </w:r>
    </w:p>
    <w:p w14:paraId="342EB168" w14:textId="77777777" w:rsidR="00585596" w:rsidRPr="00585596" w:rsidRDefault="00585596" w:rsidP="00585596">
      <w:pPr>
        <w:bidi/>
        <w:spacing w:line="480" w:lineRule="auto"/>
        <w:rPr>
          <w:rFonts w:ascii="Traditional Arabic" w:hAnsi="Traditional Arabic" w:cs="Traditional Arabic"/>
          <w:sz w:val="28"/>
          <w:szCs w:val="28"/>
        </w:rPr>
      </w:pPr>
      <w:r w:rsidRPr="00585596">
        <w:rPr>
          <w:rFonts w:ascii="Traditional Arabic" w:hAnsi="Traditional Arabic" w:cs="Traditional Arabic"/>
          <w:sz w:val="28"/>
          <w:szCs w:val="28"/>
          <w:rtl/>
        </w:rPr>
        <w:t>وتعزز نتائج</w:t>
      </w:r>
      <w:r w:rsidRPr="00585596">
        <w:rPr>
          <w:rFonts w:ascii="Traditional Arabic" w:hAnsi="Traditional Arabic" w:cs="Traditional Arabic"/>
          <w:sz w:val="28"/>
          <w:szCs w:val="28"/>
        </w:rPr>
        <w:t xml:space="preserve"> </w:t>
      </w:r>
      <w:proofErr w:type="spellStart"/>
      <w:r w:rsidRPr="00585596">
        <w:rPr>
          <w:rFonts w:ascii="Traditional Arabic" w:hAnsi="Traditional Arabic" w:cs="Traditional Arabic"/>
          <w:sz w:val="28"/>
          <w:szCs w:val="28"/>
        </w:rPr>
        <w:t>Alghuried</w:t>
      </w:r>
      <w:proofErr w:type="spellEnd"/>
      <w:r w:rsidRPr="00585596">
        <w:rPr>
          <w:rFonts w:ascii="Traditional Arabic" w:hAnsi="Traditional Arabic" w:cs="Traditional Arabic"/>
          <w:sz w:val="28"/>
          <w:szCs w:val="28"/>
        </w:rPr>
        <w:t xml:space="preserve"> (2023) </w:t>
      </w:r>
      <w:r w:rsidRPr="00585596">
        <w:rPr>
          <w:rFonts w:ascii="Traditional Arabic" w:hAnsi="Traditional Arabic" w:cs="Traditional Arabic"/>
          <w:sz w:val="28"/>
          <w:szCs w:val="28"/>
          <w:rtl/>
        </w:rPr>
        <w:t>هذه الرؤية، إذ تُظهر أن تقنيات الاستدامة الحديثة مثل</w:t>
      </w:r>
      <w:r w:rsidRPr="00585596">
        <w:rPr>
          <w:rFonts w:ascii="Traditional Arabic" w:hAnsi="Traditional Arabic" w:cs="Traditional Arabic"/>
          <w:sz w:val="28"/>
          <w:szCs w:val="28"/>
        </w:rPr>
        <w:t xml:space="preserve"> BIM </w:t>
      </w:r>
      <w:r w:rsidRPr="00585596">
        <w:rPr>
          <w:rFonts w:ascii="Traditional Arabic" w:hAnsi="Traditional Arabic" w:cs="Traditional Arabic"/>
          <w:sz w:val="28"/>
          <w:szCs w:val="28"/>
          <w:rtl/>
        </w:rPr>
        <w:t>تُسهم في تحسين التصميم الأخضر</w:t>
      </w:r>
      <w:r w:rsidRPr="00585596">
        <w:rPr>
          <w:rFonts w:ascii="Traditional Arabic" w:hAnsi="Traditional Arabic" w:cs="Traditional Arabic"/>
          <w:sz w:val="28"/>
          <w:szCs w:val="28"/>
        </w:rPr>
        <w:t xml:space="preserve"> (RII = 0.786)</w:t>
      </w:r>
      <w:r w:rsidRPr="00585596">
        <w:rPr>
          <w:rFonts w:ascii="Traditional Arabic" w:hAnsi="Traditional Arabic" w:cs="Traditional Arabic"/>
          <w:sz w:val="28"/>
          <w:szCs w:val="28"/>
          <w:rtl/>
        </w:rPr>
        <w:t xml:space="preserve">، وهو ما يشير—وفق تحليل الباحث—إلى أن الاستدامة أصبحت أداة إستراتيجية لبناء علامة تجارية </w:t>
      </w:r>
      <w:r w:rsidRPr="00585596">
        <w:rPr>
          <w:rFonts w:ascii="Traditional Arabic" w:hAnsi="Traditional Arabic" w:cs="Traditional Arabic"/>
          <w:sz w:val="28"/>
          <w:szCs w:val="28"/>
          <w:rtl/>
        </w:rPr>
        <w:lastRenderedPageBreak/>
        <w:t>قوية. فالشركات التي تقدم حلولًا منخفضة الانبعاثات وأكثر كفاءة في الطاقة تكتسب مكانة مميزة لدى الجهات الحكومية والمستثمرين الدوليين، خاصة في وقت تُشجّع فيه الأنظمة المحلية والعالمية المباني الخضراء كخيارات تفضيلية</w:t>
      </w:r>
      <w:r w:rsidRPr="00585596">
        <w:rPr>
          <w:rFonts w:ascii="Traditional Arabic" w:hAnsi="Traditional Arabic" w:cs="Traditional Arabic"/>
          <w:sz w:val="28"/>
          <w:szCs w:val="28"/>
        </w:rPr>
        <w:t>.</w:t>
      </w:r>
    </w:p>
    <w:p w14:paraId="7E58B0C8" w14:textId="77777777" w:rsidR="00585596" w:rsidRPr="00585596" w:rsidRDefault="00585596" w:rsidP="00585596">
      <w:pPr>
        <w:bidi/>
        <w:spacing w:line="480" w:lineRule="auto"/>
        <w:rPr>
          <w:rFonts w:ascii="Traditional Arabic" w:hAnsi="Traditional Arabic" w:cs="Traditional Arabic"/>
          <w:sz w:val="28"/>
          <w:szCs w:val="28"/>
        </w:rPr>
      </w:pPr>
      <w:r w:rsidRPr="00585596">
        <w:rPr>
          <w:rFonts w:ascii="Traditional Arabic" w:hAnsi="Traditional Arabic" w:cs="Traditional Arabic"/>
          <w:sz w:val="28"/>
          <w:szCs w:val="28"/>
          <w:rtl/>
        </w:rPr>
        <w:t>وتكشف الأدبيات أيضًا عن أن السمعة التنافسية لا تتحدد فقط وفق الأداء التقني، بل تتأثر كذلك بمدى قدرة الشركة على إدارة علاقاتها مع أصحاب المصلحة. فنتائج</w:t>
      </w:r>
      <w:r w:rsidRPr="00585596">
        <w:rPr>
          <w:rFonts w:ascii="Traditional Arabic" w:hAnsi="Traditional Arabic" w:cs="Traditional Arabic"/>
          <w:sz w:val="28"/>
          <w:szCs w:val="28"/>
        </w:rPr>
        <w:t xml:space="preserve"> Al-Otaibi et al. (2025) </w:t>
      </w:r>
      <w:r w:rsidRPr="00585596">
        <w:rPr>
          <w:rFonts w:ascii="Traditional Arabic" w:hAnsi="Traditional Arabic" w:cs="Traditional Arabic"/>
          <w:sz w:val="28"/>
          <w:szCs w:val="28"/>
          <w:rtl/>
        </w:rPr>
        <w:t>التي بيّنت أثر سوء التواصل</w:t>
      </w:r>
      <w:r w:rsidRPr="00585596">
        <w:rPr>
          <w:rFonts w:ascii="Traditional Arabic" w:hAnsi="Traditional Arabic" w:cs="Traditional Arabic"/>
          <w:sz w:val="28"/>
          <w:szCs w:val="28"/>
        </w:rPr>
        <w:t xml:space="preserve"> (RII = 0.831) </w:t>
      </w:r>
      <w:r w:rsidRPr="00585596">
        <w:rPr>
          <w:rFonts w:ascii="Traditional Arabic" w:hAnsi="Traditional Arabic" w:cs="Traditional Arabic"/>
          <w:sz w:val="28"/>
          <w:szCs w:val="28"/>
          <w:rtl/>
        </w:rPr>
        <w:t>وتجاوز الجداول الزمنية</w:t>
      </w:r>
      <w:r w:rsidRPr="00585596">
        <w:rPr>
          <w:rFonts w:ascii="Traditional Arabic" w:hAnsi="Traditional Arabic" w:cs="Traditional Arabic"/>
          <w:sz w:val="28"/>
          <w:szCs w:val="28"/>
        </w:rPr>
        <w:t xml:space="preserve"> (RII = 0.806) </w:t>
      </w:r>
      <w:r w:rsidRPr="00585596">
        <w:rPr>
          <w:rFonts w:ascii="Traditional Arabic" w:hAnsi="Traditional Arabic" w:cs="Traditional Arabic"/>
          <w:sz w:val="28"/>
          <w:szCs w:val="28"/>
          <w:rtl/>
        </w:rPr>
        <w:t>تُبرز—من منظور نقدي—أن الاستدامة لا يمكن أن تُختزل في الأدوات التقنية، بل يجب أن تمتد إلى آليات الحوكمة والتنسيق. وهذا يعني أن الشركات التي تعتمد ممارسات مستدامة تكون أكثر قدرة على ضبط نظام التواصل، وتقليل الصراعات، وتحقيق اتساق في دورة المشروع</w:t>
      </w:r>
      <w:r w:rsidRPr="00585596">
        <w:rPr>
          <w:rFonts w:ascii="Traditional Arabic" w:hAnsi="Traditional Arabic" w:cs="Traditional Arabic"/>
          <w:sz w:val="28"/>
          <w:szCs w:val="28"/>
        </w:rPr>
        <w:t>.</w:t>
      </w:r>
    </w:p>
    <w:p w14:paraId="2B82DCDF" w14:textId="77777777" w:rsidR="00585596" w:rsidRPr="00585596" w:rsidRDefault="00585596" w:rsidP="00585596">
      <w:pPr>
        <w:bidi/>
        <w:spacing w:line="480" w:lineRule="auto"/>
        <w:rPr>
          <w:rFonts w:ascii="Traditional Arabic" w:hAnsi="Traditional Arabic" w:cs="Traditional Arabic"/>
          <w:sz w:val="28"/>
          <w:szCs w:val="28"/>
        </w:rPr>
      </w:pPr>
      <w:r w:rsidRPr="00585596">
        <w:rPr>
          <w:rFonts w:ascii="Traditional Arabic" w:hAnsi="Traditional Arabic" w:cs="Traditional Arabic"/>
          <w:sz w:val="28"/>
          <w:szCs w:val="28"/>
          <w:rtl/>
        </w:rPr>
        <w:t>ويرتبط الامتثال للأنظمة البيئية ارتباطًا وثيقًا بهذه التحولات، إذ يظهر من خلال دراسة</w:t>
      </w:r>
      <w:r w:rsidRPr="00585596">
        <w:rPr>
          <w:rFonts w:ascii="Traditional Arabic" w:hAnsi="Traditional Arabic" w:cs="Traditional Arabic"/>
          <w:sz w:val="28"/>
          <w:szCs w:val="28"/>
        </w:rPr>
        <w:t xml:space="preserve"> </w:t>
      </w:r>
      <w:proofErr w:type="spellStart"/>
      <w:r w:rsidRPr="00585596">
        <w:rPr>
          <w:rFonts w:ascii="Traditional Arabic" w:hAnsi="Traditional Arabic" w:cs="Traditional Arabic"/>
          <w:sz w:val="28"/>
          <w:szCs w:val="28"/>
        </w:rPr>
        <w:t>Shaawat</w:t>
      </w:r>
      <w:proofErr w:type="spellEnd"/>
      <w:r w:rsidRPr="00585596">
        <w:rPr>
          <w:rFonts w:ascii="Traditional Arabic" w:hAnsi="Traditional Arabic" w:cs="Traditional Arabic"/>
          <w:sz w:val="28"/>
          <w:szCs w:val="28"/>
        </w:rPr>
        <w:t xml:space="preserve"> et al. (2023) </w:t>
      </w:r>
      <w:r w:rsidRPr="00585596">
        <w:rPr>
          <w:rFonts w:ascii="Traditional Arabic" w:hAnsi="Traditional Arabic" w:cs="Traditional Arabic"/>
          <w:sz w:val="28"/>
          <w:szCs w:val="28"/>
          <w:rtl/>
        </w:rPr>
        <w:t>أن تطبيق نظم إدارة الجودة مثل</w:t>
      </w:r>
      <w:r w:rsidRPr="00585596">
        <w:rPr>
          <w:rFonts w:ascii="Traditional Arabic" w:hAnsi="Traditional Arabic" w:cs="Traditional Arabic"/>
          <w:sz w:val="28"/>
          <w:szCs w:val="28"/>
        </w:rPr>
        <w:t xml:space="preserve"> ISO 9000 </w:t>
      </w:r>
      <w:r w:rsidRPr="00585596">
        <w:rPr>
          <w:rFonts w:ascii="Traditional Arabic" w:hAnsi="Traditional Arabic" w:cs="Traditional Arabic"/>
          <w:sz w:val="28"/>
          <w:szCs w:val="28"/>
          <w:rtl/>
        </w:rPr>
        <w:t>لا يقتصر على تنظيم العملية الداخلية فحسب، بل يُسهم في تقليل الانتهاكات البيئية من خلال ضبط الإجراءات وتوحيدها. ومن وجهة نظر الباحث، فإن هذا الامتثال يُعد انعكاسًا لثقافة تنظيمية ناضجة، حيث تتحول التشريعات من “قيد” إلى “أداة” لتعزيز الجودة والموثوقية</w:t>
      </w:r>
      <w:r w:rsidRPr="00585596">
        <w:rPr>
          <w:rFonts w:ascii="Traditional Arabic" w:hAnsi="Traditional Arabic" w:cs="Traditional Arabic"/>
          <w:sz w:val="28"/>
          <w:szCs w:val="28"/>
        </w:rPr>
        <w:t>.</w:t>
      </w:r>
    </w:p>
    <w:p w14:paraId="5660265C" w14:textId="77777777" w:rsidR="00585596" w:rsidRPr="00585596" w:rsidRDefault="00585596" w:rsidP="00585596">
      <w:pPr>
        <w:bidi/>
        <w:spacing w:line="480" w:lineRule="auto"/>
        <w:rPr>
          <w:rFonts w:ascii="Traditional Arabic" w:hAnsi="Traditional Arabic" w:cs="Traditional Arabic"/>
          <w:sz w:val="28"/>
          <w:szCs w:val="28"/>
        </w:rPr>
      </w:pPr>
      <w:r w:rsidRPr="00585596">
        <w:rPr>
          <w:rFonts w:ascii="Traditional Arabic" w:hAnsi="Traditional Arabic" w:cs="Traditional Arabic"/>
          <w:sz w:val="28"/>
          <w:szCs w:val="28"/>
          <w:rtl/>
        </w:rPr>
        <w:t>كما تُبرز نتائج</w:t>
      </w:r>
      <w:r w:rsidRPr="00585596">
        <w:rPr>
          <w:rFonts w:ascii="Traditional Arabic" w:hAnsi="Traditional Arabic" w:cs="Traditional Arabic"/>
          <w:sz w:val="28"/>
          <w:szCs w:val="28"/>
        </w:rPr>
        <w:t xml:space="preserve"> </w:t>
      </w:r>
      <w:proofErr w:type="spellStart"/>
      <w:r w:rsidRPr="00585596">
        <w:rPr>
          <w:rFonts w:ascii="Traditional Arabic" w:hAnsi="Traditional Arabic" w:cs="Traditional Arabic"/>
          <w:sz w:val="28"/>
          <w:szCs w:val="28"/>
        </w:rPr>
        <w:t>Alghuried</w:t>
      </w:r>
      <w:proofErr w:type="spellEnd"/>
      <w:r w:rsidRPr="00585596">
        <w:rPr>
          <w:rFonts w:ascii="Traditional Arabic" w:hAnsi="Traditional Arabic" w:cs="Traditional Arabic"/>
          <w:sz w:val="28"/>
          <w:szCs w:val="28"/>
        </w:rPr>
        <w:t xml:space="preserve"> (2023) </w:t>
      </w:r>
      <w:r w:rsidRPr="00585596">
        <w:rPr>
          <w:rFonts w:ascii="Traditional Arabic" w:hAnsi="Traditional Arabic" w:cs="Traditional Arabic"/>
          <w:sz w:val="28"/>
          <w:szCs w:val="28"/>
          <w:rtl/>
        </w:rPr>
        <w:t>العلاقة بين الاستدامة والامتثال من خلال دور</w:t>
      </w:r>
      <w:r w:rsidRPr="00585596">
        <w:rPr>
          <w:rFonts w:ascii="Traditional Arabic" w:hAnsi="Traditional Arabic" w:cs="Traditional Arabic"/>
          <w:sz w:val="28"/>
          <w:szCs w:val="28"/>
        </w:rPr>
        <w:t xml:space="preserve"> BIM </w:t>
      </w:r>
      <w:r w:rsidRPr="00585596">
        <w:rPr>
          <w:rFonts w:ascii="Traditional Arabic" w:hAnsi="Traditional Arabic" w:cs="Traditional Arabic"/>
          <w:sz w:val="28"/>
          <w:szCs w:val="28"/>
          <w:rtl/>
        </w:rPr>
        <w:t>في محاكاة استهلاك الطاقة وتطبيق معايير</w:t>
      </w:r>
      <w:r w:rsidRPr="00585596">
        <w:rPr>
          <w:rFonts w:ascii="Traditional Arabic" w:hAnsi="Traditional Arabic" w:cs="Traditional Arabic"/>
          <w:sz w:val="28"/>
          <w:szCs w:val="28"/>
        </w:rPr>
        <w:t xml:space="preserve"> LEED. </w:t>
      </w:r>
      <w:r w:rsidRPr="00585596">
        <w:rPr>
          <w:rFonts w:ascii="Traditional Arabic" w:hAnsi="Traditional Arabic" w:cs="Traditional Arabic"/>
          <w:sz w:val="28"/>
          <w:szCs w:val="28"/>
          <w:rtl/>
        </w:rPr>
        <w:t>فنتائج مثل التحكم في استهلاك الطاقة</w:t>
      </w:r>
      <w:r w:rsidRPr="00585596">
        <w:rPr>
          <w:rFonts w:ascii="Traditional Arabic" w:hAnsi="Traditional Arabic" w:cs="Traditional Arabic"/>
          <w:sz w:val="28"/>
          <w:szCs w:val="28"/>
        </w:rPr>
        <w:t xml:space="preserve"> (RII = 0.767) </w:t>
      </w:r>
      <w:r w:rsidRPr="00585596">
        <w:rPr>
          <w:rFonts w:ascii="Traditional Arabic" w:hAnsi="Traditional Arabic" w:cs="Traditional Arabic"/>
          <w:sz w:val="28"/>
          <w:szCs w:val="28"/>
          <w:rtl/>
        </w:rPr>
        <w:t>وإدارة الموارد بكفاءة</w:t>
      </w:r>
      <w:r w:rsidRPr="00585596">
        <w:rPr>
          <w:rFonts w:ascii="Traditional Arabic" w:hAnsi="Traditional Arabic" w:cs="Traditional Arabic"/>
          <w:sz w:val="28"/>
          <w:szCs w:val="28"/>
        </w:rPr>
        <w:t xml:space="preserve"> (RII = 0.761) </w:t>
      </w:r>
      <w:r w:rsidRPr="00585596">
        <w:rPr>
          <w:rFonts w:ascii="Traditional Arabic" w:hAnsi="Traditional Arabic" w:cs="Traditional Arabic"/>
          <w:sz w:val="28"/>
          <w:szCs w:val="28"/>
          <w:rtl/>
        </w:rPr>
        <w:t>تُظهر—وفق تحليل الباحث—أن الامتثال البيئي لم يعد إجراءً يضاف في نهاية المشروع، بل أصبح جزءًا من عملية التصميم نفسها، مما يقلل من فرص ارتكاب المخالفات ويعزز دقة اتخاذ القرار</w:t>
      </w:r>
      <w:r w:rsidRPr="00585596">
        <w:rPr>
          <w:rFonts w:ascii="Traditional Arabic" w:hAnsi="Traditional Arabic" w:cs="Traditional Arabic"/>
          <w:sz w:val="28"/>
          <w:szCs w:val="28"/>
        </w:rPr>
        <w:t>.</w:t>
      </w:r>
    </w:p>
    <w:p w14:paraId="41AC7EF9" w14:textId="77777777" w:rsidR="00585596" w:rsidRPr="00585596" w:rsidRDefault="00585596" w:rsidP="00585596">
      <w:pPr>
        <w:bidi/>
        <w:spacing w:line="480" w:lineRule="auto"/>
        <w:rPr>
          <w:rFonts w:ascii="Traditional Arabic" w:hAnsi="Traditional Arabic" w:cs="Traditional Arabic"/>
          <w:sz w:val="28"/>
          <w:szCs w:val="28"/>
        </w:rPr>
      </w:pPr>
      <w:r w:rsidRPr="00585596">
        <w:rPr>
          <w:rFonts w:ascii="Traditional Arabic" w:hAnsi="Traditional Arabic" w:cs="Traditional Arabic"/>
          <w:sz w:val="28"/>
          <w:szCs w:val="28"/>
          <w:rtl/>
        </w:rPr>
        <w:lastRenderedPageBreak/>
        <w:t>ويُظهر تحليل</w:t>
      </w:r>
      <w:r w:rsidRPr="00585596">
        <w:rPr>
          <w:rFonts w:ascii="Traditional Arabic" w:hAnsi="Traditional Arabic" w:cs="Traditional Arabic"/>
          <w:sz w:val="28"/>
          <w:szCs w:val="28"/>
        </w:rPr>
        <w:t xml:space="preserve"> Al-Otaibi et al. (2025) </w:t>
      </w:r>
      <w:r w:rsidRPr="00585596">
        <w:rPr>
          <w:rFonts w:ascii="Traditional Arabic" w:hAnsi="Traditional Arabic" w:cs="Traditional Arabic"/>
          <w:sz w:val="28"/>
          <w:szCs w:val="28"/>
          <w:rtl/>
        </w:rPr>
        <w:t>أن اللوائح البيئية في السعودية تمثل عاملًا مؤثرًا في أداء المشاريع</w:t>
      </w:r>
      <w:r w:rsidRPr="00585596">
        <w:rPr>
          <w:rFonts w:ascii="Traditional Arabic" w:hAnsi="Traditional Arabic" w:cs="Traditional Arabic"/>
          <w:sz w:val="28"/>
          <w:szCs w:val="28"/>
        </w:rPr>
        <w:t xml:space="preserve"> (RII = 0.680). </w:t>
      </w:r>
      <w:r w:rsidRPr="00585596">
        <w:rPr>
          <w:rFonts w:ascii="Traditional Arabic" w:hAnsi="Traditional Arabic" w:cs="Traditional Arabic"/>
          <w:sz w:val="28"/>
          <w:szCs w:val="28"/>
          <w:rtl/>
        </w:rPr>
        <w:t>وهذا يدعم رؤية الباحث بأن الاستدامة تُسهم في تقليل المخاطر التنظيمية والمالية من خلال توفير بيئة تشغيلية منضبطة. وفي هذا السياق، يصبح تحسين أنظمة المراقبة والتقييم</w:t>
      </w:r>
      <w:r w:rsidRPr="00585596">
        <w:rPr>
          <w:rFonts w:ascii="Traditional Arabic" w:hAnsi="Traditional Arabic" w:cs="Traditional Arabic"/>
          <w:sz w:val="28"/>
          <w:szCs w:val="28"/>
        </w:rPr>
        <w:t xml:space="preserve"> (RII = 0.786) </w:t>
      </w:r>
      <w:r w:rsidRPr="00585596">
        <w:rPr>
          <w:rFonts w:ascii="Traditional Arabic" w:hAnsi="Traditional Arabic" w:cs="Traditional Arabic"/>
          <w:sz w:val="28"/>
          <w:szCs w:val="28"/>
          <w:rtl/>
        </w:rPr>
        <w:t>ضرورة استراتيجية، وليس مجرد إجراء تشغيلي عابر</w:t>
      </w:r>
      <w:r w:rsidRPr="00585596">
        <w:rPr>
          <w:rFonts w:ascii="Traditional Arabic" w:hAnsi="Traditional Arabic" w:cs="Traditional Arabic"/>
          <w:sz w:val="28"/>
          <w:szCs w:val="28"/>
        </w:rPr>
        <w:t>.</w:t>
      </w:r>
    </w:p>
    <w:p w14:paraId="118FF159" w14:textId="77777777" w:rsidR="00585596" w:rsidRPr="00585596" w:rsidRDefault="00585596" w:rsidP="00585596">
      <w:pPr>
        <w:bidi/>
        <w:spacing w:line="480" w:lineRule="auto"/>
        <w:rPr>
          <w:rFonts w:ascii="Traditional Arabic" w:hAnsi="Traditional Arabic" w:cs="Traditional Arabic"/>
          <w:sz w:val="28"/>
          <w:szCs w:val="28"/>
        </w:rPr>
      </w:pPr>
      <w:r w:rsidRPr="00585596">
        <w:rPr>
          <w:rFonts w:ascii="Traditional Arabic" w:hAnsi="Traditional Arabic" w:cs="Traditional Arabic"/>
          <w:sz w:val="28"/>
          <w:szCs w:val="28"/>
          <w:rtl/>
        </w:rPr>
        <w:t>وفي المقابل، تكشف دراسة</w:t>
      </w:r>
      <w:r w:rsidRPr="00585596">
        <w:rPr>
          <w:rFonts w:ascii="Traditional Arabic" w:hAnsi="Traditional Arabic" w:cs="Traditional Arabic"/>
          <w:sz w:val="28"/>
          <w:szCs w:val="28"/>
        </w:rPr>
        <w:t xml:space="preserve"> </w:t>
      </w:r>
      <w:proofErr w:type="spellStart"/>
      <w:r w:rsidRPr="00585596">
        <w:rPr>
          <w:rFonts w:ascii="Traditional Arabic" w:hAnsi="Traditional Arabic" w:cs="Traditional Arabic"/>
          <w:sz w:val="28"/>
          <w:szCs w:val="28"/>
        </w:rPr>
        <w:t>Shaawat</w:t>
      </w:r>
      <w:proofErr w:type="spellEnd"/>
      <w:r w:rsidRPr="00585596">
        <w:rPr>
          <w:rFonts w:ascii="Traditional Arabic" w:hAnsi="Traditional Arabic" w:cs="Traditional Arabic"/>
          <w:sz w:val="28"/>
          <w:szCs w:val="28"/>
        </w:rPr>
        <w:t xml:space="preserve"> et al. (2023) </w:t>
      </w:r>
      <w:r w:rsidRPr="00585596">
        <w:rPr>
          <w:rFonts w:ascii="Traditional Arabic" w:hAnsi="Traditional Arabic" w:cs="Traditional Arabic"/>
          <w:sz w:val="28"/>
          <w:szCs w:val="28"/>
          <w:rtl/>
        </w:rPr>
        <w:t>عن تأثير الجودة المرتفع على خفض الانبعاثات وتقليل الحاجة لإعادة العمل، ما يعني—وفق قراءة الباحث—أن الامتثال البيئي يتعزز عندما تتحقق جودة التنفيذ من البداية، وأن الاستثمار في الجودة هو استثمار في الامتثال ذاته</w:t>
      </w:r>
      <w:r w:rsidRPr="00585596">
        <w:rPr>
          <w:rFonts w:ascii="Traditional Arabic" w:hAnsi="Traditional Arabic" w:cs="Traditional Arabic"/>
          <w:sz w:val="28"/>
          <w:szCs w:val="28"/>
        </w:rPr>
        <w:t>.</w:t>
      </w:r>
    </w:p>
    <w:p w14:paraId="5A2AA378" w14:textId="77777777" w:rsidR="00585596" w:rsidRPr="00585596" w:rsidRDefault="00585596" w:rsidP="00585596">
      <w:pPr>
        <w:bidi/>
        <w:spacing w:line="480" w:lineRule="auto"/>
        <w:rPr>
          <w:rFonts w:ascii="Traditional Arabic" w:hAnsi="Traditional Arabic" w:cs="Traditional Arabic"/>
          <w:sz w:val="28"/>
          <w:szCs w:val="28"/>
        </w:rPr>
      </w:pPr>
      <w:r w:rsidRPr="00585596">
        <w:rPr>
          <w:rFonts w:ascii="Traditional Arabic" w:hAnsi="Traditional Arabic" w:cs="Traditional Arabic"/>
          <w:sz w:val="28"/>
          <w:szCs w:val="28"/>
          <w:rtl/>
        </w:rPr>
        <w:t>ومع ذلك، فإن الدراسات مثل</w:t>
      </w:r>
      <w:r w:rsidRPr="00585596">
        <w:rPr>
          <w:rFonts w:ascii="Traditional Arabic" w:hAnsi="Traditional Arabic" w:cs="Traditional Arabic"/>
          <w:sz w:val="28"/>
          <w:szCs w:val="28"/>
        </w:rPr>
        <w:t xml:space="preserve"> </w:t>
      </w:r>
      <w:proofErr w:type="spellStart"/>
      <w:r w:rsidRPr="00585596">
        <w:rPr>
          <w:rFonts w:ascii="Traditional Arabic" w:hAnsi="Traditional Arabic" w:cs="Traditional Arabic"/>
          <w:sz w:val="28"/>
          <w:szCs w:val="28"/>
        </w:rPr>
        <w:t>Alghuried</w:t>
      </w:r>
      <w:proofErr w:type="spellEnd"/>
      <w:r w:rsidRPr="00585596">
        <w:rPr>
          <w:rFonts w:ascii="Traditional Arabic" w:hAnsi="Traditional Arabic" w:cs="Traditional Arabic"/>
          <w:sz w:val="28"/>
          <w:szCs w:val="28"/>
        </w:rPr>
        <w:t xml:space="preserve"> (2023) </w:t>
      </w:r>
      <w:r w:rsidRPr="00585596">
        <w:rPr>
          <w:rFonts w:ascii="Traditional Arabic" w:hAnsi="Traditional Arabic" w:cs="Traditional Arabic"/>
          <w:sz w:val="28"/>
          <w:szCs w:val="28"/>
          <w:rtl/>
        </w:rPr>
        <w:t>تُظهر تحديات جوهرية تحول دون التوسع في تطبيق الاستدامة، مثل ارتفاع التكلفة</w:t>
      </w:r>
      <w:r w:rsidRPr="00585596">
        <w:rPr>
          <w:rFonts w:ascii="Traditional Arabic" w:hAnsi="Traditional Arabic" w:cs="Traditional Arabic"/>
          <w:sz w:val="28"/>
          <w:szCs w:val="28"/>
        </w:rPr>
        <w:t xml:space="preserve"> (RII = 0.720)</w:t>
      </w:r>
      <w:r w:rsidRPr="00585596">
        <w:rPr>
          <w:rFonts w:ascii="Traditional Arabic" w:hAnsi="Traditional Arabic" w:cs="Traditional Arabic"/>
          <w:sz w:val="28"/>
          <w:szCs w:val="28"/>
          <w:rtl/>
        </w:rPr>
        <w:t>، ونقص الكوادر المؤهلة</w:t>
      </w:r>
      <w:r w:rsidRPr="00585596">
        <w:rPr>
          <w:rFonts w:ascii="Traditional Arabic" w:hAnsi="Traditional Arabic" w:cs="Traditional Arabic"/>
          <w:sz w:val="28"/>
          <w:szCs w:val="28"/>
        </w:rPr>
        <w:t xml:space="preserve"> (RII = 0.708)</w:t>
      </w:r>
      <w:r w:rsidRPr="00585596">
        <w:rPr>
          <w:rFonts w:ascii="Traditional Arabic" w:hAnsi="Traditional Arabic" w:cs="Traditional Arabic"/>
          <w:sz w:val="28"/>
          <w:szCs w:val="28"/>
          <w:rtl/>
        </w:rPr>
        <w:t>، وغياب إطار قانوني واضح</w:t>
      </w:r>
      <w:r w:rsidRPr="00585596">
        <w:rPr>
          <w:rFonts w:ascii="Traditional Arabic" w:hAnsi="Traditional Arabic" w:cs="Traditional Arabic"/>
          <w:sz w:val="28"/>
          <w:szCs w:val="28"/>
        </w:rPr>
        <w:t xml:space="preserve"> (RII = 0.704). </w:t>
      </w:r>
      <w:r w:rsidRPr="00585596">
        <w:rPr>
          <w:rFonts w:ascii="Traditional Arabic" w:hAnsi="Traditional Arabic" w:cs="Traditional Arabic"/>
          <w:sz w:val="28"/>
          <w:szCs w:val="28"/>
          <w:rtl/>
        </w:rPr>
        <w:t>ومن منظور الباحث، فإن هذه التحديات تكشف أن الاستدامة ليست قرارًا تقنيًا فقط، بل هي تحول هيكلي يحتاج إلى دعم حكومي، وتطوير تشريعات واضحة، وتدريب مهني مكثّف</w:t>
      </w:r>
      <w:r w:rsidRPr="00585596">
        <w:rPr>
          <w:rFonts w:ascii="Traditional Arabic" w:hAnsi="Traditional Arabic" w:cs="Traditional Arabic"/>
          <w:sz w:val="28"/>
          <w:szCs w:val="28"/>
        </w:rPr>
        <w:t>.</w:t>
      </w:r>
    </w:p>
    <w:p w14:paraId="30CE1F04" w14:textId="77777777" w:rsidR="00585596" w:rsidRDefault="00585596" w:rsidP="00585596">
      <w:pPr>
        <w:bidi/>
        <w:spacing w:line="480" w:lineRule="auto"/>
        <w:rPr>
          <w:rFonts w:ascii="Traditional Arabic" w:hAnsi="Traditional Arabic" w:cs="Traditional Arabic"/>
          <w:sz w:val="28"/>
          <w:szCs w:val="28"/>
          <w:rtl/>
        </w:rPr>
      </w:pPr>
      <w:r w:rsidRPr="00585596">
        <w:rPr>
          <w:rFonts w:ascii="Traditional Arabic" w:hAnsi="Traditional Arabic" w:cs="Traditional Arabic"/>
          <w:sz w:val="28"/>
          <w:szCs w:val="28"/>
          <w:rtl/>
        </w:rPr>
        <w:t>وعليه، توصي الأدبيات—ويؤكد الباحث—بضرورة اعتماد مستويات متعددة من التدخل، تشمل إصلاحًا في السياسات، وتطويرًا في التعليم الهندسي، وتعزيزًا لممارسات الشركات. فمؤشرات مثل</w:t>
      </w:r>
      <w:r w:rsidRPr="00585596">
        <w:rPr>
          <w:rFonts w:ascii="Traditional Arabic" w:hAnsi="Traditional Arabic" w:cs="Traditional Arabic"/>
          <w:sz w:val="28"/>
          <w:szCs w:val="28"/>
        </w:rPr>
        <w:t xml:space="preserve"> "PQI" </w:t>
      </w:r>
      <w:r w:rsidRPr="00585596">
        <w:rPr>
          <w:rFonts w:ascii="Traditional Arabic" w:hAnsi="Traditional Arabic" w:cs="Traditional Arabic"/>
          <w:sz w:val="28"/>
          <w:szCs w:val="28"/>
          <w:rtl/>
        </w:rPr>
        <w:t>لا ينبغي أن تكون أدوات تقييم فقط، بل جزءًا من منظومة تشجع الشركات على دمج الأداء البيئي في معايير التنافسية، بما يعيد تشكيل صناعة التشييد في السعودية وفق رؤية استدامة شاملة</w:t>
      </w:r>
      <w:r w:rsidRPr="00585596">
        <w:rPr>
          <w:rFonts w:ascii="Traditional Arabic" w:hAnsi="Traditional Arabic" w:cs="Traditional Arabic"/>
          <w:sz w:val="28"/>
          <w:szCs w:val="28"/>
        </w:rPr>
        <w:t>.</w:t>
      </w:r>
    </w:p>
    <w:p w14:paraId="0C5AA020" w14:textId="77777777" w:rsidR="0098481C" w:rsidRDefault="0098481C" w:rsidP="0098481C">
      <w:pPr>
        <w:bidi/>
        <w:spacing w:line="480" w:lineRule="auto"/>
        <w:rPr>
          <w:rFonts w:ascii="Traditional Arabic" w:hAnsi="Traditional Arabic" w:cs="Traditional Arabic"/>
          <w:sz w:val="28"/>
          <w:szCs w:val="28"/>
          <w:rtl/>
        </w:rPr>
      </w:pPr>
    </w:p>
    <w:p w14:paraId="07D1F47D" w14:textId="77777777" w:rsidR="0098481C" w:rsidRDefault="0098481C" w:rsidP="0098481C">
      <w:pPr>
        <w:bidi/>
        <w:spacing w:line="480" w:lineRule="auto"/>
        <w:rPr>
          <w:rFonts w:ascii="Traditional Arabic" w:hAnsi="Traditional Arabic" w:cs="Traditional Arabic"/>
          <w:sz w:val="28"/>
          <w:szCs w:val="28"/>
          <w:rtl/>
        </w:rPr>
      </w:pPr>
    </w:p>
    <w:p w14:paraId="2930919D" w14:textId="78103290" w:rsidR="0098481C" w:rsidRPr="007205A8" w:rsidRDefault="0098481C" w:rsidP="007205A8">
      <w:pPr>
        <w:pStyle w:val="ListParagraph"/>
        <w:numPr>
          <w:ilvl w:val="0"/>
          <w:numId w:val="21"/>
        </w:numPr>
        <w:bidi/>
        <w:spacing w:line="480" w:lineRule="auto"/>
        <w:rPr>
          <w:rFonts w:ascii="Traditional Arabic" w:hAnsi="Traditional Arabic" w:cs="Traditional Arabic"/>
          <w:b/>
          <w:bCs/>
          <w:sz w:val="28"/>
          <w:szCs w:val="28"/>
        </w:rPr>
      </w:pPr>
      <w:r w:rsidRPr="007205A8">
        <w:rPr>
          <w:rFonts w:ascii="Traditional Arabic" w:hAnsi="Traditional Arabic" w:cs="Traditional Arabic"/>
          <w:b/>
          <w:bCs/>
          <w:sz w:val="28"/>
          <w:szCs w:val="28"/>
          <w:rtl/>
        </w:rPr>
        <w:lastRenderedPageBreak/>
        <w:t>الإطار المفاهيمي المقترح للدراسة</w:t>
      </w:r>
      <w:r w:rsidRPr="007205A8">
        <w:rPr>
          <w:rFonts w:ascii="Traditional Arabic" w:hAnsi="Traditional Arabic" w:cs="Traditional Arabic"/>
          <w:b/>
          <w:bCs/>
          <w:sz w:val="28"/>
          <w:szCs w:val="28"/>
        </w:rPr>
        <w:t xml:space="preserve"> </w:t>
      </w:r>
    </w:p>
    <w:p w14:paraId="3F2E56CD" w14:textId="77777777" w:rsidR="0098481C" w:rsidRPr="0098481C" w:rsidRDefault="0098481C" w:rsidP="006C3304">
      <w:pPr>
        <w:bidi/>
        <w:spacing w:line="480" w:lineRule="auto"/>
        <w:jc w:val="both"/>
        <w:rPr>
          <w:rFonts w:ascii="Traditional Arabic" w:hAnsi="Traditional Arabic" w:cs="Traditional Arabic"/>
          <w:sz w:val="28"/>
          <w:szCs w:val="28"/>
        </w:rPr>
      </w:pPr>
      <w:r w:rsidRPr="0098481C">
        <w:rPr>
          <w:rFonts w:ascii="Traditional Arabic" w:hAnsi="Traditional Arabic" w:cs="Traditional Arabic"/>
          <w:sz w:val="28"/>
          <w:szCs w:val="28"/>
          <w:rtl/>
        </w:rPr>
        <w:t>يقوم الإطار المفاهيمي المقترح على تفسير كيفية تأثير مبادئ الاستدامة بأبعادها الثلاثة (البيئي، الاقتصادي، الاجتماعي) على مؤشرات أداء المشاريع الإنشائية. ويستند هذا النموذج إلى الفرضية العامة بأن تبنّي ممارسات الاستدامة يُنتج قيمة تشغيلية وتنظيمية وانطباعية تنعكس إيجابًا على كفاءة التنفيذ ومستويات الأداء</w:t>
      </w:r>
      <w:r w:rsidRPr="0098481C">
        <w:rPr>
          <w:rFonts w:ascii="Traditional Arabic" w:hAnsi="Traditional Arabic" w:cs="Traditional Arabic"/>
          <w:sz w:val="28"/>
          <w:szCs w:val="28"/>
        </w:rPr>
        <w:t>.</w:t>
      </w:r>
    </w:p>
    <w:p w14:paraId="6FC4C5D2" w14:textId="77777777" w:rsidR="0098481C" w:rsidRPr="0098481C" w:rsidRDefault="0098481C" w:rsidP="006C3304">
      <w:pPr>
        <w:bidi/>
        <w:spacing w:line="480" w:lineRule="auto"/>
        <w:jc w:val="both"/>
        <w:rPr>
          <w:rFonts w:ascii="Traditional Arabic" w:hAnsi="Traditional Arabic" w:cs="Traditional Arabic"/>
          <w:sz w:val="28"/>
          <w:szCs w:val="28"/>
        </w:rPr>
      </w:pPr>
      <w:r w:rsidRPr="0098481C">
        <w:rPr>
          <w:rFonts w:ascii="Traditional Arabic" w:hAnsi="Traditional Arabic" w:cs="Traditional Arabic"/>
          <w:sz w:val="28"/>
          <w:szCs w:val="28"/>
          <w:rtl/>
        </w:rPr>
        <w:t>ويمثل البعد البيئي مدخلًا رئيسيًا لتحسين الأداء التشغيلي من خلال إدارة الموارد بكفاءة، وتقليل الهدر، وتخفيض الانبعاثات، مما يؤدي إلى خفض التكلفة التشغيلية وتقليل التأخيرات الناتجة عن المشكلات البيئية. أما البعد الاقتصادي فيسهم في رفع جودة المشروع من خلال تحسين إدارة الموارد المالية، وتعظيم قيمة الاستثمار، وتقليل التكاليف غير المخطط لها، بما ينعكس على التزام المشروع بالميزانية والجداول الزمنية. ويُعد البعد الاجتماعي عنصرًا مؤثرًا في مستويات رضا العملاء وأصحاب المصلحة، وذلك من خلال تحسين ظروف العمل، وتعزيز السلامة، وتطبيق ممارسات مسؤولة اجتماعيًا تُزيد من ثقة المستفيدين في المشروع</w:t>
      </w:r>
      <w:r w:rsidRPr="0098481C">
        <w:rPr>
          <w:rFonts w:ascii="Traditional Arabic" w:hAnsi="Traditional Arabic" w:cs="Traditional Arabic"/>
          <w:sz w:val="28"/>
          <w:szCs w:val="28"/>
        </w:rPr>
        <w:t>.</w:t>
      </w:r>
    </w:p>
    <w:p w14:paraId="2929D836" w14:textId="77777777" w:rsidR="0098481C" w:rsidRDefault="0098481C" w:rsidP="006C3304">
      <w:pPr>
        <w:bidi/>
        <w:spacing w:line="480" w:lineRule="auto"/>
        <w:jc w:val="both"/>
        <w:rPr>
          <w:rFonts w:ascii="Traditional Arabic" w:hAnsi="Traditional Arabic" w:cs="Traditional Arabic"/>
          <w:sz w:val="28"/>
          <w:szCs w:val="28"/>
          <w:rtl/>
        </w:rPr>
      </w:pPr>
      <w:r w:rsidRPr="0098481C">
        <w:rPr>
          <w:rFonts w:ascii="Traditional Arabic" w:hAnsi="Traditional Arabic" w:cs="Traditional Arabic"/>
          <w:sz w:val="28"/>
          <w:szCs w:val="28"/>
          <w:rtl/>
        </w:rPr>
        <w:t>ويتم الربط بين هذه الأبعاد ومؤشرات الأداء (التكلفة، الوقت، الجودة، رضا العملاء) عبر آلية تأثير مباشرة وغير مباشرة، حيث تؤدي ممارسات الاستدامة إلى تحسين العملية التشغيلية، وتعزيز الامتثال التنظيمي، وتحقيق موثوقية أعلى في تنفيذ المشروع، مما يُسهم في تحقيق أداء شامل ومستدام</w:t>
      </w:r>
      <w:r>
        <w:rPr>
          <w:rFonts w:ascii="Traditional Arabic" w:hAnsi="Traditional Arabic" w:cs="Traditional Arabic" w:hint="cs"/>
          <w:sz w:val="28"/>
          <w:szCs w:val="28"/>
          <w:rtl/>
        </w:rPr>
        <w:t xml:space="preserve"> كما هو موضح بالجدول :</w:t>
      </w:r>
    </w:p>
    <w:p w14:paraId="1E5E72EB" w14:textId="77777777" w:rsidR="00C9278D" w:rsidRDefault="00C9278D" w:rsidP="00C9278D">
      <w:pPr>
        <w:bidi/>
        <w:spacing w:line="480" w:lineRule="auto"/>
        <w:rPr>
          <w:rFonts w:ascii="Traditional Arabic" w:hAnsi="Traditional Arabic" w:cs="Traditional Arabic"/>
          <w:sz w:val="28"/>
          <w:szCs w:val="28"/>
          <w:rtl/>
        </w:rPr>
      </w:pPr>
    </w:p>
    <w:p w14:paraId="61E6E398" w14:textId="77777777" w:rsidR="00C9278D" w:rsidRPr="0098481C" w:rsidRDefault="00C9278D" w:rsidP="00C9278D">
      <w:pPr>
        <w:bidi/>
        <w:spacing w:line="480" w:lineRule="auto"/>
        <w:rPr>
          <w:rFonts w:ascii="Traditional Arabic" w:hAnsi="Traditional Arabic" w:cs="Traditional Arabic"/>
          <w:sz w:val="28"/>
          <w:szCs w:val="28"/>
        </w:rPr>
      </w:pPr>
    </w:p>
    <w:p w14:paraId="23DE769E" w14:textId="5D5839B4" w:rsidR="00C9278D" w:rsidRPr="00C9278D" w:rsidRDefault="00C9278D" w:rsidP="00C9278D">
      <w:pPr>
        <w:bidi/>
        <w:spacing w:line="480" w:lineRule="auto"/>
        <w:rPr>
          <w:rFonts w:ascii="Traditional Arabic" w:hAnsi="Traditional Arabic" w:cs="Traditional Arabic"/>
          <w:b/>
          <w:bCs/>
          <w:sz w:val="28"/>
          <w:szCs w:val="28"/>
        </w:rPr>
      </w:pPr>
      <w:r w:rsidRPr="00C9278D">
        <w:rPr>
          <w:rFonts w:ascii="Traditional Arabic" w:hAnsi="Traditional Arabic" w:cs="Traditional Arabic"/>
          <w:noProof/>
          <w:sz w:val="28"/>
          <w:szCs w:val="28"/>
        </w:rPr>
        <w:lastRenderedPageBreak/>
        <mc:AlternateContent>
          <mc:Choice Requires="wps">
            <w:drawing>
              <wp:anchor distT="0" distB="0" distL="114300" distR="114300" simplePos="0" relativeHeight="251664384" behindDoc="0" locked="0" layoutInCell="1" allowOverlap="1" wp14:anchorId="31A37087" wp14:editId="3D116613">
                <wp:simplePos x="0" y="0"/>
                <wp:positionH relativeFrom="column">
                  <wp:posOffset>85725</wp:posOffset>
                </wp:positionH>
                <wp:positionV relativeFrom="paragraph">
                  <wp:posOffset>266700</wp:posOffset>
                </wp:positionV>
                <wp:extent cx="5930900" cy="4095750"/>
                <wp:effectExtent l="19050" t="19050" r="12700" b="19050"/>
                <wp:wrapNone/>
                <wp:docPr id="1753105752" name="Rectangle 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30900" cy="4095750"/>
                        </a:xfrm>
                        <a:prstGeom prst="rect">
                          <a:avLst/>
                        </a:prstGeom>
                        <a:noFill/>
                        <a:ln w="31750">
                          <a:solidFill>
                            <a:srgbClr val="000000"/>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80DAAD" id="Rectangle 64" o:spid="_x0000_s1026" style="position:absolute;margin-left:6.75pt;margin-top:21pt;width:467pt;height:32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" filled="f" strokeweight="2.5pt">
                <v:shadow color="#868686"/>
              </v:rect>
            </w:pict>
          </mc:Fallback>
        </mc:AlternateContent>
      </w:r>
      <w:r w:rsidRPr="00C9278D">
        <w:rPr>
          <w:rFonts w:ascii="Traditional Arabic" w:hAnsi="Traditional Arabic" w:cs="Traditional Arabic"/>
          <w:noProof/>
          <w:sz w:val="28"/>
          <w:szCs w:val="28"/>
        </w:rPr>
        <mc:AlternateContent>
          <mc:Choice Requires="wps">
            <w:drawing>
              <wp:anchor distT="0" distB="0" distL="114300" distR="114300" simplePos="0" relativeHeight="251665408" behindDoc="0" locked="0" layoutInCell="1" allowOverlap="1" wp14:anchorId="6620AC74" wp14:editId="7279614D">
                <wp:simplePos x="0" y="0"/>
                <wp:positionH relativeFrom="column">
                  <wp:posOffset>3653155</wp:posOffset>
                </wp:positionH>
                <wp:positionV relativeFrom="paragraph">
                  <wp:posOffset>1974850</wp:posOffset>
                </wp:positionV>
                <wp:extent cx="2128520" cy="2078990"/>
                <wp:effectExtent l="0" t="0" r="24130" b="16510"/>
                <wp:wrapNone/>
                <wp:docPr id="1532906077" name="Rectangle 6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28520" cy="2078990"/>
                        </a:xfrm>
                        <a:prstGeom prst="rect">
                          <a:avLst/>
                        </a:prstGeom>
                        <a:gradFill flip="none" rotWithShape="1">
                          <a:gsLst>
                            <a:gs pos="0">
                              <a:srgbClr val="FFFFFF">
                                <a:gamma/>
                                <a:shade val="22353"/>
                                <a:invGamma/>
                              </a:srgbClr>
                            </a:gs>
                            <a:gs pos="50000">
                              <a:srgbClr val="FFFFFF"/>
                            </a:gs>
                            <a:gs pos="100000">
                              <a:srgbClr val="FFFFFF">
                                <a:gamma/>
                                <a:shade val="22353"/>
                                <a:invGamma/>
                              </a:srgbClr>
                            </a:gs>
                          </a:gsLst>
                          <a:lin ang="10800000" scaled="1"/>
                          <a:tileRect/>
                        </a:gradFill>
                        <a:ln w="6350" cap="flat" cmpd="sng" algn="ctr">
                          <a:solidFill>
                            <a:srgbClr val="A5A5A5"/>
                          </a:solidFill>
                          <a:prstDash val="solid"/>
                          <a:miter lim="800000"/>
                        </a:ln>
                        <a:effectLst/>
                      </wps:spPr>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2AD80B81" id="Rectangle 63" o:spid="_x0000_s1026" style="position:absolute;margin-left:287.65pt;margin-top:155.5pt;width:167.6pt;height:163.7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" fillcolor="#393939" strokecolor="#a5a5a5" strokeweight=".5pt">
                <v:fill rotate="t" angle="270" focus="50%" type="gradient"/>
                <v:path arrowok="t"/>
              </v:rect>
            </w:pict>
          </mc:Fallback>
        </mc:AlternateContent>
      </w:r>
      <w:r w:rsidRPr="00C9278D">
        <w:rPr>
          <w:rFonts w:ascii="Traditional Arabic" w:hAnsi="Traditional Arabic" w:cs="Traditional Arabic"/>
          <w:noProof/>
          <w:sz w:val="28"/>
          <w:szCs w:val="28"/>
        </w:rPr>
        <mc:AlternateContent>
          <mc:Choice Requires="wps">
            <w:drawing>
              <wp:anchor distT="0" distB="0" distL="114300" distR="114300" simplePos="0" relativeHeight="251666432" behindDoc="0" locked="0" layoutInCell="1" allowOverlap="1" wp14:anchorId="0E84CDF0" wp14:editId="245FA698">
                <wp:simplePos x="0" y="0"/>
                <wp:positionH relativeFrom="margin">
                  <wp:posOffset>3663950</wp:posOffset>
                </wp:positionH>
                <wp:positionV relativeFrom="paragraph">
                  <wp:posOffset>1313180</wp:posOffset>
                </wp:positionV>
                <wp:extent cx="2124075" cy="520700"/>
                <wp:effectExtent l="0" t="0" r="28575" b="12700"/>
                <wp:wrapNone/>
                <wp:docPr id="1894293177" name="Rectangle 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24075" cy="520700"/>
                        </a:xfrm>
                        <a:prstGeom prst="rect">
                          <a:avLst/>
                        </a:prstGeom>
                        <a:gradFill flip="none" rotWithShape="1">
                          <a:gsLst>
                            <a:gs pos="0">
                              <a:srgbClr val="FFFFFF">
                                <a:gamma/>
                                <a:shade val="22353"/>
                                <a:invGamma/>
                              </a:srgbClr>
                            </a:gs>
                            <a:gs pos="50000">
                              <a:srgbClr val="FFFFFF"/>
                            </a:gs>
                            <a:gs pos="100000">
                              <a:srgbClr val="FFFFFF">
                                <a:gamma/>
                                <a:shade val="22353"/>
                                <a:invGamma/>
                              </a:srgbClr>
                            </a:gs>
                          </a:gsLst>
                          <a:lin ang="5400000" scaled="1"/>
                          <a:tileRect/>
                        </a:gradFill>
                        <a:ln w="19050">
                          <a:solidFill>
                            <a:srgbClr val="000000"/>
                          </a:solidFill>
                          <a:miter lim="800000"/>
                          <a:headEnd/>
                          <a:tailEnd/>
                        </a:ln>
                      </wps:spPr>
                      <wps:txbx>
                        <w:txbxContent>
                          <w:p w14:paraId="7C885277" w14:textId="5ACFED2F" w:rsidR="00C9278D" w:rsidRDefault="00C9278D" w:rsidP="00C9278D">
                            <w:pPr>
                              <w:bidi/>
                              <w:jc w:val="center"/>
                              <w:rPr>
                                <w:rFonts w:cs="Simplified Arabic"/>
                                <w:b/>
                                <w:bCs/>
                                <w:color w:val="002060"/>
                                <w:sz w:val="32"/>
                                <w:szCs w:val="32"/>
                                <w:lang w:bidi="ar-EG"/>
                              </w:rPr>
                            </w:pPr>
                            <w:r w:rsidRPr="00C9278D">
                              <w:rPr>
                                <w:rFonts w:cs="Simplified Arabic"/>
                                <w:b/>
                                <w:bCs/>
                                <w:color w:val="002060"/>
                                <w:sz w:val="32"/>
                                <w:szCs w:val="32"/>
                                <w:rtl/>
                              </w:rPr>
                              <w:t>أبعاد الاستدامة</w:t>
                            </w:r>
                          </w:p>
                        </w:txbxContent>
                      </wps:txbx>
                      <wps:bodyPr rot="0" vertOverflow="clip" horzOverflow="clip"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0E84CDF0" id="Rectangle 62" o:spid="_x0000_s1026" style="position:absolute;left:0;text-align:left;margin-left:288.5pt;margin-top:103.4pt;width:167.25pt;height:41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" fillcolor="#393939" strokeweight="1.5pt">
                <v:fill rotate="t" focus="50%" type="gradient"/>
                <v:textbox>
                  <w:txbxContent>
                    <w:p w14:paraId="7C885277" w14:textId="5ACFED2F" w:rsidR="00C9278D" w:rsidRDefault="00C9278D" w:rsidP="00C9278D">
                      <w:pPr>
                        <w:bidi/>
                        <w:jc w:val="center"/>
                        <w:rPr>
                          <w:rFonts w:cs="Simplified Arabic"/>
                          <w:b/>
                          <w:bCs/>
                          <w:color w:val="002060"/>
                          <w:sz w:val="32"/>
                          <w:szCs w:val="32"/>
                          <w:lang w:bidi="ar-EG"/>
                        </w:rPr>
                      </w:pPr>
                      <w:r w:rsidRPr="00C9278D">
                        <w:rPr>
                          <w:rFonts w:cs="Simplified Arabic"/>
                          <w:b/>
                          <w:bCs/>
                          <w:color w:val="002060"/>
                          <w:sz w:val="32"/>
                          <w:szCs w:val="32"/>
                          <w:rtl/>
                        </w:rPr>
                        <w:t>أبعاد الاستدامة</w:t>
                      </w:r>
                    </w:p>
                  </w:txbxContent>
                </v:textbox>
                <w10:wrap anchorx="margin"/>
              </v:rect>
            </w:pict>
          </mc:Fallback>
        </mc:AlternateContent>
      </w:r>
      <w:r w:rsidRPr="00C9278D">
        <w:rPr>
          <w:rFonts w:ascii="Traditional Arabic" w:hAnsi="Traditional Arabic" w:cs="Traditional Arabic"/>
          <w:noProof/>
          <w:sz w:val="28"/>
          <w:szCs w:val="28"/>
        </w:rPr>
        <mc:AlternateContent>
          <mc:Choice Requires="wps">
            <w:drawing>
              <wp:anchor distT="0" distB="0" distL="114300" distR="114300" simplePos="0" relativeHeight="251667456" behindDoc="0" locked="0" layoutInCell="1" allowOverlap="1" wp14:anchorId="17DD23F7" wp14:editId="08F327AB">
                <wp:simplePos x="0" y="0"/>
                <wp:positionH relativeFrom="column">
                  <wp:posOffset>3663950</wp:posOffset>
                </wp:positionH>
                <wp:positionV relativeFrom="paragraph">
                  <wp:posOffset>605790</wp:posOffset>
                </wp:positionV>
                <wp:extent cx="2124075" cy="685800"/>
                <wp:effectExtent l="0" t="0" r="28575" b="38100"/>
                <wp:wrapNone/>
                <wp:docPr id="442328868" name="Callout: Down Arrow 6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24075" cy="685800"/>
                        </a:xfrm>
                        <a:prstGeom prst="downArrowCallout">
                          <a:avLst/>
                        </a:prstGeom>
                        <a:gradFill flip="none" rotWithShape="1">
                          <a:gsLst>
                            <a:gs pos="0">
                              <a:srgbClr val="A5A5A5">
                                <a:lumMod val="0"/>
                                <a:lumOff val="100000"/>
                              </a:srgbClr>
                            </a:gs>
                            <a:gs pos="35000">
                              <a:srgbClr val="A5A5A5">
                                <a:lumMod val="0"/>
                                <a:lumOff val="100000"/>
                              </a:srgbClr>
                            </a:gs>
                            <a:gs pos="100000">
                              <a:srgbClr val="A5A5A5">
                                <a:lumMod val="100000"/>
                              </a:srgbClr>
                            </a:gs>
                          </a:gsLst>
                          <a:path path="circle">
                            <a:fillToRect l="50000" t="50000" r="50000" b="50000"/>
                          </a:path>
                          <a:tileRect/>
                        </a:gradFill>
                        <a:ln w="6350" cap="flat" cmpd="sng" algn="ctr">
                          <a:solidFill>
                            <a:srgbClr val="A5A5A5"/>
                          </a:solidFill>
                          <a:prstDash val="solid"/>
                          <a:miter lim="800000"/>
                        </a:ln>
                        <a:effectLst/>
                      </wps:spPr>
                      <wps:txbx>
                        <w:txbxContent>
                          <w:p w14:paraId="14D0929F" w14:textId="77777777" w:rsidR="00C9278D" w:rsidRDefault="00C9278D" w:rsidP="00C9278D">
                            <w:pPr>
                              <w:bidi/>
                              <w:jc w:val="center"/>
                              <w:rPr>
                                <w:rFonts w:cs="Simplified Arabic"/>
                                <w:b/>
                                <w:bCs/>
                                <w:sz w:val="28"/>
                                <w:szCs w:val="28"/>
                                <w:lang w:bidi="ar-IQ"/>
                              </w:rPr>
                            </w:pPr>
                            <w:r>
                              <w:rPr>
                                <w:rFonts w:cs="Simplified Arabic" w:hint="cs"/>
                                <w:b/>
                                <w:bCs/>
                                <w:sz w:val="28"/>
                                <w:szCs w:val="28"/>
                                <w:rtl/>
                                <w:lang w:bidi="ar-IQ"/>
                              </w:rPr>
                              <w:t>المتغير المستقل</w:t>
                            </w: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17DD23F7" id="_x0000_t80" coordsize="21600,21600" o:spt="80" adj="14400,5400,18000,8100" path="m,l21600,,21600@0@5@0@5@2@4@2,10800,21600@1@2@3@2@3@0,0@0xe">
                <v:stroke joinstyle="miter"/>
                <v:formulas>
                  <v:f eqn="val #0"/>
                  <v:f eqn="val #1"/>
                  <v:f eqn="val #2"/>
                  <v:f eqn="val #3"/>
                  <v:f eqn="sum 21600 0 #1"/>
                  <v:f eqn="sum 21600 0 #3"/>
                  <v:f eqn="prod #0 1 2"/>
                </v:formulas>
                <v:path o:connecttype="custom" o:connectlocs="10800,0;0,@6;10800,21600;21600,@6" o:connectangles="270,180,90,0" textboxrect="0,0,21600,@0"/>
                <v:handles>
                  <v:h position="topLeft,#0" yrange="0,@2"/>
                  <v:h position="#1,bottomRight" xrange="0,@3"/>
                  <v:h position="#3,#2" xrange="@1,10800" yrange="@0,21600"/>
                </v:handles>
              </v:shapetype>
              <v:shape id="Callout: Down Arrow 61" o:spid="_x0000_s1027" type="#_x0000_t80" style="position:absolute;left:0;text-align:left;margin-left:288.5pt;margin-top:47.7pt;width:167.25pt;height:54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" adj="14035,9057,16200,9928" strokecolor="#a5a5a5" strokeweight=".5pt">
                <v:fill color2="#a5a5a5" rotate="t" focusposition=".5,.5" focussize="" colors="0 white;22938f white;1 #a5a5a5" focus="100%" type="gradientRadial"/>
                <v:path arrowok="t"/>
                <v:textbox>
                  <w:txbxContent>
                    <w:p w14:paraId="14D0929F" w14:textId="77777777" w:rsidR="00C9278D" w:rsidRDefault="00C9278D" w:rsidP="00C9278D">
                      <w:pPr>
                        <w:bidi/>
                        <w:jc w:val="center"/>
                        <w:rPr>
                          <w:rFonts w:cs="Simplified Arabic"/>
                          <w:b/>
                          <w:bCs/>
                          <w:sz w:val="28"/>
                          <w:szCs w:val="28"/>
                          <w:lang w:bidi="ar-IQ"/>
                        </w:rPr>
                      </w:pPr>
                      <w:r>
                        <w:rPr>
                          <w:rFonts w:cs="Simplified Arabic" w:hint="cs"/>
                          <w:b/>
                          <w:bCs/>
                          <w:sz w:val="28"/>
                          <w:szCs w:val="28"/>
                          <w:rtl/>
                          <w:lang w:bidi="ar-IQ"/>
                        </w:rPr>
                        <w:t>المتغير المستقل</w:t>
                      </w:r>
                    </w:p>
                  </w:txbxContent>
                </v:textbox>
              </v:shape>
            </w:pict>
          </mc:Fallback>
        </mc:AlternateContent>
      </w:r>
      <w:r w:rsidRPr="00C9278D">
        <w:rPr>
          <w:rFonts w:ascii="Traditional Arabic" w:hAnsi="Traditional Arabic" w:cs="Traditional Arabic"/>
          <w:noProof/>
          <w:sz w:val="28"/>
          <w:szCs w:val="28"/>
        </w:rPr>
        <mc:AlternateContent>
          <mc:Choice Requires="wps">
            <w:drawing>
              <wp:anchor distT="0" distB="0" distL="114300" distR="114300" simplePos="0" relativeHeight="251668480" behindDoc="0" locked="0" layoutInCell="1" allowOverlap="1" wp14:anchorId="19B981EA" wp14:editId="19A8C182">
                <wp:simplePos x="0" y="0"/>
                <wp:positionH relativeFrom="margin">
                  <wp:posOffset>3740150</wp:posOffset>
                </wp:positionH>
                <wp:positionV relativeFrom="paragraph">
                  <wp:posOffset>2120900</wp:posOffset>
                </wp:positionV>
                <wp:extent cx="1940560" cy="327025"/>
                <wp:effectExtent l="0" t="0" r="21590" b="15875"/>
                <wp:wrapNone/>
                <wp:docPr id="996707442" name="Rectangle 6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40560" cy="327025"/>
                        </a:xfrm>
                        <a:prstGeom prst="rect">
                          <a:avLst/>
                        </a:prstGeom>
                        <a:gradFill flip="none" rotWithShape="1">
                          <a:gsLst>
                            <a:gs pos="0">
                              <a:srgbClr val="A5A5A5">
                                <a:lumMod val="5000"/>
                                <a:lumOff val="95000"/>
                              </a:srgbClr>
                            </a:gs>
                            <a:gs pos="74000">
                              <a:srgbClr val="A5A5A5">
                                <a:lumMod val="45000"/>
                                <a:lumOff val="55000"/>
                              </a:srgbClr>
                            </a:gs>
                            <a:gs pos="83000">
                              <a:srgbClr val="A5A5A5">
                                <a:lumMod val="45000"/>
                                <a:lumOff val="55000"/>
                              </a:srgbClr>
                            </a:gs>
                            <a:gs pos="100000">
                              <a:srgbClr val="A5A5A5">
                                <a:lumMod val="30000"/>
                                <a:lumOff val="70000"/>
                              </a:srgbClr>
                            </a:gs>
                          </a:gsLst>
                          <a:path path="circle">
                            <a:fillToRect l="50000" t="50000" r="50000" b="50000"/>
                          </a:path>
                          <a:tileRect/>
                        </a:gradFill>
                        <a:ln w="6350" cap="flat" cmpd="sng" algn="ctr">
                          <a:solidFill>
                            <a:srgbClr val="A5A5A5"/>
                          </a:solidFill>
                          <a:prstDash val="solid"/>
                          <a:miter lim="800000"/>
                        </a:ln>
                        <a:effectLst/>
                      </wps:spPr>
                      <wps:txbx>
                        <w:txbxContent>
                          <w:p w14:paraId="2095AD1D" w14:textId="355997DE" w:rsidR="00C9278D" w:rsidRDefault="00C9278D" w:rsidP="00C9278D">
                            <w:pPr>
                              <w:bidi/>
                              <w:jc w:val="center"/>
                              <w:rPr>
                                <w:rFonts w:ascii="Times New Roman" w:hAnsi="Times New Roman" w:cs="Simplified Arabic"/>
                                <w:b/>
                                <w:bCs/>
                                <w:sz w:val="26"/>
                                <w:szCs w:val="26"/>
                                <w:lang w:bidi="ar-IQ"/>
                              </w:rPr>
                            </w:pPr>
                            <w:r w:rsidRPr="00C9278D">
                              <w:rPr>
                                <w:rFonts w:asciiTheme="majorBidi" w:hAnsiTheme="majorBidi" w:cstheme="majorBidi"/>
                                <w:b/>
                                <w:bCs/>
                                <w:sz w:val="28"/>
                                <w:szCs w:val="28"/>
                                <w:rtl/>
                              </w:rPr>
                              <w:t>البعد البيئي</w:t>
                            </w: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19B981EA" id="Rectangle 60" o:spid="_x0000_s1028" style="position:absolute;left:0;text-align:left;margin-left:294.5pt;margin-top:167pt;width:152.8pt;height:25.75pt;z-index:2516684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" fillcolor="#fafafa" strokecolor="#a5a5a5" strokeweight=".5pt">
                <v:fill color2="#e4e4e4" rotate="t" focusposition=".5,.5" focussize="" colors="0 #fafafa;48497f #d7d7d7;54395f #d7d7d7;1 #e4e4e4" focus="100%" type="gradientRadial"/>
                <v:path arrowok="t"/>
                <v:textbox>
                  <w:txbxContent>
                    <w:p w14:paraId="2095AD1D" w14:textId="355997DE" w:rsidR="00C9278D" w:rsidRDefault="00C9278D" w:rsidP="00C9278D">
                      <w:pPr>
                        <w:bidi/>
                        <w:jc w:val="center"/>
                        <w:rPr>
                          <w:rFonts w:ascii="Times New Roman" w:hAnsi="Times New Roman" w:cs="Simplified Arabic"/>
                          <w:b/>
                          <w:bCs/>
                          <w:sz w:val="26"/>
                          <w:szCs w:val="26"/>
                          <w:lang w:bidi="ar-IQ"/>
                        </w:rPr>
                      </w:pPr>
                      <w:r w:rsidRPr="00C9278D">
                        <w:rPr>
                          <w:rFonts w:asciiTheme="majorBidi" w:hAnsiTheme="majorBidi" w:cstheme="majorBidi"/>
                          <w:b/>
                          <w:bCs/>
                          <w:sz w:val="28"/>
                          <w:szCs w:val="28"/>
                          <w:rtl/>
                        </w:rPr>
                        <w:t>البعد البيئي</w:t>
                      </w:r>
                    </w:p>
                  </w:txbxContent>
                </v:textbox>
                <w10:wrap anchorx="margin"/>
              </v:rect>
            </w:pict>
          </mc:Fallback>
        </mc:AlternateContent>
      </w:r>
      <w:r w:rsidRPr="00C9278D">
        <w:rPr>
          <w:rFonts w:ascii="Traditional Arabic" w:hAnsi="Traditional Arabic" w:cs="Traditional Arabic"/>
          <w:noProof/>
          <w:sz w:val="28"/>
          <w:szCs w:val="28"/>
        </w:rPr>
        <mc:AlternateContent>
          <mc:Choice Requires="wps">
            <w:drawing>
              <wp:anchor distT="0" distB="0" distL="114300" distR="114300" simplePos="0" relativeHeight="251669504" behindDoc="0" locked="0" layoutInCell="1" allowOverlap="1" wp14:anchorId="7CB9B6E9" wp14:editId="5121D6CC">
                <wp:simplePos x="0" y="0"/>
                <wp:positionH relativeFrom="column">
                  <wp:posOffset>3740150</wp:posOffset>
                </wp:positionH>
                <wp:positionV relativeFrom="paragraph">
                  <wp:posOffset>2658110</wp:posOffset>
                </wp:positionV>
                <wp:extent cx="1930400" cy="323215"/>
                <wp:effectExtent l="0" t="0" r="12700" b="19685"/>
                <wp:wrapNone/>
                <wp:docPr id="1304545364" name="Rectangle 5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30400" cy="323215"/>
                        </a:xfrm>
                        <a:prstGeom prst="rect">
                          <a:avLst/>
                        </a:prstGeom>
                        <a:gradFill flip="none" rotWithShape="1">
                          <a:gsLst>
                            <a:gs pos="0">
                              <a:srgbClr val="A5A5A5">
                                <a:lumMod val="5000"/>
                                <a:lumOff val="95000"/>
                              </a:srgbClr>
                            </a:gs>
                            <a:gs pos="74000">
                              <a:srgbClr val="A5A5A5">
                                <a:lumMod val="45000"/>
                                <a:lumOff val="55000"/>
                              </a:srgbClr>
                            </a:gs>
                            <a:gs pos="83000">
                              <a:srgbClr val="A5A5A5">
                                <a:lumMod val="45000"/>
                                <a:lumOff val="55000"/>
                              </a:srgbClr>
                            </a:gs>
                            <a:gs pos="100000">
                              <a:srgbClr val="A5A5A5">
                                <a:lumMod val="30000"/>
                                <a:lumOff val="70000"/>
                              </a:srgbClr>
                            </a:gs>
                          </a:gsLst>
                          <a:path path="circle">
                            <a:fillToRect l="50000" t="50000" r="50000" b="50000"/>
                          </a:path>
                          <a:tileRect/>
                        </a:gradFill>
                        <a:ln w="6350" cap="flat" cmpd="sng" algn="ctr">
                          <a:solidFill>
                            <a:srgbClr val="A5A5A5"/>
                          </a:solidFill>
                          <a:prstDash val="solid"/>
                          <a:miter lim="800000"/>
                        </a:ln>
                        <a:effectLst/>
                      </wps:spPr>
                      <wps:txbx>
                        <w:txbxContent>
                          <w:p w14:paraId="291EF2B9" w14:textId="7C8DB12B" w:rsidR="00C9278D" w:rsidRDefault="00C9278D" w:rsidP="00C9278D">
                            <w:pPr>
                              <w:bidi/>
                              <w:jc w:val="center"/>
                              <w:rPr>
                                <w:rFonts w:asciiTheme="majorBidi" w:hAnsiTheme="majorBidi" w:cstheme="majorBidi"/>
                                <w:b/>
                                <w:bCs/>
                                <w:sz w:val="28"/>
                                <w:szCs w:val="28"/>
                                <w:lang w:bidi="ar-EG"/>
                              </w:rPr>
                            </w:pPr>
                            <w:r w:rsidRPr="00C9278D">
                              <w:rPr>
                                <w:rFonts w:asciiTheme="majorBidi" w:hAnsiTheme="majorBidi" w:cstheme="majorBidi"/>
                                <w:b/>
                                <w:bCs/>
                                <w:sz w:val="28"/>
                                <w:szCs w:val="28"/>
                                <w:rtl/>
                              </w:rPr>
                              <w:t>البعد الاقتصادي</w:t>
                            </w: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7CB9B6E9" id="Rectangle 59" o:spid="_x0000_s1029" style="position:absolute;left:0;text-align:left;margin-left:294.5pt;margin-top:209.3pt;width:152pt;height:25.4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" fillcolor="#fafafa" strokecolor="#a5a5a5" strokeweight=".5pt">
                <v:fill color2="#e4e4e4" rotate="t" focusposition=".5,.5" focussize="" colors="0 #fafafa;48497f #d7d7d7;54395f #d7d7d7;1 #e4e4e4" focus="100%" type="gradientRadial"/>
                <v:path arrowok="t"/>
                <v:textbox>
                  <w:txbxContent>
                    <w:p w14:paraId="291EF2B9" w14:textId="7C8DB12B" w:rsidR="00C9278D" w:rsidRDefault="00C9278D" w:rsidP="00C9278D">
                      <w:pPr>
                        <w:bidi/>
                        <w:jc w:val="center"/>
                        <w:rPr>
                          <w:rFonts w:asciiTheme="majorBidi" w:hAnsiTheme="majorBidi" w:cstheme="majorBidi"/>
                          <w:b/>
                          <w:bCs/>
                          <w:sz w:val="28"/>
                          <w:szCs w:val="28"/>
                          <w:lang w:bidi="ar-EG"/>
                        </w:rPr>
                      </w:pPr>
                      <w:r w:rsidRPr="00C9278D">
                        <w:rPr>
                          <w:rFonts w:asciiTheme="majorBidi" w:hAnsiTheme="majorBidi" w:cstheme="majorBidi"/>
                          <w:b/>
                          <w:bCs/>
                          <w:sz w:val="28"/>
                          <w:szCs w:val="28"/>
                          <w:rtl/>
                        </w:rPr>
                        <w:t>البعد الاقتصادي</w:t>
                      </w:r>
                    </w:p>
                  </w:txbxContent>
                </v:textbox>
              </v:rect>
            </w:pict>
          </mc:Fallback>
        </mc:AlternateContent>
      </w:r>
      <w:r w:rsidRPr="00C9278D">
        <w:rPr>
          <w:rFonts w:ascii="Traditional Arabic" w:hAnsi="Traditional Arabic" w:cs="Traditional Arabic"/>
          <w:noProof/>
          <w:sz w:val="28"/>
          <w:szCs w:val="28"/>
        </w:rPr>
        <mc:AlternateContent>
          <mc:Choice Requires="wps">
            <w:drawing>
              <wp:anchor distT="0" distB="0" distL="114300" distR="114300" simplePos="0" relativeHeight="251670528" behindDoc="0" locked="0" layoutInCell="1" allowOverlap="1" wp14:anchorId="7BAAFEBA" wp14:editId="7FAA50CD">
                <wp:simplePos x="0" y="0"/>
                <wp:positionH relativeFrom="margin">
                  <wp:posOffset>3752850</wp:posOffset>
                </wp:positionH>
                <wp:positionV relativeFrom="paragraph">
                  <wp:posOffset>3185160</wp:posOffset>
                </wp:positionV>
                <wp:extent cx="1892300" cy="323850"/>
                <wp:effectExtent l="0" t="0" r="12700" b="19050"/>
                <wp:wrapNone/>
                <wp:docPr id="495425569" name="Rectangle 5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92300" cy="323850"/>
                        </a:xfrm>
                        <a:prstGeom prst="rect">
                          <a:avLst/>
                        </a:prstGeom>
                        <a:gradFill flip="none" rotWithShape="1">
                          <a:gsLst>
                            <a:gs pos="0">
                              <a:srgbClr val="A5A5A5">
                                <a:lumMod val="5000"/>
                                <a:lumOff val="95000"/>
                              </a:srgbClr>
                            </a:gs>
                            <a:gs pos="74000">
                              <a:srgbClr val="A5A5A5">
                                <a:lumMod val="45000"/>
                                <a:lumOff val="55000"/>
                              </a:srgbClr>
                            </a:gs>
                            <a:gs pos="83000">
                              <a:srgbClr val="A5A5A5">
                                <a:lumMod val="45000"/>
                                <a:lumOff val="55000"/>
                              </a:srgbClr>
                            </a:gs>
                            <a:gs pos="100000">
                              <a:srgbClr val="A5A5A5">
                                <a:lumMod val="30000"/>
                                <a:lumOff val="70000"/>
                              </a:srgbClr>
                            </a:gs>
                          </a:gsLst>
                          <a:path path="circle">
                            <a:fillToRect l="50000" t="50000" r="50000" b="50000"/>
                          </a:path>
                          <a:tileRect/>
                        </a:gradFill>
                        <a:ln w="6350" cap="flat" cmpd="sng" algn="ctr">
                          <a:solidFill>
                            <a:srgbClr val="A5A5A5"/>
                          </a:solidFill>
                          <a:prstDash val="solid"/>
                          <a:miter lim="800000"/>
                        </a:ln>
                        <a:effectLst/>
                      </wps:spPr>
                      <wps:txbx>
                        <w:txbxContent>
                          <w:p w14:paraId="23527E19" w14:textId="6F1AF690" w:rsidR="00C9278D" w:rsidRDefault="00C9278D" w:rsidP="00C9278D">
                            <w:pPr>
                              <w:bidi/>
                              <w:jc w:val="center"/>
                              <w:rPr>
                                <w:rFonts w:asciiTheme="majorBidi" w:hAnsiTheme="majorBidi" w:cstheme="majorBidi"/>
                                <w:b/>
                                <w:bCs/>
                                <w:sz w:val="28"/>
                                <w:szCs w:val="28"/>
                                <w:lang w:bidi="ar-EG"/>
                              </w:rPr>
                            </w:pPr>
                            <w:r w:rsidRPr="00C9278D">
                              <w:rPr>
                                <w:rFonts w:asciiTheme="majorBidi" w:hAnsiTheme="majorBidi" w:cstheme="majorBidi"/>
                                <w:b/>
                                <w:bCs/>
                                <w:sz w:val="28"/>
                                <w:szCs w:val="28"/>
                                <w:rtl/>
                              </w:rPr>
                              <w:t>البعد الاجتماعي</w:t>
                            </w: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7BAAFEBA" id="Rectangle 58" o:spid="_x0000_s1030" style="position:absolute;left:0;text-align:left;margin-left:295.5pt;margin-top:250.8pt;width:149pt;height:25.5pt;z-index:2516705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" fillcolor="#fafafa" strokecolor="#a5a5a5" strokeweight=".5pt">
                <v:fill color2="#e4e4e4" rotate="t" focusposition=".5,.5" focussize="" colors="0 #fafafa;48497f #d7d7d7;54395f #d7d7d7;1 #e4e4e4" focus="100%" type="gradientRadial"/>
                <v:path arrowok="t"/>
                <v:textbox>
                  <w:txbxContent>
                    <w:p w14:paraId="23527E19" w14:textId="6F1AF690" w:rsidR="00C9278D" w:rsidRDefault="00C9278D" w:rsidP="00C9278D">
                      <w:pPr>
                        <w:bidi/>
                        <w:jc w:val="center"/>
                        <w:rPr>
                          <w:rFonts w:asciiTheme="majorBidi" w:hAnsiTheme="majorBidi" w:cstheme="majorBidi"/>
                          <w:b/>
                          <w:bCs/>
                          <w:sz w:val="28"/>
                          <w:szCs w:val="28"/>
                          <w:lang w:bidi="ar-EG"/>
                        </w:rPr>
                      </w:pPr>
                      <w:r w:rsidRPr="00C9278D">
                        <w:rPr>
                          <w:rFonts w:asciiTheme="majorBidi" w:hAnsiTheme="majorBidi" w:cstheme="majorBidi"/>
                          <w:b/>
                          <w:bCs/>
                          <w:sz w:val="28"/>
                          <w:szCs w:val="28"/>
                          <w:rtl/>
                        </w:rPr>
                        <w:t>البعد الاجتماعي</w:t>
                      </w:r>
                    </w:p>
                  </w:txbxContent>
                </v:textbox>
                <w10:wrap anchorx="margin"/>
              </v:rect>
            </w:pict>
          </mc:Fallback>
        </mc:AlternateContent>
      </w:r>
      <w:r w:rsidRPr="00C9278D">
        <w:rPr>
          <w:rFonts w:ascii="Traditional Arabic" w:hAnsi="Traditional Arabic" w:cs="Traditional Arabic"/>
          <w:noProof/>
          <w:sz w:val="28"/>
          <w:szCs w:val="28"/>
        </w:rPr>
        <mc:AlternateContent>
          <mc:Choice Requires="wps">
            <w:drawing>
              <wp:anchor distT="0" distB="0" distL="114300" distR="114300" simplePos="0" relativeHeight="251671552" behindDoc="0" locked="0" layoutInCell="1" allowOverlap="1" wp14:anchorId="69FB2FF6" wp14:editId="267193A4">
                <wp:simplePos x="0" y="0"/>
                <wp:positionH relativeFrom="margin">
                  <wp:posOffset>323850</wp:posOffset>
                </wp:positionH>
                <wp:positionV relativeFrom="paragraph">
                  <wp:posOffset>612140</wp:posOffset>
                </wp:positionV>
                <wp:extent cx="2102485" cy="685800"/>
                <wp:effectExtent l="0" t="0" r="12065" b="38100"/>
                <wp:wrapNone/>
                <wp:docPr id="1156186419" name="Callout: Down Arrow 5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02485" cy="685800"/>
                        </a:xfrm>
                        <a:prstGeom prst="downArrowCallout">
                          <a:avLst/>
                        </a:prstGeom>
                        <a:gradFill flip="none" rotWithShape="1">
                          <a:gsLst>
                            <a:gs pos="0">
                              <a:srgbClr val="A5A5A5">
                                <a:lumMod val="0"/>
                                <a:lumOff val="100000"/>
                              </a:srgbClr>
                            </a:gs>
                            <a:gs pos="35000">
                              <a:srgbClr val="A5A5A5">
                                <a:lumMod val="0"/>
                                <a:lumOff val="100000"/>
                              </a:srgbClr>
                            </a:gs>
                            <a:gs pos="100000">
                              <a:srgbClr val="A5A5A5">
                                <a:lumMod val="100000"/>
                              </a:srgbClr>
                            </a:gs>
                          </a:gsLst>
                          <a:path path="circle">
                            <a:fillToRect l="50000" t="50000" r="50000" b="50000"/>
                          </a:path>
                          <a:tileRect/>
                        </a:gradFill>
                        <a:ln w="6350" cap="flat" cmpd="sng" algn="ctr">
                          <a:solidFill>
                            <a:srgbClr val="A5A5A5"/>
                          </a:solidFill>
                          <a:prstDash val="solid"/>
                          <a:miter lim="800000"/>
                        </a:ln>
                        <a:effectLst/>
                      </wps:spPr>
                      <wps:txbx>
                        <w:txbxContent>
                          <w:p w14:paraId="2EBC4539" w14:textId="77777777" w:rsidR="00C9278D" w:rsidRDefault="00C9278D" w:rsidP="00C9278D">
                            <w:pPr>
                              <w:bidi/>
                              <w:jc w:val="center"/>
                              <w:rPr>
                                <w:rFonts w:cs="Simplified Arabic"/>
                                <w:b/>
                                <w:bCs/>
                                <w:sz w:val="28"/>
                                <w:szCs w:val="28"/>
                                <w:lang w:bidi="ar-IQ"/>
                              </w:rPr>
                            </w:pPr>
                            <w:r>
                              <w:rPr>
                                <w:rFonts w:cs="Simplified Arabic" w:hint="cs"/>
                                <w:b/>
                                <w:bCs/>
                                <w:sz w:val="28"/>
                                <w:szCs w:val="28"/>
                                <w:rtl/>
                                <w:lang w:bidi="ar-IQ"/>
                              </w:rPr>
                              <w:t>المتغير التابع</w:t>
                            </w: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69FB2FF6" id="Callout: Down Arrow 57" o:spid="_x0000_s1031" type="#_x0000_t80" style="position:absolute;left:0;text-align:left;margin-left:25.5pt;margin-top:48.2pt;width:165.55pt;height:54pt;z-index:2516715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" adj="14035,9039,16200,9919" strokecolor="#a5a5a5" strokeweight=".5pt">
                <v:fill color2="#a5a5a5" rotate="t" focusposition=".5,.5" focussize="" colors="0 white;22938f white;1 #a5a5a5" focus="100%" type="gradientRadial"/>
                <v:path arrowok="t"/>
                <v:textbox>
                  <w:txbxContent>
                    <w:p w14:paraId="2EBC4539" w14:textId="77777777" w:rsidR="00C9278D" w:rsidRDefault="00C9278D" w:rsidP="00C9278D">
                      <w:pPr>
                        <w:bidi/>
                        <w:jc w:val="center"/>
                        <w:rPr>
                          <w:rFonts w:cs="Simplified Arabic"/>
                          <w:b/>
                          <w:bCs/>
                          <w:sz w:val="28"/>
                          <w:szCs w:val="28"/>
                          <w:lang w:bidi="ar-IQ"/>
                        </w:rPr>
                      </w:pPr>
                      <w:r>
                        <w:rPr>
                          <w:rFonts w:cs="Simplified Arabic" w:hint="cs"/>
                          <w:b/>
                          <w:bCs/>
                          <w:sz w:val="28"/>
                          <w:szCs w:val="28"/>
                          <w:rtl/>
                          <w:lang w:bidi="ar-IQ"/>
                        </w:rPr>
                        <w:t>المتغير التابع</w:t>
                      </w:r>
                    </w:p>
                  </w:txbxContent>
                </v:textbox>
                <w10:wrap anchorx="margin"/>
              </v:shape>
            </w:pict>
          </mc:Fallback>
        </mc:AlternateContent>
      </w:r>
      <w:r w:rsidRPr="00C9278D">
        <w:rPr>
          <w:rFonts w:ascii="Traditional Arabic" w:hAnsi="Traditional Arabic" w:cs="Traditional Arabic"/>
          <w:noProof/>
          <w:sz w:val="28"/>
          <w:szCs w:val="28"/>
        </w:rPr>
        <mc:AlternateContent>
          <mc:Choice Requires="wps">
            <w:drawing>
              <wp:anchor distT="0" distB="0" distL="114300" distR="114300" simplePos="0" relativeHeight="251672576" behindDoc="0" locked="0" layoutInCell="1" allowOverlap="1" wp14:anchorId="646BDD16" wp14:editId="108C8EE6">
                <wp:simplePos x="0" y="0"/>
                <wp:positionH relativeFrom="margin">
                  <wp:posOffset>342900</wp:posOffset>
                </wp:positionH>
                <wp:positionV relativeFrom="paragraph">
                  <wp:posOffset>1790700</wp:posOffset>
                </wp:positionV>
                <wp:extent cx="2083435" cy="2234565"/>
                <wp:effectExtent l="0" t="0" r="12065" b="13335"/>
                <wp:wrapNone/>
                <wp:docPr id="1055417518" name="Rectangle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83435" cy="2234565"/>
                        </a:xfrm>
                        <a:prstGeom prst="rect">
                          <a:avLst/>
                        </a:prstGeom>
                        <a:gradFill flip="none" rotWithShape="1">
                          <a:gsLst>
                            <a:gs pos="0">
                              <a:srgbClr val="FFFFFF">
                                <a:gamma/>
                                <a:shade val="22353"/>
                                <a:invGamma/>
                              </a:srgbClr>
                            </a:gs>
                            <a:gs pos="50000">
                              <a:srgbClr val="FFFFFF"/>
                            </a:gs>
                            <a:gs pos="100000">
                              <a:srgbClr val="FFFFFF">
                                <a:gamma/>
                                <a:shade val="22353"/>
                                <a:invGamma/>
                              </a:srgbClr>
                            </a:gs>
                          </a:gsLst>
                          <a:lin ang="5400000" scaled="1"/>
                          <a:tileRect/>
                        </a:gradFill>
                        <a:ln w="19050">
                          <a:solidFill>
                            <a:srgbClr val="000000"/>
                          </a:solidFill>
                          <a:miter lim="800000"/>
                          <a:headEnd/>
                          <a:tailEnd/>
                        </a:ln>
                      </wps:spPr>
                      <wps:txbx>
                        <w:txbxContent>
                          <w:p w14:paraId="3D1459E8" w14:textId="189A4AFA" w:rsidR="00C9278D" w:rsidRDefault="00C9278D" w:rsidP="00C9278D">
                            <w:pPr>
                              <w:bidi/>
                              <w:rPr>
                                <w:rFonts w:cs="Simplified Arabic"/>
                                <w:b/>
                                <w:bCs/>
                                <w:color w:val="000000"/>
                                <w:sz w:val="28"/>
                                <w:szCs w:val="28"/>
                                <w:lang w:bidi="ar-IQ"/>
                              </w:rPr>
                            </w:pPr>
                          </w:p>
                        </w:txbxContent>
                      </wps:txbx>
                      <wps:bodyPr rot="0" vertOverflow="clip" horzOverflow="clip"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ect w14:anchorId="646BDD16" id="Rectangle 56" o:spid="_x0000_s1032" style="position:absolute;left:0;text-align:left;margin-left:27pt;margin-top:141pt;width:164.05pt;height:175.95pt;z-index:2516725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" fillcolor="#393939" strokeweight="1.5pt">
                <v:fill rotate="t" focus="50%" type="gradient"/>
                <v:textbox>
                  <w:txbxContent>
                    <w:p w14:paraId="3D1459E8" w14:textId="189A4AFA" w:rsidR="00C9278D" w:rsidRDefault="00C9278D" w:rsidP="00C9278D">
                      <w:pPr>
                        <w:bidi/>
                        <w:rPr>
                          <w:rFonts w:cs="Simplified Arabic"/>
                          <w:b/>
                          <w:bCs/>
                          <w:color w:val="000000"/>
                          <w:sz w:val="28"/>
                          <w:szCs w:val="28"/>
                          <w:lang w:bidi="ar-IQ"/>
                        </w:rPr>
                      </w:pPr>
                    </w:p>
                  </w:txbxContent>
                </v:textbox>
                <w10:wrap anchorx="margin"/>
              </v:rect>
            </w:pict>
          </mc:Fallback>
        </mc:AlternateContent>
      </w:r>
    </w:p>
    <w:p w14:paraId="28794E89" w14:textId="77777777" w:rsidR="00C9278D" w:rsidRPr="00C9278D" w:rsidRDefault="00C9278D" w:rsidP="00C9278D">
      <w:pPr>
        <w:bidi/>
        <w:spacing w:line="480" w:lineRule="auto"/>
        <w:rPr>
          <w:rFonts w:ascii="Traditional Arabic" w:hAnsi="Traditional Arabic" w:cs="Traditional Arabic"/>
          <w:b/>
          <w:bCs/>
          <w:sz w:val="28"/>
          <w:szCs w:val="28"/>
        </w:rPr>
      </w:pPr>
    </w:p>
    <w:p w14:paraId="50C6AE04" w14:textId="2BD013D5" w:rsidR="00C9278D" w:rsidRPr="00C9278D" w:rsidRDefault="00C9278D" w:rsidP="00C9278D">
      <w:pPr>
        <w:bidi/>
        <w:spacing w:line="480" w:lineRule="auto"/>
        <w:rPr>
          <w:rFonts w:ascii="Traditional Arabic" w:hAnsi="Traditional Arabic" w:cs="Traditional Arabic"/>
          <w:b/>
          <w:bCs/>
          <w:sz w:val="28"/>
          <w:szCs w:val="28"/>
          <w:rtl/>
        </w:rPr>
      </w:pPr>
      <w:r w:rsidRPr="00C9278D">
        <w:rPr>
          <w:rFonts w:ascii="Traditional Arabic" w:hAnsi="Traditional Arabic" w:cs="Traditional Arabic"/>
          <w:noProof/>
          <w:sz w:val="28"/>
          <w:szCs w:val="28"/>
        </w:rPr>
        <mc:AlternateContent>
          <mc:Choice Requires="wps">
            <w:drawing>
              <wp:anchor distT="0" distB="0" distL="114300" distR="114300" simplePos="0" relativeHeight="251684864" behindDoc="0" locked="0" layoutInCell="1" allowOverlap="1" wp14:anchorId="2833DBD3" wp14:editId="3AA34161">
                <wp:simplePos x="0" y="0"/>
                <wp:positionH relativeFrom="margin">
                  <wp:posOffset>342900</wp:posOffset>
                </wp:positionH>
                <wp:positionV relativeFrom="paragraph">
                  <wp:posOffset>11430</wp:posOffset>
                </wp:positionV>
                <wp:extent cx="2083435" cy="530225"/>
                <wp:effectExtent l="0" t="0" r="12065" b="22225"/>
                <wp:wrapNone/>
                <wp:docPr id="1734546055" name="Rectangl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83435" cy="530225"/>
                        </a:xfrm>
                        <a:prstGeom prst="rect">
                          <a:avLst/>
                        </a:prstGeom>
                        <a:gradFill flip="none" rotWithShape="1">
                          <a:gsLst>
                            <a:gs pos="0">
                              <a:srgbClr val="FFFFFF">
                                <a:gamma/>
                                <a:shade val="22353"/>
                                <a:invGamma/>
                              </a:srgbClr>
                            </a:gs>
                            <a:gs pos="50000">
                              <a:srgbClr val="FFFFFF"/>
                            </a:gs>
                            <a:gs pos="100000">
                              <a:srgbClr val="FFFFFF">
                                <a:gamma/>
                                <a:shade val="22353"/>
                                <a:invGamma/>
                              </a:srgbClr>
                            </a:gs>
                          </a:gsLst>
                          <a:lin ang="5400000" scaled="1"/>
                          <a:tileRect/>
                        </a:gradFill>
                        <a:ln w="19050">
                          <a:solidFill>
                            <a:srgbClr val="000000"/>
                          </a:solidFill>
                          <a:miter lim="800000"/>
                          <a:headEnd/>
                          <a:tailEnd/>
                        </a:ln>
                      </wps:spPr>
                      <wps:txbx>
                        <w:txbxContent>
                          <w:p w14:paraId="362BCB56" w14:textId="4A5F9B36" w:rsidR="00C9278D" w:rsidRDefault="00C9278D" w:rsidP="00C9278D">
                            <w:pPr>
                              <w:bidi/>
                              <w:jc w:val="center"/>
                              <w:rPr>
                                <w:rFonts w:cs="Simplified Arabic"/>
                                <w:b/>
                                <w:bCs/>
                                <w:color w:val="002060"/>
                                <w:sz w:val="32"/>
                                <w:szCs w:val="32"/>
                                <w:lang w:bidi="ar-IQ"/>
                              </w:rPr>
                            </w:pPr>
                            <w:r w:rsidRPr="00C9278D">
                              <w:rPr>
                                <w:rFonts w:cs="Simplified Arabic"/>
                                <w:b/>
                                <w:bCs/>
                                <w:color w:val="002060"/>
                                <w:sz w:val="32"/>
                                <w:szCs w:val="32"/>
                                <w:rtl/>
                              </w:rPr>
                              <w:t>أداء المشاريع</w:t>
                            </w:r>
                          </w:p>
                          <w:p w14:paraId="49246B86" w14:textId="77777777" w:rsidR="00C9278D" w:rsidRDefault="00C9278D" w:rsidP="00C9278D">
                            <w:pPr>
                              <w:bidi/>
                              <w:jc w:val="center"/>
                              <w:rPr>
                                <w:rFonts w:cs="Simplified Arabic"/>
                                <w:b/>
                                <w:bCs/>
                                <w:color w:val="002060"/>
                                <w:sz w:val="32"/>
                                <w:szCs w:val="32"/>
                                <w:lang w:bidi="ar-EG"/>
                              </w:rPr>
                            </w:pPr>
                            <w:r>
                              <w:rPr>
                                <w:rFonts w:asciiTheme="majorBidi" w:hAnsiTheme="majorBidi" w:cstheme="majorBidi"/>
                                <w:b/>
                                <w:bCs/>
                                <w:sz w:val="32"/>
                                <w:szCs w:val="32"/>
                                <w:rtl/>
                              </w:rPr>
                              <w:t>دعم محاور التنويع الاقتصادي لرؤية عمان 2040</w:t>
                            </w:r>
                          </w:p>
                        </w:txbxContent>
                      </wps:txbx>
                      <wps:bodyPr rot="0" vertOverflow="clip" horzOverflow="clip"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2833DBD3" id="Rectangle 47" o:spid="_x0000_s1033" style="position:absolute;left:0;text-align:left;margin-left:27pt;margin-top:.9pt;width:164.05pt;height:41.75pt;z-index:2516848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" fillcolor="#393939" strokeweight="1.5pt">
                <v:fill rotate="t" focus="50%" type="gradient"/>
                <v:textbox>
                  <w:txbxContent>
                    <w:p w14:paraId="362BCB56" w14:textId="4A5F9B36" w:rsidR="00C9278D" w:rsidRDefault="00C9278D" w:rsidP="00C9278D">
                      <w:pPr>
                        <w:bidi/>
                        <w:jc w:val="center"/>
                        <w:rPr>
                          <w:rFonts w:cs="Simplified Arabic"/>
                          <w:b/>
                          <w:bCs/>
                          <w:color w:val="002060"/>
                          <w:sz w:val="32"/>
                          <w:szCs w:val="32"/>
                          <w:lang w:bidi="ar-IQ"/>
                        </w:rPr>
                      </w:pPr>
                      <w:r w:rsidRPr="00C9278D">
                        <w:rPr>
                          <w:rFonts w:cs="Simplified Arabic"/>
                          <w:b/>
                          <w:bCs/>
                          <w:color w:val="002060"/>
                          <w:sz w:val="32"/>
                          <w:szCs w:val="32"/>
                          <w:rtl/>
                        </w:rPr>
                        <w:t>أداء المشاريع</w:t>
                      </w:r>
                    </w:p>
                    <w:p w14:paraId="49246B86" w14:textId="77777777" w:rsidR="00C9278D" w:rsidRDefault="00C9278D" w:rsidP="00C9278D">
                      <w:pPr>
                        <w:bidi/>
                        <w:jc w:val="center"/>
                        <w:rPr>
                          <w:rFonts w:cs="Simplified Arabic"/>
                          <w:b/>
                          <w:bCs/>
                          <w:color w:val="002060"/>
                          <w:sz w:val="32"/>
                          <w:szCs w:val="32"/>
                          <w:lang w:bidi="ar-EG"/>
                        </w:rPr>
                      </w:pPr>
                      <w:r>
                        <w:rPr>
                          <w:rFonts w:asciiTheme="majorBidi" w:hAnsiTheme="majorBidi" w:cstheme="majorBidi"/>
                          <w:b/>
                          <w:bCs/>
                          <w:sz w:val="32"/>
                          <w:szCs w:val="32"/>
                          <w:rtl/>
                        </w:rPr>
                        <w:t>دعم محاور التنويع الاقتصادي لرؤية عمان 2040</w:t>
                      </w:r>
                    </w:p>
                  </w:txbxContent>
                </v:textbox>
                <w10:wrap anchorx="margin"/>
              </v:rect>
            </w:pict>
          </mc:Fallback>
        </mc:AlternateContent>
      </w:r>
    </w:p>
    <w:p w14:paraId="710EBDE5" w14:textId="06161253" w:rsidR="00C9278D" w:rsidRPr="00C9278D" w:rsidRDefault="00C9278D" w:rsidP="00C9278D">
      <w:pPr>
        <w:bidi/>
        <w:spacing w:line="480" w:lineRule="auto"/>
        <w:rPr>
          <w:rFonts w:ascii="Traditional Arabic" w:hAnsi="Traditional Arabic" w:cs="Traditional Arabic"/>
          <w:b/>
          <w:bCs/>
          <w:sz w:val="28"/>
          <w:szCs w:val="28"/>
          <w:rtl/>
          <w:lang w:bidi="ar"/>
        </w:rPr>
      </w:pPr>
      <w:r w:rsidRPr="00C9278D">
        <w:rPr>
          <w:rFonts w:ascii="Traditional Arabic" w:hAnsi="Traditional Arabic" w:cs="Traditional Arabic"/>
          <w:noProof/>
          <w:sz w:val="28"/>
          <w:szCs w:val="28"/>
        </w:rPr>
        <mc:AlternateContent>
          <mc:Choice Requires="wps">
            <w:drawing>
              <wp:anchor distT="0" distB="0" distL="114300" distR="114300" simplePos="0" relativeHeight="251689984" behindDoc="0" locked="0" layoutInCell="1" allowOverlap="1" wp14:anchorId="05AF48C6" wp14:editId="70ECB02E">
                <wp:simplePos x="0" y="0"/>
                <wp:positionH relativeFrom="margin">
                  <wp:posOffset>409575</wp:posOffset>
                </wp:positionH>
                <wp:positionV relativeFrom="paragraph">
                  <wp:posOffset>193675</wp:posOffset>
                </wp:positionV>
                <wp:extent cx="1940560" cy="327025"/>
                <wp:effectExtent l="0" t="0" r="21590" b="15875"/>
                <wp:wrapNone/>
                <wp:docPr id="819941717" name="Rectangle 6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40560" cy="327025"/>
                        </a:xfrm>
                        <a:prstGeom prst="rect">
                          <a:avLst/>
                        </a:prstGeom>
                        <a:gradFill flip="none" rotWithShape="1">
                          <a:gsLst>
                            <a:gs pos="0">
                              <a:srgbClr val="A5A5A5">
                                <a:lumMod val="5000"/>
                                <a:lumOff val="95000"/>
                              </a:srgbClr>
                            </a:gs>
                            <a:gs pos="74000">
                              <a:srgbClr val="A5A5A5">
                                <a:lumMod val="45000"/>
                                <a:lumOff val="55000"/>
                              </a:srgbClr>
                            </a:gs>
                            <a:gs pos="83000">
                              <a:srgbClr val="A5A5A5">
                                <a:lumMod val="45000"/>
                                <a:lumOff val="55000"/>
                              </a:srgbClr>
                            </a:gs>
                            <a:gs pos="100000">
                              <a:srgbClr val="A5A5A5">
                                <a:lumMod val="30000"/>
                                <a:lumOff val="70000"/>
                              </a:srgbClr>
                            </a:gs>
                          </a:gsLst>
                          <a:path path="circle">
                            <a:fillToRect l="50000" t="50000" r="50000" b="50000"/>
                          </a:path>
                          <a:tileRect/>
                        </a:gradFill>
                        <a:ln w="6350" cap="flat" cmpd="sng" algn="ctr">
                          <a:solidFill>
                            <a:srgbClr val="A5A5A5"/>
                          </a:solidFill>
                          <a:prstDash val="solid"/>
                          <a:miter lim="800000"/>
                        </a:ln>
                        <a:effectLst/>
                      </wps:spPr>
                      <wps:txbx>
                        <w:txbxContent>
                          <w:p w14:paraId="68F804D0" w14:textId="6111B10B" w:rsidR="00C9278D" w:rsidRDefault="00C9278D" w:rsidP="00C9278D">
                            <w:pPr>
                              <w:bidi/>
                              <w:jc w:val="center"/>
                              <w:rPr>
                                <w:rFonts w:ascii="Times New Roman" w:hAnsi="Times New Roman" w:cs="Simplified Arabic"/>
                                <w:b/>
                                <w:bCs/>
                                <w:sz w:val="26"/>
                                <w:szCs w:val="26"/>
                                <w:lang w:bidi="ar-IQ"/>
                              </w:rPr>
                            </w:pPr>
                            <w:r w:rsidRPr="00C9278D">
                              <w:rPr>
                                <w:rFonts w:asciiTheme="majorBidi" w:hAnsiTheme="majorBidi" w:cstheme="majorBidi"/>
                                <w:b/>
                                <w:bCs/>
                                <w:sz w:val="28"/>
                                <w:szCs w:val="28"/>
                                <w:rtl/>
                              </w:rPr>
                              <w:t>التكلفة</w:t>
                            </w: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05AF48C6" id="_x0000_s1034" style="position:absolute;left:0;text-align:left;margin-left:32.25pt;margin-top:15.25pt;width:152.8pt;height:25.75pt;z-index:2516899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" fillcolor="#fafafa" strokecolor="#a5a5a5" strokeweight=".5pt">
                <v:fill color2="#e4e4e4" rotate="t" focusposition=".5,.5" focussize="" colors="0 #fafafa;48497f #d7d7d7;54395f #d7d7d7;1 #e4e4e4" focus="100%" type="gradientRadial"/>
                <v:path arrowok="t"/>
                <v:textbox>
                  <w:txbxContent>
                    <w:p w14:paraId="68F804D0" w14:textId="6111B10B" w:rsidR="00C9278D" w:rsidRDefault="00C9278D" w:rsidP="00C9278D">
                      <w:pPr>
                        <w:bidi/>
                        <w:jc w:val="center"/>
                        <w:rPr>
                          <w:rFonts w:ascii="Times New Roman" w:hAnsi="Times New Roman" w:cs="Simplified Arabic"/>
                          <w:b/>
                          <w:bCs/>
                          <w:sz w:val="26"/>
                          <w:szCs w:val="26"/>
                          <w:lang w:bidi="ar-IQ"/>
                        </w:rPr>
                      </w:pPr>
                      <w:r w:rsidRPr="00C9278D">
                        <w:rPr>
                          <w:rFonts w:asciiTheme="majorBidi" w:hAnsiTheme="majorBidi" w:cstheme="majorBidi"/>
                          <w:b/>
                          <w:bCs/>
                          <w:sz w:val="28"/>
                          <w:szCs w:val="28"/>
                          <w:rtl/>
                        </w:rPr>
                        <w:t>التكلفة</w:t>
                      </w:r>
                    </w:p>
                  </w:txbxContent>
                </v:textbox>
                <w10:wrap anchorx="margin"/>
              </v:rect>
            </w:pict>
          </mc:Fallback>
        </mc:AlternateContent>
      </w:r>
    </w:p>
    <w:p w14:paraId="5D97F05A" w14:textId="02D9B6F2" w:rsidR="00C9278D" w:rsidRPr="00C9278D" w:rsidRDefault="00C9278D" w:rsidP="00C9278D">
      <w:pPr>
        <w:bidi/>
        <w:spacing w:line="480" w:lineRule="auto"/>
        <w:rPr>
          <w:rFonts w:ascii="Traditional Arabic" w:hAnsi="Traditional Arabic" w:cs="Traditional Arabic"/>
          <w:b/>
          <w:bCs/>
          <w:sz w:val="28"/>
          <w:szCs w:val="28"/>
        </w:rPr>
      </w:pPr>
      <w:r w:rsidRPr="00C9278D">
        <w:rPr>
          <w:rFonts w:ascii="Traditional Arabic" w:hAnsi="Traditional Arabic" w:cs="Traditional Arabic"/>
          <w:noProof/>
          <w:sz w:val="28"/>
          <w:szCs w:val="28"/>
        </w:rPr>
        <mc:AlternateContent>
          <mc:Choice Requires="wps">
            <w:drawing>
              <wp:anchor distT="0" distB="0" distL="114300" distR="114300" simplePos="0" relativeHeight="251694080" behindDoc="0" locked="0" layoutInCell="1" allowOverlap="1" wp14:anchorId="5A0E5CAD" wp14:editId="5962B2F8">
                <wp:simplePos x="0" y="0"/>
                <wp:positionH relativeFrom="margin">
                  <wp:posOffset>400050</wp:posOffset>
                </wp:positionH>
                <wp:positionV relativeFrom="paragraph">
                  <wp:posOffset>509270</wp:posOffset>
                </wp:positionV>
                <wp:extent cx="1940560" cy="327025"/>
                <wp:effectExtent l="0" t="0" r="21590" b="15875"/>
                <wp:wrapNone/>
                <wp:docPr id="420734039" name="Rectangle 6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40560" cy="327025"/>
                        </a:xfrm>
                        <a:prstGeom prst="rect">
                          <a:avLst/>
                        </a:prstGeom>
                        <a:gradFill flip="none" rotWithShape="1">
                          <a:gsLst>
                            <a:gs pos="0">
                              <a:srgbClr val="A5A5A5">
                                <a:lumMod val="5000"/>
                                <a:lumOff val="95000"/>
                              </a:srgbClr>
                            </a:gs>
                            <a:gs pos="74000">
                              <a:srgbClr val="A5A5A5">
                                <a:lumMod val="45000"/>
                                <a:lumOff val="55000"/>
                              </a:srgbClr>
                            </a:gs>
                            <a:gs pos="83000">
                              <a:srgbClr val="A5A5A5">
                                <a:lumMod val="45000"/>
                                <a:lumOff val="55000"/>
                              </a:srgbClr>
                            </a:gs>
                            <a:gs pos="100000">
                              <a:srgbClr val="A5A5A5">
                                <a:lumMod val="30000"/>
                                <a:lumOff val="70000"/>
                              </a:srgbClr>
                            </a:gs>
                          </a:gsLst>
                          <a:path path="circle">
                            <a:fillToRect l="50000" t="50000" r="50000" b="50000"/>
                          </a:path>
                          <a:tileRect/>
                        </a:gradFill>
                        <a:ln w="6350" cap="flat" cmpd="sng" algn="ctr">
                          <a:solidFill>
                            <a:srgbClr val="A5A5A5"/>
                          </a:solidFill>
                          <a:prstDash val="solid"/>
                          <a:miter lim="800000"/>
                        </a:ln>
                        <a:effectLst/>
                      </wps:spPr>
                      <wps:txbx>
                        <w:txbxContent>
                          <w:p w14:paraId="7CE02231" w14:textId="7A0C5742" w:rsidR="00C9278D" w:rsidRDefault="00C9278D" w:rsidP="00C9278D">
                            <w:pPr>
                              <w:bidi/>
                              <w:jc w:val="center"/>
                              <w:rPr>
                                <w:rFonts w:ascii="Times New Roman" w:hAnsi="Times New Roman" w:cs="Simplified Arabic"/>
                                <w:b/>
                                <w:bCs/>
                                <w:sz w:val="26"/>
                                <w:szCs w:val="26"/>
                                <w:lang w:bidi="ar-IQ"/>
                              </w:rPr>
                            </w:pPr>
                            <w:r w:rsidRPr="00C9278D">
                              <w:rPr>
                                <w:rFonts w:asciiTheme="majorBidi" w:hAnsiTheme="majorBidi" w:cstheme="majorBidi"/>
                                <w:b/>
                                <w:bCs/>
                                <w:sz w:val="28"/>
                                <w:szCs w:val="28"/>
                                <w:rtl/>
                              </w:rPr>
                              <w:t>الجودة</w:t>
                            </w: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5A0E5CAD" id="_x0000_s1035" style="position:absolute;left:0;text-align:left;margin-left:31.5pt;margin-top:40.1pt;width:152.8pt;height:25.75pt;z-index:2516940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" fillcolor="#fafafa" strokecolor="#a5a5a5" strokeweight=".5pt">
                <v:fill color2="#e4e4e4" rotate="t" focusposition=".5,.5" focussize="" colors="0 #fafafa;48497f #d7d7d7;54395f #d7d7d7;1 #e4e4e4" focus="100%" type="gradientRadial"/>
                <v:path arrowok="t"/>
                <v:textbox>
                  <w:txbxContent>
                    <w:p w14:paraId="7CE02231" w14:textId="7A0C5742" w:rsidR="00C9278D" w:rsidRDefault="00C9278D" w:rsidP="00C9278D">
                      <w:pPr>
                        <w:bidi/>
                        <w:jc w:val="center"/>
                        <w:rPr>
                          <w:rFonts w:ascii="Times New Roman" w:hAnsi="Times New Roman" w:cs="Simplified Arabic"/>
                          <w:b/>
                          <w:bCs/>
                          <w:sz w:val="26"/>
                          <w:szCs w:val="26"/>
                          <w:lang w:bidi="ar-IQ"/>
                        </w:rPr>
                      </w:pPr>
                      <w:r w:rsidRPr="00C9278D">
                        <w:rPr>
                          <w:rFonts w:asciiTheme="majorBidi" w:hAnsiTheme="majorBidi" w:cstheme="majorBidi"/>
                          <w:b/>
                          <w:bCs/>
                          <w:sz w:val="28"/>
                          <w:szCs w:val="28"/>
                          <w:rtl/>
                        </w:rPr>
                        <w:t>الجودة</w:t>
                      </w:r>
                    </w:p>
                  </w:txbxContent>
                </v:textbox>
                <w10:wrap anchorx="margin"/>
              </v:rect>
            </w:pict>
          </mc:Fallback>
        </mc:AlternateContent>
      </w:r>
      <w:r w:rsidRPr="00C9278D">
        <w:rPr>
          <w:rFonts w:ascii="Traditional Arabic" w:hAnsi="Traditional Arabic" w:cs="Traditional Arabic"/>
          <w:noProof/>
          <w:sz w:val="28"/>
          <w:szCs w:val="28"/>
        </w:rPr>
        <mc:AlternateContent>
          <mc:Choice Requires="wps">
            <w:drawing>
              <wp:anchor distT="0" distB="0" distL="114300" distR="114300" simplePos="0" relativeHeight="251692032" behindDoc="0" locked="0" layoutInCell="1" allowOverlap="1" wp14:anchorId="5D66A7D7" wp14:editId="6FC0BCDE">
                <wp:simplePos x="0" y="0"/>
                <wp:positionH relativeFrom="margin">
                  <wp:posOffset>412115</wp:posOffset>
                </wp:positionH>
                <wp:positionV relativeFrom="paragraph">
                  <wp:posOffset>26035</wp:posOffset>
                </wp:positionV>
                <wp:extent cx="1940560" cy="327025"/>
                <wp:effectExtent l="0" t="0" r="21590" b="15875"/>
                <wp:wrapNone/>
                <wp:docPr id="1566257739" name="Rectangle 6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40560" cy="327025"/>
                        </a:xfrm>
                        <a:prstGeom prst="rect">
                          <a:avLst/>
                        </a:prstGeom>
                        <a:gradFill flip="none" rotWithShape="1">
                          <a:gsLst>
                            <a:gs pos="0">
                              <a:srgbClr val="A5A5A5">
                                <a:lumMod val="5000"/>
                                <a:lumOff val="95000"/>
                              </a:srgbClr>
                            </a:gs>
                            <a:gs pos="74000">
                              <a:srgbClr val="A5A5A5">
                                <a:lumMod val="45000"/>
                                <a:lumOff val="55000"/>
                              </a:srgbClr>
                            </a:gs>
                            <a:gs pos="83000">
                              <a:srgbClr val="A5A5A5">
                                <a:lumMod val="45000"/>
                                <a:lumOff val="55000"/>
                              </a:srgbClr>
                            </a:gs>
                            <a:gs pos="100000">
                              <a:srgbClr val="A5A5A5">
                                <a:lumMod val="30000"/>
                                <a:lumOff val="70000"/>
                              </a:srgbClr>
                            </a:gs>
                          </a:gsLst>
                          <a:path path="circle">
                            <a:fillToRect l="50000" t="50000" r="50000" b="50000"/>
                          </a:path>
                          <a:tileRect/>
                        </a:gradFill>
                        <a:ln w="6350" cap="flat" cmpd="sng" algn="ctr">
                          <a:solidFill>
                            <a:srgbClr val="A5A5A5"/>
                          </a:solidFill>
                          <a:prstDash val="solid"/>
                          <a:miter lim="800000"/>
                        </a:ln>
                        <a:effectLst/>
                      </wps:spPr>
                      <wps:txbx>
                        <w:txbxContent>
                          <w:p w14:paraId="4A45F9EB" w14:textId="2BBFB396" w:rsidR="00C9278D" w:rsidRDefault="00C9278D" w:rsidP="00C9278D">
                            <w:pPr>
                              <w:bidi/>
                              <w:jc w:val="center"/>
                              <w:rPr>
                                <w:rFonts w:ascii="Times New Roman" w:hAnsi="Times New Roman" w:cs="Simplified Arabic"/>
                                <w:b/>
                                <w:bCs/>
                                <w:sz w:val="26"/>
                                <w:szCs w:val="26"/>
                                <w:lang w:bidi="ar-IQ"/>
                              </w:rPr>
                            </w:pPr>
                            <w:r w:rsidRPr="00C9278D">
                              <w:rPr>
                                <w:rFonts w:asciiTheme="majorBidi" w:hAnsiTheme="majorBidi" w:cstheme="majorBidi"/>
                                <w:b/>
                                <w:bCs/>
                                <w:sz w:val="28"/>
                                <w:szCs w:val="28"/>
                                <w:rtl/>
                              </w:rPr>
                              <w:t>الوقت</w:t>
                            </w: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5D66A7D7" id="_x0000_s1036" style="position:absolute;left:0;text-align:left;margin-left:32.45pt;margin-top:2.05pt;width:152.8pt;height:25.75pt;z-index:2516920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" fillcolor="#fafafa" strokecolor="#a5a5a5" strokeweight=".5pt">
                <v:fill color2="#e4e4e4" rotate="t" focusposition=".5,.5" focussize="" colors="0 #fafafa;48497f #d7d7d7;54395f #d7d7d7;1 #e4e4e4" focus="100%" type="gradientRadial"/>
                <v:path arrowok="t"/>
                <v:textbox>
                  <w:txbxContent>
                    <w:p w14:paraId="4A45F9EB" w14:textId="2BBFB396" w:rsidR="00C9278D" w:rsidRDefault="00C9278D" w:rsidP="00C9278D">
                      <w:pPr>
                        <w:bidi/>
                        <w:jc w:val="center"/>
                        <w:rPr>
                          <w:rFonts w:ascii="Times New Roman" w:hAnsi="Times New Roman" w:cs="Simplified Arabic"/>
                          <w:b/>
                          <w:bCs/>
                          <w:sz w:val="26"/>
                          <w:szCs w:val="26"/>
                          <w:lang w:bidi="ar-IQ"/>
                        </w:rPr>
                      </w:pPr>
                      <w:r w:rsidRPr="00C9278D">
                        <w:rPr>
                          <w:rFonts w:asciiTheme="majorBidi" w:hAnsiTheme="majorBidi" w:cstheme="majorBidi"/>
                          <w:b/>
                          <w:bCs/>
                          <w:sz w:val="28"/>
                          <w:szCs w:val="28"/>
                          <w:rtl/>
                        </w:rPr>
                        <w:t>الوقت</w:t>
                      </w:r>
                    </w:p>
                  </w:txbxContent>
                </v:textbox>
                <w10:wrap anchorx="margin"/>
              </v:rect>
            </w:pict>
          </mc:Fallback>
        </mc:AlternateContent>
      </w:r>
      <w:r w:rsidRPr="00C9278D">
        <w:rPr>
          <w:rFonts w:ascii="Traditional Arabic" w:hAnsi="Traditional Arabic" w:cs="Traditional Arabic"/>
          <w:noProof/>
          <w:sz w:val="28"/>
          <w:szCs w:val="28"/>
        </w:rPr>
        <mc:AlternateContent>
          <mc:Choice Requires="wps">
            <w:drawing>
              <wp:anchor distT="0" distB="0" distL="114300" distR="114300" simplePos="0" relativeHeight="251687936" behindDoc="0" locked="0" layoutInCell="1" allowOverlap="1" wp14:anchorId="02B0D04F" wp14:editId="65F17FDE">
                <wp:simplePos x="0" y="0"/>
                <wp:positionH relativeFrom="column">
                  <wp:posOffset>2449195</wp:posOffset>
                </wp:positionH>
                <wp:positionV relativeFrom="paragraph">
                  <wp:posOffset>402590</wp:posOffset>
                </wp:positionV>
                <wp:extent cx="1205230" cy="0"/>
                <wp:effectExtent l="0" t="95250" r="0" b="95250"/>
                <wp:wrapNone/>
                <wp:docPr id="1065534702" name="Straight Arrow Connector 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205230" cy="0"/>
                        </a:xfrm>
                        <a:prstGeom prst="straightConnector1">
                          <a:avLst/>
                        </a:prstGeom>
                        <a:noFill/>
                        <a:ln w="38100">
                          <a:solidFill>
                            <a:srgbClr val="E97132"/>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7F340D">
                                    <a:alpha val="50000"/>
                                  </a:srgb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type w14:anchorId="3921F0C9" id="_x0000_t32" coordsize="21600,21600" o:spt="32" o:oned="t" path="m,l21600,21600e" filled="f">
                <v:path arrowok="t" fillok="f" o:connecttype="none"/>
                <o:lock v:ext="edit" shapetype="t"/>
              </v:shapetype>
              <v:shape id="Straight Arrow Connector 42" o:spid="_x0000_s1026" type="#_x0000_t32" style="position:absolute;margin-left:192.85pt;margin-top:31.7pt;width:94.9pt;height:0;flip:x;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" strokecolor="#e97132" strokeweight="3pt">
                <v:stroke endarrow="block"/>
                <v:shadow color="#7f340d" opacity=".5" offset="1pt"/>
              </v:shape>
            </w:pict>
          </mc:Fallback>
        </mc:AlternateContent>
      </w:r>
    </w:p>
    <w:p w14:paraId="28EC97C5" w14:textId="06323C44" w:rsidR="00C9278D" w:rsidRPr="00C9278D" w:rsidRDefault="00C9278D" w:rsidP="00C9278D">
      <w:pPr>
        <w:bidi/>
        <w:spacing w:line="480" w:lineRule="auto"/>
        <w:rPr>
          <w:rFonts w:ascii="Traditional Arabic" w:hAnsi="Traditional Arabic" w:cs="Traditional Arabic"/>
          <w:b/>
          <w:bCs/>
          <w:sz w:val="28"/>
          <w:szCs w:val="28"/>
        </w:rPr>
      </w:pPr>
      <w:r w:rsidRPr="00C9278D">
        <w:rPr>
          <w:rFonts w:ascii="Traditional Arabic" w:hAnsi="Traditional Arabic" w:cs="Traditional Arabic"/>
          <w:noProof/>
          <w:sz w:val="28"/>
          <w:szCs w:val="28"/>
        </w:rPr>
        <mc:AlternateContent>
          <mc:Choice Requires="wps">
            <w:drawing>
              <wp:anchor distT="0" distB="0" distL="114300" distR="114300" simplePos="0" relativeHeight="251696128" behindDoc="0" locked="0" layoutInCell="1" allowOverlap="1" wp14:anchorId="503EA790" wp14:editId="5C214AAF">
                <wp:simplePos x="0" y="0"/>
                <wp:positionH relativeFrom="margin">
                  <wp:posOffset>431165</wp:posOffset>
                </wp:positionH>
                <wp:positionV relativeFrom="paragraph">
                  <wp:posOffset>313690</wp:posOffset>
                </wp:positionV>
                <wp:extent cx="1940560" cy="327025"/>
                <wp:effectExtent l="0" t="0" r="21590" b="15875"/>
                <wp:wrapNone/>
                <wp:docPr id="331362124" name="Rectangle 6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40560" cy="327025"/>
                        </a:xfrm>
                        <a:prstGeom prst="rect">
                          <a:avLst/>
                        </a:prstGeom>
                        <a:gradFill flip="none" rotWithShape="1">
                          <a:gsLst>
                            <a:gs pos="0">
                              <a:srgbClr val="A5A5A5">
                                <a:lumMod val="5000"/>
                                <a:lumOff val="95000"/>
                              </a:srgbClr>
                            </a:gs>
                            <a:gs pos="74000">
                              <a:srgbClr val="A5A5A5">
                                <a:lumMod val="45000"/>
                                <a:lumOff val="55000"/>
                              </a:srgbClr>
                            </a:gs>
                            <a:gs pos="83000">
                              <a:srgbClr val="A5A5A5">
                                <a:lumMod val="45000"/>
                                <a:lumOff val="55000"/>
                              </a:srgbClr>
                            </a:gs>
                            <a:gs pos="100000">
                              <a:srgbClr val="A5A5A5">
                                <a:lumMod val="30000"/>
                                <a:lumOff val="70000"/>
                              </a:srgbClr>
                            </a:gs>
                          </a:gsLst>
                          <a:path path="circle">
                            <a:fillToRect l="50000" t="50000" r="50000" b="50000"/>
                          </a:path>
                          <a:tileRect/>
                        </a:gradFill>
                        <a:ln w="6350" cap="flat" cmpd="sng" algn="ctr">
                          <a:solidFill>
                            <a:srgbClr val="A5A5A5"/>
                          </a:solidFill>
                          <a:prstDash val="solid"/>
                          <a:miter lim="800000"/>
                        </a:ln>
                        <a:effectLst/>
                      </wps:spPr>
                      <wps:txbx>
                        <w:txbxContent>
                          <w:p w14:paraId="02AEC7C3" w14:textId="17C1FCC3" w:rsidR="00C9278D" w:rsidRDefault="00C9278D" w:rsidP="00C9278D">
                            <w:pPr>
                              <w:bidi/>
                              <w:jc w:val="center"/>
                              <w:rPr>
                                <w:rFonts w:ascii="Times New Roman" w:hAnsi="Times New Roman" w:cs="Simplified Arabic"/>
                                <w:b/>
                                <w:bCs/>
                                <w:sz w:val="26"/>
                                <w:szCs w:val="26"/>
                                <w:lang w:bidi="ar-IQ"/>
                              </w:rPr>
                            </w:pPr>
                            <w:r w:rsidRPr="00C9278D">
                              <w:rPr>
                                <w:rFonts w:asciiTheme="majorBidi" w:hAnsiTheme="majorBidi" w:cstheme="majorBidi"/>
                                <w:b/>
                                <w:bCs/>
                                <w:sz w:val="28"/>
                                <w:szCs w:val="28"/>
                                <w:rtl/>
                              </w:rPr>
                              <w:t>رضا العملاء</w:t>
                            </w: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503EA790" id="_x0000_s1037" style="position:absolute;left:0;text-align:left;margin-left:33.95pt;margin-top:24.7pt;width:152.8pt;height:25.75pt;z-index:2516961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" fillcolor="#fafafa" strokecolor="#a5a5a5" strokeweight=".5pt">
                <v:fill color2="#e4e4e4" rotate="t" focusposition=".5,.5" focussize="" colors="0 #fafafa;48497f #d7d7d7;54395f #d7d7d7;1 #e4e4e4" focus="100%" type="gradientRadial"/>
                <v:path arrowok="t"/>
                <v:textbox>
                  <w:txbxContent>
                    <w:p w14:paraId="02AEC7C3" w14:textId="17C1FCC3" w:rsidR="00C9278D" w:rsidRDefault="00C9278D" w:rsidP="00C9278D">
                      <w:pPr>
                        <w:bidi/>
                        <w:jc w:val="center"/>
                        <w:rPr>
                          <w:rFonts w:ascii="Times New Roman" w:hAnsi="Times New Roman" w:cs="Simplified Arabic"/>
                          <w:b/>
                          <w:bCs/>
                          <w:sz w:val="26"/>
                          <w:szCs w:val="26"/>
                          <w:lang w:bidi="ar-IQ"/>
                        </w:rPr>
                      </w:pPr>
                      <w:r w:rsidRPr="00C9278D">
                        <w:rPr>
                          <w:rFonts w:asciiTheme="majorBidi" w:hAnsiTheme="majorBidi" w:cstheme="majorBidi"/>
                          <w:b/>
                          <w:bCs/>
                          <w:sz w:val="28"/>
                          <w:szCs w:val="28"/>
                          <w:rtl/>
                        </w:rPr>
                        <w:t>رضا العملاء</w:t>
                      </w:r>
                    </w:p>
                  </w:txbxContent>
                </v:textbox>
                <w10:wrap anchorx="margin"/>
              </v:rect>
            </w:pict>
          </mc:Fallback>
        </mc:AlternateContent>
      </w:r>
    </w:p>
    <w:p w14:paraId="178729B3" w14:textId="691241B1" w:rsidR="00C9278D" w:rsidRPr="00C9278D" w:rsidRDefault="00C9278D" w:rsidP="00C9278D">
      <w:pPr>
        <w:bidi/>
        <w:spacing w:line="480" w:lineRule="auto"/>
        <w:rPr>
          <w:rFonts w:ascii="Traditional Arabic" w:hAnsi="Traditional Arabic" w:cs="Traditional Arabic"/>
          <w:b/>
          <w:bCs/>
          <w:sz w:val="28"/>
          <w:szCs w:val="28"/>
        </w:rPr>
      </w:pPr>
    </w:p>
    <w:p w14:paraId="3757764B" w14:textId="24D62A88" w:rsidR="00C9278D" w:rsidRPr="00C9278D" w:rsidRDefault="00C9278D" w:rsidP="00C9278D">
      <w:pPr>
        <w:bidi/>
        <w:spacing w:line="480" w:lineRule="auto"/>
        <w:rPr>
          <w:rFonts w:ascii="Traditional Arabic" w:hAnsi="Traditional Arabic" w:cs="Traditional Arabic"/>
          <w:b/>
          <w:bCs/>
          <w:sz w:val="28"/>
          <w:szCs w:val="28"/>
          <w:lang w:bidi="ar"/>
        </w:rPr>
      </w:pPr>
    </w:p>
    <w:p w14:paraId="391F3A52" w14:textId="77777777" w:rsidR="00C9278D" w:rsidRPr="00C9278D" w:rsidRDefault="00C9278D" w:rsidP="00C9278D">
      <w:pPr>
        <w:bidi/>
        <w:spacing w:line="480" w:lineRule="auto"/>
        <w:rPr>
          <w:rFonts w:ascii="Traditional Arabic" w:hAnsi="Traditional Arabic" w:cs="Traditional Arabic"/>
          <w:b/>
          <w:bCs/>
          <w:sz w:val="28"/>
          <w:szCs w:val="28"/>
          <w:rtl/>
        </w:rPr>
      </w:pPr>
    </w:p>
    <w:p w14:paraId="7E0D1F25" w14:textId="77777777" w:rsidR="00C9278D" w:rsidRPr="00C9278D" w:rsidRDefault="00C9278D" w:rsidP="00C9278D">
      <w:pPr>
        <w:bidi/>
        <w:spacing w:line="480" w:lineRule="auto"/>
        <w:rPr>
          <w:rFonts w:ascii="Traditional Arabic" w:hAnsi="Traditional Arabic" w:cs="Traditional Arabic"/>
          <w:b/>
          <w:bCs/>
          <w:sz w:val="28"/>
          <w:szCs w:val="28"/>
          <w:rtl/>
        </w:rPr>
      </w:pPr>
    </w:p>
    <w:p w14:paraId="5870D9F5" w14:textId="77777777" w:rsidR="00C9278D" w:rsidRPr="00C9278D" w:rsidRDefault="00C9278D" w:rsidP="00C9278D">
      <w:pPr>
        <w:bidi/>
        <w:spacing w:line="480" w:lineRule="auto"/>
        <w:rPr>
          <w:rFonts w:ascii="Traditional Arabic" w:hAnsi="Traditional Arabic" w:cs="Traditional Arabic"/>
          <w:b/>
          <w:bCs/>
          <w:sz w:val="28"/>
          <w:szCs w:val="28"/>
          <w:rtl/>
        </w:rPr>
      </w:pPr>
    </w:p>
    <w:p w14:paraId="7C666E3B" w14:textId="77777777" w:rsidR="00C9278D" w:rsidRPr="00C9278D" w:rsidRDefault="00C9278D" w:rsidP="00C9278D">
      <w:pPr>
        <w:bidi/>
        <w:spacing w:line="480" w:lineRule="auto"/>
        <w:rPr>
          <w:rFonts w:ascii="Traditional Arabic" w:hAnsi="Traditional Arabic" w:cs="Traditional Arabic"/>
          <w:b/>
          <w:bCs/>
          <w:sz w:val="28"/>
          <w:szCs w:val="28"/>
          <w:rtl/>
        </w:rPr>
      </w:pPr>
    </w:p>
    <w:p w14:paraId="107FBF75" w14:textId="77777777" w:rsidR="00146D14" w:rsidRPr="007205A8" w:rsidRDefault="00146D14" w:rsidP="007205A8">
      <w:pPr>
        <w:bidi/>
        <w:spacing w:after="200" w:line="480" w:lineRule="auto"/>
        <w:rPr>
          <w:rFonts w:ascii="Traditional Arabic" w:hAnsi="Traditional Arabic" w:cs="Traditional Arabic"/>
          <w:b/>
          <w:bCs/>
          <w:sz w:val="28"/>
          <w:szCs w:val="28"/>
        </w:rPr>
      </w:pPr>
    </w:p>
    <w:p w14:paraId="70CFA9B3" w14:textId="0803AFE6" w:rsidR="004D61FE" w:rsidRPr="004D61FE" w:rsidRDefault="004D61FE" w:rsidP="007205A8">
      <w:pPr>
        <w:pStyle w:val="ListParagraph"/>
        <w:numPr>
          <w:ilvl w:val="0"/>
          <w:numId w:val="21"/>
        </w:numPr>
        <w:bidi/>
        <w:spacing w:after="200" w:line="480" w:lineRule="auto"/>
        <w:rPr>
          <w:rFonts w:ascii="Traditional Arabic" w:hAnsi="Traditional Arabic" w:cs="Traditional Arabic"/>
          <w:b/>
          <w:bCs/>
          <w:sz w:val="28"/>
          <w:szCs w:val="28"/>
        </w:rPr>
      </w:pPr>
      <w:r w:rsidRPr="004D61FE">
        <w:rPr>
          <w:rFonts w:ascii="Traditional Arabic" w:hAnsi="Traditional Arabic" w:cs="Traditional Arabic"/>
          <w:b/>
          <w:bCs/>
          <w:sz w:val="28"/>
          <w:szCs w:val="28"/>
          <w:rtl/>
        </w:rPr>
        <w:lastRenderedPageBreak/>
        <w:t>الدراسات السابقة</w:t>
      </w:r>
    </w:p>
    <w:p w14:paraId="3FF585F8" w14:textId="408E1696" w:rsidR="004D61FE" w:rsidRPr="007205A8" w:rsidRDefault="004D61FE" w:rsidP="007205A8">
      <w:pPr>
        <w:pStyle w:val="ListParagraph"/>
        <w:numPr>
          <w:ilvl w:val="1"/>
          <w:numId w:val="22"/>
        </w:numPr>
        <w:bidi/>
        <w:spacing w:after="200" w:line="480" w:lineRule="auto"/>
        <w:rPr>
          <w:rFonts w:ascii="Traditional Arabic" w:hAnsi="Traditional Arabic" w:cs="Traditional Arabic"/>
          <w:b/>
          <w:bCs/>
          <w:sz w:val="28"/>
          <w:szCs w:val="28"/>
        </w:rPr>
      </w:pPr>
      <w:r w:rsidRPr="007205A8">
        <w:rPr>
          <w:rFonts w:ascii="Traditional Arabic" w:hAnsi="Traditional Arabic" w:cs="Traditional Arabic"/>
          <w:b/>
          <w:bCs/>
          <w:sz w:val="28"/>
          <w:szCs w:val="28"/>
          <w:rtl/>
        </w:rPr>
        <w:t>دراسات تناولت الاستدامة في المشاريع الإنشائية</w:t>
      </w:r>
    </w:p>
    <w:p w14:paraId="5BD40097" w14:textId="72DEAC25" w:rsidR="0098481C" w:rsidRPr="0098481C" w:rsidRDefault="0098481C" w:rsidP="0098481C">
      <w:pPr>
        <w:bidi/>
        <w:spacing w:line="480" w:lineRule="auto"/>
        <w:jc w:val="both"/>
        <w:rPr>
          <w:rFonts w:ascii="Traditional Arabic" w:hAnsi="Traditional Arabic" w:cs="Traditional Arabic"/>
          <w:sz w:val="28"/>
          <w:szCs w:val="28"/>
          <w:lang w:bidi="ar-EG"/>
        </w:rPr>
      </w:pPr>
      <w:r w:rsidRPr="0098481C">
        <w:rPr>
          <w:rFonts w:ascii="Traditional Arabic" w:hAnsi="Traditional Arabic" w:cs="Traditional Arabic"/>
          <w:sz w:val="28"/>
          <w:szCs w:val="28"/>
          <w:rtl/>
        </w:rPr>
        <w:t>يُظهر تحليل الأدبيات أن الاستدامة في المشاريع الإنشائية لم تُطرح بوصفها مفهومًا بيئيًا فقط، بل صارت محورًا متعدد الأبعاد يشمل الإدارة والابتكار ونمذجة المخاطر ومؤشرات الأداء. وقد جاءت الدراسات في هذا المجال متنوعة من حيث المناهج والأساليب، مما أتاح إمكانية المقارنة بين ما ركّزت عليه كل دراسة والنواقص التي بقيت دون معالجة</w:t>
      </w:r>
      <w:r w:rsidRPr="0098481C">
        <w:rPr>
          <w:rFonts w:ascii="Traditional Arabic" w:hAnsi="Traditional Arabic" w:cs="Traditional Arabic"/>
          <w:sz w:val="28"/>
          <w:szCs w:val="28"/>
          <w:lang w:bidi="ar-EG"/>
        </w:rPr>
        <w:t>.</w:t>
      </w:r>
    </w:p>
    <w:p w14:paraId="0D40C6BD" w14:textId="58921324" w:rsidR="00A229CA" w:rsidRPr="00A229CA" w:rsidRDefault="00A229CA" w:rsidP="00A229CA">
      <w:pPr>
        <w:bidi/>
        <w:spacing w:line="480" w:lineRule="auto"/>
        <w:jc w:val="both"/>
        <w:rPr>
          <w:rFonts w:ascii="Traditional Arabic" w:hAnsi="Traditional Arabic" w:cs="Traditional Arabic"/>
          <w:b/>
          <w:bCs/>
          <w:sz w:val="28"/>
          <w:szCs w:val="28"/>
        </w:rPr>
      </w:pPr>
      <w:r w:rsidRPr="00A229CA">
        <w:rPr>
          <w:rFonts w:ascii="Traditional Arabic" w:hAnsi="Traditional Arabic" w:cs="Traditional Arabic"/>
          <w:b/>
          <w:bCs/>
          <w:sz w:val="28"/>
          <w:szCs w:val="28"/>
          <w:rtl/>
        </w:rPr>
        <w:t>دراسة</w:t>
      </w:r>
      <w:r w:rsidRPr="00A229CA">
        <w:rPr>
          <w:rFonts w:ascii="Traditional Arabic" w:hAnsi="Traditional Arabic" w:cs="Traditional Arabic"/>
          <w:b/>
          <w:bCs/>
          <w:sz w:val="28"/>
          <w:szCs w:val="28"/>
        </w:rPr>
        <w:t xml:space="preserve"> Salah et al. (2023)</w:t>
      </w:r>
    </w:p>
    <w:p w14:paraId="0915024E" w14:textId="7E778240" w:rsidR="00A229CA" w:rsidRDefault="00A229CA" w:rsidP="00A229CA">
      <w:pPr>
        <w:bidi/>
        <w:spacing w:line="480" w:lineRule="auto"/>
        <w:jc w:val="both"/>
        <w:rPr>
          <w:rFonts w:ascii="Traditional Arabic" w:hAnsi="Traditional Arabic" w:cs="Traditional Arabic"/>
          <w:sz w:val="28"/>
          <w:szCs w:val="28"/>
          <w:rtl/>
        </w:rPr>
      </w:pPr>
      <w:r w:rsidRPr="00A229CA">
        <w:rPr>
          <w:rFonts w:ascii="Traditional Arabic" w:hAnsi="Traditional Arabic" w:cs="Traditional Arabic"/>
          <w:sz w:val="28"/>
          <w:szCs w:val="28"/>
          <w:rtl/>
        </w:rPr>
        <w:t>تناولت دراسة</w:t>
      </w:r>
      <w:r w:rsidRPr="00A229CA">
        <w:rPr>
          <w:rFonts w:ascii="Traditional Arabic" w:hAnsi="Traditional Arabic" w:cs="Traditional Arabic"/>
          <w:sz w:val="28"/>
          <w:szCs w:val="28"/>
        </w:rPr>
        <w:t xml:space="preserve"> Salah </w:t>
      </w:r>
      <w:r w:rsidRPr="00A229CA">
        <w:rPr>
          <w:rFonts w:ascii="Traditional Arabic" w:hAnsi="Traditional Arabic" w:cs="Traditional Arabic"/>
          <w:sz w:val="28"/>
          <w:szCs w:val="28"/>
          <w:rtl/>
        </w:rPr>
        <w:t>وزملائه (2023)، تطوير إطار شامل لتقييم استدامة المشاريع الإنشائية باستخدام مزيج من تقنيات اتخاذ القرار متعدّد المعايير</w:t>
      </w:r>
      <w:r w:rsidRPr="00A229CA">
        <w:rPr>
          <w:rFonts w:ascii="Traditional Arabic" w:hAnsi="Traditional Arabic" w:cs="Traditional Arabic"/>
          <w:sz w:val="28"/>
          <w:szCs w:val="28"/>
        </w:rPr>
        <w:t xml:space="preserve"> (MCDM)</w:t>
      </w:r>
      <w:r w:rsidRPr="00A229CA">
        <w:rPr>
          <w:rFonts w:ascii="Traditional Arabic" w:hAnsi="Traditional Arabic" w:cs="Traditional Arabic"/>
          <w:sz w:val="28"/>
          <w:szCs w:val="28"/>
          <w:rtl/>
        </w:rPr>
        <w:t>، بما في ذلك أسلوبي</w:t>
      </w:r>
      <w:r w:rsidRPr="00A229CA">
        <w:rPr>
          <w:rFonts w:ascii="Traditional Arabic" w:hAnsi="Traditional Arabic" w:cs="Traditional Arabic"/>
          <w:sz w:val="28"/>
          <w:szCs w:val="28"/>
        </w:rPr>
        <w:t xml:space="preserve"> Shannon Entropy </w:t>
      </w:r>
      <w:r w:rsidRPr="00A229CA">
        <w:rPr>
          <w:rFonts w:ascii="Traditional Arabic" w:hAnsi="Traditional Arabic" w:cs="Traditional Arabic"/>
          <w:sz w:val="28"/>
          <w:szCs w:val="28"/>
          <w:rtl/>
        </w:rPr>
        <w:t>و</w:t>
      </w:r>
      <w:r w:rsidRPr="00A229CA">
        <w:rPr>
          <w:rFonts w:ascii="Traditional Arabic" w:hAnsi="Traditional Arabic" w:cs="Traditional Arabic"/>
          <w:sz w:val="28"/>
          <w:szCs w:val="28"/>
        </w:rPr>
        <w:t xml:space="preserve">CRITIC </w:t>
      </w:r>
      <w:r w:rsidRPr="00A229CA">
        <w:rPr>
          <w:rFonts w:ascii="Traditional Arabic" w:hAnsi="Traditional Arabic" w:cs="Traditional Arabic"/>
          <w:sz w:val="28"/>
          <w:szCs w:val="28"/>
          <w:rtl/>
        </w:rPr>
        <w:t>لتحديد الأوزان النسبية للمؤشرات، إضافة إلى استخدام</w:t>
      </w:r>
      <w:r w:rsidRPr="00A229CA">
        <w:rPr>
          <w:rFonts w:ascii="Traditional Arabic" w:hAnsi="Traditional Arabic" w:cs="Traditional Arabic"/>
          <w:sz w:val="28"/>
          <w:szCs w:val="28"/>
        </w:rPr>
        <w:t xml:space="preserve"> Hierarchical Evidential Reasoning </w:t>
      </w:r>
      <w:r w:rsidRPr="00A229CA">
        <w:rPr>
          <w:rFonts w:ascii="Traditional Arabic" w:hAnsi="Traditional Arabic" w:cs="Traditional Arabic"/>
          <w:sz w:val="28"/>
          <w:szCs w:val="28"/>
          <w:rtl/>
        </w:rPr>
        <w:t>لدمج العوامل المختلفة ضمن نموذج تقييم واحد. اختبر الباحثون الإطار المقترح عبر ثلاث دراسات حالة لمشاريع تطوير إنشائية، وأسهم تحليل الخبراء في دعم دقة الأوزان والمعايير المطبقة. كشفت النتائج أن الفروق بين أوزان المؤشرات لم تكن ذات دلالة إحصائية، مما يعزز موثوقية النموذج وقابليته للتطبيق على نطاق واسع، كما أظهرت الدراسات التطبيقية أن الإطار المقترح قادر على تقييم الأداء البيئي والاجتماعي بكفاءة وتحسين ممارسات الاستدامة داخل المشاريع. أوصت الدراسة باستخدام الإطار لتقييم المشاريع قبل وأثناء التنفيذ، ودمجه ضمن سياسات المسؤولية المجتمعية للمؤسسات. وتسهم هذه الدراسة في سد فجوة معرفية تتعلق بغياب نموذج تطبيقي شامل يجمع بين أدوات</w:t>
      </w:r>
      <w:r w:rsidRPr="00A229CA">
        <w:rPr>
          <w:rFonts w:ascii="Traditional Arabic" w:hAnsi="Traditional Arabic" w:cs="Traditional Arabic"/>
          <w:sz w:val="28"/>
          <w:szCs w:val="28"/>
        </w:rPr>
        <w:t xml:space="preserve"> MCDM </w:t>
      </w:r>
      <w:r w:rsidRPr="00A229CA">
        <w:rPr>
          <w:rFonts w:ascii="Traditional Arabic" w:hAnsi="Traditional Arabic" w:cs="Traditional Arabic"/>
          <w:sz w:val="28"/>
          <w:szCs w:val="28"/>
          <w:rtl/>
        </w:rPr>
        <w:t>والتطبيق العملي، بينما كانت معظم الدراسات السابقة تركّز على البعد البيئي فقط دون دمج متكامل للأبعاد الاقتصادية والاجتماعية</w:t>
      </w:r>
      <w:r w:rsidRPr="00A229CA">
        <w:rPr>
          <w:rFonts w:ascii="Traditional Arabic" w:hAnsi="Traditional Arabic" w:cs="Traditional Arabic"/>
          <w:sz w:val="28"/>
          <w:szCs w:val="28"/>
        </w:rPr>
        <w:t>.</w:t>
      </w:r>
    </w:p>
    <w:p w14:paraId="6D23BC1A" w14:textId="77777777" w:rsidR="00F1203C" w:rsidRPr="00A229CA" w:rsidRDefault="00F1203C" w:rsidP="00F1203C">
      <w:pPr>
        <w:bidi/>
        <w:spacing w:line="480" w:lineRule="auto"/>
        <w:jc w:val="both"/>
        <w:rPr>
          <w:rFonts w:ascii="Traditional Arabic" w:hAnsi="Traditional Arabic" w:cs="Traditional Arabic"/>
          <w:b/>
          <w:bCs/>
          <w:sz w:val="28"/>
          <w:szCs w:val="28"/>
        </w:rPr>
      </w:pPr>
      <w:r w:rsidRPr="00A229CA">
        <w:rPr>
          <w:rFonts w:ascii="Traditional Arabic" w:hAnsi="Traditional Arabic" w:cs="Traditional Arabic"/>
          <w:b/>
          <w:bCs/>
          <w:sz w:val="28"/>
          <w:szCs w:val="28"/>
          <w:rtl/>
        </w:rPr>
        <w:lastRenderedPageBreak/>
        <w:t>دراسة</w:t>
      </w:r>
      <w:r w:rsidRPr="00A229CA">
        <w:rPr>
          <w:rFonts w:ascii="Traditional Arabic" w:hAnsi="Traditional Arabic" w:cs="Traditional Arabic"/>
          <w:b/>
          <w:bCs/>
          <w:sz w:val="28"/>
          <w:szCs w:val="28"/>
        </w:rPr>
        <w:t xml:space="preserve"> Rajabi et al. (2022)</w:t>
      </w:r>
    </w:p>
    <w:p w14:paraId="27BE3298" w14:textId="3564D707" w:rsidR="00C82DFC" w:rsidRDefault="00F1203C" w:rsidP="00316366">
      <w:pPr>
        <w:bidi/>
        <w:spacing w:line="480" w:lineRule="auto"/>
        <w:jc w:val="both"/>
        <w:rPr>
          <w:rFonts w:ascii="Traditional Arabic" w:hAnsi="Traditional Arabic" w:cs="Traditional Arabic"/>
          <w:sz w:val="28"/>
          <w:szCs w:val="28"/>
          <w:rtl/>
        </w:rPr>
      </w:pPr>
      <w:r w:rsidRPr="00A229CA">
        <w:rPr>
          <w:rFonts w:ascii="Traditional Arabic" w:hAnsi="Traditional Arabic" w:cs="Traditional Arabic"/>
          <w:sz w:val="28"/>
          <w:szCs w:val="28"/>
          <w:rtl/>
        </w:rPr>
        <w:t>قدّم</w:t>
      </w:r>
      <w:r w:rsidRPr="00A229CA">
        <w:rPr>
          <w:rFonts w:ascii="Traditional Arabic" w:hAnsi="Traditional Arabic" w:cs="Traditional Arabic"/>
          <w:sz w:val="28"/>
          <w:szCs w:val="28"/>
        </w:rPr>
        <w:t xml:space="preserve"> Rajabi </w:t>
      </w:r>
      <w:r w:rsidRPr="00A229CA">
        <w:rPr>
          <w:rFonts w:ascii="Traditional Arabic" w:hAnsi="Traditional Arabic" w:cs="Traditional Arabic"/>
          <w:sz w:val="28"/>
          <w:szCs w:val="28"/>
          <w:rtl/>
        </w:rPr>
        <w:t>وزملاؤه (2022) دراسة مهمة ركزت على تحديد مؤشرات الأداء المستدام القابلة للتطبيق خلال مرحلة التنفيذ، وهي مرحلة غالبًا ما يتم إغفالها في الأدبيات رغم أهميتها. انطلقت الدراسة من مراجعة منهجية للأبحاث السابقة، لتحديد 22 مؤشرًا أوليًا للاستدامة، ثم جرى تقييم أهميتها باستخدام المنهج التحليلي الهرمي</w:t>
      </w:r>
      <w:r w:rsidRPr="00A229CA">
        <w:rPr>
          <w:rFonts w:ascii="Traditional Arabic" w:hAnsi="Traditional Arabic" w:cs="Traditional Arabic"/>
          <w:sz w:val="28"/>
          <w:szCs w:val="28"/>
        </w:rPr>
        <w:t xml:space="preserve"> (AHP) </w:t>
      </w:r>
      <w:r w:rsidRPr="00A229CA">
        <w:rPr>
          <w:rFonts w:ascii="Traditional Arabic" w:hAnsi="Traditional Arabic" w:cs="Traditional Arabic"/>
          <w:sz w:val="28"/>
          <w:szCs w:val="28"/>
          <w:rtl/>
        </w:rPr>
        <w:t>عبر استبانة وُزّعت على 31 متخصصًا في قطاع الإنشاءات في دولة الإمارات العربية المتحدة. أظهرت النتائج أن “استخدام الطاقة المتجددة” يُعد المؤشر الأكثر أهمية ضمن البعد البيئي بوزن نسبي بلغ 0.164، بينما احتل مؤشر "السلامة في موقع العمل" المرتبة الأولى ضمن الجانب الاجتماعي–الاقتصادي بوزن نسبي 0.093، ما يعكس اختلاف أولويات الأطراف العاملة في القطاع. أوصت الدراسة باعتماد هذه المؤشرات كأداة قياس عملية أثناء التنفيذ، ودعت إلى تعزيز قدرات المقاولين في تطبيق مؤشرات الاستدامة. وتسد الدراسة فجوة معرفية رئيسية تتمثل في غياب مؤشرات دقيقة وقابلة للقياس تخص مرحلة تنفيذ المشاريع، إذ ركزت أغلب الأعمال السابقة على مرحلة التصميم أو التخطيط دون معالجة تحديات التنفيذ المباشر</w:t>
      </w:r>
      <w:r w:rsidR="00316366">
        <w:rPr>
          <w:rFonts w:ascii="Traditional Arabic" w:hAnsi="Traditional Arabic" w:cs="Traditional Arabic" w:hint="cs"/>
          <w:sz w:val="28"/>
          <w:szCs w:val="28"/>
          <w:rtl/>
        </w:rPr>
        <w:t>.</w:t>
      </w:r>
    </w:p>
    <w:p w14:paraId="53C98F08" w14:textId="77777777" w:rsidR="00F1203C" w:rsidRPr="00A229CA" w:rsidRDefault="00F1203C" w:rsidP="00F1203C">
      <w:pPr>
        <w:bidi/>
        <w:spacing w:line="480" w:lineRule="auto"/>
        <w:jc w:val="both"/>
        <w:rPr>
          <w:rFonts w:ascii="Traditional Arabic" w:hAnsi="Traditional Arabic" w:cs="Traditional Arabic"/>
          <w:b/>
          <w:bCs/>
          <w:sz w:val="28"/>
          <w:szCs w:val="28"/>
        </w:rPr>
      </w:pPr>
      <w:r w:rsidRPr="00A229CA">
        <w:rPr>
          <w:rFonts w:ascii="Traditional Arabic" w:hAnsi="Traditional Arabic" w:cs="Traditional Arabic"/>
          <w:b/>
          <w:bCs/>
          <w:sz w:val="28"/>
          <w:szCs w:val="28"/>
          <w:rtl/>
        </w:rPr>
        <w:t>دراسة</w:t>
      </w:r>
      <w:r w:rsidRPr="00A229CA">
        <w:rPr>
          <w:rFonts w:ascii="Traditional Arabic" w:hAnsi="Traditional Arabic" w:cs="Traditional Arabic"/>
          <w:b/>
          <w:bCs/>
          <w:sz w:val="28"/>
          <w:szCs w:val="28"/>
        </w:rPr>
        <w:t xml:space="preserve"> Qazi et al. (2021)</w:t>
      </w:r>
    </w:p>
    <w:p w14:paraId="6BF8D746" w14:textId="7899E50E" w:rsidR="00787328" w:rsidRPr="00A229CA" w:rsidRDefault="00F1203C" w:rsidP="00316366">
      <w:pPr>
        <w:bidi/>
        <w:spacing w:line="480" w:lineRule="auto"/>
        <w:jc w:val="both"/>
        <w:rPr>
          <w:rFonts w:ascii="Traditional Arabic" w:hAnsi="Traditional Arabic" w:cs="Traditional Arabic"/>
          <w:sz w:val="28"/>
          <w:szCs w:val="28"/>
        </w:rPr>
      </w:pPr>
      <w:r w:rsidRPr="00A229CA">
        <w:rPr>
          <w:rFonts w:ascii="Traditional Arabic" w:hAnsi="Traditional Arabic" w:cs="Traditional Arabic"/>
          <w:sz w:val="28"/>
          <w:szCs w:val="28"/>
          <w:rtl/>
        </w:rPr>
        <w:t>قدّم</w:t>
      </w:r>
      <w:r w:rsidRPr="00A229CA">
        <w:rPr>
          <w:rFonts w:ascii="Traditional Arabic" w:hAnsi="Traditional Arabic" w:cs="Traditional Arabic"/>
          <w:sz w:val="28"/>
          <w:szCs w:val="28"/>
        </w:rPr>
        <w:t xml:space="preserve"> Qazi </w:t>
      </w:r>
      <w:r w:rsidRPr="00A229CA">
        <w:rPr>
          <w:rFonts w:ascii="Traditional Arabic" w:hAnsi="Traditional Arabic" w:cs="Traditional Arabic"/>
          <w:sz w:val="28"/>
          <w:szCs w:val="28"/>
          <w:rtl/>
        </w:rPr>
        <w:t>وزملاؤه (2021) دراسة متقدمة تناولت فيها المخاطر المرتبطة بالاستدامة في المشاريع الإنشائية من خلال تطوير آلية كمية تعتمد على محاكاة مونتي كارلو. هدفت الدراسة إلى معالجة القصور في النماذج التقليدية التي تركز على المخاطر الشائعة وتُهمل المخاطر ذات الاحتمالية المنخفضة والتأثير العالي</w:t>
      </w:r>
      <w:r w:rsidRPr="00A229CA">
        <w:rPr>
          <w:rFonts w:ascii="Traditional Arabic" w:hAnsi="Traditional Arabic" w:cs="Traditional Arabic"/>
          <w:sz w:val="28"/>
          <w:szCs w:val="28"/>
        </w:rPr>
        <w:t xml:space="preserve"> (Tail Risks)</w:t>
      </w:r>
      <w:r w:rsidRPr="00A229CA">
        <w:rPr>
          <w:rFonts w:ascii="Traditional Arabic" w:hAnsi="Traditional Arabic" w:cs="Traditional Arabic"/>
          <w:sz w:val="28"/>
          <w:szCs w:val="28"/>
          <w:rtl/>
        </w:rPr>
        <w:t xml:space="preserve">، حيث طُبّق النموذج المقترح على مشاريع مستدامة منفّذة في دولة الإمارات العربية المتحدة باستخدام بيانات فعلية من مواقع العمل. اعتمد الباحثون منهجية تحليلية قائمة على بيانات مصفوفات المخاطر، سمحت </w:t>
      </w:r>
      <w:r w:rsidRPr="00A229CA">
        <w:rPr>
          <w:rFonts w:ascii="Traditional Arabic" w:hAnsi="Traditional Arabic" w:cs="Traditional Arabic"/>
          <w:sz w:val="28"/>
          <w:szCs w:val="28"/>
          <w:rtl/>
        </w:rPr>
        <w:lastRenderedPageBreak/>
        <w:t>بإعادة تصنيف المخاطر وفق مستويات الثقة المختلفة، وأظهرت النتائج أن النموذج التقليدي يعطي أهمية كبرى لمخاطر مثل نقص التمويل أو الأخطاء التصميمية، بينما أظهر النموذج الجديد أهمية مخاطر أخرى أكثر ارتباطًا بالاستدامة مثل انخفاض إنتاجية العمال والمعدات، وضعف تعريف نطاق العمل، وضيق الجداول الزمنية. أوصت الدراسة بضرورة تبنّي أدوات كمية متقدمة في إدارة مخاطر الاستدامة، وتطوير قواعد بيانات تدعم عملية التحليل المستقبلية. كما أسهمت الدراسة في سد فجوة بحثية تتمثل في محدودية الأدوات التحليلية الدقيقة لتصنيف المخاطر المستدامة، مقترحة نموذجًا قابلًا للتطبيق في مشاريع دولية وليس مقصورًا على سياق معين</w:t>
      </w:r>
      <w:r w:rsidRPr="00A229CA">
        <w:rPr>
          <w:rFonts w:ascii="Traditional Arabic" w:hAnsi="Traditional Arabic" w:cs="Traditional Arabic"/>
          <w:sz w:val="28"/>
          <w:szCs w:val="28"/>
        </w:rPr>
        <w:t>.</w:t>
      </w:r>
    </w:p>
    <w:p w14:paraId="35727EDA" w14:textId="47A5C4E2" w:rsidR="0098481C" w:rsidRPr="0098481C" w:rsidRDefault="0001291B" w:rsidP="0098481C">
      <w:pPr>
        <w:bidi/>
        <w:spacing w:line="480" w:lineRule="auto"/>
        <w:jc w:val="both"/>
        <w:rPr>
          <w:rFonts w:ascii="Traditional Arabic" w:hAnsi="Traditional Arabic" w:cs="Traditional Arabic"/>
          <w:b/>
          <w:bCs/>
          <w:sz w:val="28"/>
          <w:szCs w:val="28"/>
          <w:lang w:bidi="ar-EG"/>
        </w:rPr>
      </w:pPr>
      <w:r>
        <w:rPr>
          <w:rFonts w:ascii="Traditional Arabic" w:hAnsi="Traditional Arabic" w:cs="Traditional Arabic"/>
          <w:b/>
          <w:bCs/>
          <w:sz w:val="28"/>
          <w:szCs w:val="28"/>
          <w:lang w:bidi="ar-EG"/>
        </w:rPr>
        <w:t>5</w:t>
      </w:r>
      <w:r w:rsidR="0098481C" w:rsidRPr="0098481C">
        <w:rPr>
          <w:rFonts w:ascii="Traditional Arabic" w:hAnsi="Traditional Arabic" w:cs="Traditional Arabic"/>
          <w:b/>
          <w:bCs/>
          <w:sz w:val="28"/>
          <w:szCs w:val="28"/>
          <w:lang w:bidi="ar-EG"/>
        </w:rPr>
        <w:t xml:space="preserve">.2 </w:t>
      </w:r>
      <w:r w:rsidR="0098481C" w:rsidRPr="0098481C">
        <w:rPr>
          <w:rFonts w:ascii="Traditional Arabic" w:hAnsi="Traditional Arabic" w:cs="Traditional Arabic"/>
          <w:b/>
          <w:bCs/>
          <w:sz w:val="28"/>
          <w:szCs w:val="28"/>
          <w:rtl/>
        </w:rPr>
        <w:t>دراسات تناولت أداء المشاريع الإنشائية</w:t>
      </w:r>
    </w:p>
    <w:p w14:paraId="3CFD4390" w14:textId="77777777" w:rsidR="00F1203C" w:rsidRPr="00A229CA" w:rsidRDefault="00F1203C" w:rsidP="00F1203C">
      <w:pPr>
        <w:bidi/>
        <w:spacing w:line="480" w:lineRule="auto"/>
        <w:jc w:val="both"/>
        <w:rPr>
          <w:rFonts w:ascii="Traditional Arabic" w:hAnsi="Traditional Arabic" w:cs="Traditional Arabic"/>
          <w:b/>
          <w:bCs/>
          <w:sz w:val="28"/>
          <w:szCs w:val="28"/>
        </w:rPr>
      </w:pPr>
      <w:r w:rsidRPr="00A229CA">
        <w:rPr>
          <w:rFonts w:ascii="Traditional Arabic" w:hAnsi="Traditional Arabic" w:cs="Traditional Arabic"/>
          <w:b/>
          <w:bCs/>
          <w:sz w:val="28"/>
          <w:szCs w:val="28"/>
          <w:rtl/>
        </w:rPr>
        <w:t>دراسة</w:t>
      </w:r>
      <w:r w:rsidRPr="00A229CA">
        <w:rPr>
          <w:rFonts w:ascii="Traditional Arabic" w:hAnsi="Traditional Arabic" w:cs="Traditional Arabic"/>
          <w:b/>
          <w:bCs/>
          <w:sz w:val="28"/>
          <w:szCs w:val="28"/>
        </w:rPr>
        <w:t xml:space="preserve"> Asiri &amp; Al Mazhar (2025)</w:t>
      </w:r>
    </w:p>
    <w:p w14:paraId="1F1FFF58" w14:textId="530F7B63" w:rsidR="00F1203C" w:rsidRPr="00F1203C" w:rsidRDefault="00F1203C" w:rsidP="00F1203C">
      <w:pPr>
        <w:bidi/>
        <w:spacing w:line="480" w:lineRule="auto"/>
        <w:jc w:val="both"/>
        <w:rPr>
          <w:rFonts w:ascii="Traditional Arabic" w:hAnsi="Traditional Arabic" w:cs="Traditional Arabic"/>
          <w:sz w:val="28"/>
          <w:szCs w:val="28"/>
          <w:rtl/>
        </w:rPr>
      </w:pPr>
      <w:r w:rsidRPr="00A229CA">
        <w:rPr>
          <w:rFonts w:ascii="Traditional Arabic" w:hAnsi="Traditional Arabic" w:cs="Traditional Arabic"/>
          <w:sz w:val="28"/>
          <w:szCs w:val="28"/>
          <w:rtl/>
        </w:rPr>
        <w:t>قدّم</w:t>
      </w:r>
      <w:r w:rsidRPr="00A229CA">
        <w:rPr>
          <w:rFonts w:ascii="Traditional Arabic" w:hAnsi="Traditional Arabic" w:cs="Traditional Arabic"/>
          <w:sz w:val="28"/>
          <w:szCs w:val="28"/>
        </w:rPr>
        <w:t xml:space="preserve"> Asiri </w:t>
      </w:r>
      <w:r w:rsidRPr="00A229CA">
        <w:rPr>
          <w:rFonts w:ascii="Traditional Arabic" w:hAnsi="Traditional Arabic" w:cs="Traditional Arabic"/>
          <w:sz w:val="28"/>
          <w:szCs w:val="28"/>
          <w:rtl/>
        </w:rPr>
        <w:t>و</w:t>
      </w:r>
      <w:r w:rsidRPr="00A229CA">
        <w:rPr>
          <w:rFonts w:ascii="Traditional Arabic" w:hAnsi="Traditional Arabic" w:cs="Traditional Arabic"/>
          <w:sz w:val="28"/>
          <w:szCs w:val="28"/>
        </w:rPr>
        <w:t xml:space="preserve">Al Mazhar (2025) </w:t>
      </w:r>
      <w:r w:rsidRPr="00A229CA">
        <w:rPr>
          <w:rFonts w:ascii="Traditional Arabic" w:hAnsi="Traditional Arabic" w:cs="Traditional Arabic"/>
          <w:sz w:val="28"/>
          <w:szCs w:val="28"/>
          <w:rtl/>
        </w:rPr>
        <w:t>دراسة تطبيقية متقدمة تهدف إلى تحديد وتصنيف مؤشرات الأداء الرئيسية</w:t>
      </w:r>
      <w:r w:rsidRPr="00A229CA">
        <w:rPr>
          <w:rFonts w:ascii="Traditional Arabic" w:hAnsi="Traditional Arabic" w:cs="Traditional Arabic"/>
          <w:sz w:val="28"/>
          <w:szCs w:val="28"/>
        </w:rPr>
        <w:t xml:space="preserve"> (KPIs) </w:t>
      </w:r>
      <w:r w:rsidRPr="00A229CA">
        <w:rPr>
          <w:rFonts w:ascii="Traditional Arabic" w:hAnsi="Traditional Arabic" w:cs="Traditional Arabic"/>
          <w:sz w:val="28"/>
          <w:szCs w:val="28"/>
          <w:rtl/>
        </w:rPr>
        <w:t xml:space="preserve">المستخدمة في تقييم أداء مشاريع البناء في منطقة عسير بالمملكة العربية السعودية. اعتمدت الدراسة منهجًا مختلطًا يجمع بين مراجعة الأدبيات، واستطلاعات رأي، ومقابلات متعمقة مع خبراء ميدانيين، شملت مديرين تنفيذيين ومديري مشاريع. وقد ركزت الدراسة على قياس وعي وتبنّي المؤشرات بين أصحاب المصلحة، وتحليل أهمية 18 مؤشرًا تم تحديدها عبر مرحلتين من التحليل الكمي والكيفي. أظهرت النتائج أن مؤشرات مثل الالتزام بالوقت، وجودة التنفيذ، وإدارة السلامة، ووضوح نطاق العمل تُعد من أكثر المؤشرات أهمية للمشاركين، وأن وجود إطار واضح لتطبيق المؤشرات يسهم في تحسين المتابعة واتخاذ القرار. وعلى الرغم من قوة الجانب التطبيقي في الدراسة، إلا أنها ركزت بشكل كامل على مؤشرات الأداء دون دمج ممارسات الاستدامة ضمن إطار التقييم، مما يجعل نتائجها مناسبة </w:t>
      </w:r>
      <w:r w:rsidRPr="00A229CA">
        <w:rPr>
          <w:rFonts w:ascii="Traditional Arabic" w:hAnsi="Traditional Arabic" w:cs="Traditional Arabic"/>
          <w:sz w:val="28"/>
          <w:szCs w:val="28"/>
          <w:rtl/>
        </w:rPr>
        <w:lastRenderedPageBreak/>
        <w:t>للدمج مع دراسات أخرى لكنها غير كافية لتقديم رؤية شاملة حول الأداء المستدام. وتبرز هنا فجوة بحثية تتعلق بضرورة دمج</w:t>
      </w:r>
      <w:r w:rsidRPr="00A229CA">
        <w:rPr>
          <w:rFonts w:ascii="Traditional Arabic" w:hAnsi="Traditional Arabic" w:cs="Traditional Arabic"/>
          <w:sz w:val="28"/>
          <w:szCs w:val="28"/>
        </w:rPr>
        <w:t xml:space="preserve"> KPIs </w:t>
      </w:r>
      <w:r w:rsidRPr="00A229CA">
        <w:rPr>
          <w:rFonts w:ascii="Traditional Arabic" w:hAnsi="Traditional Arabic" w:cs="Traditional Arabic"/>
          <w:sz w:val="28"/>
          <w:szCs w:val="28"/>
          <w:rtl/>
        </w:rPr>
        <w:t>التقليدية مع مؤشرات الأداء المستدام لتطوير نموذج تقييم أكثر شمولًا</w:t>
      </w:r>
      <w:r w:rsidRPr="00A229CA">
        <w:rPr>
          <w:rFonts w:ascii="Traditional Arabic" w:hAnsi="Traditional Arabic" w:cs="Traditional Arabic"/>
          <w:sz w:val="28"/>
          <w:szCs w:val="28"/>
        </w:rPr>
        <w:t>.</w:t>
      </w:r>
    </w:p>
    <w:p w14:paraId="52963F65" w14:textId="172C720C" w:rsidR="00A229CA" w:rsidRPr="00A229CA" w:rsidRDefault="00A229CA" w:rsidP="00F1203C">
      <w:pPr>
        <w:bidi/>
        <w:spacing w:line="480" w:lineRule="auto"/>
        <w:jc w:val="both"/>
        <w:rPr>
          <w:rFonts w:ascii="Traditional Arabic" w:hAnsi="Traditional Arabic" w:cs="Traditional Arabic"/>
          <w:b/>
          <w:bCs/>
          <w:sz w:val="28"/>
          <w:szCs w:val="28"/>
        </w:rPr>
      </w:pPr>
      <w:r w:rsidRPr="00A229CA">
        <w:rPr>
          <w:rFonts w:ascii="Traditional Arabic" w:hAnsi="Traditional Arabic" w:cs="Traditional Arabic"/>
          <w:b/>
          <w:bCs/>
          <w:sz w:val="28"/>
          <w:szCs w:val="28"/>
          <w:rtl/>
        </w:rPr>
        <w:t>دراسة</w:t>
      </w:r>
      <w:r w:rsidRPr="00A229CA">
        <w:rPr>
          <w:rFonts w:ascii="Traditional Arabic" w:hAnsi="Traditional Arabic" w:cs="Traditional Arabic"/>
          <w:b/>
          <w:bCs/>
          <w:sz w:val="28"/>
          <w:szCs w:val="28"/>
        </w:rPr>
        <w:t xml:space="preserve"> </w:t>
      </w:r>
      <w:proofErr w:type="spellStart"/>
      <w:r w:rsidRPr="00A229CA">
        <w:rPr>
          <w:rFonts w:ascii="Traditional Arabic" w:hAnsi="Traditional Arabic" w:cs="Traditional Arabic"/>
          <w:b/>
          <w:bCs/>
          <w:sz w:val="28"/>
          <w:szCs w:val="28"/>
        </w:rPr>
        <w:t>Unegbu</w:t>
      </w:r>
      <w:proofErr w:type="spellEnd"/>
      <w:r w:rsidRPr="00A229CA">
        <w:rPr>
          <w:rFonts w:ascii="Traditional Arabic" w:hAnsi="Traditional Arabic" w:cs="Traditional Arabic"/>
          <w:b/>
          <w:bCs/>
          <w:sz w:val="28"/>
          <w:szCs w:val="28"/>
        </w:rPr>
        <w:t xml:space="preserve"> et al. (2022)</w:t>
      </w:r>
    </w:p>
    <w:p w14:paraId="64CEAC4E" w14:textId="2E949122" w:rsidR="00A229CA" w:rsidRDefault="00A229CA" w:rsidP="00A229CA">
      <w:pPr>
        <w:bidi/>
        <w:spacing w:line="480" w:lineRule="auto"/>
        <w:jc w:val="both"/>
        <w:rPr>
          <w:rFonts w:ascii="Traditional Arabic" w:hAnsi="Traditional Arabic" w:cs="Traditional Arabic"/>
          <w:sz w:val="28"/>
          <w:szCs w:val="28"/>
          <w:rtl/>
        </w:rPr>
      </w:pPr>
      <w:r w:rsidRPr="00A229CA">
        <w:rPr>
          <w:rFonts w:ascii="Traditional Arabic" w:hAnsi="Traditional Arabic" w:cs="Traditional Arabic"/>
          <w:sz w:val="28"/>
          <w:szCs w:val="28"/>
          <w:rtl/>
        </w:rPr>
        <w:t>قدّم</w:t>
      </w:r>
      <w:r w:rsidRPr="00A229CA">
        <w:rPr>
          <w:rFonts w:ascii="Traditional Arabic" w:hAnsi="Traditional Arabic" w:cs="Traditional Arabic"/>
          <w:sz w:val="28"/>
          <w:szCs w:val="28"/>
        </w:rPr>
        <w:t xml:space="preserve"> </w:t>
      </w:r>
      <w:proofErr w:type="spellStart"/>
      <w:r w:rsidRPr="00A229CA">
        <w:rPr>
          <w:rFonts w:ascii="Traditional Arabic" w:hAnsi="Traditional Arabic" w:cs="Traditional Arabic"/>
          <w:sz w:val="28"/>
          <w:szCs w:val="28"/>
        </w:rPr>
        <w:t>Unegbu</w:t>
      </w:r>
      <w:proofErr w:type="spellEnd"/>
      <w:r w:rsidRPr="00A229CA">
        <w:rPr>
          <w:rFonts w:ascii="Traditional Arabic" w:hAnsi="Traditional Arabic" w:cs="Traditional Arabic"/>
          <w:sz w:val="28"/>
          <w:szCs w:val="28"/>
        </w:rPr>
        <w:t xml:space="preserve"> </w:t>
      </w:r>
      <w:r w:rsidRPr="00A229CA">
        <w:rPr>
          <w:rFonts w:ascii="Traditional Arabic" w:hAnsi="Traditional Arabic" w:cs="Traditional Arabic"/>
          <w:sz w:val="28"/>
          <w:szCs w:val="28"/>
          <w:rtl/>
        </w:rPr>
        <w:t>وزملاؤه (2022) دراسة معمّقة حول العلاقة بين ممارسات إدارة المشاريع ومقاييس الأداء في قطاع الإنشاءات في نيجيريا، وهي دراسة تُعد من الأكثر شمولاً في هذا المجال بسبب استخدامها منهجية النمذجة بالمعادلات الهيكلية</w:t>
      </w:r>
      <w:r w:rsidRPr="00A229CA">
        <w:rPr>
          <w:rFonts w:ascii="Traditional Arabic" w:hAnsi="Traditional Arabic" w:cs="Traditional Arabic"/>
          <w:sz w:val="28"/>
          <w:szCs w:val="28"/>
        </w:rPr>
        <w:t xml:space="preserve"> (SEM) </w:t>
      </w:r>
      <w:r w:rsidRPr="00A229CA">
        <w:rPr>
          <w:rFonts w:ascii="Traditional Arabic" w:hAnsi="Traditional Arabic" w:cs="Traditional Arabic"/>
          <w:sz w:val="28"/>
          <w:szCs w:val="28"/>
          <w:rtl/>
        </w:rPr>
        <w:t xml:space="preserve">للتحقق من الروابط بين المتغيرات. اعتمدت الدراسة على منهج المسح باستخدام استبانة شملت 250 مشاركًا من مقاولين واستشاريين وجهات مالكة، بلغ عدد الاستبانات الصالحة منها 221 استبانة. وقد جمعت الأداة بيانات عن 19 مؤشرًا للأداء و53 ممارسة إدارية باستخدام مقياس </w:t>
      </w:r>
      <w:proofErr w:type="spellStart"/>
      <w:r w:rsidRPr="00A229CA">
        <w:rPr>
          <w:rFonts w:ascii="Traditional Arabic" w:hAnsi="Traditional Arabic" w:cs="Traditional Arabic"/>
          <w:sz w:val="28"/>
          <w:szCs w:val="28"/>
          <w:rtl/>
        </w:rPr>
        <w:t>ليكرت</w:t>
      </w:r>
      <w:proofErr w:type="spellEnd"/>
      <w:r w:rsidRPr="00A229CA">
        <w:rPr>
          <w:rFonts w:ascii="Traditional Arabic" w:hAnsi="Traditional Arabic" w:cs="Traditional Arabic"/>
          <w:sz w:val="28"/>
          <w:szCs w:val="28"/>
          <w:rtl/>
        </w:rPr>
        <w:t xml:space="preserve"> الخماسي، ثم جرى تحليلها باستخدام</w:t>
      </w:r>
      <w:r w:rsidRPr="00A229CA">
        <w:rPr>
          <w:rFonts w:ascii="Traditional Arabic" w:hAnsi="Traditional Arabic" w:cs="Traditional Arabic"/>
          <w:sz w:val="28"/>
          <w:szCs w:val="28"/>
        </w:rPr>
        <w:t xml:space="preserve"> SPSS </w:t>
      </w:r>
      <w:r w:rsidRPr="00A229CA">
        <w:rPr>
          <w:rFonts w:ascii="Traditional Arabic" w:hAnsi="Traditional Arabic" w:cs="Traditional Arabic"/>
          <w:sz w:val="28"/>
          <w:szCs w:val="28"/>
          <w:rtl/>
        </w:rPr>
        <w:t>و</w:t>
      </w:r>
      <w:r w:rsidRPr="00A229CA">
        <w:rPr>
          <w:rFonts w:ascii="Traditional Arabic" w:hAnsi="Traditional Arabic" w:cs="Traditional Arabic"/>
          <w:sz w:val="28"/>
          <w:szCs w:val="28"/>
        </w:rPr>
        <w:t xml:space="preserve">LISREL </w:t>
      </w:r>
      <w:r w:rsidRPr="00A229CA">
        <w:rPr>
          <w:rFonts w:ascii="Traditional Arabic" w:hAnsi="Traditional Arabic" w:cs="Traditional Arabic"/>
          <w:sz w:val="28"/>
          <w:szCs w:val="28"/>
          <w:rtl/>
        </w:rPr>
        <w:t>للتحقق من موثوقية المقاييس وملاءمتها للنموذج البنائي. أظهرت النتائج أن أقوى علاقة في النموذج كانت بين رضا العملاء ونجاح المشروع، تليها العلاقة بين الأداء الكلي ونجاح المشروع، ثم إدارة أصحاب المصلحة. ومن بين 20 فرضية تم اختبارها، دُعمت 14 فرضية بينما تغيّرت 3 ورفضت 3 أخرى، كما كشف التحليل عن علاقات إضافية لم تكن مفترضة مسبقًا مما عزز قوة النموذج البنائي. وعلى الرغم من قوة التحليل الإحصائي، إلا أن الدراسة تُعد محدودة من حيث قابلية التعميم على السياق السعودي، نظرًا لاختلاف البيئة التنظيمية والمالية بين نيجيريا والسعودية، مما يترك فجوة بحثية تتعلق بضرورة اختبار النموذج في بيئة مشابهة لقطاع الإنشاء السعودي الذي يتسم بإطار تشريعي مختلف ومتطلبات تنفيذية أعلى</w:t>
      </w:r>
      <w:r w:rsidRPr="00A229CA">
        <w:rPr>
          <w:rFonts w:ascii="Traditional Arabic" w:hAnsi="Traditional Arabic" w:cs="Traditional Arabic"/>
          <w:sz w:val="28"/>
          <w:szCs w:val="28"/>
        </w:rPr>
        <w:t>.</w:t>
      </w:r>
    </w:p>
    <w:p w14:paraId="57EAA226" w14:textId="77777777" w:rsidR="00316366" w:rsidRDefault="00316366" w:rsidP="00316366">
      <w:pPr>
        <w:bidi/>
        <w:spacing w:line="480" w:lineRule="auto"/>
        <w:jc w:val="both"/>
        <w:rPr>
          <w:rFonts w:ascii="Traditional Arabic" w:hAnsi="Traditional Arabic" w:cs="Traditional Arabic"/>
          <w:sz w:val="28"/>
          <w:szCs w:val="28"/>
          <w:rtl/>
        </w:rPr>
      </w:pPr>
    </w:p>
    <w:p w14:paraId="505FDC39" w14:textId="77777777" w:rsidR="00316366" w:rsidRPr="00A229CA" w:rsidRDefault="00316366" w:rsidP="00316366">
      <w:pPr>
        <w:bidi/>
        <w:spacing w:line="480" w:lineRule="auto"/>
        <w:jc w:val="both"/>
        <w:rPr>
          <w:rFonts w:ascii="Traditional Arabic" w:hAnsi="Traditional Arabic" w:cs="Traditional Arabic"/>
          <w:sz w:val="28"/>
          <w:szCs w:val="28"/>
        </w:rPr>
      </w:pPr>
    </w:p>
    <w:p w14:paraId="67B51156" w14:textId="080D5C73" w:rsidR="00A229CA" w:rsidRPr="00A229CA" w:rsidRDefault="00A229CA" w:rsidP="00A229CA">
      <w:pPr>
        <w:bidi/>
        <w:spacing w:line="480" w:lineRule="auto"/>
        <w:jc w:val="both"/>
        <w:rPr>
          <w:rFonts w:ascii="Traditional Arabic" w:hAnsi="Traditional Arabic" w:cs="Traditional Arabic"/>
          <w:b/>
          <w:bCs/>
          <w:sz w:val="28"/>
          <w:szCs w:val="28"/>
        </w:rPr>
      </w:pPr>
      <w:r w:rsidRPr="00A229CA">
        <w:rPr>
          <w:rFonts w:ascii="Traditional Arabic" w:hAnsi="Traditional Arabic" w:cs="Traditional Arabic"/>
          <w:b/>
          <w:bCs/>
          <w:sz w:val="28"/>
          <w:szCs w:val="28"/>
          <w:rtl/>
        </w:rPr>
        <w:lastRenderedPageBreak/>
        <w:t>دراسة</w:t>
      </w:r>
      <w:r w:rsidRPr="00A229CA">
        <w:rPr>
          <w:rFonts w:ascii="Traditional Arabic" w:hAnsi="Traditional Arabic" w:cs="Traditional Arabic"/>
          <w:b/>
          <w:bCs/>
          <w:sz w:val="28"/>
          <w:szCs w:val="28"/>
        </w:rPr>
        <w:t xml:space="preserve"> </w:t>
      </w:r>
      <w:proofErr w:type="spellStart"/>
      <w:r w:rsidRPr="00A229CA">
        <w:rPr>
          <w:rFonts w:ascii="Traditional Arabic" w:hAnsi="Traditional Arabic" w:cs="Traditional Arabic"/>
          <w:b/>
          <w:bCs/>
          <w:sz w:val="28"/>
          <w:szCs w:val="28"/>
        </w:rPr>
        <w:t>Alshihri</w:t>
      </w:r>
      <w:proofErr w:type="spellEnd"/>
      <w:r w:rsidRPr="00A229CA">
        <w:rPr>
          <w:rFonts w:ascii="Traditional Arabic" w:hAnsi="Traditional Arabic" w:cs="Traditional Arabic"/>
          <w:b/>
          <w:bCs/>
          <w:sz w:val="28"/>
          <w:szCs w:val="28"/>
        </w:rPr>
        <w:t xml:space="preserve"> et al. (2022)</w:t>
      </w:r>
    </w:p>
    <w:p w14:paraId="141440EB" w14:textId="37E9C498" w:rsidR="00A229CA" w:rsidRPr="00A229CA" w:rsidRDefault="00A229CA" w:rsidP="00A229CA">
      <w:pPr>
        <w:bidi/>
        <w:spacing w:line="480" w:lineRule="auto"/>
        <w:jc w:val="both"/>
        <w:rPr>
          <w:rFonts w:ascii="Traditional Arabic" w:hAnsi="Traditional Arabic" w:cs="Traditional Arabic"/>
          <w:sz w:val="28"/>
          <w:szCs w:val="28"/>
        </w:rPr>
      </w:pPr>
      <w:r w:rsidRPr="00A229CA">
        <w:rPr>
          <w:rFonts w:ascii="Traditional Arabic" w:hAnsi="Traditional Arabic" w:cs="Traditional Arabic"/>
          <w:sz w:val="28"/>
          <w:szCs w:val="28"/>
          <w:rtl/>
        </w:rPr>
        <w:t>تناولت دراسة</w:t>
      </w:r>
      <w:r w:rsidRPr="00A229CA">
        <w:rPr>
          <w:rFonts w:ascii="Traditional Arabic" w:hAnsi="Traditional Arabic" w:cs="Traditional Arabic"/>
          <w:sz w:val="28"/>
          <w:szCs w:val="28"/>
        </w:rPr>
        <w:t xml:space="preserve"> </w:t>
      </w:r>
      <w:proofErr w:type="spellStart"/>
      <w:r w:rsidRPr="00A229CA">
        <w:rPr>
          <w:rFonts w:ascii="Traditional Arabic" w:hAnsi="Traditional Arabic" w:cs="Traditional Arabic"/>
          <w:sz w:val="28"/>
          <w:szCs w:val="28"/>
        </w:rPr>
        <w:t>Alshihri</w:t>
      </w:r>
      <w:proofErr w:type="spellEnd"/>
      <w:r w:rsidRPr="00A229CA">
        <w:rPr>
          <w:rFonts w:ascii="Traditional Arabic" w:hAnsi="Traditional Arabic" w:cs="Traditional Arabic"/>
          <w:sz w:val="28"/>
          <w:szCs w:val="28"/>
        </w:rPr>
        <w:t xml:space="preserve"> </w:t>
      </w:r>
      <w:r w:rsidRPr="00A229CA">
        <w:rPr>
          <w:rFonts w:ascii="Traditional Arabic" w:hAnsi="Traditional Arabic" w:cs="Traditional Arabic"/>
          <w:sz w:val="28"/>
          <w:szCs w:val="28"/>
          <w:rtl/>
        </w:rPr>
        <w:t>وزملائه (2022) تحليل المخاطر المؤثرة على التأخيرات وتجاوز التكاليف في مشاريع البناء الحكومية في المملكة العربية السعودية، وهو ما يجعلها أكثر ارتباطًا بالسياق السعودي من دراسات أخرى تناولت موضوع الأداء. هدفت الدراسة إلى تحديد العوامل الأكثر تأثيرًا على زمن إنجاز المشاريع وتكاليفها، خاصة في ظل النمو المتسارع في قطاع الإنشاء السعودي بفعل مبادرات رؤية 2030. اعتمد الباحثون منهجية المسح باستخدام استبانة شملت 200 خبير من جهات مالكة ومصممين واستشاريين ومقاولين، وقد استُرجع منها 55 استبانة صالحة للتحليل. جرى تحليل البيانات باستخدام مؤشر الأهمية النسبية</w:t>
      </w:r>
      <w:r w:rsidRPr="00A229CA">
        <w:rPr>
          <w:rFonts w:ascii="Traditional Arabic" w:hAnsi="Traditional Arabic" w:cs="Traditional Arabic"/>
          <w:sz w:val="28"/>
          <w:szCs w:val="28"/>
        </w:rPr>
        <w:t xml:space="preserve"> (RII) </w:t>
      </w:r>
      <w:r w:rsidRPr="00A229CA">
        <w:rPr>
          <w:rFonts w:ascii="Traditional Arabic" w:hAnsi="Traditional Arabic" w:cs="Traditional Arabic"/>
          <w:sz w:val="28"/>
          <w:szCs w:val="28"/>
          <w:rtl/>
        </w:rPr>
        <w:t>ومؤشر أهمية المخاطر</w:t>
      </w:r>
      <w:r w:rsidRPr="00A229CA">
        <w:rPr>
          <w:rFonts w:ascii="Traditional Arabic" w:hAnsi="Traditional Arabic" w:cs="Traditional Arabic"/>
          <w:sz w:val="28"/>
          <w:szCs w:val="28"/>
        </w:rPr>
        <w:t xml:space="preserve"> (RI)</w:t>
      </w:r>
      <w:r w:rsidRPr="00A229CA">
        <w:rPr>
          <w:rFonts w:ascii="Traditional Arabic" w:hAnsi="Traditional Arabic" w:cs="Traditional Arabic"/>
          <w:sz w:val="28"/>
          <w:szCs w:val="28"/>
          <w:rtl/>
        </w:rPr>
        <w:t>، إضافة إلى اختبار مستوى الاتفاق بين المشاركين. وأظهرت النتائج أن أبرز مسببات التأخير هي الصعوبات المالية للمقاول، وتأخر المالك في صرف مستحقات الإنجاز، واعتماد أسلوب الترسية على أقل سعر، وتغييرات أوامر العمل أثناء التنفيذ، إضافة إلى ضعف التخطيط والجدولة، ونقص العمالة، وسوء إدارة الموقع. كما بيّنت الدراسة أن تغييرات الأوامر والترسية للعرض الأقل تُعد من أهم العوامل المؤدية إلى تجاوز الميزانية. ورغم أهمية نتائجها للسياق السعودي، إلا أن غياب الربط بين هذه المخاطر وأبعاد الاستدامة يجعل نتائجها غير كافية لتطوير إطار متكامل يجمع بين الأداء والاستدامة، مما يترك فجوة بحثية تتطلب معالجة مشتركة بين المخاطر التشغيلية والمخاطر البيئية والاقتصادية</w:t>
      </w:r>
      <w:r w:rsidRPr="00A229CA">
        <w:rPr>
          <w:rFonts w:ascii="Traditional Arabic" w:hAnsi="Traditional Arabic" w:cs="Traditional Arabic"/>
          <w:sz w:val="28"/>
          <w:szCs w:val="28"/>
        </w:rPr>
        <w:t>.</w:t>
      </w:r>
    </w:p>
    <w:p w14:paraId="680B30B0" w14:textId="1E27D5C6" w:rsidR="00A229CA" w:rsidRPr="00A229CA" w:rsidRDefault="00A229CA" w:rsidP="00A229CA">
      <w:pPr>
        <w:bidi/>
        <w:spacing w:line="480" w:lineRule="auto"/>
        <w:jc w:val="both"/>
        <w:rPr>
          <w:rFonts w:ascii="Traditional Arabic" w:hAnsi="Traditional Arabic" w:cs="Traditional Arabic"/>
          <w:b/>
          <w:bCs/>
          <w:sz w:val="28"/>
          <w:szCs w:val="28"/>
        </w:rPr>
      </w:pPr>
      <w:r w:rsidRPr="00A229CA">
        <w:rPr>
          <w:rFonts w:ascii="Traditional Arabic" w:hAnsi="Traditional Arabic" w:cs="Traditional Arabic"/>
          <w:b/>
          <w:bCs/>
          <w:sz w:val="28"/>
          <w:szCs w:val="28"/>
          <w:rtl/>
        </w:rPr>
        <w:t>دراسة</w:t>
      </w:r>
      <w:r w:rsidRPr="00A229CA">
        <w:rPr>
          <w:rFonts w:ascii="Traditional Arabic" w:hAnsi="Traditional Arabic" w:cs="Traditional Arabic"/>
          <w:b/>
          <w:bCs/>
          <w:sz w:val="28"/>
          <w:szCs w:val="28"/>
        </w:rPr>
        <w:t xml:space="preserve"> Alajmi &amp; Memon (2022)</w:t>
      </w:r>
    </w:p>
    <w:p w14:paraId="402C3A0C" w14:textId="08906A1A" w:rsidR="00787328" w:rsidRPr="00F1203C" w:rsidRDefault="00A229CA" w:rsidP="00316366">
      <w:pPr>
        <w:bidi/>
        <w:spacing w:line="480" w:lineRule="auto"/>
        <w:jc w:val="both"/>
        <w:rPr>
          <w:rFonts w:ascii="Traditional Arabic" w:hAnsi="Traditional Arabic" w:cs="Traditional Arabic"/>
          <w:sz w:val="28"/>
          <w:szCs w:val="28"/>
          <w:rtl/>
        </w:rPr>
      </w:pPr>
      <w:r w:rsidRPr="00A229CA">
        <w:rPr>
          <w:rFonts w:ascii="Traditional Arabic" w:hAnsi="Traditional Arabic" w:cs="Traditional Arabic"/>
          <w:sz w:val="28"/>
          <w:szCs w:val="28"/>
          <w:rtl/>
        </w:rPr>
        <w:t>ركّزت دراسة</w:t>
      </w:r>
      <w:r w:rsidRPr="00A229CA">
        <w:rPr>
          <w:rFonts w:ascii="Traditional Arabic" w:hAnsi="Traditional Arabic" w:cs="Traditional Arabic"/>
          <w:sz w:val="28"/>
          <w:szCs w:val="28"/>
        </w:rPr>
        <w:t xml:space="preserve"> Alajmi </w:t>
      </w:r>
      <w:r w:rsidRPr="00A229CA">
        <w:rPr>
          <w:rFonts w:ascii="Traditional Arabic" w:hAnsi="Traditional Arabic" w:cs="Traditional Arabic"/>
          <w:sz w:val="28"/>
          <w:szCs w:val="28"/>
          <w:rtl/>
        </w:rPr>
        <w:t>و</w:t>
      </w:r>
      <w:r w:rsidRPr="00A229CA">
        <w:rPr>
          <w:rFonts w:ascii="Traditional Arabic" w:hAnsi="Traditional Arabic" w:cs="Traditional Arabic"/>
          <w:sz w:val="28"/>
          <w:szCs w:val="28"/>
        </w:rPr>
        <w:t xml:space="preserve">Memon (2022) </w:t>
      </w:r>
      <w:r w:rsidRPr="00A229CA">
        <w:rPr>
          <w:rFonts w:ascii="Traditional Arabic" w:hAnsi="Traditional Arabic" w:cs="Traditional Arabic"/>
          <w:sz w:val="28"/>
          <w:szCs w:val="28"/>
          <w:rtl/>
        </w:rPr>
        <w:t xml:space="preserve">على تحليل أسباب تأخيرات مشاريع البناء في المملكة العربية السعودية من خلال مراجعة موسعة للأدبيات دون إجراء تحليل ميداني، مما يجعلها دراسة مفاهيمية أكثر من كونها تطبيقية. تناولت الدراسة التطورات الهيكلية </w:t>
      </w:r>
      <w:r w:rsidRPr="00A229CA">
        <w:rPr>
          <w:rFonts w:ascii="Traditional Arabic" w:hAnsi="Traditional Arabic" w:cs="Traditional Arabic"/>
          <w:sz w:val="28"/>
          <w:szCs w:val="28"/>
          <w:rtl/>
        </w:rPr>
        <w:lastRenderedPageBreak/>
        <w:t>في قطاع الإنشاء السعودي خلال العقود الثلاثة الماضية، وحددت الأسباب الأكثر شيوعًا للتأخير مثل ضعف التخطيط، مشكلات الإدارة، صعوبات التمويل، نقص الكوادر المؤهلة، وضعف الاتصال بين أطراف المشروع. وعلى الرغم من أن الدراسة وفرت إطارًا تحليليًا عامًا لأسباب التأخير، فإن غياب البيانات الميدانية والتحليل الإحصائي يجعل نتائجها أقل قدرة على تفسير الواقع الحالي للمشاريع السعودية، كما أن اعتمادها على الأدبيات فقط دون اختبار عملي يحدّ من إمكانية استخدامها كأساس لبناء نماذج أداء دقيقة. وتبرز هنا فجوة بحثية تتعلق بالحاجة إلى دراسات تطبيقية تقيس أثر كل سبب على الأداء الفعلي باستخدام بيانات مشاريع حقيقية، خاصة مع توسع القطاع في ظل رؤية 2030</w:t>
      </w:r>
      <w:r w:rsidRPr="00A229CA">
        <w:rPr>
          <w:rFonts w:ascii="Traditional Arabic" w:hAnsi="Traditional Arabic" w:cs="Traditional Arabic"/>
          <w:sz w:val="28"/>
          <w:szCs w:val="28"/>
        </w:rPr>
        <w:t>.</w:t>
      </w:r>
    </w:p>
    <w:p w14:paraId="63FB7484" w14:textId="4AE33A91" w:rsidR="0098481C" w:rsidRPr="0098481C" w:rsidRDefault="0001291B" w:rsidP="0098481C">
      <w:pPr>
        <w:bidi/>
        <w:spacing w:line="480" w:lineRule="auto"/>
        <w:jc w:val="both"/>
        <w:rPr>
          <w:rFonts w:ascii="Traditional Arabic" w:hAnsi="Traditional Arabic" w:cs="Traditional Arabic"/>
          <w:b/>
          <w:bCs/>
          <w:sz w:val="28"/>
          <w:szCs w:val="28"/>
          <w:lang w:bidi="ar-EG"/>
        </w:rPr>
      </w:pPr>
      <w:r>
        <w:rPr>
          <w:rFonts w:ascii="Traditional Arabic" w:hAnsi="Traditional Arabic" w:cs="Traditional Arabic"/>
          <w:b/>
          <w:bCs/>
          <w:sz w:val="28"/>
          <w:szCs w:val="28"/>
          <w:lang w:bidi="ar-EG"/>
        </w:rPr>
        <w:t>5</w:t>
      </w:r>
      <w:r w:rsidR="0098481C" w:rsidRPr="0098481C">
        <w:rPr>
          <w:rFonts w:ascii="Traditional Arabic" w:hAnsi="Traditional Arabic" w:cs="Traditional Arabic"/>
          <w:b/>
          <w:bCs/>
          <w:sz w:val="28"/>
          <w:szCs w:val="28"/>
          <w:lang w:bidi="ar-EG"/>
        </w:rPr>
        <w:t xml:space="preserve">.3 </w:t>
      </w:r>
      <w:r w:rsidR="0098481C" w:rsidRPr="0098481C">
        <w:rPr>
          <w:rFonts w:ascii="Traditional Arabic" w:hAnsi="Traditional Arabic" w:cs="Traditional Arabic"/>
          <w:b/>
          <w:bCs/>
          <w:sz w:val="28"/>
          <w:szCs w:val="28"/>
          <w:rtl/>
        </w:rPr>
        <w:t>دراسات تناولت العلاقة بين الاستدامة والأداء</w:t>
      </w:r>
    </w:p>
    <w:p w14:paraId="3FA449DA" w14:textId="77777777" w:rsidR="00F1203C" w:rsidRPr="00F1203C" w:rsidRDefault="00F1203C" w:rsidP="00F1203C">
      <w:pPr>
        <w:bidi/>
        <w:spacing w:line="480" w:lineRule="auto"/>
        <w:jc w:val="both"/>
        <w:rPr>
          <w:rFonts w:ascii="Traditional Arabic" w:hAnsi="Traditional Arabic" w:cs="Traditional Arabic"/>
          <w:b/>
          <w:bCs/>
          <w:sz w:val="28"/>
          <w:szCs w:val="28"/>
          <w:lang w:bidi="ar-EG"/>
        </w:rPr>
      </w:pPr>
      <w:r w:rsidRPr="00F1203C">
        <w:rPr>
          <w:rFonts w:ascii="Traditional Arabic" w:hAnsi="Traditional Arabic" w:cs="Traditional Arabic"/>
          <w:b/>
          <w:bCs/>
          <w:sz w:val="28"/>
          <w:szCs w:val="28"/>
          <w:rtl/>
        </w:rPr>
        <w:t>دراسة</w:t>
      </w:r>
      <w:r w:rsidRPr="00F1203C">
        <w:rPr>
          <w:rFonts w:ascii="Traditional Arabic" w:hAnsi="Traditional Arabic" w:cs="Traditional Arabic"/>
          <w:b/>
          <w:bCs/>
          <w:sz w:val="28"/>
          <w:szCs w:val="28"/>
          <w:lang w:bidi="ar-EG"/>
        </w:rPr>
        <w:t xml:space="preserve"> Al-Otaibi et al. (2025)</w:t>
      </w:r>
    </w:p>
    <w:p w14:paraId="1CB20CCF" w14:textId="77777777" w:rsidR="00F1203C" w:rsidRPr="00F1203C" w:rsidRDefault="00F1203C" w:rsidP="00F1203C">
      <w:pPr>
        <w:bidi/>
        <w:spacing w:line="480" w:lineRule="auto"/>
        <w:jc w:val="both"/>
        <w:rPr>
          <w:rFonts w:ascii="Traditional Arabic" w:hAnsi="Traditional Arabic" w:cs="Traditional Arabic"/>
          <w:sz w:val="28"/>
          <w:szCs w:val="28"/>
          <w:lang w:bidi="ar-EG"/>
        </w:rPr>
      </w:pPr>
      <w:r w:rsidRPr="00F1203C">
        <w:rPr>
          <w:rFonts w:ascii="Traditional Arabic" w:hAnsi="Traditional Arabic" w:cs="Traditional Arabic"/>
          <w:sz w:val="28"/>
          <w:szCs w:val="28"/>
          <w:rtl/>
        </w:rPr>
        <w:t>ناقش</w:t>
      </w:r>
      <w:r w:rsidRPr="00F1203C">
        <w:rPr>
          <w:rFonts w:ascii="Traditional Arabic" w:hAnsi="Traditional Arabic" w:cs="Traditional Arabic"/>
          <w:sz w:val="28"/>
          <w:szCs w:val="28"/>
          <w:lang w:bidi="ar-EG"/>
        </w:rPr>
        <w:t xml:space="preserve"> Al-Otaibi </w:t>
      </w:r>
      <w:r w:rsidRPr="00F1203C">
        <w:rPr>
          <w:rFonts w:ascii="Traditional Arabic" w:hAnsi="Traditional Arabic" w:cs="Traditional Arabic"/>
          <w:sz w:val="28"/>
          <w:szCs w:val="28"/>
          <w:rtl/>
        </w:rPr>
        <w:t>وزملاؤه (2025) العوائق المؤثرة على الأداء المستدام في قطاع الإنشاء من خلال مقارنة بين المملكة العربية السعودية وغانا، وذلك بهدف فهم التحديات المشتركة والمختلفة بين بيئتين اقتصاديتين متباينتين. اعتمدت الدراسة منهجًا كميًا عبر استبانة شارك فيها مقاولون واستشاريون وجهات مالكة، وجرت معالجة البيانات باستخدام مؤشر الأهمية النسبية</w:t>
      </w:r>
      <w:r w:rsidRPr="00F1203C">
        <w:rPr>
          <w:rFonts w:ascii="Traditional Arabic" w:hAnsi="Traditional Arabic" w:cs="Traditional Arabic"/>
          <w:sz w:val="28"/>
          <w:szCs w:val="28"/>
          <w:lang w:bidi="ar-EG"/>
        </w:rPr>
        <w:t xml:space="preserve"> (RII) </w:t>
      </w:r>
      <w:r w:rsidRPr="00F1203C">
        <w:rPr>
          <w:rFonts w:ascii="Traditional Arabic" w:hAnsi="Traditional Arabic" w:cs="Traditional Arabic"/>
          <w:sz w:val="28"/>
          <w:szCs w:val="28"/>
          <w:rtl/>
        </w:rPr>
        <w:t>وتحليل الارتباط. كشفت النتائج أن ضعف الاتصال</w:t>
      </w:r>
      <w:r w:rsidRPr="00F1203C">
        <w:rPr>
          <w:rFonts w:ascii="Traditional Arabic" w:hAnsi="Traditional Arabic" w:cs="Traditional Arabic"/>
          <w:sz w:val="28"/>
          <w:szCs w:val="28"/>
          <w:lang w:bidi="ar-EG"/>
        </w:rPr>
        <w:t xml:space="preserve"> (RII = 0.831)</w:t>
      </w:r>
      <w:r w:rsidRPr="00F1203C">
        <w:rPr>
          <w:rFonts w:ascii="Traditional Arabic" w:hAnsi="Traditional Arabic" w:cs="Traditional Arabic"/>
          <w:sz w:val="28"/>
          <w:szCs w:val="28"/>
          <w:rtl/>
        </w:rPr>
        <w:t>، وقيود التكلفة والجدول الزمني</w:t>
      </w:r>
      <w:r w:rsidRPr="00F1203C">
        <w:rPr>
          <w:rFonts w:ascii="Traditional Arabic" w:hAnsi="Traditional Arabic" w:cs="Traditional Arabic"/>
          <w:sz w:val="28"/>
          <w:szCs w:val="28"/>
          <w:lang w:bidi="ar-EG"/>
        </w:rPr>
        <w:t xml:space="preserve"> (RII = 0.806)</w:t>
      </w:r>
      <w:r w:rsidRPr="00F1203C">
        <w:rPr>
          <w:rFonts w:ascii="Traditional Arabic" w:hAnsi="Traditional Arabic" w:cs="Traditional Arabic"/>
          <w:sz w:val="28"/>
          <w:szCs w:val="28"/>
          <w:rtl/>
        </w:rPr>
        <w:t>، وضعف أنظمة المتابعة والتقييم</w:t>
      </w:r>
      <w:r w:rsidRPr="00F1203C">
        <w:rPr>
          <w:rFonts w:ascii="Traditional Arabic" w:hAnsi="Traditional Arabic" w:cs="Traditional Arabic"/>
          <w:sz w:val="28"/>
          <w:szCs w:val="28"/>
          <w:lang w:bidi="ar-EG"/>
        </w:rPr>
        <w:t xml:space="preserve"> (RII = 0.786) </w:t>
      </w:r>
      <w:r w:rsidRPr="00F1203C">
        <w:rPr>
          <w:rFonts w:ascii="Traditional Arabic" w:hAnsi="Traditional Arabic" w:cs="Traditional Arabic"/>
          <w:sz w:val="28"/>
          <w:szCs w:val="28"/>
          <w:rtl/>
        </w:rPr>
        <w:t xml:space="preserve">تمثل العوائق الأكبر أمام تحقيق الأداء المستدام في كلا السياقين. كما ربطت الدراسة هذه المعوقات بأهداف التنمية المستدامة، خصوصًا الهدف التاسع (الصناعة والابتكار) والهدف الحادي عشر (المدن المستدامة). وأوصت بضرورة تعزيز الإطار التنظيمي، وتحسين التخطيط المالي، وتطوير أدوات تقييم الأداء. وعلى الرغم من أهمية نتائجها، إلا أن الجمع بين سياقين مختلفين </w:t>
      </w:r>
      <w:r w:rsidRPr="00F1203C">
        <w:rPr>
          <w:rFonts w:ascii="Traditional Arabic" w:hAnsi="Traditional Arabic" w:cs="Traditional Arabic"/>
          <w:sz w:val="28"/>
          <w:szCs w:val="28"/>
          <w:rtl/>
        </w:rPr>
        <w:lastRenderedPageBreak/>
        <w:t>قد يصعّب تفسير النتائج بدقة لكل دولة على حدة، مما يشكل فجوة بحثية تتعلق بالحاجة إلى دراسات منفصلة متعمقة للسوق السعودي وحده، خاصة مع اختلاف سياسات الإنشاء، وهيكلة المشاريع، ومتطلبات رؤية 2030</w:t>
      </w:r>
      <w:r w:rsidRPr="00F1203C">
        <w:rPr>
          <w:rFonts w:ascii="Traditional Arabic" w:hAnsi="Traditional Arabic" w:cs="Traditional Arabic"/>
          <w:sz w:val="28"/>
          <w:szCs w:val="28"/>
          <w:lang w:bidi="ar-EG"/>
        </w:rPr>
        <w:t>.</w:t>
      </w:r>
    </w:p>
    <w:p w14:paraId="6A2941D3" w14:textId="77777777" w:rsidR="00F1203C" w:rsidRPr="00F1203C" w:rsidRDefault="00F1203C" w:rsidP="00F1203C">
      <w:pPr>
        <w:bidi/>
        <w:spacing w:line="480" w:lineRule="auto"/>
        <w:jc w:val="both"/>
        <w:rPr>
          <w:rFonts w:ascii="Traditional Arabic" w:hAnsi="Traditional Arabic" w:cs="Traditional Arabic"/>
          <w:b/>
          <w:bCs/>
          <w:sz w:val="28"/>
          <w:szCs w:val="28"/>
          <w:lang w:bidi="ar-EG"/>
        </w:rPr>
      </w:pPr>
      <w:r w:rsidRPr="00F1203C">
        <w:rPr>
          <w:rFonts w:ascii="Traditional Arabic" w:hAnsi="Traditional Arabic" w:cs="Traditional Arabic"/>
          <w:b/>
          <w:bCs/>
          <w:sz w:val="28"/>
          <w:szCs w:val="28"/>
          <w:rtl/>
        </w:rPr>
        <w:t>دراسة</w:t>
      </w:r>
      <w:r w:rsidRPr="00F1203C">
        <w:rPr>
          <w:rFonts w:ascii="Traditional Arabic" w:hAnsi="Traditional Arabic" w:cs="Traditional Arabic"/>
          <w:b/>
          <w:bCs/>
          <w:sz w:val="28"/>
          <w:szCs w:val="28"/>
          <w:lang w:bidi="ar-EG"/>
        </w:rPr>
        <w:t xml:space="preserve"> </w:t>
      </w:r>
      <w:proofErr w:type="spellStart"/>
      <w:r w:rsidRPr="00F1203C">
        <w:rPr>
          <w:rFonts w:ascii="Traditional Arabic" w:hAnsi="Traditional Arabic" w:cs="Traditional Arabic"/>
          <w:b/>
          <w:bCs/>
          <w:sz w:val="28"/>
          <w:szCs w:val="28"/>
          <w:lang w:bidi="ar-EG"/>
        </w:rPr>
        <w:t>Shaawat</w:t>
      </w:r>
      <w:proofErr w:type="spellEnd"/>
      <w:r w:rsidRPr="00F1203C">
        <w:rPr>
          <w:rFonts w:ascii="Traditional Arabic" w:hAnsi="Traditional Arabic" w:cs="Traditional Arabic"/>
          <w:b/>
          <w:bCs/>
          <w:sz w:val="28"/>
          <w:szCs w:val="28"/>
          <w:lang w:bidi="ar-EG"/>
        </w:rPr>
        <w:t xml:space="preserve"> et al. (2023)</w:t>
      </w:r>
    </w:p>
    <w:p w14:paraId="3A2F322A" w14:textId="08E5E91F" w:rsidR="00F1203C" w:rsidRPr="00F1203C" w:rsidRDefault="00F1203C" w:rsidP="00F1203C">
      <w:pPr>
        <w:bidi/>
        <w:spacing w:line="480" w:lineRule="auto"/>
        <w:jc w:val="both"/>
        <w:rPr>
          <w:rFonts w:ascii="Traditional Arabic" w:hAnsi="Traditional Arabic" w:cs="Traditional Arabic"/>
          <w:sz w:val="28"/>
          <w:szCs w:val="28"/>
          <w:rtl/>
          <w:lang w:bidi="ar-EG"/>
        </w:rPr>
      </w:pPr>
      <w:r w:rsidRPr="00F1203C">
        <w:rPr>
          <w:rFonts w:ascii="Traditional Arabic" w:hAnsi="Traditional Arabic" w:cs="Traditional Arabic"/>
          <w:sz w:val="28"/>
          <w:szCs w:val="28"/>
          <w:rtl/>
        </w:rPr>
        <w:t>قدّم</w:t>
      </w:r>
      <w:r w:rsidRPr="00F1203C">
        <w:rPr>
          <w:rFonts w:ascii="Traditional Arabic" w:hAnsi="Traditional Arabic" w:cs="Traditional Arabic"/>
          <w:sz w:val="28"/>
          <w:szCs w:val="28"/>
          <w:lang w:bidi="ar-EG"/>
        </w:rPr>
        <w:t xml:space="preserve"> </w:t>
      </w:r>
      <w:proofErr w:type="spellStart"/>
      <w:r w:rsidRPr="00F1203C">
        <w:rPr>
          <w:rFonts w:ascii="Traditional Arabic" w:hAnsi="Traditional Arabic" w:cs="Traditional Arabic"/>
          <w:sz w:val="28"/>
          <w:szCs w:val="28"/>
          <w:lang w:bidi="ar-EG"/>
        </w:rPr>
        <w:t>Shaawat</w:t>
      </w:r>
      <w:proofErr w:type="spellEnd"/>
      <w:r w:rsidRPr="00F1203C">
        <w:rPr>
          <w:rFonts w:ascii="Traditional Arabic" w:hAnsi="Traditional Arabic" w:cs="Traditional Arabic"/>
          <w:sz w:val="28"/>
          <w:szCs w:val="28"/>
          <w:lang w:bidi="ar-EG"/>
        </w:rPr>
        <w:t xml:space="preserve"> </w:t>
      </w:r>
      <w:r w:rsidRPr="00F1203C">
        <w:rPr>
          <w:rFonts w:ascii="Traditional Arabic" w:hAnsi="Traditional Arabic" w:cs="Traditional Arabic"/>
          <w:sz w:val="28"/>
          <w:szCs w:val="28"/>
          <w:rtl/>
        </w:rPr>
        <w:t>وزملاؤه (2023) دراسة تطبيقية مهمة في مجال تقييم جودة أداء المقاولين في المشاريع الإنشائية المستدامة، حيث طوّر الباحثون مؤشرًا جديدًا يُعرف بـ "مؤشر جودة الأداء المهني</w:t>
      </w:r>
      <w:r w:rsidRPr="00F1203C">
        <w:rPr>
          <w:rFonts w:ascii="Traditional Arabic" w:hAnsi="Traditional Arabic" w:cs="Traditional Arabic"/>
          <w:sz w:val="28"/>
          <w:szCs w:val="28"/>
          <w:lang w:bidi="ar-EG"/>
        </w:rPr>
        <w:t xml:space="preserve">" (PQI) </w:t>
      </w:r>
      <w:r w:rsidRPr="00F1203C">
        <w:rPr>
          <w:rFonts w:ascii="Traditional Arabic" w:hAnsi="Traditional Arabic" w:cs="Traditional Arabic"/>
          <w:sz w:val="28"/>
          <w:szCs w:val="28"/>
          <w:rtl/>
        </w:rPr>
        <w:t>بهدف قياس جودة تنفيذ الأعمال وفق معايير الاستدامة. اعتمدت الدراسة على منهجية التحليل الهرمي</w:t>
      </w:r>
      <w:r w:rsidRPr="00F1203C">
        <w:rPr>
          <w:rFonts w:ascii="Traditional Arabic" w:hAnsi="Traditional Arabic" w:cs="Traditional Arabic"/>
          <w:sz w:val="28"/>
          <w:szCs w:val="28"/>
          <w:lang w:bidi="ar-EG"/>
        </w:rPr>
        <w:t xml:space="preserve"> AHP </w:t>
      </w:r>
      <w:r w:rsidRPr="00F1203C">
        <w:rPr>
          <w:rFonts w:ascii="Traditional Arabic" w:hAnsi="Traditional Arabic" w:cs="Traditional Arabic"/>
          <w:sz w:val="28"/>
          <w:szCs w:val="28"/>
          <w:rtl/>
        </w:rPr>
        <w:t>لتحديد الأوزان النسبية للعوامل المؤثرة في الأداء المستدام، بما في ذلك جودة الوثائق الفنية، وجودة تطبيق أنظمة الجودة، وجودة تنفيذ الأعمال. بيّنت النتائج أن المساءلة المهنية والالتزام بتطبيق معايير الجودة يمثلان عنصرين رئيسيين في تعزيز الأداء المستدام للمقاولين. كما وفّر المؤشر الجديد قيمة معيارية يمكن استخدامها لتحسين إدارة المشاريع واتخاذ القرارات، خاصة في المشاريع التي تتطلب مستوى عالٍ من الالتزام بالاستدامة. ورغم أن الدراسة قدّمت إضافة مهمة من خلال مؤشر تطبيقي قابل للاستخدام، إلا أنها ركزت على جانب الجودة دون دمجه بشكل كافٍ بعناصر الأداء الأخرى مثل التكلفة والوقت، وهما عنصران رئيسيان في تقييم المشاريع المستدامة. وتبرز هنا فجوة بحثية تتعلق بالحاجة إلى نماذج تقييم شاملة تدمج بين الأداء المهني والأداء المالي والزمني ضمن إطار الاستدامة</w:t>
      </w:r>
      <w:r w:rsidRPr="00F1203C">
        <w:rPr>
          <w:rFonts w:ascii="Traditional Arabic" w:hAnsi="Traditional Arabic" w:cs="Traditional Arabic"/>
          <w:sz w:val="28"/>
          <w:szCs w:val="28"/>
          <w:lang w:bidi="ar-EG"/>
        </w:rPr>
        <w:t>.</w:t>
      </w:r>
    </w:p>
    <w:p w14:paraId="1A4576E9" w14:textId="5774E2D7" w:rsidR="00F1203C" w:rsidRPr="00F1203C" w:rsidRDefault="00F1203C" w:rsidP="00F1203C">
      <w:pPr>
        <w:bidi/>
        <w:spacing w:line="480" w:lineRule="auto"/>
        <w:jc w:val="both"/>
        <w:rPr>
          <w:rFonts w:ascii="Traditional Arabic" w:hAnsi="Traditional Arabic" w:cs="Traditional Arabic"/>
          <w:b/>
          <w:bCs/>
          <w:sz w:val="28"/>
          <w:szCs w:val="28"/>
          <w:lang w:bidi="ar-EG"/>
        </w:rPr>
      </w:pPr>
      <w:r w:rsidRPr="00F1203C">
        <w:rPr>
          <w:rFonts w:ascii="Traditional Arabic" w:hAnsi="Traditional Arabic" w:cs="Traditional Arabic"/>
          <w:b/>
          <w:bCs/>
          <w:sz w:val="28"/>
          <w:szCs w:val="28"/>
          <w:rtl/>
        </w:rPr>
        <w:t>دراسة</w:t>
      </w:r>
      <w:r w:rsidRPr="00F1203C">
        <w:rPr>
          <w:rFonts w:ascii="Traditional Arabic" w:hAnsi="Traditional Arabic" w:cs="Traditional Arabic"/>
          <w:b/>
          <w:bCs/>
          <w:sz w:val="28"/>
          <w:szCs w:val="28"/>
          <w:lang w:bidi="ar-EG"/>
        </w:rPr>
        <w:t xml:space="preserve"> </w:t>
      </w:r>
      <w:proofErr w:type="spellStart"/>
      <w:r w:rsidRPr="00F1203C">
        <w:rPr>
          <w:rFonts w:ascii="Traditional Arabic" w:hAnsi="Traditional Arabic" w:cs="Traditional Arabic"/>
          <w:b/>
          <w:bCs/>
          <w:sz w:val="28"/>
          <w:szCs w:val="28"/>
          <w:lang w:bidi="ar-EG"/>
        </w:rPr>
        <w:t>Jamoussi</w:t>
      </w:r>
      <w:proofErr w:type="spellEnd"/>
      <w:r w:rsidRPr="00F1203C">
        <w:rPr>
          <w:rFonts w:ascii="Traditional Arabic" w:hAnsi="Traditional Arabic" w:cs="Traditional Arabic"/>
          <w:b/>
          <w:bCs/>
          <w:sz w:val="28"/>
          <w:szCs w:val="28"/>
          <w:lang w:bidi="ar-EG"/>
        </w:rPr>
        <w:t xml:space="preserve"> et al. (2022)</w:t>
      </w:r>
    </w:p>
    <w:p w14:paraId="7EBBCB77" w14:textId="1DFDEAF3" w:rsidR="00F1203C" w:rsidRPr="00F1203C" w:rsidRDefault="00F1203C" w:rsidP="00F1203C">
      <w:pPr>
        <w:bidi/>
        <w:spacing w:line="480" w:lineRule="auto"/>
        <w:jc w:val="both"/>
        <w:rPr>
          <w:rFonts w:ascii="Traditional Arabic" w:hAnsi="Traditional Arabic" w:cs="Traditional Arabic"/>
          <w:sz w:val="28"/>
          <w:szCs w:val="28"/>
          <w:lang w:bidi="ar-EG"/>
        </w:rPr>
      </w:pPr>
      <w:r w:rsidRPr="00F1203C">
        <w:rPr>
          <w:rFonts w:ascii="Traditional Arabic" w:hAnsi="Traditional Arabic" w:cs="Traditional Arabic"/>
          <w:sz w:val="28"/>
          <w:szCs w:val="28"/>
          <w:rtl/>
        </w:rPr>
        <w:t>قدّم</w:t>
      </w:r>
      <w:r w:rsidRPr="00F1203C">
        <w:rPr>
          <w:rFonts w:ascii="Traditional Arabic" w:hAnsi="Traditional Arabic" w:cs="Traditional Arabic"/>
          <w:sz w:val="28"/>
          <w:szCs w:val="28"/>
          <w:lang w:bidi="ar-EG"/>
        </w:rPr>
        <w:t xml:space="preserve"> </w:t>
      </w:r>
      <w:proofErr w:type="spellStart"/>
      <w:r w:rsidRPr="00F1203C">
        <w:rPr>
          <w:rFonts w:ascii="Traditional Arabic" w:hAnsi="Traditional Arabic" w:cs="Traditional Arabic"/>
          <w:sz w:val="28"/>
          <w:szCs w:val="28"/>
          <w:lang w:bidi="ar-EG"/>
        </w:rPr>
        <w:t>Jamoussi</w:t>
      </w:r>
      <w:proofErr w:type="spellEnd"/>
      <w:r w:rsidRPr="00F1203C">
        <w:rPr>
          <w:rFonts w:ascii="Traditional Arabic" w:hAnsi="Traditional Arabic" w:cs="Traditional Arabic"/>
          <w:sz w:val="28"/>
          <w:szCs w:val="28"/>
          <w:lang w:bidi="ar-EG"/>
        </w:rPr>
        <w:t xml:space="preserve"> </w:t>
      </w:r>
      <w:r w:rsidRPr="00F1203C">
        <w:rPr>
          <w:rFonts w:ascii="Traditional Arabic" w:hAnsi="Traditional Arabic" w:cs="Traditional Arabic"/>
          <w:sz w:val="28"/>
          <w:szCs w:val="28"/>
          <w:rtl/>
        </w:rPr>
        <w:t xml:space="preserve">وزملاؤه (2022) دراسة نقدية مهمة حول واقع أنظمة تقييم المباني المستدامة في المملكة العربية السعودية، وذلك من خلال تحليل شامل للمعايير، والأكواد، والأدوات المستخدمة في تقييم الأداء البيئي للمباني، بما في ذلك كود البناء السعودي وكود </w:t>
      </w:r>
      <w:r w:rsidRPr="00F1203C">
        <w:rPr>
          <w:rFonts w:ascii="Traditional Arabic" w:hAnsi="Traditional Arabic" w:cs="Traditional Arabic"/>
          <w:sz w:val="28"/>
          <w:szCs w:val="28"/>
          <w:rtl/>
        </w:rPr>
        <w:lastRenderedPageBreak/>
        <w:t>المباني الخضراء</w:t>
      </w:r>
      <w:r w:rsidRPr="00F1203C">
        <w:rPr>
          <w:rFonts w:ascii="Traditional Arabic" w:hAnsi="Traditional Arabic" w:cs="Traditional Arabic"/>
          <w:sz w:val="28"/>
          <w:szCs w:val="28"/>
          <w:lang w:bidi="ar-EG"/>
        </w:rPr>
        <w:t xml:space="preserve"> SBC 1001-CR. </w:t>
      </w:r>
      <w:r w:rsidRPr="00F1203C">
        <w:rPr>
          <w:rFonts w:ascii="Traditional Arabic" w:hAnsi="Traditional Arabic" w:cs="Traditional Arabic"/>
          <w:sz w:val="28"/>
          <w:szCs w:val="28"/>
          <w:rtl/>
        </w:rPr>
        <w:t>هدفت الدراسة إلى رصد مدى جاهزية السوق السعودي لامتلاك نظام شهادات موحّد يعكس متطلبات الاستدامة الحديثة، إضافة إلى مراجعة تكامل تقنيات مثل نمذجة معلومات المباني</w:t>
      </w:r>
      <w:r w:rsidRPr="00F1203C">
        <w:rPr>
          <w:rFonts w:ascii="Traditional Arabic" w:hAnsi="Traditional Arabic" w:cs="Traditional Arabic"/>
          <w:sz w:val="28"/>
          <w:szCs w:val="28"/>
          <w:lang w:bidi="ar-EG"/>
        </w:rPr>
        <w:t xml:space="preserve"> (BIM) </w:t>
      </w:r>
      <w:r w:rsidRPr="00F1203C">
        <w:rPr>
          <w:rFonts w:ascii="Traditional Arabic" w:hAnsi="Traditional Arabic" w:cs="Traditional Arabic"/>
          <w:sz w:val="28"/>
          <w:szCs w:val="28"/>
          <w:rtl/>
        </w:rPr>
        <w:t>وتقييم دورة الحياة</w:t>
      </w:r>
      <w:r w:rsidRPr="00F1203C">
        <w:rPr>
          <w:rFonts w:ascii="Traditional Arabic" w:hAnsi="Traditional Arabic" w:cs="Traditional Arabic"/>
          <w:sz w:val="28"/>
          <w:szCs w:val="28"/>
          <w:lang w:bidi="ar-EG"/>
        </w:rPr>
        <w:t xml:space="preserve"> (LCA) </w:t>
      </w:r>
      <w:r w:rsidRPr="00F1203C">
        <w:rPr>
          <w:rFonts w:ascii="Traditional Arabic" w:hAnsi="Traditional Arabic" w:cs="Traditional Arabic"/>
          <w:sz w:val="28"/>
          <w:szCs w:val="28"/>
          <w:rtl/>
        </w:rPr>
        <w:t>ضمن هذه الأنظمة. اعتمد الباحثون منهج مراجعة منهجية للأدبيات والممارسات الحالية دون جمع بيانات ميدانية، وخلصت النتائج إلى وجود فجوة واضحة في التطبيق تكمن في غياب نظام تقييم موحّد ومتكامل يُشرف على جودة الاستدامة في المباني السعودية، رغم توفّر توجه حكومي نحو رفع الأداء البيئي. كما أشارت الدراسة إلى أن تطبيق ممارسات الاستدامة يظل متفاوتًا بين المشاريع بسبب اختلاف المعايير وغياب التشريعات الملزمة. وأوصت بضرورة تطوير نظام وطني حديث للشهادات البيئية ينسجم مع التطورات العالمية ومع السياق المحلي السعودي. وتتمثل الفجوة البحثية التي أبرزتها هذه الدراسة في غياب إطار موحّد لتقييم الاستدامة في السعودية، إضافة إلى نقص الدراسات التجريبية التي تقيس أثر تطبيق هذه الأنظمة على الأداء الفعلي للمشاريع</w:t>
      </w:r>
      <w:r w:rsidRPr="00F1203C">
        <w:rPr>
          <w:rFonts w:ascii="Traditional Arabic" w:hAnsi="Traditional Arabic" w:cs="Traditional Arabic"/>
          <w:sz w:val="28"/>
          <w:szCs w:val="28"/>
          <w:lang w:bidi="ar-EG"/>
        </w:rPr>
        <w:t>.</w:t>
      </w:r>
    </w:p>
    <w:p w14:paraId="0579976F" w14:textId="4560A769" w:rsidR="00F1203C" w:rsidRPr="00F1203C" w:rsidRDefault="00F1203C" w:rsidP="00F1203C">
      <w:pPr>
        <w:bidi/>
        <w:spacing w:line="480" w:lineRule="auto"/>
        <w:jc w:val="both"/>
        <w:rPr>
          <w:rFonts w:ascii="Traditional Arabic" w:hAnsi="Traditional Arabic" w:cs="Traditional Arabic"/>
          <w:b/>
          <w:bCs/>
          <w:sz w:val="28"/>
          <w:szCs w:val="28"/>
          <w:lang w:bidi="ar-EG"/>
        </w:rPr>
      </w:pPr>
      <w:r w:rsidRPr="00F1203C">
        <w:rPr>
          <w:rFonts w:ascii="Traditional Arabic" w:hAnsi="Traditional Arabic" w:cs="Traditional Arabic"/>
          <w:b/>
          <w:bCs/>
          <w:sz w:val="28"/>
          <w:szCs w:val="28"/>
          <w:rtl/>
        </w:rPr>
        <w:t>دراسة</w:t>
      </w:r>
      <w:r w:rsidRPr="00F1203C">
        <w:rPr>
          <w:rFonts w:ascii="Traditional Arabic" w:hAnsi="Traditional Arabic" w:cs="Traditional Arabic"/>
          <w:b/>
          <w:bCs/>
          <w:sz w:val="28"/>
          <w:szCs w:val="28"/>
          <w:lang w:bidi="ar-EG"/>
        </w:rPr>
        <w:t xml:space="preserve"> Azmi et al. (2022)</w:t>
      </w:r>
    </w:p>
    <w:p w14:paraId="15036258" w14:textId="2743106F" w:rsidR="00F1203C" w:rsidRDefault="00F1203C" w:rsidP="00316366">
      <w:pPr>
        <w:bidi/>
        <w:spacing w:line="480" w:lineRule="auto"/>
        <w:jc w:val="both"/>
        <w:rPr>
          <w:rFonts w:ascii="Traditional Arabic" w:hAnsi="Traditional Arabic" w:cs="Traditional Arabic"/>
          <w:sz w:val="28"/>
          <w:szCs w:val="28"/>
          <w:rtl/>
          <w:lang w:bidi="ar-EG"/>
        </w:rPr>
      </w:pPr>
      <w:r w:rsidRPr="00F1203C">
        <w:rPr>
          <w:rFonts w:ascii="Traditional Arabic" w:hAnsi="Traditional Arabic" w:cs="Traditional Arabic"/>
          <w:sz w:val="28"/>
          <w:szCs w:val="28"/>
          <w:rtl/>
        </w:rPr>
        <w:t>تناولت دراسة</w:t>
      </w:r>
      <w:r w:rsidRPr="00F1203C">
        <w:rPr>
          <w:rFonts w:ascii="Traditional Arabic" w:hAnsi="Traditional Arabic" w:cs="Traditional Arabic"/>
          <w:sz w:val="28"/>
          <w:szCs w:val="28"/>
          <w:lang w:bidi="ar-EG"/>
        </w:rPr>
        <w:t xml:space="preserve"> Azmi </w:t>
      </w:r>
      <w:r w:rsidRPr="00F1203C">
        <w:rPr>
          <w:rFonts w:ascii="Traditional Arabic" w:hAnsi="Traditional Arabic" w:cs="Traditional Arabic"/>
          <w:sz w:val="28"/>
          <w:szCs w:val="28"/>
          <w:rtl/>
        </w:rPr>
        <w:t xml:space="preserve">وزملائه (2022) موضوعًا مبتكرًا يربط بين الاستدامة والتحول الرقمي من خلال استكشاف إمكانات تقنية البلوك تشين في تعزيز استدامة سلاسل الإمداد في قطاع الإنشاء السعودي. هدفت الدراسة إلى تقييم مستوى الجاهزية لدى العاملين في قطاع تصنيع الخرسانة في المملكة، ومعرفة مدى قدرة البلوك تشين على تحسين الشفافية، والتتبع، والموثوقية، وهي عناصر أساسية لتحقيق الاستدامة التشغيلية. استخدم الباحثون منهجين: منهجًا كميًا عبر استبانة شملت 300 موظف، وحصلوا على 120 استجابة، ومنهجًا نوعيًا عبر مقابلات شبه مهيكلة مع متخصصين في التمويل وسلاسل الإمداد وتقنيات المعلومات. أظهرت النتائج وجود مستوى منخفض جدًا من الوعي بتقنية البلوك تشين، إذ إن 90% من المشاركين لم يسبق لهم التعامل معها، إلى جانب ضعف الجاهزية المؤسسية لاعتماد </w:t>
      </w:r>
      <w:r w:rsidRPr="00F1203C">
        <w:rPr>
          <w:rFonts w:ascii="Traditional Arabic" w:hAnsi="Traditional Arabic" w:cs="Traditional Arabic"/>
          <w:sz w:val="28"/>
          <w:szCs w:val="28"/>
          <w:rtl/>
        </w:rPr>
        <w:lastRenderedPageBreak/>
        <w:t>هذه التقنية رغم إدراك إمكاناتها العالية عند دمجها مع تقنيات أخرى مثل</w:t>
      </w:r>
      <w:r w:rsidRPr="00F1203C">
        <w:rPr>
          <w:rFonts w:ascii="Traditional Arabic" w:hAnsi="Traditional Arabic" w:cs="Traditional Arabic"/>
          <w:sz w:val="28"/>
          <w:szCs w:val="28"/>
          <w:lang w:bidi="ar-EG"/>
        </w:rPr>
        <w:t xml:space="preserve"> BIM. </w:t>
      </w:r>
      <w:r w:rsidRPr="00F1203C">
        <w:rPr>
          <w:rFonts w:ascii="Traditional Arabic" w:hAnsi="Traditional Arabic" w:cs="Traditional Arabic"/>
          <w:sz w:val="28"/>
          <w:szCs w:val="28"/>
          <w:rtl/>
        </w:rPr>
        <w:t>وخلصت الدراسة إلى أن تبني البلوك تشين يمكن أن يعزز الاستدامة من خلال زيادة الشفافية وتقليل المخاطر وتحسين كفاءة سلاسل الإمداد، لكنها أشارت إلى وجود فجوة بين الإمكانات النظرية وبين الواقع العملي للقطاع السعودي. وتتمثل الفجوة البحثية هنا في نقص الدراسات التي تجمع بين التحول الرقمي والاستدامة داخل قطاع الإنشاء السعودي، وكذلك الحاجة إلى دراسات تجريبية تقيس فعليًا أثر تطبيق البلوك تشين على الأداء</w:t>
      </w:r>
      <w:r w:rsidRPr="00F1203C">
        <w:rPr>
          <w:rFonts w:ascii="Traditional Arabic" w:hAnsi="Traditional Arabic" w:cs="Traditional Arabic"/>
          <w:sz w:val="28"/>
          <w:szCs w:val="28"/>
          <w:lang w:bidi="ar-EG"/>
        </w:rPr>
        <w:t>.</w:t>
      </w:r>
    </w:p>
    <w:p w14:paraId="17F7037B" w14:textId="77777777" w:rsidR="00316366" w:rsidRDefault="00316366" w:rsidP="00316366">
      <w:pPr>
        <w:bidi/>
        <w:spacing w:line="480" w:lineRule="auto"/>
        <w:jc w:val="both"/>
        <w:rPr>
          <w:rFonts w:ascii="Traditional Arabic" w:hAnsi="Traditional Arabic" w:cs="Traditional Arabic"/>
          <w:sz w:val="28"/>
          <w:szCs w:val="28"/>
          <w:rtl/>
          <w:lang w:bidi="ar-EG"/>
        </w:rPr>
      </w:pPr>
    </w:p>
    <w:p w14:paraId="017C75B7" w14:textId="77777777" w:rsidR="00316366" w:rsidRDefault="00316366" w:rsidP="00316366">
      <w:pPr>
        <w:bidi/>
        <w:spacing w:line="480" w:lineRule="auto"/>
        <w:jc w:val="both"/>
        <w:rPr>
          <w:rFonts w:ascii="Traditional Arabic" w:hAnsi="Traditional Arabic" w:cs="Traditional Arabic"/>
          <w:sz w:val="28"/>
          <w:szCs w:val="28"/>
          <w:rtl/>
          <w:lang w:bidi="ar-EG"/>
        </w:rPr>
      </w:pPr>
    </w:p>
    <w:p w14:paraId="4486338A" w14:textId="77777777" w:rsidR="00316366" w:rsidRDefault="00316366" w:rsidP="00316366">
      <w:pPr>
        <w:bidi/>
        <w:spacing w:line="480" w:lineRule="auto"/>
        <w:jc w:val="both"/>
        <w:rPr>
          <w:rFonts w:ascii="Traditional Arabic" w:hAnsi="Traditional Arabic" w:cs="Traditional Arabic"/>
          <w:sz w:val="28"/>
          <w:szCs w:val="28"/>
          <w:rtl/>
          <w:lang w:bidi="ar-EG"/>
        </w:rPr>
      </w:pPr>
    </w:p>
    <w:p w14:paraId="6039B38A" w14:textId="77777777" w:rsidR="00316366" w:rsidRDefault="00316366" w:rsidP="00316366">
      <w:pPr>
        <w:bidi/>
        <w:spacing w:line="480" w:lineRule="auto"/>
        <w:jc w:val="both"/>
        <w:rPr>
          <w:rFonts w:ascii="Traditional Arabic" w:hAnsi="Traditional Arabic" w:cs="Traditional Arabic"/>
          <w:sz w:val="28"/>
          <w:szCs w:val="28"/>
          <w:rtl/>
          <w:lang w:bidi="ar-EG"/>
        </w:rPr>
      </w:pPr>
    </w:p>
    <w:p w14:paraId="238E3BC1" w14:textId="77777777" w:rsidR="00316366" w:rsidRDefault="00316366" w:rsidP="00316366">
      <w:pPr>
        <w:bidi/>
        <w:spacing w:line="480" w:lineRule="auto"/>
        <w:jc w:val="both"/>
        <w:rPr>
          <w:rFonts w:ascii="Traditional Arabic" w:hAnsi="Traditional Arabic" w:cs="Traditional Arabic"/>
          <w:sz w:val="28"/>
          <w:szCs w:val="28"/>
          <w:rtl/>
          <w:lang w:bidi="ar-EG"/>
        </w:rPr>
      </w:pPr>
    </w:p>
    <w:p w14:paraId="1811C8CA" w14:textId="77777777" w:rsidR="00316366" w:rsidRDefault="00316366" w:rsidP="00316366">
      <w:pPr>
        <w:bidi/>
        <w:spacing w:line="480" w:lineRule="auto"/>
        <w:jc w:val="both"/>
        <w:rPr>
          <w:rFonts w:ascii="Traditional Arabic" w:hAnsi="Traditional Arabic" w:cs="Traditional Arabic"/>
          <w:sz w:val="28"/>
          <w:szCs w:val="28"/>
          <w:rtl/>
          <w:lang w:bidi="ar-EG"/>
        </w:rPr>
      </w:pPr>
    </w:p>
    <w:p w14:paraId="1A62DC25" w14:textId="77777777" w:rsidR="00316366" w:rsidRDefault="00316366" w:rsidP="00316366">
      <w:pPr>
        <w:bidi/>
        <w:spacing w:line="480" w:lineRule="auto"/>
        <w:jc w:val="both"/>
        <w:rPr>
          <w:rFonts w:ascii="Traditional Arabic" w:hAnsi="Traditional Arabic" w:cs="Traditional Arabic"/>
          <w:sz w:val="28"/>
          <w:szCs w:val="28"/>
          <w:rtl/>
          <w:lang w:bidi="ar-EG"/>
        </w:rPr>
      </w:pPr>
    </w:p>
    <w:p w14:paraId="02C694BB" w14:textId="77777777" w:rsidR="00316366" w:rsidRDefault="00316366" w:rsidP="00316366">
      <w:pPr>
        <w:bidi/>
        <w:spacing w:line="480" w:lineRule="auto"/>
        <w:jc w:val="both"/>
        <w:rPr>
          <w:rFonts w:ascii="Traditional Arabic" w:hAnsi="Traditional Arabic" w:cs="Traditional Arabic"/>
          <w:sz w:val="28"/>
          <w:szCs w:val="28"/>
          <w:rtl/>
          <w:lang w:bidi="ar-EG"/>
        </w:rPr>
      </w:pPr>
    </w:p>
    <w:p w14:paraId="38CE3F5B" w14:textId="77777777" w:rsidR="00316366" w:rsidRPr="0098481C" w:rsidRDefault="00316366" w:rsidP="00316366">
      <w:pPr>
        <w:bidi/>
        <w:spacing w:line="480" w:lineRule="auto"/>
        <w:jc w:val="both"/>
        <w:rPr>
          <w:rFonts w:ascii="Traditional Arabic" w:hAnsi="Traditional Arabic" w:cs="Traditional Arabic"/>
          <w:sz w:val="28"/>
          <w:szCs w:val="28"/>
          <w:lang w:bidi="ar-EG"/>
        </w:rPr>
      </w:pPr>
    </w:p>
    <w:p w14:paraId="452AB74C" w14:textId="6400C58A" w:rsidR="0098481C" w:rsidRPr="0098481C" w:rsidRDefault="0001291B" w:rsidP="0098481C">
      <w:pPr>
        <w:bidi/>
        <w:spacing w:line="480" w:lineRule="auto"/>
        <w:jc w:val="both"/>
        <w:rPr>
          <w:rFonts w:ascii="Traditional Arabic" w:hAnsi="Traditional Arabic" w:cs="Traditional Arabic"/>
          <w:b/>
          <w:bCs/>
          <w:sz w:val="32"/>
          <w:szCs w:val="32"/>
          <w:lang w:bidi="ar-EG"/>
        </w:rPr>
      </w:pPr>
      <w:r>
        <w:rPr>
          <w:rFonts w:ascii="Traditional Arabic" w:hAnsi="Traditional Arabic" w:cs="Traditional Arabic"/>
          <w:b/>
          <w:bCs/>
          <w:sz w:val="32"/>
          <w:szCs w:val="32"/>
        </w:rPr>
        <w:lastRenderedPageBreak/>
        <w:t>5</w:t>
      </w:r>
      <w:r w:rsidR="007205A8" w:rsidRPr="007205A8">
        <w:rPr>
          <w:rFonts w:ascii="Traditional Arabic" w:hAnsi="Traditional Arabic" w:cs="Traditional Arabic"/>
          <w:b/>
          <w:bCs/>
          <w:sz w:val="32"/>
          <w:szCs w:val="32"/>
        </w:rPr>
        <w:t xml:space="preserve">.4 </w:t>
      </w:r>
      <w:r w:rsidR="0098481C" w:rsidRPr="0098481C">
        <w:rPr>
          <w:rFonts w:ascii="Traditional Arabic" w:hAnsi="Traditional Arabic" w:cs="Traditional Arabic"/>
          <w:b/>
          <w:bCs/>
          <w:sz w:val="32"/>
          <w:szCs w:val="32"/>
          <w:rtl/>
        </w:rPr>
        <w:t xml:space="preserve">جدول مقارن للدراسات السابقة </w:t>
      </w:r>
    </w:p>
    <w:tbl>
      <w:tblPr>
        <w:tblStyle w:val="TableGrid"/>
        <w:tblW w:w="5000" w:type="pct"/>
        <w:tblLook w:val="04A0" w:firstRow="1" w:lastRow="0" w:firstColumn="1" w:lastColumn="0" w:noHBand="0" w:noVBand="1"/>
      </w:tblPr>
      <w:tblGrid>
        <w:gridCol w:w="1873"/>
        <w:gridCol w:w="1872"/>
        <w:gridCol w:w="1872"/>
        <w:gridCol w:w="1872"/>
        <w:gridCol w:w="1861"/>
      </w:tblGrid>
      <w:tr w:rsidR="00F1203C" w:rsidRPr="00F1203C" w14:paraId="373C5FEE" w14:textId="59D25266" w:rsidTr="00F1203C">
        <w:tc>
          <w:tcPr>
            <w:tcW w:w="1001" w:type="pct"/>
            <w:hideMark/>
          </w:tcPr>
          <w:p w14:paraId="0F0112D6" w14:textId="67333E69" w:rsidR="00F1203C" w:rsidRPr="00F1203C" w:rsidRDefault="00F1203C" w:rsidP="00F1203C">
            <w:pPr>
              <w:bidi/>
              <w:spacing w:after="160"/>
              <w:jc w:val="both"/>
              <w:rPr>
                <w:rFonts w:ascii="Traditional Arabic" w:hAnsi="Traditional Arabic" w:cs="Traditional Arabic"/>
                <w:b/>
                <w:bCs/>
                <w:sz w:val="28"/>
                <w:szCs w:val="28"/>
                <w:lang w:bidi="ar-EG"/>
              </w:rPr>
            </w:pPr>
            <w:r w:rsidRPr="00F1203C">
              <w:rPr>
                <w:rFonts w:ascii="Traditional Arabic" w:hAnsi="Traditional Arabic" w:cs="Traditional Arabic"/>
                <w:b/>
                <w:bCs/>
                <w:sz w:val="28"/>
                <w:szCs w:val="28"/>
                <w:rtl/>
              </w:rPr>
              <w:t>أوجه القصور</w:t>
            </w:r>
          </w:p>
        </w:tc>
        <w:tc>
          <w:tcPr>
            <w:tcW w:w="1001" w:type="pct"/>
          </w:tcPr>
          <w:p w14:paraId="56FA7D0C" w14:textId="19F987C3" w:rsidR="00F1203C" w:rsidRPr="00F1203C" w:rsidRDefault="00F1203C" w:rsidP="00F1203C">
            <w:pPr>
              <w:bidi/>
              <w:jc w:val="both"/>
              <w:rPr>
                <w:rFonts w:ascii="Traditional Arabic" w:hAnsi="Traditional Arabic" w:cs="Traditional Arabic"/>
                <w:b/>
                <w:bCs/>
                <w:sz w:val="28"/>
                <w:szCs w:val="28"/>
                <w:rtl/>
              </w:rPr>
            </w:pPr>
            <w:r w:rsidRPr="00F1203C">
              <w:rPr>
                <w:rFonts w:ascii="Traditional Arabic" w:hAnsi="Traditional Arabic" w:cs="Traditional Arabic"/>
                <w:b/>
                <w:bCs/>
                <w:sz w:val="28"/>
                <w:szCs w:val="28"/>
                <w:rtl/>
              </w:rPr>
              <w:t>أوجه القوة</w:t>
            </w:r>
          </w:p>
        </w:tc>
        <w:tc>
          <w:tcPr>
            <w:tcW w:w="1001" w:type="pct"/>
          </w:tcPr>
          <w:p w14:paraId="629C22FA" w14:textId="14DA07E1" w:rsidR="00F1203C" w:rsidRPr="00F1203C" w:rsidRDefault="00F1203C" w:rsidP="00F1203C">
            <w:pPr>
              <w:bidi/>
              <w:jc w:val="both"/>
              <w:rPr>
                <w:rFonts w:ascii="Traditional Arabic" w:hAnsi="Traditional Arabic" w:cs="Traditional Arabic"/>
                <w:b/>
                <w:bCs/>
                <w:sz w:val="28"/>
                <w:szCs w:val="28"/>
                <w:rtl/>
              </w:rPr>
            </w:pPr>
            <w:r w:rsidRPr="00F1203C">
              <w:rPr>
                <w:rFonts w:ascii="Traditional Arabic" w:hAnsi="Traditional Arabic" w:cs="Traditional Arabic"/>
                <w:b/>
                <w:bCs/>
                <w:sz w:val="28"/>
                <w:szCs w:val="28"/>
                <w:rtl/>
              </w:rPr>
              <w:t>النتائج الرئيسة</w:t>
            </w:r>
          </w:p>
        </w:tc>
        <w:tc>
          <w:tcPr>
            <w:tcW w:w="1001" w:type="pct"/>
          </w:tcPr>
          <w:p w14:paraId="6BC688D9" w14:textId="45E6FC77" w:rsidR="00F1203C" w:rsidRPr="00F1203C" w:rsidRDefault="00F1203C" w:rsidP="00F1203C">
            <w:pPr>
              <w:bidi/>
              <w:jc w:val="both"/>
              <w:rPr>
                <w:rFonts w:ascii="Traditional Arabic" w:hAnsi="Traditional Arabic" w:cs="Traditional Arabic"/>
                <w:b/>
                <w:bCs/>
                <w:sz w:val="28"/>
                <w:szCs w:val="28"/>
                <w:rtl/>
              </w:rPr>
            </w:pPr>
            <w:r w:rsidRPr="00F1203C">
              <w:rPr>
                <w:rFonts w:ascii="Traditional Arabic" w:hAnsi="Traditional Arabic" w:cs="Traditional Arabic"/>
                <w:b/>
                <w:bCs/>
                <w:sz w:val="28"/>
                <w:szCs w:val="28"/>
                <w:rtl/>
              </w:rPr>
              <w:t>المنهج والأداة</w:t>
            </w:r>
          </w:p>
        </w:tc>
        <w:tc>
          <w:tcPr>
            <w:tcW w:w="995" w:type="pct"/>
          </w:tcPr>
          <w:p w14:paraId="2E1BAB1A" w14:textId="02509AFA" w:rsidR="00F1203C" w:rsidRPr="00F1203C" w:rsidRDefault="00F1203C" w:rsidP="00F1203C">
            <w:pPr>
              <w:bidi/>
              <w:jc w:val="both"/>
              <w:rPr>
                <w:rFonts w:ascii="Traditional Arabic" w:hAnsi="Traditional Arabic" w:cs="Traditional Arabic"/>
                <w:b/>
                <w:bCs/>
                <w:sz w:val="28"/>
                <w:szCs w:val="28"/>
                <w:rtl/>
              </w:rPr>
            </w:pPr>
            <w:r w:rsidRPr="00F1203C">
              <w:rPr>
                <w:rFonts w:ascii="Traditional Arabic" w:hAnsi="Traditional Arabic" w:cs="Traditional Arabic"/>
                <w:b/>
                <w:bCs/>
                <w:sz w:val="28"/>
                <w:szCs w:val="28"/>
                <w:rtl/>
              </w:rPr>
              <w:t>الدراسة</w:t>
            </w:r>
          </w:p>
        </w:tc>
      </w:tr>
      <w:tr w:rsidR="00F1203C" w:rsidRPr="00F1203C" w14:paraId="77B99BE7" w14:textId="1D399231" w:rsidTr="00F1203C">
        <w:tc>
          <w:tcPr>
            <w:tcW w:w="1001" w:type="pct"/>
            <w:hideMark/>
          </w:tcPr>
          <w:p w14:paraId="3D54C295" w14:textId="56742201" w:rsidR="00F1203C" w:rsidRPr="00F1203C" w:rsidRDefault="00F1203C" w:rsidP="00F1203C">
            <w:pPr>
              <w:bidi/>
              <w:spacing w:after="160"/>
              <w:jc w:val="both"/>
              <w:rPr>
                <w:rFonts w:ascii="Traditional Arabic" w:hAnsi="Traditional Arabic" w:cs="Traditional Arabic"/>
                <w:sz w:val="28"/>
                <w:szCs w:val="28"/>
                <w:lang w:bidi="ar-EG"/>
              </w:rPr>
            </w:pPr>
            <w:r w:rsidRPr="00F1203C">
              <w:rPr>
                <w:rFonts w:ascii="Traditional Arabic" w:hAnsi="Traditional Arabic" w:cs="Traditional Arabic"/>
                <w:sz w:val="28"/>
                <w:szCs w:val="28"/>
                <w:rtl/>
              </w:rPr>
              <w:t>محدودية التعميم الجغرافي</w:t>
            </w:r>
          </w:p>
        </w:tc>
        <w:tc>
          <w:tcPr>
            <w:tcW w:w="1001" w:type="pct"/>
          </w:tcPr>
          <w:p w14:paraId="083F560E" w14:textId="0B6CF385" w:rsidR="00F1203C" w:rsidRPr="00F1203C" w:rsidRDefault="00F1203C" w:rsidP="00F1203C">
            <w:pPr>
              <w:bidi/>
              <w:jc w:val="both"/>
              <w:rPr>
                <w:rFonts w:ascii="Traditional Arabic" w:hAnsi="Traditional Arabic" w:cs="Traditional Arabic"/>
                <w:sz w:val="28"/>
                <w:szCs w:val="28"/>
                <w:rtl/>
              </w:rPr>
            </w:pPr>
            <w:r w:rsidRPr="00F1203C">
              <w:rPr>
                <w:rFonts w:ascii="Traditional Arabic" w:hAnsi="Traditional Arabic" w:cs="Traditional Arabic"/>
                <w:sz w:val="28"/>
                <w:szCs w:val="28"/>
                <w:rtl/>
              </w:rPr>
              <w:t>تقديم إطار جديد للمخاطر</w:t>
            </w:r>
          </w:p>
        </w:tc>
        <w:tc>
          <w:tcPr>
            <w:tcW w:w="1001" w:type="pct"/>
          </w:tcPr>
          <w:p w14:paraId="00D51521" w14:textId="6DC6F24E" w:rsidR="00F1203C" w:rsidRPr="00F1203C" w:rsidRDefault="00F1203C" w:rsidP="00F1203C">
            <w:pPr>
              <w:bidi/>
              <w:jc w:val="both"/>
              <w:rPr>
                <w:rFonts w:ascii="Traditional Arabic" w:hAnsi="Traditional Arabic" w:cs="Traditional Arabic"/>
                <w:sz w:val="28"/>
                <w:szCs w:val="28"/>
                <w:rtl/>
              </w:rPr>
            </w:pPr>
            <w:r w:rsidRPr="00F1203C">
              <w:rPr>
                <w:rFonts w:ascii="Traditional Arabic" w:hAnsi="Traditional Arabic" w:cs="Traditional Arabic"/>
                <w:sz w:val="28"/>
                <w:szCs w:val="28"/>
                <w:rtl/>
              </w:rPr>
              <w:t>معالجة مخاطر</w:t>
            </w:r>
            <w:r w:rsidRPr="00F1203C">
              <w:rPr>
                <w:rFonts w:ascii="Traditional Arabic" w:hAnsi="Traditional Arabic" w:cs="Traditional Arabic"/>
                <w:sz w:val="28"/>
                <w:szCs w:val="28"/>
                <w:lang w:bidi="ar-EG"/>
              </w:rPr>
              <w:t xml:space="preserve"> Tail Risks</w:t>
            </w:r>
          </w:p>
        </w:tc>
        <w:tc>
          <w:tcPr>
            <w:tcW w:w="1001" w:type="pct"/>
          </w:tcPr>
          <w:p w14:paraId="63599E23" w14:textId="6F580D13" w:rsidR="00F1203C" w:rsidRPr="00F1203C" w:rsidRDefault="00F1203C" w:rsidP="00F1203C">
            <w:pPr>
              <w:bidi/>
              <w:jc w:val="both"/>
              <w:rPr>
                <w:rFonts w:ascii="Traditional Arabic" w:hAnsi="Traditional Arabic" w:cs="Traditional Arabic"/>
                <w:sz w:val="28"/>
                <w:szCs w:val="28"/>
                <w:lang w:bidi="ar-EG"/>
              </w:rPr>
            </w:pPr>
            <w:r w:rsidRPr="00F1203C">
              <w:rPr>
                <w:rFonts w:ascii="Traditional Arabic" w:hAnsi="Traditional Arabic" w:cs="Traditional Arabic"/>
                <w:sz w:val="28"/>
                <w:szCs w:val="28"/>
                <w:rtl/>
              </w:rPr>
              <w:t>محاكاة مونتي كارلو + بيانات مشاريع</w:t>
            </w:r>
          </w:p>
        </w:tc>
        <w:tc>
          <w:tcPr>
            <w:tcW w:w="995" w:type="pct"/>
          </w:tcPr>
          <w:p w14:paraId="215475A5" w14:textId="2720E5F1" w:rsidR="00F1203C" w:rsidRPr="00F1203C" w:rsidRDefault="00F1203C" w:rsidP="00F1203C">
            <w:pPr>
              <w:bidi/>
              <w:jc w:val="both"/>
              <w:rPr>
                <w:rFonts w:ascii="Traditional Arabic" w:hAnsi="Traditional Arabic" w:cs="Traditional Arabic"/>
                <w:sz w:val="28"/>
                <w:szCs w:val="28"/>
                <w:rtl/>
              </w:rPr>
            </w:pPr>
            <w:r w:rsidRPr="00F1203C">
              <w:rPr>
                <w:rFonts w:ascii="Traditional Arabic" w:hAnsi="Traditional Arabic" w:cs="Traditional Arabic"/>
                <w:sz w:val="28"/>
                <w:szCs w:val="28"/>
                <w:lang w:bidi="ar-EG"/>
              </w:rPr>
              <w:t>Qazi et al. (2021)</w:t>
            </w:r>
          </w:p>
        </w:tc>
      </w:tr>
      <w:tr w:rsidR="00F1203C" w:rsidRPr="00F1203C" w14:paraId="37D9EDF7" w14:textId="4EA577F1" w:rsidTr="00F1203C">
        <w:tc>
          <w:tcPr>
            <w:tcW w:w="1001" w:type="pct"/>
            <w:hideMark/>
          </w:tcPr>
          <w:p w14:paraId="2922D1DE" w14:textId="59050F56" w:rsidR="00F1203C" w:rsidRPr="00F1203C" w:rsidRDefault="00F1203C" w:rsidP="00F1203C">
            <w:pPr>
              <w:bidi/>
              <w:spacing w:after="160"/>
              <w:jc w:val="both"/>
              <w:rPr>
                <w:rFonts w:ascii="Traditional Arabic" w:hAnsi="Traditional Arabic" w:cs="Traditional Arabic"/>
                <w:sz w:val="28"/>
                <w:szCs w:val="28"/>
                <w:lang w:bidi="ar-EG"/>
              </w:rPr>
            </w:pPr>
            <w:r w:rsidRPr="00F1203C">
              <w:rPr>
                <w:rFonts w:ascii="Traditional Arabic" w:hAnsi="Traditional Arabic" w:cs="Traditional Arabic"/>
                <w:sz w:val="28"/>
                <w:szCs w:val="28"/>
                <w:rtl/>
              </w:rPr>
              <w:t>غياب البيانات الميدانية</w:t>
            </w:r>
          </w:p>
        </w:tc>
        <w:tc>
          <w:tcPr>
            <w:tcW w:w="1001" w:type="pct"/>
          </w:tcPr>
          <w:p w14:paraId="341E7A86" w14:textId="044A94FF" w:rsidR="00F1203C" w:rsidRPr="00F1203C" w:rsidRDefault="00F1203C" w:rsidP="00F1203C">
            <w:pPr>
              <w:bidi/>
              <w:jc w:val="both"/>
              <w:rPr>
                <w:rFonts w:ascii="Traditional Arabic" w:hAnsi="Traditional Arabic" w:cs="Traditional Arabic"/>
                <w:sz w:val="28"/>
                <w:szCs w:val="28"/>
                <w:lang w:bidi="ar-EG"/>
              </w:rPr>
            </w:pPr>
            <w:r w:rsidRPr="00F1203C">
              <w:rPr>
                <w:rFonts w:ascii="Traditional Arabic" w:hAnsi="Traditional Arabic" w:cs="Traditional Arabic"/>
                <w:sz w:val="28"/>
                <w:szCs w:val="28"/>
                <w:rtl/>
              </w:rPr>
              <w:t>مؤشرات قابلة للقياس</w:t>
            </w:r>
          </w:p>
        </w:tc>
        <w:tc>
          <w:tcPr>
            <w:tcW w:w="1001" w:type="pct"/>
          </w:tcPr>
          <w:p w14:paraId="104F2882" w14:textId="3C42BB73" w:rsidR="00F1203C" w:rsidRPr="00F1203C" w:rsidRDefault="00F1203C" w:rsidP="00F1203C">
            <w:pPr>
              <w:bidi/>
              <w:jc w:val="both"/>
              <w:rPr>
                <w:rFonts w:ascii="Traditional Arabic" w:hAnsi="Traditional Arabic" w:cs="Traditional Arabic"/>
                <w:sz w:val="28"/>
                <w:szCs w:val="28"/>
                <w:lang w:bidi="ar-EG"/>
              </w:rPr>
            </w:pPr>
            <w:r w:rsidRPr="00F1203C">
              <w:rPr>
                <w:rFonts w:ascii="Traditional Arabic" w:hAnsi="Traditional Arabic" w:cs="Traditional Arabic"/>
                <w:sz w:val="28"/>
                <w:szCs w:val="28"/>
                <w:rtl/>
              </w:rPr>
              <w:t>تحديد</w:t>
            </w:r>
            <w:r w:rsidRPr="00F1203C">
              <w:rPr>
                <w:rFonts w:ascii="Traditional Arabic" w:hAnsi="Traditional Arabic" w:cs="Traditional Arabic"/>
                <w:sz w:val="28"/>
                <w:szCs w:val="28"/>
                <w:lang w:bidi="ar-EG"/>
              </w:rPr>
              <w:t xml:space="preserve"> KPIs </w:t>
            </w:r>
            <w:r w:rsidRPr="00F1203C">
              <w:rPr>
                <w:rFonts w:ascii="Traditional Arabic" w:hAnsi="Traditional Arabic" w:cs="Traditional Arabic"/>
                <w:sz w:val="28"/>
                <w:szCs w:val="28"/>
                <w:rtl/>
              </w:rPr>
              <w:t>للاستدامة</w:t>
            </w:r>
          </w:p>
        </w:tc>
        <w:tc>
          <w:tcPr>
            <w:tcW w:w="1001" w:type="pct"/>
          </w:tcPr>
          <w:p w14:paraId="324705B5" w14:textId="67BBCA79" w:rsidR="00F1203C" w:rsidRPr="00F1203C" w:rsidRDefault="00F1203C" w:rsidP="00F1203C">
            <w:pPr>
              <w:bidi/>
              <w:jc w:val="both"/>
              <w:rPr>
                <w:rFonts w:ascii="Traditional Arabic" w:hAnsi="Traditional Arabic" w:cs="Traditional Arabic"/>
                <w:sz w:val="28"/>
                <w:szCs w:val="28"/>
                <w:lang w:bidi="ar-EG"/>
              </w:rPr>
            </w:pPr>
            <w:r w:rsidRPr="00F1203C">
              <w:rPr>
                <w:rFonts w:ascii="Traditional Arabic" w:hAnsi="Traditional Arabic" w:cs="Traditional Arabic"/>
                <w:sz w:val="28"/>
                <w:szCs w:val="28"/>
                <w:lang w:bidi="ar-EG"/>
              </w:rPr>
              <w:t xml:space="preserve">AHP + </w:t>
            </w:r>
            <w:r w:rsidRPr="00F1203C">
              <w:rPr>
                <w:rFonts w:ascii="Traditional Arabic" w:hAnsi="Traditional Arabic" w:cs="Traditional Arabic"/>
                <w:sz w:val="28"/>
                <w:szCs w:val="28"/>
                <w:rtl/>
              </w:rPr>
              <w:t>خبراء</w:t>
            </w:r>
          </w:p>
        </w:tc>
        <w:tc>
          <w:tcPr>
            <w:tcW w:w="995" w:type="pct"/>
          </w:tcPr>
          <w:p w14:paraId="5785C5AE" w14:textId="1A525A16" w:rsidR="00F1203C" w:rsidRPr="00F1203C" w:rsidRDefault="00F1203C" w:rsidP="00F1203C">
            <w:pPr>
              <w:bidi/>
              <w:jc w:val="both"/>
              <w:rPr>
                <w:rFonts w:ascii="Traditional Arabic" w:hAnsi="Traditional Arabic" w:cs="Traditional Arabic"/>
                <w:sz w:val="28"/>
                <w:szCs w:val="28"/>
                <w:rtl/>
              </w:rPr>
            </w:pPr>
            <w:r w:rsidRPr="00F1203C">
              <w:rPr>
                <w:rFonts w:ascii="Traditional Arabic" w:hAnsi="Traditional Arabic" w:cs="Traditional Arabic"/>
                <w:sz w:val="28"/>
                <w:szCs w:val="28"/>
                <w:lang w:bidi="ar-EG"/>
              </w:rPr>
              <w:t>Rajabi et al. (2022)</w:t>
            </w:r>
          </w:p>
        </w:tc>
      </w:tr>
      <w:tr w:rsidR="00F1203C" w:rsidRPr="00F1203C" w14:paraId="4C01CE61" w14:textId="75FE0DD6" w:rsidTr="00F1203C">
        <w:tc>
          <w:tcPr>
            <w:tcW w:w="1001" w:type="pct"/>
            <w:hideMark/>
          </w:tcPr>
          <w:p w14:paraId="51412A55" w14:textId="1B26BD67" w:rsidR="00F1203C" w:rsidRPr="00F1203C" w:rsidRDefault="00F1203C" w:rsidP="00F1203C">
            <w:pPr>
              <w:bidi/>
              <w:spacing w:after="160"/>
              <w:jc w:val="both"/>
              <w:rPr>
                <w:rFonts w:ascii="Traditional Arabic" w:hAnsi="Traditional Arabic" w:cs="Traditional Arabic"/>
                <w:sz w:val="28"/>
                <w:szCs w:val="28"/>
                <w:lang w:bidi="ar-EG"/>
              </w:rPr>
            </w:pPr>
            <w:r w:rsidRPr="00F1203C">
              <w:rPr>
                <w:rFonts w:ascii="Traditional Arabic" w:hAnsi="Traditional Arabic" w:cs="Traditional Arabic"/>
                <w:sz w:val="28"/>
                <w:szCs w:val="28"/>
                <w:rtl/>
              </w:rPr>
              <w:t>تركيز مفرط على الجانب البيئي</w:t>
            </w:r>
          </w:p>
        </w:tc>
        <w:tc>
          <w:tcPr>
            <w:tcW w:w="1001" w:type="pct"/>
          </w:tcPr>
          <w:p w14:paraId="53C3D457" w14:textId="671E092F" w:rsidR="00F1203C" w:rsidRPr="00F1203C" w:rsidRDefault="00F1203C" w:rsidP="00F1203C">
            <w:pPr>
              <w:bidi/>
              <w:jc w:val="both"/>
              <w:rPr>
                <w:rFonts w:ascii="Traditional Arabic" w:hAnsi="Traditional Arabic" w:cs="Traditional Arabic"/>
                <w:sz w:val="28"/>
                <w:szCs w:val="28"/>
                <w:lang w:bidi="ar-EG"/>
              </w:rPr>
            </w:pPr>
            <w:r w:rsidRPr="00F1203C">
              <w:rPr>
                <w:rFonts w:ascii="Traditional Arabic" w:hAnsi="Traditional Arabic" w:cs="Traditional Arabic"/>
                <w:sz w:val="28"/>
                <w:szCs w:val="28"/>
                <w:rtl/>
              </w:rPr>
              <w:t>دمج بين الإحصاء والتطبيق</w:t>
            </w:r>
          </w:p>
        </w:tc>
        <w:tc>
          <w:tcPr>
            <w:tcW w:w="1001" w:type="pct"/>
          </w:tcPr>
          <w:p w14:paraId="1AB5FD40" w14:textId="06534B2F" w:rsidR="00F1203C" w:rsidRPr="00F1203C" w:rsidRDefault="00F1203C" w:rsidP="00F1203C">
            <w:pPr>
              <w:bidi/>
              <w:jc w:val="both"/>
              <w:rPr>
                <w:rFonts w:ascii="Traditional Arabic" w:hAnsi="Traditional Arabic" w:cs="Traditional Arabic"/>
                <w:sz w:val="28"/>
                <w:szCs w:val="28"/>
                <w:lang w:bidi="ar-EG"/>
              </w:rPr>
            </w:pPr>
            <w:r w:rsidRPr="00F1203C">
              <w:rPr>
                <w:rFonts w:ascii="Traditional Arabic" w:hAnsi="Traditional Arabic" w:cs="Traditional Arabic"/>
                <w:sz w:val="28"/>
                <w:szCs w:val="28"/>
                <w:rtl/>
              </w:rPr>
              <w:t>إطار تقييم الاستدامة</w:t>
            </w:r>
          </w:p>
        </w:tc>
        <w:tc>
          <w:tcPr>
            <w:tcW w:w="1001" w:type="pct"/>
          </w:tcPr>
          <w:p w14:paraId="0C241C3F" w14:textId="5C420145" w:rsidR="00F1203C" w:rsidRPr="00F1203C" w:rsidRDefault="00F1203C" w:rsidP="00F1203C">
            <w:pPr>
              <w:bidi/>
              <w:jc w:val="both"/>
              <w:rPr>
                <w:rFonts w:ascii="Traditional Arabic" w:hAnsi="Traditional Arabic" w:cs="Traditional Arabic"/>
                <w:sz w:val="28"/>
                <w:szCs w:val="28"/>
                <w:lang w:bidi="ar-EG"/>
              </w:rPr>
            </w:pPr>
            <w:r w:rsidRPr="00F1203C">
              <w:rPr>
                <w:rFonts w:ascii="Traditional Arabic" w:hAnsi="Traditional Arabic" w:cs="Traditional Arabic"/>
                <w:sz w:val="28"/>
                <w:szCs w:val="28"/>
                <w:lang w:bidi="ar-EG"/>
              </w:rPr>
              <w:t xml:space="preserve">MCDM + </w:t>
            </w:r>
            <w:r w:rsidRPr="00F1203C">
              <w:rPr>
                <w:rFonts w:ascii="Traditional Arabic" w:hAnsi="Traditional Arabic" w:cs="Traditional Arabic"/>
                <w:sz w:val="28"/>
                <w:szCs w:val="28"/>
                <w:rtl/>
              </w:rPr>
              <w:t>دراسات حالة</w:t>
            </w:r>
          </w:p>
        </w:tc>
        <w:tc>
          <w:tcPr>
            <w:tcW w:w="995" w:type="pct"/>
          </w:tcPr>
          <w:p w14:paraId="34A5CCB9" w14:textId="6CA6BCFB" w:rsidR="00F1203C" w:rsidRPr="00F1203C" w:rsidRDefault="00F1203C" w:rsidP="00F1203C">
            <w:pPr>
              <w:bidi/>
              <w:jc w:val="both"/>
              <w:rPr>
                <w:rFonts w:ascii="Traditional Arabic" w:hAnsi="Traditional Arabic" w:cs="Traditional Arabic"/>
                <w:sz w:val="28"/>
                <w:szCs w:val="28"/>
                <w:rtl/>
              </w:rPr>
            </w:pPr>
            <w:r w:rsidRPr="00F1203C">
              <w:rPr>
                <w:rFonts w:ascii="Traditional Arabic" w:hAnsi="Traditional Arabic" w:cs="Traditional Arabic"/>
                <w:sz w:val="28"/>
                <w:szCs w:val="28"/>
                <w:lang w:bidi="ar-EG"/>
              </w:rPr>
              <w:t>Salah et al. (2023)</w:t>
            </w:r>
          </w:p>
        </w:tc>
      </w:tr>
      <w:tr w:rsidR="00F1203C" w:rsidRPr="00F1203C" w14:paraId="79CB6D19" w14:textId="11F979BC" w:rsidTr="00F1203C">
        <w:tc>
          <w:tcPr>
            <w:tcW w:w="1001" w:type="pct"/>
            <w:hideMark/>
          </w:tcPr>
          <w:p w14:paraId="026F1028" w14:textId="107515B6" w:rsidR="00F1203C" w:rsidRPr="00F1203C" w:rsidRDefault="00F1203C" w:rsidP="00F1203C">
            <w:pPr>
              <w:bidi/>
              <w:spacing w:after="160"/>
              <w:jc w:val="both"/>
              <w:rPr>
                <w:rFonts w:ascii="Traditional Arabic" w:hAnsi="Traditional Arabic" w:cs="Traditional Arabic"/>
                <w:sz w:val="28"/>
                <w:szCs w:val="28"/>
                <w:lang w:bidi="ar-EG"/>
              </w:rPr>
            </w:pPr>
            <w:r w:rsidRPr="00F1203C">
              <w:rPr>
                <w:rFonts w:ascii="Traditional Arabic" w:hAnsi="Traditional Arabic" w:cs="Traditional Arabic"/>
                <w:sz w:val="28"/>
                <w:szCs w:val="28"/>
                <w:rtl/>
              </w:rPr>
              <w:t>سياق مختلف عن السعودية</w:t>
            </w:r>
          </w:p>
        </w:tc>
        <w:tc>
          <w:tcPr>
            <w:tcW w:w="1001" w:type="pct"/>
          </w:tcPr>
          <w:p w14:paraId="5C9ECD90" w14:textId="44780E42" w:rsidR="00F1203C" w:rsidRPr="00F1203C" w:rsidRDefault="00F1203C" w:rsidP="00F1203C">
            <w:pPr>
              <w:bidi/>
              <w:jc w:val="both"/>
              <w:rPr>
                <w:rFonts w:ascii="Traditional Arabic" w:hAnsi="Traditional Arabic" w:cs="Traditional Arabic"/>
                <w:sz w:val="28"/>
                <w:szCs w:val="28"/>
                <w:lang w:bidi="ar-EG"/>
              </w:rPr>
            </w:pPr>
            <w:r w:rsidRPr="00F1203C">
              <w:rPr>
                <w:rFonts w:ascii="Traditional Arabic" w:hAnsi="Traditional Arabic" w:cs="Traditional Arabic"/>
                <w:sz w:val="28"/>
                <w:szCs w:val="28"/>
                <w:rtl/>
              </w:rPr>
              <w:t>قوة إحصائية عالية</w:t>
            </w:r>
          </w:p>
        </w:tc>
        <w:tc>
          <w:tcPr>
            <w:tcW w:w="1001" w:type="pct"/>
          </w:tcPr>
          <w:p w14:paraId="5340FBD5" w14:textId="4CC7DF0E" w:rsidR="00F1203C" w:rsidRPr="00F1203C" w:rsidRDefault="00F1203C" w:rsidP="00F1203C">
            <w:pPr>
              <w:bidi/>
              <w:jc w:val="both"/>
              <w:rPr>
                <w:rFonts w:ascii="Traditional Arabic" w:hAnsi="Traditional Arabic" w:cs="Traditional Arabic"/>
                <w:sz w:val="28"/>
                <w:szCs w:val="28"/>
                <w:lang w:bidi="ar-EG"/>
              </w:rPr>
            </w:pPr>
            <w:r w:rsidRPr="00F1203C">
              <w:rPr>
                <w:rFonts w:ascii="Traditional Arabic" w:hAnsi="Traditional Arabic" w:cs="Traditional Arabic"/>
                <w:sz w:val="28"/>
                <w:szCs w:val="28"/>
                <w:rtl/>
              </w:rPr>
              <w:t>ارتباط الأداء بإدارة المشاريع</w:t>
            </w:r>
          </w:p>
        </w:tc>
        <w:tc>
          <w:tcPr>
            <w:tcW w:w="1001" w:type="pct"/>
          </w:tcPr>
          <w:p w14:paraId="4F9AFBEF" w14:textId="4FC152A1" w:rsidR="00F1203C" w:rsidRPr="00F1203C" w:rsidRDefault="00F1203C" w:rsidP="00F1203C">
            <w:pPr>
              <w:bidi/>
              <w:jc w:val="both"/>
              <w:rPr>
                <w:rFonts w:ascii="Traditional Arabic" w:hAnsi="Traditional Arabic" w:cs="Traditional Arabic"/>
                <w:sz w:val="28"/>
                <w:szCs w:val="28"/>
                <w:lang w:bidi="ar-EG"/>
              </w:rPr>
            </w:pPr>
            <w:r w:rsidRPr="00F1203C">
              <w:rPr>
                <w:rFonts w:ascii="Traditional Arabic" w:hAnsi="Traditional Arabic" w:cs="Traditional Arabic"/>
                <w:sz w:val="28"/>
                <w:szCs w:val="28"/>
                <w:lang w:bidi="ar-EG"/>
              </w:rPr>
              <w:t xml:space="preserve">SEM + </w:t>
            </w:r>
            <w:r w:rsidRPr="00F1203C">
              <w:rPr>
                <w:rFonts w:ascii="Traditional Arabic" w:hAnsi="Traditional Arabic" w:cs="Traditional Arabic"/>
                <w:sz w:val="28"/>
                <w:szCs w:val="28"/>
                <w:rtl/>
              </w:rPr>
              <w:t>استبيان</w:t>
            </w:r>
          </w:p>
        </w:tc>
        <w:tc>
          <w:tcPr>
            <w:tcW w:w="995" w:type="pct"/>
          </w:tcPr>
          <w:p w14:paraId="6FF43634" w14:textId="2729DEB0" w:rsidR="00F1203C" w:rsidRPr="00F1203C" w:rsidRDefault="00F1203C" w:rsidP="00F1203C">
            <w:pPr>
              <w:bidi/>
              <w:jc w:val="both"/>
              <w:rPr>
                <w:rFonts w:ascii="Traditional Arabic" w:hAnsi="Traditional Arabic" w:cs="Traditional Arabic"/>
                <w:sz w:val="28"/>
                <w:szCs w:val="28"/>
                <w:rtl/>
              </w:rPr>
            </w:pPr>
            <w:proofErr w:type="spellStart"/>
            <w:r w:rsidRPr="00F1203C">
              <w:rPr>
                <w:rFonts w:ascii="Traditional Arabic" w:hAnsi="Traditional Arabic" w:cs="Traditional Arabic"/>
                <w:sz w:val="28"/>
                <w:szCs w:val="28"/>
                <w:lang w:bidi="ar-EG"/>
              </w:rPr>
              <w:t>Unegbu</w:t>
            </w:r>
            <w:proofErr w:type="spellEnd"/>
            <w:r w:rsidRPr="00F1203C">
              <w:rPr>
                <w:rFonts w:ascii="Traditional Arabic" w:hAnsi="Traditional Arabic" w:cs="Traditional Arabic"/>
                <w:sz w:val="28"/>
                <w:szCs w:val="28"/>
                <w:lang w:bidi="ar-EG"/>
              </w:rPr>
              <w:t xml:space="preserve"> et al. (2022)</w:t>
            </w:r>
          </w:p>
        </w:tc>
      </w:tr>
      <w:tr w:rsidR="00F1203C" w:rsidRPr="00F1203C" w14:paraId="5CA335A1" w14:textId="1BAEA8FA" w:rsidTr="00F1203C">
        <w:tc>
          <w:tcPr>
            <w:tcW w:w="1001" w:type="pct"/>
            <w:hideMark/>
          </w:tcPr>
          <w:p w14:paraId="7EAA0C34" w14:textId="6E6C9221" w:rsidR="00F1203C" w:rsidRPr="00F1203C" w:rsidRDefault="00F1203C" w:rsidP="00F1203C">
            <w:pPr>
              <w:bidi/>
              <w:spacing w:after="160"/>
              <w:jc w:val="both"/>
              <w:rPr>
                <w:rFonts w:ascii="Traditional Arabic" w:hAnsi="Traditional Arabic" w:cs="Traditional Arabic"/>
                <w:sz w:val="28"/>
                <w:szCs w:val="28"/>
                <w:lang w:bidi="ar-EG"/>
              </w:rPr>
            </w:pPr>
            <w:r w:rsidRPr="00F1203C">
              <w:rPr>
                <w:rFonts w:ascii="Traditional Arabic" w:hAnsi="Traditional Arabic" w:cs="Traditional Arabic"/>
                <w:sz w:val="28"/>
                <w:szCs w:val="28"/>
                <w:rtl/>
              </w:rPr>
              <w:t>غياب الربط بالاستدامة</w:t>
            </w:r>
          </w:p>
        </w:tc>
        <w:tc>
          <w:tcPr>
            <w:tcW w:w="1001" w:type="pct"/>
          </w:tcPr>
          <w:p w14:paraId="3B74FF52" w14:textId="2AC4F733" w:rsidR="00F1203C" w:rsidRPr="00F1203C" w:rsidRDefault="00F1203C" w:rsidP="00F1203C">
            <w:pPr>
              <w:bidi/>
              <w:jc w:val="both"/>
              <w:rPr>
                <w:rFonts w:ascii="Traditional Arabic" w:hAnsi="Traditional Arabic" w:cs="Traditional Arabic"/>
                <w:sz w:val="28"/>
                <w:szCs w:val="28"/>
                <w:lang w:bidi="ar-EG"/>
              </w:rPr>
            </w:pPr>
            <w:r w:rsidRPr="00F1203C">
              <w:rPr>
                <w:rFonts w:ascii="Traditional Arabic" w:hAnsi="Traditional Arabic" w:cs="Traditional Arabic"/>
                <w:sz w:val="28"/>
                <w:szCs w:val="28"/>
                <w:rtl/>
              </w:rPr>
              <w:t>ارتباط بالسياق السعودي</w:t>
            </w:r>
          </w:p>
        </w:tc>
        <w:tc>
          <w:tcPr>
            <w:tcW w:w="1001" w:type="pct"/>
          </w:tcPr>
          <w:p w14:paraId="1273AF67" w14:textId="614C3492" w:rsidR="00F1203C" w:rsidRPr="00F1203C" w:rsidRDefault="00F1203C" w:rsidP="00F1203C">
            <w:pPr>
              <w:bidi/>
              <w:jc w:val="both"/>
              <w:rPr>
                <w:rFonts w:ascii="Traditional Arabic" w:hAnsi="Traditional Arabic" w:cs="Traditional Arabic"/>
                <w:sz w:val="28"/>
                <w:szCs w:val="28"/>
                <w:lang w:bidi="ar-EG"/>
              </w:rPr>
            </w:pPr>
            <w:r w:rsidRPr="00F1203C">
              <w:rPr>
                <w:rFonts w:ascii="Traditional Arabic" w:hAnsi="Traditional Arabic" w:cs="Traditional Arabic"/>
                <w:sz w:val="28"/>
                <w:szCs w:val="28"/>
                <w:rtl/>
              </w:rPr>
              <w:t>تحديد مخاطر التأخير</w:t>
            </w:r>
          </w:p>
        </w:tc>
        <w:tc>
          <w:tcPr>
            <w:tcW w:w="1001" w:type="pct"/>
          </w:tcPr>
          <w:p w14:paraId="644514FE" w14:textId="7DA3BD68" w:rsidR="00F1203C" w:rsidRPr="00F1203C" w:rsidRDefault="00F1203C" w:rsidP="00F1203C">
            <w:pPr>
              <w:bidi/>
              <w:jc w:val="both"/>
              <w:rPr>
                <w:rFonts w:ascii="Traditional Arabic" w:hAnsi="Traditional Arabic" w:cs="Traditional Arabic"/>
                <w:sz w:val="28"/>
                <w:szCs w:val="28"/>
                <w:lang w:bidi="ar-EG"/>
              </w:rPr>
            </w:pPr>
            <w:r w:rsidRPr="00F1203C">
              <w:rPr>
                <w:rFonts w:ascii="Traditional Arabic" w:hAnsi="Traditional Arabic" w:cs="Traditional Arabic"/>
                <w:sz w:val="28"/>
                <w:szCs w:val="28"/>
                <w:lang w:bidi="ar-EG"/>
              </w:rPr>
              <w:t xml:space="preserve">RII + </w:t>
            </w:r>
            <w:r w:rsidRPr="00F1203C">
              <w:rPr>
                <w:rFonts w:ascii="Traditional Arabic" w:hAnsi="Traditional Arabic" w:cs="Traditional Arabic"/>
                <w:sz w:val="28"/>
                <w:szCs w:val="28"/>
                <w:rtl/>
              </w:rPr>
              <w:t>استبيان</w:t>
            </w:r>
          </w:p>
        </w:tc>
        <w:tc>
          <w:tcPr>
            <w:tcW w:w="995" w:type="pct"/>
          </w:tcPr>
          <w:p w14:paraId="00407ECE" w14:textId="131EE411" w:rsidR="00F1203C" w:rsidRPr="00F1203C" w:rsidRDefault="00F1203C" w:rsidP="00F1203C">
            <w:pPr>
              <w:bidi/>
              <w:jc w:val="both"/>
              <w:rPr>
                <w:rFonts w:ascii="Traditional Arabic" w:hAnsi="Traditional Arabic" w:cs="Traditional Arabic"/>
                <w:sz w:val="28"/>
                <w:szCs w:val="28"/>
                <w:rtl/>
              </w:rPr>
            </w:pPr>
            <w:proofErr w:type="spellStart"/>
            <w:r w:rsidRPr="00F1203C">
              <w:rPr>
                <w:rFonts w:ascii="Traditional Arabic" w:hAnsi="Traditional Arabic" w:cs="Traditional Arabic"/>
                <w:sz w:val="28"/>
                <w:szCs w:val="28"/>
                <w:lang w:bidi="ar-EG"/>
              </w:rPr>
              <w:t>Alshihri</w:t>
            </w:r>
            <w:proofErr w:type="spellEnd"/>
            <w:r w:rsidRPr="00F1203C">
              <w:rPr>
                <w:rFonts w:ascii="Traditional Arabic" w:hAnsi="Traditional Arabic" w:cs="Traditional Arabic"/>
                <w:sz w:val="28"/>
                <w:szCs w:val="28"/>
                <w:lang w:bidi="ar-EG"/>
              </w:rPr>
              <w:t xml:space="preserve"> et al. (2022)</w:t>
            </w:r>
          </w:p>
        </w:tc>
      </w:tr>
      <w:tr w:rsidR="00F1203C" w:rsidRPr="00F1203C" w14:paraId="451D3A76" w14:textId="755B37E8" w:rsidTr="00F1203C">
        <w:tc>
          <w:tcPr>
            <w:tcW w:w="1001" w:type="pct"/>
            <w:hideMark/>
          </w:tcPr>
          <w:p w14:paraId="7F8C5170" w14:textId="63993507" w:rsidR="00F1203C" w:rsidRPr="00F1203C" w:rsidRDefault="00F1203C" w:rsidP="00F1203C">
            <w:pPr>
              <w:bidi/>
              <w:spacing w:after="160"/>
              <w:jc w:val="both"/>
              <w:rPr>
                <w:rFonts w:ascii="Traditional Arabic" w:hAnsi="Traditional Arabic" w:cs="Traditional Arabic"/>
                <w:sz w:val="28"/>
                <w:szCs w:val="28"/>
                <w:lang w:bidi="ar-EG"/>
              </w:rPr>
            </w:pPr>
            <w:r w:rsidRPr="00F1203C">
              <w:rPr>
                <w:rFonts w:ascii="Traditional Arabic" w:hAnsi="Traditional Arabic" w:cs="Traditional Arabic"/>
                <w:sz w:val="28"/>
                <w:szCs w:val="28"/>
                <w:rtl/>
              </w:rPr>
              <w:t>غياب اختبار تجريبي</w:t>
            </w:r>
          </w:p>
        </w:tc>
        <w:tc>
          <w:tcPr>
            <w:tcW w:w="1001" w:type="pct"/>
          </w:tcPr>
          <w:p w14:paraId="1A3B242E" w14:textId="4389A519" w:rsidR="00F1203C" w:rsidRPr="00F1203C" w:rsidRDefault="00F1203C" w:rsidP="00F1203C">
            <w:pPr>
              <w:bidi/>
              <w:jc w:val="both"/>
              <w:rPr>
                <w:rFonts w:ascii="Traditional Arabic" w:hAnsi="Traditional Arabic" w:cs="Traditional Arabic"/>
                <w:sz w:val="28"/>
                <w:szCs w:val="28"/>
                <w:rtl/>
              </w:rPr>
            </w:pPr>
            <w:r w:rsidRPr="00F1203C">
              <w:rPr>
                <w:rFonts w:ascii="Traditional Arabic" w:hAnsi="Traditional Arabic" w:cs="Traditional Arabic"/>
                <w:sz w:val="28"/>
                <w:szCs w:val="28"/>
                <w:rtl/>
              </w:rPr>
              <w:t>تحليل شامل</w:t>
            </w:r>
          </w:p>
        </w:tc>
        <w:tc>
          <w:tcPr>
            <w:tcW w:w="1001" w:type="pct"/>
          </w:tcPr>
          <w:p w14:paraId="69E7C5F6" w14:textId="128F84AE" w:rsidR="00F1203C" w:rsidRPr="00F1203C" w:rsidRDefault="00F1203C" w:rsidP="00F1203C">
            <w:pPr>
              <w:bidi/>
              <w:jc w:val="both"/>
              <w:rPr>
                <w:rFonts w:ascii="Traditional Arabic" w:hAnsi="Traditional Arabic" w:cs="Traditional Arabic"/>
                <w:sz w:val="28"/>
                <w:szCs w:val="28"/>
                <w:rtl/>
              </w:rPr>
            </w:pPr>
            <w:r w:rsidRPr="00F1203C">
              <w:rPr>
                <w:rFonts w:ascii="Traditional Arabic" w:hAnsi="Traditional Arabic" w:cs="Traditional Arabic"/>
                <w:sz w:val="28"/>
                <w:szCs w:val="28"/>
                <w:rtl/>
              </w:rPr>
              <w:t>تحديد أسباب التأخير</w:t>
            </w:r>
          </w:p>
        </w:tc>
        <w:tc>
          <w:tcPr>
            <w:tcW w:w="1001" w:type="pct"/>
          </w:tcPr>
          <w:p w14:paraId="31B17BAF" w14:textId="3A784193" w:rsidR="00F1203C" w:rsidRPr="00F1203C" w:rsidRDefault="00F1203C" w:rsidP="00F1203C">
            <w:pPr>
              <w:bidi/>
              <w:jc w:val="both"/>
              <w:rPr>
                <w:rFonts w:ascii="Traditional Arabic" w:hAnsi="Traditional Arabic" w:cs="Traditional Arabic"/>
                <w:sz w:val="28"/>
                <w:szCs w:val="28"/>
                <w:lang w:bidi="ar-EG"/>
              </w:rPr>
            </w:pPr>
            <w:r w:rsidRPr="00F1203C">
              <w:rPr>
                <w:rFonts w:ascii="Traditional Arabic" w:hAnsi="Traditional Arabic" w:cs="Traditional Arabic"/>
                <w:sz w:val="28"/>
                <w:szCs w:val="28"/>
                <w:rtl/>
              </w:rPr>
              <w:t>مراجعة أدبيات</w:t>
            </w:r>
          </w:p>
        </w:tc>
        <w:tc>
          <w:tcPr>
            <w:tcW w:w="995" w:type="pct"/>
          </w:tcPr>
          <w:p w14:paraId="404DC8C0" w14:textId="218794DE" w:rsidR="00F1203C" w:rsidRPr="00F1203C" w:rsidRDefault="00F1203C" w:rsidP="00F1203C">
            <w:pPr>
              <w:bidi/>
              <w:jc w:val="both"/>
              <w:rPr>
                <w:rFonts w:ascii="Traditional Arabic" w:hAnsi="Traditional Arabic" w:cs="Traditional Arabic"/>
                <w:sz w:val="28"/>
                <w:szCs w:val="28"/>
                <w:rtl/>
              </w:rPr>
            </w:pPr>
            <w:r w:rsidRPr="00F1203C">
              <w:rPr>
                <w:rFonts w:ascii="Traditional Arabic" w:hAnsi="Traditional Arabic" w:cs="Traditional Arabic"/>
                <w:sz w:val="28"/>
                <w:szCs w:val="28"/>
                <w:lang w:bidi="ar-EG"/>
              </w:rPr>
              <w:t>Alajmi &amp; Memon (2022)</w:t>
            </w:r>
          </w:p>
        </w:tc>
      </w:tr>
      <w:tr w:rsidR="00F1203C" w:rsidRPr="00F1203C" w14:paraId="2ADC5502" w14:textId="170472CB" w:rsidTr="00F1203C">
        <w:tc>
          <w:tcPr>
            <w:tcW w:w="1001" w:type="pct"/>
            <w:hideMark/>
          </w:tcPr>
          <w:p w14:paraId="12503A61" w14:textId="5DF91B42" w:rsidR="00F1203C" w:rsidRPr="00F1203C" w:rsidRDefault="00F1203C" w:rsidP="00F1203C">
            <w:pPr>
              <w:bidi/>
              <w:spacing w:after="160"/>
              <w:jc w:val="both"/>
              <w:rPr>
                <w:rFonts w:ascii="Traditional Arabic" w:hAnsi="Traditional Arabic" w:cs="Traditional Arabic"/>
                <w:sz w:val="28"/>
                <w:szCs w:val="28"/>
                <w:lang w:bidi="ar-EG"/>
              </w:rPr>
            </w:pPr>
            <w:r w:rsidRPr="00F1203C">
              <w:rPr>
                <w:rFonts w:ascii="Traditional Arabic" w:hAnsi="Traditional Arabic" w:cs="Traditional Arabic"/>
                <w:sz w:val="28"/>
                <w:szCs w:val="28"/>
                <w:rtl/>
              </w:rPr>
              <w:t>غياب أبعاد الاستدامة</w:t>
            </w:r>
          </w:p>
        </w:tc>
        <w:tc>
          <w:tcPr>
            <w:tcW w:w="1001" w:type="pct"/>
          </w:tcPr>
          <w:p w14:paraId="1D4878F4" w14:textId="26E1BD76" w:rsidR="00F1203C" w:rsidRPr="00F1203C" w:rsidRDefault="00F1203C" w:rsidP="00F1203C">
            <w:pPr>
              <w:bidi/>
              <w:jc w:val="both"/>
              <w:rPr>
                <w:rFonts w:ascii="Traditional Arabic" w:hAnsi="Traditional Arabic" w:cs="Traditional Arabic"/>
                <w:sz w:val="28"/>
                <w:szCs w:val="28"/>
                <w:rtl/>
              </w:rPr>
            </w:pPr>
            <w:r w:rsidRPr="00F1203C">
              <w:rPr>
                <w:rFonts w:ascii="Traditional Arabic" w:hAnsi="Traditional Arabic" w:cs="Traditional Arabic"/>
                <w:sz w:val="28"/>
                <w:szCs w:val="28"/>
                <w:rtl/>
              </w:rPr>
              <w:t>دمج ميداني + أدبي</w:t>
            </w:r>
          </w:p>
        </w:tc>
        <w:tc>
          <w:tcPr>
            <w:tcW w:w="1001" w:type="pct"/>
          </w:tcPr>
          <w:p w14:paraId="0054DE5E" w14:textId="3D2E1ED3" w:rsidR="00F1203C" w:rsidRPr="00F1203C" w:rsidRDefault="00F1203C" w:rsidP="00F1203C">
            <w:pPr>
              <w:bidi/>
              <w:jc w:val="both"/>
              <w:rPr>
                <w:rFonts w:ascii="Traditional Arabic" w:hAnsi="Traditional Arabic" w:cs="Traditional Arabic"/>
                <w:sz w:val="28"/>
                <w:szCs w:val="28"/>
                <w:rtl/>
              </w:rPr>
            </w:pPr>
            <w:r w:rsidRPr="00F1203C">
              <w:rPr>
                <w:rFonts w:ascii="Traditional Arabic" w:hAnsi="Traditional Arabic" w:cs="Traditional Arabic"/>
                <w:sz w:val="28"/>
                <w:szCs w:val="28"/>
                <w:rtl/>
              </w:rPr>
              <w:t>تحديد</w:t>
            </w:r>
            <w:r w:rsidRPr="00F1203C">
              <w:rPr>
                <w:rFonts w:ascii="Traditional Arabic" w:hAnsi="Traditional Arabic" w:cs="Traditional Arabic"/>
                <w:sz w:val="28"/>
                <w:szCs w:val="28"/>
                <w:lang w:bidi="ar-EG"/>
              </w:rPr>
              <w:t xml:space="preserve"> KPIs </w:t>
            </w:r>
            <w:r w:rsidRPr="00F1203C">
              <w:rPr>
                <w:rFonts w:ascii="Traditional Arabic" w:hAnsi="Traditional Arabic" w:cs="Traditional Arabic"/>
                <w:sz w:val="28"/>
                <w:szCs w:val="28"/>
                <w:rtl/>
              </w:rPr>
              <w:t>في عسير</w:t>
            </w:r>
          </w:p>
        </w:tc>
        <w:tc>
          <w:tcPr>
            <w:tcW w:w="1001" w:type="pct"/>
          </w:tcPr>
          <w:p w14:paraId="11D9C144" w14:textId="535F0465" w:rsidR="00F1203C" w:rsidRPr="00F1203C" w:rsidRDefault="00F1203C" w:rsidP="00F1203C">
            <w:pPr>
              <w:bidi/>
              <w:jc w:val="both"/>
              <w:rPr>
                <w:rFonts w:ascii="Traditional Arabic" w:hAnsi="Traditional Arabic" w:cs="Traditional Arabic"/>
                <w:sz w:val="28"/>
                <w:szCs w:val="28"/>
                <w:lang w:bidi="ar-EG"/>
              </w:rPr>
            </w:pPr>
            <w:r w:rsidRPr="00F1203C">
              <w:rPr>
                <w:rFonts w:ascii="Traditional Arabic" w:hAnsi="Traditional Arabic" w:cs="Traditional Arabic"/>
                <w:sz w:val="28"/>
                <w:szCs w:val="28"/>
                <w:rtl/>
              </w:rPr>
              <w:t>مقابلات + استبيانات</w:t>
            </w:r>
          </w:p>
        </w:tc>
        <w:tc>
          <w:tcPr>
            <w:tcW w:w="995" w:type="pct"/>
          </w:tcPr>
          <w:p w14:paraId="465FF701" w14:textId="26F2764A" w:rsidR="00F1203C" w:rsidRPr="00F1203C" w:rsidRDefault="00F1203C" w:rsidP="00F1203C">
            <w:pPr>
              <w:bidi/>
              <w:jc w:val="both"/>
              <w:rPr>
                <w:rFonts w:ascii="Traditional Arabic" w:hAnsi="Traditional Arabic" w:cs="Traditional Arabic"/>
                <w:sz w:val="28"/>
                <w:szCs w:val="28"/>
                <w:rtl/>
              </w:rPr>
            </w:pPr>
            <w:r w:rsidRPr="00F1203C">
              <w:rPr>
                <w:rFonts w:ascii="Traditional Arabic" w:hAnsi="Traditional Arabic" w:cs="Traditional Arabic"/>
                <w:sz w:val="28"/>
                <w:szCs w:val="28"/>
                <w:lang w:bidi="ar-EG"/>
              </w:rPr>
              <w:t>Asiri &amp; Al Mazhar (2025)</w:t>
            </w:r>
          </w:p>
        </w:tc>
      </w:tr>
      <w:tr w:rsidR="00F1203C" w:rsidRPr="00F1203C" w14:paraId="772D7517" w14:textId="4D650ED0" w:rsidTr="00F1203C">
        <w:tc>
          <w:tcPr>
            <w:tcW w:w="1001" w:type="pct"/>
            <w:hideMark/>
          </w:tcPr>
          <w:p w14:paraId="0E0F2C91" w14:textId="2A974D5D" w:rsidR="00F1203C" w:rsidRPr="00F1203C" w:rsidRDefault="00F1203C" w:rsidP="00F1203C">
            <w:pPr>
              <w:bidi/>
              <w:spacing w:after="160"/>
              <w:jc w:val="both"/>
              <w:rPr>
                <w:rFonts w:ascii="Traditional Arabic" w:hAnsi="Traditional Arabic" w:cs="Traditional Arabic"/>
                <w:sz w:val="28"/>
                <w:szCs w:val="28"/>
                <w:lang w:bidi="ar-EG"/>
              </w:rPr>
            </w:pPr>
            <w:r w:rsidRPr="00F1203C">
              <w:rPr>
                <w:rFonts w:ascii="Traditional Arabic" w:hAnsi="Traditional Arabic" w:cs="Traditional Arabic"/>
                <w:sz w:val="28"/>
                <w:szCs w:val="28"/>
                <w:rtl/>
              </w:rPr>
              <w:t>غياب بيانات كمية</w:t>
            </w:r>
          </w:p>
        </w:tc>
        <w:tc>
          <w:tcPr>
            <w:tcW w:w="1001" w:type="pct"/>
          </w:tcPr>
          <w:p w14:paraId="7B99EF26" w14:textId="2D615F04" w:rsidR="00F1203C" w:rsidRPr="00F1203C" w:rsidRDefault="00F1203C" w:rsidP="00F1203C">
            <w:pPr>
              <w:bidi/>
              <w:jc w:val="both"/>
              <w:rPr>
                <w:rFonts w:ascii="Traditional Arabic" w:hAnsi="Traditional Arabic" w:cs="Traditional Arabic"/>
                <w:sz w:val="28"/>
                <w:szCs w:val="28"/>
                <w:rtl/>
              </w:rPr>
            </w:pPr>
            <w:r w:rsidRPr="00F1203C">
              <w:rPr>
                <w:rFonts w:ascii="Traditional Arabic" w:hAnsi="Traditional Arabic" w:cs="Traditional Arabic"/>
                <w:sz w:val="28"/>
                <w:szCs w:val="28"/>
                <w:rtl/>
              </w:rPr>
              <w:t>ربط بالسياق المحلي</w:t>
            </w:r>
          </w:p>
        </w:tc>
        <w:tc>
          <w:tcPr>
            <w:tcW w:w="1001" w:type="pct"/>
          </w:tcPr>
          <w:p w14:paraId="5B786CA7" w14:textId="0B86F88B" w:rsidR="00F1203C" w:rsidRPr="00F1203C" w:rsidRDefault="00F1203C" w:rsidP="00F1203C">
            <w:pPr>
              <w:bidi/>
              <w:jc w:val="both"/>
              <w:rPr>
                <w:rFonts w:ascii="Traditional Arabic" w:hAnsi="Traditional Arabic" w:cs="Traditional Arabic"/>
                <w:sz w:val="28"/>
                <w:szCs w:val="28"/>
                <w:rtl/>
              </w:rPr>
            </w:pPr>
            <w:r w:rsidRPr="00F1203C">
              <w:rPr>
                <w:rFonts w:ascii="Traditional Arabic" w:hAnsi="Traditional Arabic" w:cs="Traditional Arabic"/>
                <w:sz w:val="28"/>
                <w:szCs w:val="28"/>
                <w:rtl/>
              </w:rPr>
              <w:t>تقييم معايير الاستدامة</w:t>
            </w:r>
          </w:p>
        </w:tc>
        <w:tc>
          <w:tcPr>
            <w:tcW w:w="1001" w:type="pct"/>
          </w:tcPr>
          <w:p w14:paraId="211C2315" w14:textId="3230CF5D" w:rsidR="00F1203C" w:rsidRPr="00F1203C" w:rsidRDefault="00F1203C" w:rsidP="00F1203C">
            <w:pPr>
              <w:bidi/>
              <w:jc w:val="both"/>
              <w:rPr>
                <w:rFonts w:ascii="Traditional Arabic" w:hAnsi="Traditional Arabic" w:cs="Traditional Arabic"/>
                <w:sz w:val="28"/>
                <w:szCs w:val="28"/>
                <w:lang w:bidi="ar-EG"/>
              </w:rPr>
            </w:pPr>
            <w:r w:rsidRPr="00F1203C">
              <w:rPr>
                <w:rFonts w:ascii="Traditional Arabic" w:hAnsi="Traditional Arabic" w:cs="Traditional Arabic"/>
                <w:sz w:val="28"/>
                <w:szCs w:val="28"/>
                <w:rtl/>
              </w:rPr>
              <w:t>مراجعة نقدية</w:t>
            </w:r>
          </w:p>
        </w:tc>
        <w:tc>
          <w:tcPr>
            <w:tcW w:w="995" w:type="pct"/>
          </w:tcPr>
          <w:p w14:paraId="415EF89C" w14:textId="1B59F609" w:rsidR="00F1203C" w:rsidRPr="00F1203C" w:rsidRDefault="00F1203C" w:rsidP="00F1203C">
            <w:pPr>
              <w:bidi/>
              <w:jc w:val="both"/>
              <w:rPr>
                <w:rFonts w:ascii="Traditional Arabic" w:hAnsi="Traditional Arabic" w:cs="Traditional Arabic"/>
                <w:sz w:val="28"/>
                <w:szCs w:val="28"/>
                <w:rtl/>
              </w:rPr>
            </w:pPr>
            <w:proofErr w:type="spellStart"/>
            <w:r w:rsidRPr="00F1203C">
              <w:rPr>
                <w:rFonts w:ascii="Traditional Arabic" w:hAnsi="Traditional Arabic" w:cs="Traditional Arabic"/>
                <w:sz w:val="28"/>
                <w:szCs w:val="28"/>
                <w:lang w:bidi="ar-EG"/>
              </w:rPr>
              <w:t>Jamoussi</w:t>
            </w:r>
            <w:proofErr w:type="spellEnd"/>
            <w:r w:rsidRPr="00F1203C">
              <w:rPr>
                <w:rFonts w:ascii="Traditional Arabic" w:hAnsi="Traditional Arabic" w:cs="Traditional Arabic"/>
                <w:sz w:val="28"/>
                <w:szCs w:val="28"/>
                <w:lang w:bidi="ar-EG"/>
              </w:rPr>
              <w:t xml:space="preserve"> et al. (2022)</w:t>
            </w:r>
          </w:p>
        </w:tc>
      </w:tr>
      <w:tr w:rsidR="00F1203C" w:rsidRPr="00F1203C" w14:paraId="219AAC9B" w14:textId="5471F0FF" w:rsidTr="00F1203C">
        <w:tc>
          <w:tcPr>
            <w:tcW w:w="1001" w:type="pct"/>
            <w:hideMark/>
          </w:tcPr>
          <w:p w14:paraId="64300773" w14:textId="04717047" w:rsidR="00F1203C" w:rsidRPr="00F1203C" w:rsidRDefault="00F1203C" w:rsidP="00F1203C">
            <w:pPr>
              <w:bidi/>
              <w:spacing w:after="160"/>
              <w:jc w:val="both"/>
              <w:rPr>
                <w:rFonts w:ascii="Traditional Arabic" w:hAnsi="Traditional Arabic" w:cs="Traditional Arabic"/>
                <w:sz w:val="28"/>
                <w:szCs w:val="28"/>
                <w:lang w:bidi="ar-EG"/>
              </w:rPr>
            </w:pPr>
            <w:r w:rsidRPr="00F1203C">
              <w:rPr>
                <w:rFonts w:ascii="Traditional Arabic" w:hAnsi="Traditional Arabic" w:cs="Traditional Arabic"/>
                <w:sz w:val="28"/>
                <w:szCs w:val="28"/>
                <w:rtl/>
              </w:rPr>
              <w:t>ضعف الوعي التقني</w:t>
            </w:r>
          </w:p>
        </w:tc>
        <w:tc>
          <w:tcPr>
            <w:tcW w:w="1001" w:type="pct"/>
          </w:tcPr>
          <w:p w14:paraId="68C6C6B8" w14:textId="53F9A90A" w:rsidR="00F1203C" w:rsidRPr="00F1203C" w:rsidRDefault="00F1203C" w:rsidP="00F1203C">
            <w:pPr>
              <w:bidi/>
              <w:jc w:val="both"/>
              <w:rPr>
                <w:rFonts w:ascii="Traditional Arabic" w:hAnsi="Traditional Arabic" w:cs="Traditional Arabic"/>
                <w:sz w:val="28"/>
                <w:szCs w:val="28"/>
                <w:rtl/>
              </w:rPr>
            </w:pPr>
            <w:r w:rsidRPr="00F1203C">
              <w:rPr>
                <w:rFonts w:ascii="Traditional Arabic" w:hAnsi="Traditional Arabic" w:cs="Traditional Arabic"/>
                <w:sz w:val="28"/>
                <w:szCs w:val="28"/>
                <w:rtl/>
              </w:rPr>
              <w:t xml:space="preserve">دمج </w:t>
            </w:r>
            <w:proofErr w:type="spellStart"/>
            <w:r w:rsidRPr="00F1203C">
              <w:rPr>
                <w:rFonts w:ascii="Traditional Arabic" w:hAnsi="Traditional Arabic" w:cs="Traditional Arabic"/>
                <w:sz w:val="28"/>
                <w:szCs w:val="28"/>
                <w:rtl/>
              </w:rPr>
              <w:t>الرقمنة</w:t>
            </w:r>
            <w:proofErr w:type="spellEnd"/>
            <w:r w:rsidRPr="00F1203C">
              <w:rPr>
                <w:rFonts w:ascii="Traditional Arabic" w:hAnsi="Traditional Arabic" w:cs="Traditional Arabic"/>
                <w:sz w:val="28"/>
                <w:szCs w:val="28"/>
                <w:rtl/>
              </w:rPr>
              <w:t xml:space="preserve"> والاستدامة</w:t>
            </w:r>
          </w:p>
        </w:tc>
        <w:tc>
          <w:tcPr>
            <w:tcW w:w="1001" w:type="pct"/>
          </w:tcPr>
          <w:p w14:paraId="2CC26686" w14:textId="2BD6B57B" w:rsidR="00F1203C" w:rsidRPr="00F1203C" w:rsidRDefault="00F1203C" w:rsidP="00F1203C">
            <w:pPr>
              <w:bidi/>
              <w:jc w:val="both"/>
              <w:rPr>
                <w:rFonts w:ascii="Traditional Arabic" w:hAnsi="Traditional Arabic" w:cs="Traditional Arabic"/>
                <w:sz w:val="28"/>
                <w:szCs w:val="28"/>
                <w:rtl/>
              </w:rPr>
            </w:pPr>
            <w:r w:rsidRPr="00F1203C">
              <w:rPr>
                <w:rFonts w:ascii="Traditional Arabic" w:hAnsi="Traditional Arabic" w:cs="Traditional Arabic"/>
                <w:sz w:val="28"/>
                <w:szCs w:val="28"/>
                <w:rtl/>
              </w:rPr>
              <w:t>دور البلوك تشين</w:t>
            </w:r>
          </w:p>
        </w:tc>
        <w:tc>
          <w:tcPr>
            <w:tcW w:w="1001" w:type="pct"/>
          </w:tcPr>
          <w:p w14:paraId="2D8C7B3F" w14:textId="50FACADD" w:rsidR="00F1203C" w:rsidRPr="00F1203C" w:rsidRDefault="00F1203C" w:rsidP="00F1203C">
            <w:pPr>
              <w:bidi/>
              <w:jc w:val="both"/>
              <w:rPr>
                <w:rFonts w:ascii="Traditional Arabic" w:hAnsi="Traditional Arabic" w:cs="Traditional Arabic"/>
                <w:sz w:val="28"/>
                <w:szCs w:val="28"/>
                <w:lang w:bidi="ar-EG"/>
              </w:rPr>
            </w:pPr>
            <w:r w:rsidRPr="00F1203C">
              <w:rPr>
                <w:rFonts w:ascii="Traditional Arabic" w:hAnsi="Traditional Arabic" w:cs="Traditional Arabic"/>
                <w:sz w:val="28"/>
                <w:szCs w:val="28"/>
                <w:rtl/>
              </w:rPr>
              <w:t>منهج مزدوج</w:t>
            </w:r>
          </w:p>
        </w:tc>
        <w:tc>
          <w:tcPr>
            <w:tcW w:w="995" w:type="pct"/>
          </w:tcPr>
          <w:p w14:paraId="4D919FA9" w14:textId="741809E0" w:rsidR="00F1203C" w:rsidRPr="00F1203C" w:rsidRDefault="00F1203C" w:rsidP="00F1203C">
            <w:pPr>
              <w:bidi/>
              <w:jc w:val="both"/>
              <w:rPr>
                <w:rFonts w:ascii="Traditional Arabic" w:hAnsi="Traditional Arabic" w:cs="Traditional Arabic"/>
                <w:sz w:val="28"/>
                <w:szCs w:val="28"/>
                <w:rtl/>
              </w:rPr>
            </w:pPr>
            <w:r w:rsidRPr="00F1203C">
              <w:rPr>
                <w:rFonts w:ascii="Traditional Arabic" w:hAnsi="Traditional Arabic" w:cs="Traditional Arabic"/>
                <w:sz w:val="28"/>
                <w:szCs w:val="28"/>
                <w:lang w:bidi="ar-EG"/>
              </w:rPr>
              <w:t>Azmi et al. (2022)</w:t>
            </w:r>
          </w:p>
        </w:tc>
      </w:tr>
      <w:tr w:rsidR="00F1203C" w:rsidRPr="00F1203C" w14:paraId="5D7B3063" w14:textId="0B330B32" w:rsidTr="00F1203C">
        <w:tc>
          <w:tcPr>
            <w:tcW w:w="1001" w:type="pct"/>
            <w:hideMark/>
          </w:tcPr>
          <w:p w14:paraId="10C48050" w14:textId="3473A84D" w:rsidR="00F1203C" w:rsidRPr="00F1203C" w:rsidRDefault="00F1203C" w:rsidP="00F1203C">
            <w:pPr>
              <w:bidi/>
              <w:spacing w:after="160"/>
              <w:jc w:val="both"/>
              <w:rPr>
                <w:rFonts w:ascii="Traditional Arabic" w:hAnsi="Traditional Arabic" w:cs="Traditional Arabic"/>
                <w:sz w:val="28"/>
                <w:szCs w:val="28"/>
                <w:lang w:bidi="ar-EG"/>
              </w:rPr>
            </w:pPr>
            <w:r w:rsidRPr="00F1203C">
              <w:rPr>
                <w:rFonts w:ascii="Traditional Arabic" w:hAnsi="Traditional Arabic" w:cs="Traditional Arabic"/>
                <w:sz w:val="28"/>
                <w:szCs w:val="28"/>
                <w:rtl/>
              </w:rPr>
              <w:t>تركيز على الجودة فقط</w:t>
            </w:r>
          </w:p>
        </w:tc>
        <w:tc>
          <w:tcPr>
            <w:tcW w:w="1001" w:type="pct"/>
          </w:tcPr>
          <w:p w14:paraId="1A674E01" w14:textId="66FD0925" w:rsidR="00F1203C" w:rsidRPr="00F1203C" w:rsidRDefault="00F1203C" w:rsidP="00F1203C">
            <w:pPr>
              <w:bidi/>
              <w:jc w:val="both"/>
              <w:rPr>
                <w:rFonts w:ascii="Traditional Arabic" w:hAnsi="Traditional Arabic" w:cs="Traditional Arabic"/>
                <w:sz w:val="28"/>
                <w:szCs w:val="28"/>
                <w:lang w:bidi="ar-EG"/>
              </w:rPr>
            </w:pPr>
            <w:r w:rsidRPr="00F1203C">
              <w:rPr>
                <w:rFonts w:ascii="Traditional Arabic" w:hAnsi="Traditional Arabic" w:cs="Traditional Arabic"/>
                <w:sz w:val="28"/>
                <w:szCs w:val="28"/>
                <w:rtl/>
              </w:rPr>
              <w:t>تطوير معيار تطبيقي</w:t>
            </w:r>
          </w:p>
        </w:tc>
        <w:tc>
          <w:tcPr>
            <w:tcW w:w="1001" w:type="pct"/>
          </w:tcPr>
          <w:p w14:paraId="0828390F" w14:textId="1454CC00" w:rsidR="00F1203C" w:rsidRPr="00F1203C" w:rsidRDefault="00F1203C" w:rsidP="00F1203C">
            <w:pPr>
              <w:bidi/>
              <w:jc w:val="both"/>
              <w:rPr>
                <w:rFonts w:ascii="Traditional Arabic" w:hAnsi="Traditional Arabic" w:cs="Traditional Arabic"/>
                <w:sz w:val="28"/>
                <w:szCs w:val="28"/>
                <w:lang w:bidi="ar-EG"/>
              </w:rPr>
            </w:pPr>
            <w:r w:rsidRPr="00F1203C">
              <w:rPr>
                <w:rFonts w:ascii="Traditional Arabic" w:hAnsi="Traditional Arabic" w:cs="Traditional Arabic"/>
                <w:sz w:val="28"/>
                <w:szCs w:val="28"/>
                <w:rtl/>
              </w:rPr>
              <w:t>مؤشر</w:t>
            </w:r>
            <w:r w:rsidRPr="00F1203C">
              <w:rPr>
                <w:rFonts w:ascii="Traditional Arabic" w:hAnsi="Traditional Arabic" w:cs="Traditional Arabic"/>
                <w:sz w:val="28"/>
                <w:szCs w:val="28"/>
                <w:lang w:bidi="ar-EG"/>
              </w:rPr>
              <w:t xml:space="preserve"> PQI</w:t>
            </w:r>
          </w:p>
        </w:tc>
        <w:tc>
          <w:tcPr>
            <w:tcW w:w="1001" w:type="pct"/>
          </w:tcPr>
          <w:p w14:paraId="7F7050B7" w14:textId="41097F01" w:rsidR="00F1203C" w:rsidRPr="00F1203C" w:rsidRDefault="00F1203C" w:rsidP="00F1203C">
            <w:pPr>
              <w:bidi/>
              <w:jc w:val="both"/>
              <w:rPr>
                <w:rFonts w:ascii="Traditional Arabic" w:hAnsi="Traditional Arabic" w:cs="Traditional Arabic"/>
                <w:sz w:val="28"/>
                <w:szCs w:val="28"/>
                <w:lang w:bidi="ar-EG"/>
              </w:rPr>
            </w:pPr>
            <w:r w:rsidRPr="00F1203C">
              <w:rPr>
                <w:rFonts w:ascii="Traditional Arabic" w:hAnsi="Traditional Arabic" w:cs="Traditional Arabic"/>
                <w:sz w:val="28"/>
                <w:szCs w:val="28"/>
                <w:lang w:bidi="ar-EG"/>
              </w:rPr>
              <w:t>AHP</w:t>
            </w:r>
          </w:p>
        </w:tc>
        <w:tc>
          <w:tcPr>
            <w:tcW w:w="995" w:type="pct"/>
          </w:tcPr>
          <w:p w14:paraId="3096DA39" w14:textId="7D6BC7B9" w:rsidR="00F1203C" w:rsidRPr="00F1203C" w:rsidRDefault="00F1203C" w:rsidP="00F1203C">
            <w:pPr>
              <w:bidi/>
              <w:jc w:val="both"/>
              <w:rPr>
                <w:rFonts w:ascii="Traditional Arabic" w:hAnsi="Traditional Arabic" w:cs="Traditional Arabic"/>
                <w:sz w:val="28"/>
                <w:szCs w:val="28"/>
                <w:rtl/>
              </w:rPr>
            </w:pPr>
            <w:proofErr w:type="spellStart"/>
            <w:r w:rsidRPr="00F1203C">
              <w:rPr>
                <w:rFonts w:ascii="Traditional Arabic" w:hAnsi="Traditional Arabic" w:cs="Traditional Arabic"/>
                <w:sz w:val="28"/>
                <w:szCs w:val="28"/>
                <w:lang w:bidi="ar-EG"/>
              </w:rPr>
              <w:t>Shaawat</w:t>
            </w:r>
            <w:proofErr w:type="spellEnd"/>
            <w:r w:rsidRPr="00F1203C">
              <w:rPr>
                <w:rFonts w:ascii="Traditional Arabic" w:hAnsi="Traditional Arabic" w:cs="Traditional Arabic"/>
                <w:sz w:val="28"/>
                <w:szCs w:val="28"/>
                <w:lang w:bidi="ar-EG"/>
              </w:rPr>
              <w:t xml:space="preserve"> et al. (2023)</w:t>
            </w:r>
          </w:p>
        </w:tc>
      </w:tr>
      <w:tr w:rsidR="00F1203C" w:rsidRPr="00F1203C" w14:paraId="1DD3656A" w14:textId="21892304" w:rsidTr="00F1203C">
        <w:tc>
          <w:tcPr>
            <w:tcW w:w="1001" w:type="pct"/>
            <w:hideMark/>
          </w:tcPr>
          <w:p w14:paraId="570CB6F3" w14:textId="7BF577B4" w:rsidR="00F1203C" w:rsidRPr="00F1203C" w:rsidRDefault="00F1203C" w:rsidP="00F1203C">
            <w:pPr>
              <w:bidi/>
              <w:spacing w:after="160"/>
              <w:jc w:val="both"/>
              <w:rPr>
                <w:rFonts w:ascii="Traditional Arabic" w:hAnsi="Traditional Arabic" w:cs="Traditional Arabic"/>
                <w:sz w:val="28"/>
                <w:szCs w:val="28"/>
                <w:lang w:bidi="ar-EG"/>
              </w:rPr>
            </w:pPr>
            <w:r w:rsidRPr="00F1203C">
              <w:rPr>
                <w:rFonts w:ascii="Traditional Arabic" w:hAnsi="Traditional Arabic" w:cs="Traditional Arabic"/>
                <w:sz w:val="28"/>
                <w:szCs w:val="28"/>
                <w:rtl/>
              </w:rPr>
              <w:t>اختلاف السياقات</w:t>
            </w:r>
          </w:p>
        </w:tc>
        <w:tc>
          <w:tcPr>
            <w:tcW w:w="1001" w:type="pct"/>
          </w:tcPr>
          <w:p w14:paraId="48F1B83C" w14:textId="1422E3A2" w:rsidR="00F1203C" w:rsidRPr="00F1203C" w:rsidRDefault="00F1203C" w:rsidP="00F1203C">
            <w:pPr>
              <w:bidi/>
              <w:jc w:val="both"/>
              <w:rPr>
                <w:rFonts w:ascii="Traditional Arabic" w:hAnsi="Traditional Arabic" w:cs="Traditional Arabic"/>
                <w:sz w:val="28"/>
                <w:szCs w:val="28"/>
                <w:lang w:bidi="ar-EG"/>
              </w:rPr>
            </w:pPr>
            <w:r w:rsidRPr="00F1203C">
              <w:rPr>
                <w:rFonts w:ascii="Traditional Arabic" w:hAnsi="Traditional Arabic" w:cs="Traditional Arabic"/>
                <w:sz w:val="28"/>
                <w:szCs w:val="28"/>
                <w:rtl/>
              </w:rPr>
              <w:t>مقارنة بين دولتين</w:t>
            </w:r>
          </w:p>
        </w:tc>
        <w:tc>
          <w:tcPr>
            <w:tcW w:w="1001" w:type="pct"/>
          </w:tcPr>
          <w:p w14:paraId="7C35ABBC" w14:textId="19838A35" w:rsidR="00F1203C" w:rsidRPr="00F1203C" w:rsidRDefault="00F1203C" w:rsidP="00F1203C">
            <w:pPr>
              <w:bidi/>
              <w:jc w:val="both"/>
              <w:rPr>
                <w:rFonts w:ascii="Traditional Arabic" w:hAnsi="Traditional Arabic" w:cs="Traditional Arabic"/>
                <w:sz w:val="28"/>
                <w:szCs w:val="28"/>
                <w:lang w:bidi="ar-EG"/>
              </w:rPr>
            </w:pPr>
            <w:r w:rsidRPr="00F1203C">
              <w:rPr>
                <w:rFonts w:ascii="Traditional Arabic" w:hAnsi="Traditional Arabic" w:cs="Traditional Arabic"/>
                <w:sz w:val="28"/>
                <w:szCs w:val="28"/>
                <w:rtl/>
              </w:rPr>
              <w:t>تحديد عوائق الأداء</w:t>
            </w:r>
          </w:p>
        </w:tc>
        <w:tc>
          <w:tcPr>
            <w:tcW w:w="1001" w:type="pct"/>
          </w:tcPr>
          <w:p w14:paraId="2154175A" w14:textId="2DE077C6" w:rsidR="00F1203C" w:rsidRPr="00F1203C" w:rsidRDefault="00F1203C" w:rsidP="00F1203C">
            <w:pPr>
              <w:bidi/>
              <w:jc w:val="both"/>
              <w:rPr>
                <w:rFonts w:ascii="Traditional Arabic" w:hAnsi="Traditional Arabic" w:cs="Traditional Arabic"/>
                <w:sz w:val="28"/>
                <w:szCs w:val="28"/>
                <w:lang w:bidi="ar-EG"/>
              </w:rPr>
            </w:pPr>
            <w:r w:rsidRPr="00F1203C">
              <w:rPr>
                <w:rFonts w:ascii="Traditional Arabic" w:hAnsi="Traditional Arabic" w:cs="Traditional Arabic"/>
                <w:sz w:val="28"/>
                <w:szCs w:val="28"/>
                <w:lang w:bidi="ar-EG"/>
              </w:rPr>
              <w:t xml:space="preserve">RII + </w:t>
            </w:r>
            <w:r w:rsidRPr="00F1203C">
              <w:rPr>
                <w:rFonts w:ascii="Traditional Arabic" w:hAnsi="Traditional Arabic" w:cs="Traditional Arabic"/>
                <w:sz w:val="28"/>
                <w:szCs w:val="28"/>
                <w:rtl/>
              </w:rPr>
              <w:t>مقابلات</w:t>
            </w:r>
          </w:p>
        </w:tc>
        <w:tc>
          <w:tcPr>
            <w:tcW w:w="995" w:type="pct"/>
          </w:tcPr>
          <w:p w14:paraId="4A6D072B" w14:textId="09919A57" w:rsidR="00F1203C" w:rsidRPr="00F1203C" w:rsidRDefault="00F1203C" w:rsidP="00F1203C">
            <w:pPr>
              <w:bidi/>
              <w:jc w:val="both"/>
              <w:rPr>
                <w:rFonts w:ascii="Traditional Arabic" w:hAnsi="Traditional Arabic" w:cs="Traditional Arabic"/>
                <w:sz w:val="28"/>
                <w:szCs w:val="28"/>
                <w:rtl/>
              </w:rPr>
            </w:pPr>
            <w:r w:rsidRPr="00F1203C">
              <w:rPr>
                <w:rFonts w:ascii="Traditional Arabic" w:hAnsi="Traditional Arabic" w:cs="Traditional Arabic"/>
                <w:sz w:val="28"/>
                <w:szCs w:val="28"/>
                <w:lang w:bidi="ar-EG"/>
              </w:rPr>
              <w:t>Al-Otaibi et al. (2025)</w:t>
            </w:r>
          </w:p>
        </w:tc>
      </w:tr>
    </w:tbl>
    <w:p w14:paraId="7E41F83F" w14:textId="77777777" w:rsidR="00A229CA" w:rsidRPr="0098481C" w:rsidRDefault="00A229CA" w:rsidP="00A229CA">
      <w:pPr>
        <w:bidi/>
        <w:spacing w:line="480" w:lineRule="auto"/>
        <w:jc w:val="both"/>
        <w:rPr>
          <w:rFonts w:ascii="Traditional Arabic" w:hAnsi="Traditional Arabic" w:cs="Traditional Arabic"/>
          <w:sz w:val="28"/>
          <w:szCs w:val="28"/>
          <w:lang w:bidi="ar-EG"/>
        </w:rPr>
      </w:pPr>
    </w:p>
    <w:p w14:paraId="7E686210" w14:textId="0175DA22" w:rsidR="00D432D9" w:rsidRPr="00D432D9" w:rsidRDefault="0001291B" w:rsidP="00D432D9">
      <w:pPr>
        <w:bidi/>
        <w:spacing w:line="480" w:lineRule="auto"/>
        <w:rPr>
          <w:rFonts w:ascii="Traditional Arabic" w:hAnsi="Traditional Arabic" w:cs="Traditional Arabic"/>
          <w:b/>
          <w:bCs/>
          <w:sz w:val="28"/>
          <w:szCs w:val="28"/>
          <w:lang w:bidi="ar-EG"/>
        </w:rPr>
      </w:pPr>
      <w:r>
        <w:rPr>
          <w:rFonts w:ascii="Traditional Arabic" w:hAnsi="Traditional Arabic" w:cs="Traditional Arabic"/>
          <w:b/>
          <w:bCs/>
          <w:sz w:val="28"/>
          <w:szCs w:val="28"/>
        </w:rPr>
        <w:lastRenderedPageBreak/>
        <w:t>5</w:t>
      </w:r>
      <w:r w:rsidR="007205A8">
        <w:rPr>
          <w:rFonts w:ascii="Traditional Arabic" w:hAnsi="Traditional Arabic" w:cs="Traditional Arabic"/>
          <w:b/>
          <w:bCs/>
          <w:sz w:val="28"/>
          <w:szCs w:val="28"/>
        </w:rPr>
        <w:t>.5</w:t>
      </w:r>
      <w:r w:rsidR="00D432D9" w:rsidRPr="00D432D9">
        <w:rPr>
          <w:rFonts w:ascii="Traditional Arabic" w:hAnsi="Traditional Arabic" w:cs="Traditional Arabic"/>
          <w:b/>
          <w:bCs/>
          <w:sz w:val="28"/>
          <w:szCs w:val="28"/>
          <w:rtl/>
        </w:rPr>
        <w:t>التعليق على الدراسات السابقة والفجوة البحثية</w:t>
      </w:r>
    </w:p>
    <w:p w14:paraId="0586F96D" w14:textId="23AEFFA7" w:rsidR="00D432D9" w:rsidRPr="000843FE" w:rsidRDefault="00D432D9" w:rsidP="002D62DA">
      <w:pPr>
        <w:bidi/>
        <w:spacing w:line="480" w:lineRule="auto"/>
        <w:jc w:val="both"/>
        <w:rPr>
          <w:rFonts w:ascii="Traditional Arabic" w:hAnsi="Traditional Arabic" w:cs="Traditional Arabic"/>
          <w:sz w:val="28"/>
          <w:szCs w:val="28"/>
          <w:lang w:bidi="ar-EG"/>
        </w:rPr>
      </w:pPr>
      <w:r w:rsidRPr="000843FE">
        <w:rPr>
          <w:rFonts w:ascii="Traditional Arabic" w:hAnsi="Traditional Arabic" w:cs="Traditional Arabic"/>
          <w:sz w:val="28"/>
          <w:szCs w:val="28"/>
          <w:rtl/>
        </w:rPr>
        <w:t xml:space="preserve">يتضح من استعراض الدراسات السابقة أن موضوع الاستدامة في المشاريع الإنشائية قد حظي باهتمام بحثي متزايد في السنوات الأخيرة، حيث ركزت بعض الدراسات مثل دراسة </w:t>
      </w:r>
      <w:proofErr w:type="spellStart"/>
      <w:r w:rsidRPr="000843FE">
        <w:rPr>
          <w:rFonts w:ascii="Traditional Arabic" w:hAnsi="Traditional Arabic" w:cs="Traditional Arabic"/>
          <w:sz w:val="28"/>
          <w:szCs w:val="28"/>
          <w:lang w:bidi="ar-EG"/>
        </w:rPr>
        <w:t>Jamoussi</w:t>
      </w:r>
      <w:proofErr w:type="spellEnd"/>
      <w:r w:rsidRPr="000843FE">
        <w:rPr>
          <w:rFonts w:ascii="Traditional Arabic" w:hAnsi="Traditional Arabic" w:cs="Traditional Arabic"/>
          <w:sz w:val="28"/>
          <w:szCs w:val="28"/>
          <w:lang w:bidi="ar-EG"/>
        </w:rPr>
        <w:t xml:space="preserve"> et al. (2022) </w:t>
      </w:r>
      <w:r w:rsidRPr="000843FE">
        <w:rPr>
          <w:rFonts w:ascii="Traditional Arabic" w:hAnsi="Traditional Arabic" w:cs="Traditional Arabic"/>
          <w:sz w:val="28"/>
          <w:szCs w:val="28"/>
          <w:rtl/>
        </w:rPr>
        <w:t>على تقديم مراجعات منهجية للأدبيات وتحليل الأطر النظرية والمعايير المتعلقة بالاستدامة في قطاع البناء، مسلطة الضوء على أهمية دمج مبادئ الاستدامة في مراحل المشروع المختلفة لضمان تحسين الأداء البيئي والاقتصادي والاجتماعي. ورغم أهمية هذه الدراسات في إغناء الإطار النظري، إلا أنها بقيت في الإطار النظري دون تقديم بيانات ميدانية كافية مرتبطة بالسياق السعودي</w:t>
      </w:r>
      <w:r w:rsidRPr="000843FE">
        <w:rPr>
          <w:rFonts w:ascii="Traditional Arabic" w:hAnsi="Traditional Arabic" w:cs="Traditional Arabic"/>
          <w:sz w:val="28"/>
          <w:szCs w:val="28"/>
          <w:lang w:bidi="ar-EG"/>
        </w:rPr>
        <w:t>.</w:t>
      </w:r>
    </w:p>
    <w:p w14:paraId="261B7695" w14:textId="77777777" w:rsidR="00D432D9" w:rsidRPr="000843FE" w:rsidRDefault="00D432D9" w:rsidP="002D62DA">
      <w:pPr>
        <w:bidi/>
        <w:spacing w:line="480" w:lineRule="auto"/>
        <w:jc w:val="both"/>
        <w:rPr>
          <w:rFonts w:ascii="Traditional Arabic" w:hAnsi="Traditional Arabic" w:cs="Traditional Arabic"/>
          <w:sz w:val="28"/>
          <w:szCs w:val="28"/>
          <w:lang w:bidi="ar-EG"/>
        </w:rPr>
      </w:pPr>
      <w:r w:rsidRPr="000843FE">
        <w:rPr>
          <w:rFonts w:ascii="Traditional Arabic" w:hAnsi="Traditional Arabic" w:cs="Traditional Arabic"/>
          <w:sz w:val="28"/>
          <w:szCs w:val="28"/>
          <w:rtl/>
        </w:rPr>
        <w:t xml:space="preserve">كما تناولت دراسات أخرى مثل </w:t>
      </w:r>
      <w:r w:rsidRPr="000843FE">
        <w:rPr>
          <w:rFonts w:ascii="Traditional Arabic" w:hAnsi="Traditional Arabic" w:cs="Traditional Arabic"/>
          <w:sz w:val="28"/>
          <w:szCs w:val="28"/>
          <w:lang w:bidi="ar-EG"/>
        </w:rPr>
        <w:t xml:space="preserve">Rajabi et al. (2022) </w:t>
      </w:r>
      <w:r w:rsidRPr="000843FE">
        <w:rPr>
          <w:rFonts w:ascii="Traditional Arabic" w:hAnsi="Traditional Arabic" w:cs="Traditional Arabic"/>
          <w:sz w:val="28"/>
          <w:szCs w:val="28"/>
          <w:rtl/>
        </w:rPr>
        <w:t>و</w:t>
      </w:r>
      <w:proofErr w:type="spellStart"/>
      <w:r w:rsidRPr="000843FE">
        <w:rPr>
          <w:rFonts w:ascii="Traditional Arabic" w:hAnsi="Traditional Arabic" w:cs="Traditional Arabic"/>
          <w:sz w:val="28"/>
          <w:szCs w:val="28"/>
          <w:lang w:bidi="ar-EG"/>
        </w:rPr>
        <w:t>Shaawat</w:t>
      </w:r>
      <w:proofErr w:type="spellEnd"/>
      <w:r w:rsidRPr="000843FE">
        <w:rPr>
          <w:rFonts w:ascii="Traditional Arabic" w:hAnsi="Traditional Arabic" w:cs="Traditional Arabic"/>
          <w:sz w:val="28"/>
          <w:szCs w:val="28"/>
          <w:lang w:bidi="ar-EG"/>
        </w:rPr>
        <w:t xml:space="preserve"> et al. (2023) </w:t>
      </w:r>
      <w:r w:rsidRPr="000843FE">
        <w:rPr>
          <w:rFonts w:ascii="Traditional Arabic" w:hAnsi="Traditional Arabic" w:cs="Traditional Arabic"/>
          <w:sz w:val="28"/>
          <w:szCs w:val="28"/>
          <w:rtl/>
        </w:rPr>
        <w:t>تطوير مؤشرات أداء رئيسية لقياس الاستدامة، واستخدمت أساليب تحليل كمي مثل التحليل الهرمي التحليلي</w:t>
      </w:r>
      <w:r w:rsidRPr="000843FE">
        <w:rPr>
          <w:rFonts w:ascii="Traditional Arabic" w:hAnsi="Traditional Arabic" w:cs="Traditional Arabic"/>
          <w:sz w:val="28"/>
          <w:szCs w:val="28"/>
          <w:lang w:bidi="ar-EG"/>
        </w:rPr>
        <w:t xml:space="preserve"> (AHP) </w:t>
      </w:r>
      <w:r w:rsidRPr="000843FE">
        <w:rPr>
          <w:rFonts w:ascii="Traditional Arabic" w:hAnsi="Traditional Arabic" w:cs="Traditional Arabic"/>
          <w:sz w:val="28"/>
          <w:szCs w:val="28"/>
          <w:rtl/>
        </w:rPr>
        <w:t>والنمذجة بالمعادلات الهيكلية</w:t>
      </w:r>
      <w:r w:rsidRPr="000843FE">
        <w:rPr>
          <w:rFonts w:ascii="Traditional Arabic" w:hAnsi="Traditional Arabic" w:cs="Traditional Arabic"/>
          <w:sz w:val="28"/>
          <w:szCs w:val="28"/>
          <w:lang w:bidi="ar-EG"/>
        </w:rPr>
        <w:t xml:space="preserve"> (SEM) </w:t>
      </w:r>
      <w:r w:rsidRPr="000843FE">
        <w:rPr>
          <w:rFonts w:ascii="Traditional Arabic" w:hAnsi="Traditional Arabic" w:cs="Traditional Arabic"/>
          <w:sz w:val="28"/>
          <w:szCs w:val="28"/>
          <w:rtl/>
        </w:rPr>
        <w:t>لتقييم هذه المؤشرات وربطها بأداء المشاريع. وقد ساهمت هذه الدراسات في إثراء الفهم التطبيقي للعلاقة بين الاستدامة والأداء، لكنها غالبًا ما ركزت على مؤشرات محددة دون تقديم إطار شامل يربط بين أبعاد الأداء المختلفة مثل الجودة، التكلفة، الوقت، ورضا العملاء في سياق الاستدامة، وهو ما يحد من إمكانية تطبيقها بشكل عملي في إدارة المشاريع بالسوق السعودي</w:t>
      </w:r>
      <w:r w:rsidRPr="000843FE">
        <w:rPr>
          <w:rFonts w:ascii="Traditional Arabic" w:hAnsi="Traditional Arabic" w:cs="Traditional Arabic"/>
          <w:sz w:val="28"/>
          <w:szCs w:val="28"/>
          <w:lang w:bidi="ar-EG"/>
        </w:rPr>
        <w:t>.</w:t>
      </w:r>
    </w:p>
    <w:p w14:paraId="06A0FD83" w14:textId="0CBAFBB3" w:rsidR="00D432D9" w:rsidRPr="000843FE" w:rsidRDefault="00D432D9" w:rsidP="002D62DA">
      <w:pPr>
        <w:bidi/>
        <w:spacing w:line="480" w:lineRule="auto"/>
        <w:jc w:val="both"/>
        <w:rPr>
          <w:rFonts w:ascii="Traditional Arabic" w:hAnsi="Traditional Arabic" w:cs="Traditional Arabic"/>
          <w:sz w:val="28"/>
          <w:szCs w:val="28"/>
          <w:lang w:bidi="ar-EG"/>
        </w:rPr>
      </w:pPr>
      <w:r w:rsidRPr="000843FE">
        <w:rPr>
          <w:rFonts w:ascii="Traditional Arabic" w:hAnsi="Traditional Arabic" w:cs="Traditional Arabic"/>
          <w:sz w:val="28"/>
          <w:szCs w:val="28"/>
          <w:rtl/>
        </w:rPr>
        <w:t xml:space="preserve">من جانب آخر، ركزت بعض الدراسات مثل </w:t>
      </w:r>
      <w:proofErr w:type="spellStart"/>
      <w:r w:rsidRPr="000843FE">
        <w:rPr>
          <w:rFonts w:ascii="Traditional Arabic" w:hAnsi="Traditional Arabic" w:cs="Traditional Arabic"/>
          <w:sz w:val="28"/>
          <w:szCs w:val="28"/>
          <w:lang w:bidi="ar-EG"/>
        </w:rPr>
        <w:t>Unegbu</w:t>
      </w:r>
      <w:proofErr w:type="spellEnd"/>
      <w:r w:rsidRPr="000843FE">
        <w:rPr>
          <w:rFonts w:ascii="Traditional Arabic" w:hAnsi="Traditional Arabic" w:cs="Traditional Arabic"/>
          <w:sz w:val="28"/>
          <w:szCs w:val="28"/>
          <w:lang w:bidi="ar-EG"/>
        </w:rPr>
        <w:t xml:space="preserve"> et al. (2022) </w:t>
      </w:r>
      <w:r w:rsidRPr="000843FE">
        <w:rPr>
          <w:rFonts w:ascii="Traditional Arabic" w:hAnsi="Traditional Arabic" w:cs="Traditional Arabic"/>
          <w:sz w:val="28"/>
          <w:szCs w:val="28"/>
          <w:rtl/>
        </w:rPr>
        <w:t>و</w:t>
      </w:r>
      <w:proofErr w:type="spellStart"/>
      <w:r w:rsidRPr="000843FE">
        <w:rPr>
          <w:rFonts w:ascii="Traditional Arabic" w:hAnsi="Traditional Arabic" w:cs="Traditional Arabic"/>
          <w:sz w:val="28"/>
          <w:szCs w:val="28"/>
          <w:lang w:bidi="ar-EG"/>
        </w:rPr>
        <w:t>Alshihri</w:t>
      </w:r>
      <w:proofErr w:type="spellEnd"/>
      <w:r w:rsidRPr="000843FE">
        <w:rPr>
          <w:rFonts w:ascii="Traditional Arabic" w:hAnsi="Traditional Arabic" w:cs="Traditional Arabic"/>
          <w:sz w:val="28"/>
          <w:szCs w:val="28"/>
          <w:lang w:bidi="ar-EG"/>
        </w:rPr>
        <w:t xml:space="preserve"> et al. (2022) </w:t>
      </w:r>
      <w:r w:rsidR="000843FE" w:rsidRPr="000843FE">
        <w:rPr>
          <w:rFonts w:ascii="Traditional Arabic" w:hAnsi="Traditional Arabic" w:cs="Traditional Arabic" w:hint="cs"/>
          <w:sz w:val="28"/>
          <w:szCs w:val="28"/>
          <w:rtl/>
        </w:rPr>
        <w:t xml:space="preserve"> </w:t>
      </w:r>
      <w:r w:rsidRPr="000843FE">
        <w:rPr>
          <w:rFonts w:ascii="Traditional Arabic" w:hAnsi="Traditional Arabic" w:cs="Traditional Arabic"/>
          <w:sz w:val="28"/>
          <w:szCs w:val="28"/>
          <w:lang w:bidi="ar-EG"/>
        </w:rPr>
        <w:t xml:space="preserve">Alajmi &amp; Memon (2022) </w:t>
      </w:r>
      <w:r w:rsidRPr="000843FE">
        <w:rPr>
          <w:rFonts w:ascii="Traditional Arabic" w:hAnsi="Traditional Arabic" w:cs="Traditional Arabic"/>
          <w:sz w:val="28"/>
          <w:szCs w:val="28"/>
          <w:rtl/>
        </w:rPr>
        <w:t xml:space="preserve">على دراسة أداء المشاريع الإنشائية في ضوء عوامل مثل المخاطر والتأخيرات ومعوقات التنفيذ، حيث أوضحت هذه الدراسات العلاقة بين الممارسات الإدارية والأداء، وأبرزت أهمية التخطيط الجيد وإدارة المخاطر لتحقيق النجاح في المشاريع، لكنها </w:t>
      </w:r>
      <w:r w:rsidRPr="000843FE">
        <w:rPr>
          <w:rFonts w:ascii="Traditional Arabic" w:hAnsi="Traditional Arabic" w:cs="Traditional Arabic"/>
          <w:sz w:val="28"/>
          <w:szCs w:val="28"/>
          <w:rtl/>
        </w:rPr>
        <w:lastRenderedPageBreak/>
        <w:t>لم تربط هذه الجوانب بممارسات الاستدامة بشكل مباشر، كما أن بعضها كان محدودًا في نطاق جغرافي لا يعكس خصوصية السوق السعودي أو متطلبات رؤية المملكة 2030</w:t>
      </w:r>
      <w:r w:rsidRPr="000843FE">
        <w:rPr>
          <w:rFonts w:ascii="Traditional Arabic" w:hAnsi="Traditional Arabic" w:cs="Traditional Arabic"/>
          <w:sz w:val="28"/>
          <w:szCs w:val="28"/>
          <w:lang w:bidi="ar-EG"/>
        </w:rPr>
        <w:t>.</w:t>
      </w:r>
    </w:p>
    <w:p w14:paraId="7E5C2BB5" w14:textId="413FB89A" w:rsidR="0001291B" w:rsidRPr="000843FE" w:rsidRDefault="00D432D9" w:rsidP="00F1203C">
      <w:pPr>
        <w:bidi/>
        <w:spacing w:line="480" w:lineRule="auto"/>
        <w:jc w:val="both"/>
        <w:rPr>
          <w:rFonts w:ascii="Traditional Arabic" w:hAnsi="Traditional Arabic" w:cs="Traditional Arabic"/>
          <w:sz w:val="28"/>
          <w:szCs w:val="28"/>
          <w:lang w:bidi="ar-EG"/>
        </w:rPr>
      </w:pPr>
      <w:r w:rsidRPr="000843FE">
        <w:rPr>
          <w:rFonts w:ascii="Traditional Arabic" w:hAnsi="Traditional Arabic" w:cs="Traditional Arabic"/>
          <w:sz w:val="28"/>
          <w:szCs w:val="28"/>
          <w:rtl/>
        </w:rPr>
        <w:t xml:space="preserve">أما الدراسات التي حاولت الربط بين الاستدامة والأداء في المشاريع، مثل </w:t>
      </w:r>
      <w:r w:rsidRPr="000843FE">
        <w:rPr>
          <w:rFonts w:ascii="Traditional Arabic" w:hAnsi="Traditional Arabic" w:cs="Traditional Arabic"/>
          <w:sz w:val="28"/>
          <w:szCs w:val="28"/>
          <w:lang w:bidi="ar-EG"/>
        </w:rPr>
        <w:t xml:space="preserve">Al-Otaibi et al. (2025) </w:t>
      </w:r>
      <w:r w:rsidRPr="000843FE">
        <w:rPr>
          <w:rFonts w:ascii="Traditional Arabic" w:hAnsi="Traditional Arabic" w:cs="Traditional Arabic"/>
          <w:sz w:val="28"/>
          <w:szCs w:val="28"/>
          <w:rtl/>
        </w:rPr>
        <w:t>و</w:t>
      </w:r>
      <w:r w:rsidRPr="000843FE">
        <w:rPr>
          <w:rFonts w:ascii="Traditional Arabic" w:hAnsi="Traditional Arabic" w:cs="Traditional Arabic"/>
          <w:sz w:val="28"/>
          <w:szCs w:val="28"/>
          <w:lang w:bidi="ar-EG"/>
        </w:rPr>
        <w:t>Azmi et al. (2022)</w:t>
      </w:r>
      <w:r w:rsidRPr="000843FE">
        <w:rPr>
          <w:rFonts w:ascii="Traditional Arabic" w:hAnsi="Traditional Arabic" w:cs="Traditional Arabic"/>
          <w:sz w:val="28"/>
          <w:szCs w:val="28"/>
          <w:rtl/>
        </w:rPr>
        <w:t>، فقد تناولت موضوعات مهمة مثل تأثير استخدام تقنيات حديثة كـ</w:t>
      </w:r>
      <w:r w:rsidRPr="000843FE">
        <w:rPr>
          <w:rFonts w:ascii="Traditional Arabic" w:hAnsi="Traditional Arabic" w:cs="Traditional Arabic"/>
          <w:sz w:val="28"/>
          <w:szCs w:val="28"/>
          <w:lang w:bidi="ar-EG"/>
        </w:rPr>
        <w:t xml:space="preserve"> Blockchain </w:t>
      </w:r>
      <w:r w:rsidRPr="000843FE">
        <w:rPr>
          <w:rFonts w:ascii="Traditional Arabic" w:hAnsi="Traditional Arabic" w:cs="Traditional Arabic"/>
          <w:sz w:val="28"/>
          <w:szCs w:val="28"/>
          <w:rtl/>
        </w:rPr>
        <w:t>و</w:t>
      </w:r>
      <w:r w:rsidRPr="000843FE">
        <w:rPr>
          <w:rFonts w:ascii="Traditional Arabic" w:hAnsi="Traditional Arabic" w:cs="Traditional Arabic"/>
          <w:sz w:val="28"/>
          <w:szCs w:val="28"/>
          <w:lang w:bidi="ar-EG"/>
        </w:rPr>
        <w:t xml:space="preserve">BIM </w:t>
      </w:r>
      <w:r w:rsidRPr="000843FE">
        <w:rPr>
          <w:rFonts w:ascii="Traditional Arabic" w:hAnsi="Traditional Arabic" w:cs="Traditional Arabic"/>
          <w:sz w:val="28"/>
          <w:szCs w:val="28"/>
          <w:rtl/>
        </w:rPr>
        <w:t>على استدامة المشاريع، وكذلك تحليل المعوقات التي تحد من الأداء المستدام في المشاريع الإنشائية في الدول النامية ومنها السعودية. وعلى الرغم من أهميتها، إلا أن هذه الدراسات غالبًا ما ركزت على زاوية معينة مثل التكنولوجيا أو المعوقات التنظيمية دون دراسة العلاقة التكاملية بين تطبيق مبادئ الاستدامة بجوانبها المختلفة (البيئية، الاقتصادية، الاجتماعية) وتأثيرها على مؤشرات الأداء في المشاريع الإنشائية</w:t>
      </w:r>
      <w:r w:rsidRPr="000843FE">
        <w:rPr>
          <w:rFonts w:ascii="Traditional Arabic" w:hAnsi="Traditional Arabic" w:cs="Traditional Arabic"/>
          <w:sz w:val="28"/>
          <w:szCs w:val="28"/>
          <w:lang w:bidi="ar-EG"/>
        </w:rPr>
        <w:t>.</w:t>
      </w:r>
    </w:p>
    <w:p w14:paraId="130F35B3" w14:textId="77777777" w:rsidR="00D432D9" w:rsidRPr="00D432D9" w:rsidRDefault="00D432D9" w:rsidP="00D432D9">
      <w:pPr>
        <w:bidi/>
        <w:spacing w:line="480" w:lineRule="auto"/>
        <w:rPr>
          <w:rFonts w:ascii="Traditional Arabic" w:hAnsi="Traditional Arabic" w:cs="Traditional Arabic"/>
          <w:b/>
          <w:bCs/>
          <w:sz w:val="28"/>
          <w:szCs w:val="28"/>
          <w:lang w:bidi="ar-EG"/>
        </w:rPr>
      </w:pPr>
      <w:r w:rsidRPr="00D432D9">
        <w:rPr>
          <w:rFonts w:ascii="Traditional Arabic" w:hAnsi="Traditional Arabic" w:cs="Traditional Arabic"/>
          <w:b/>
          <w:bCs/>
          <w:sz w:val="28"/>
          <w:szCs w:val="28"/>
          <w:rtl/>
        </w:rPr>
        <w:t>الفجوة البحثية</w:t>
      </w:r>
    </w:p>
    <w:p w14:paraId="115D7DF4" w14:textId="73206998" w:rsidR="00D432D9" w:rsidRPr="00D432D9" w:rsidRDefault="00D432D9" w:rsidP="00D432D9">
      <w:pPr>
        <w:pStyle w:val="ListParagraph"/>
        <w:numPr>
          <w:ilvl w:val="0"/>
          <w:numId w:val="11"/>
        </w:numPr>
        <w:bidi/>
        <w:spacing w:line="480" w:lineRule="auto"/>
        <w:rPr>
          <w:rFonts w:ascii="Traditional Arabic" w:hAnsi="Traditional Arabic" w:cs="Traditional Arabic"/>
          <w:sz w:val="28"/>
          <w:szCs w:val="28"/>
          <w:lang w:bidi="ar-EG"/>
        </w:rPr>
      </w:pPr>
      <w:r w:rsidRPr="00D432D9">
        <w:rPr>
          <w:rFonts w:ascii="Traditional Arabic" w:hAnsi="Traditional Arabic" w:cs="Traditional Arabic"/>
          <w:b/>
          <w:bCs/>
          <w:sz w:val="28"/>
          <w:szCs w:val="28"/>
          <w:rtl/>
        </w:rPr>
        <w:t>قلة الدراسات الميدانية في السياق السعودي</w:t>
      </w:r>
      <w:r w:rsidRPr="00D432D9">
        <w:rPr>
          <w:rFonts w:ascii="Traditional Arabic" w:hAnsi="Traditional Arabic" w:cs="Traditional Arabic"/>
          <w:sz w:val="28"/>
          <w:szCs w:val="28"/>
          <w:rtl/>
        </w:rPr>
        <w:t xml:space="preserve"> التي تربط بين تطبيق مبادئ الاستدامة وأداء المشاريع الإنشائية بأبعاده الأربعة (الجودة، التكلفة، الوقت، رضا العملاء) باستخدام بيانات مباشرة من المشاريع والشركات العاملة في السوق السعودي، بما يعزز مواءمة النتائج مع احتياجات رؤية المملكة 2030</w:t>
      </w:r>
      <w:r w:rsidRPr="00D432D9">
        <w:rPr>
          <w:rFonts w:ascii="Traditional Arabic" w:hAnsi="Traditional Arabic" w:cs="Traditional Arabic"/>
          <w:sz w:val="28"/>
          <w:szCs w:val="28"/>
          <w:lang w:bidi="ar-EG"/>
        </w:rPr>
        <w:t>.</w:t>
      </w:r>
    </w:p>
    <w:p w14:paraId="4AB5B8A8" w14:textId="5D4277BF" w:rsidR="00D432D9" w:rsidRPr="00D432D9" w:rsidRDefault="00D432D9" w:rsidP="00D432D9">
      <w:pPr>
        <w:pStyle w:val="ListParagraph"/>
        <w:numPr>
          <w:ilvl w:val="0"/>
          <w:numId w:val="11"/>
        </w:numPr>
        <w:bidi/>
        <w:spacing w:line="480" w:lineRule="auto"/>
        <w:rPr>
          <w:rFonts w:ascii="Traditional Arabic" w:hAnsi="Traditional Arabic" w:cs="Traditional Arabic"/>
          <w:sz w:val="28"/>
          <w:szCs w:val="28"/>
          <w:lang w:bidi="ar-EG"/>
        </w:rPr>
      </w:pPr>
      <w:r w:rsidRPr="00D432D9">
        <w:rPr>
          <w:rFonts w:ascii="Traditional Arabic" w:hAnsi="Traditional Arabic" w:cs="Traditional Arabic"/>
          <w:b/>
          <w:bCs/>
          <w:sz w:val="28"/>
          <w:szCs w:val="28"/>
          <w:rtl/>
        </w:rPr>
        <w:t>غياب الدراسات التي تقدم إطارًا قياسًا شاملًا</w:t>
      </w:r>
      <w:r w:rsidRPr="00D432D9">
        <w:rPr>
          <w:rFonts w:ascii="Traditional Arabic" w:hAnsi="Traditional Arabic" w:cs="Traditional Arabic"/>
          <w:sz w:val="28"/>
          <w:szCs w:val="28"/>
          <w:rtl/>
        </w:rPr>
        <w:t xml:space="preserve"> يجمع بين مؤشرات الأداء الرئيسية وممارسات الاستدامة في المشاريع، بشكل يساعد الشركات على تقييم الأثر الحقيقي لممارسات الاستدامة على الأداء التشغيلي والمالي والإداري للمشاريع</w:t>
      </w:r>
      <w:r w:rsidRPr="00D432D9">
        <w:rPr>
          <w:rFonts w:ascii="Traditional Arabic" w:hAnsi="Traditional Arabic" w:cs="Traditional Arabic"/>
          <w:sz w:val="28"/>
          <w:szCs w:val="28"/>
          <w:lang w:bidi="ar-EG"/>
        </w:rPr>
        <w:t>.</w:t>
      </w:r>
    </w:p>
    <w:p w14:paraId="3879D5A8" w14:textId="21D0E0B8" w:rsidR="00D432D9" w:rsidRPr="00D432D9" w:rsidRDefault="00D432D9" w:rsidP="00D432D9">
      <w:pPr>
        <w:pStyle w:val="ListParagraph"/>
        <w:numPr>
          <w:ilvl w:val="0"/>
          <w:numId w:val="11"/>
        </w:numPr>
        <w:bidi/>
        <w:spacing w:line="480" w:lineRule="auto"/>
        <w:rPr>
          <w:rFonts w:ascii="Traditional Arabic" w:hAnsi="Traditional Arabic" w:cs="Traditional Arabic"/>
          <w:sz w:val="28"/>
          <w:szCs w:val="28"/>
          <w:lang w:bidi="ar-EG"/>
        </w:rPr>
      </w:pPr>
      <w:r w:rsidRPr="00D432D9">
        <w:rPr>
          <w:rFonts w:ascii="Traditional Arabic" w:hAnsi="Traditional Arabic" w:cs="Traditional Arabic"/>
          <w:b/>
          <w:bCs/>
          <w:sz w:val="28"/>
          <w:szCs w:val="28"/>
          <w:rtl/>
        </w:rPr>
        <w:lastRenderedPageBreak/>
        <w:t>قلة التركيز على الدور الوسيط للعوامل البيئية والتنظيمية</w:t>
      </w:r>
      <w:r w:rsidRPr="00D432D9">
        <w:rPr>
          <w:rFonts w:ascii="Traditional Arabic" w:hAnsi="Traditional Arabic" w:cs="Traditional Arabic"/>
          <w:sz w:val="28"/>
          <w:szCs w:val="28"/>
          <w:rtl/>
        </w:rPr>
        <w:t xml:space="preserve"> (مثل السياسات الحكومية، حجم المشروع، مستوى وعي العاملين بالاستدامة) في العلاقة بين تطبيق مبادئ الاستدامة والأداء في المشاريع الإنشائية، رغم أهمية هذه العوامل في تحديد نجاح تنفيذ ممارسات الاستدامة على أرض الواقع</w:t>
      </w:r>
      <w:r w:rsidRPr="00D432D9">
        <w:rPr>
          <w:rFonts w:ascii="Traditional Arabic" w:hAnsi="Traditional Arabic" w:cs="Traditional Arabic"/>
          <w:sz w:val="28"/>
          <w:szCs w:val="28"/>
          <w:lang w:bidi="ar-EG"/>
        </w:rPr>
        <w:t>.</w:t>
      </w:r>
    </w:p>
    <w:p w14:paraId="7F7EF71E" w14:textId="6E32F36B" w:rsidR="0001291B" w:rsidRPr="00F1203C" w:rsidRDefault="00D432D9" w:rsidP="00F1203C">
      <w:pPr>
        <w:pStyle w:val="ListParagraph"/>
        <w:numPr>
          <w:ilvl w:val="0"/>
          <w:numId w:val="11"/>
        </w:numPr>
        <w:bidi/>
        <w:spacing w:line="480" w:lineRule="auto"/>
        <w:rPr>
          <w:rFonts w:ascii="Traditional Arabic" w:hAnsi="Traditional Arabic" w:cs="Traditional Arabic"/>
          <w:sz w:val="28"/>
          <w:szCs w:val="28"/>
          <w:rtl/>
          <w:lang w:bidi="ar-EG"/>
        </w:rPr>
      </w:pPr>
      <w:r w:rsidRPr="00D432D9">
        <w:rPr>
          <w:rFonts w:ascii="Traditional Arabic" w:hAnsi="Traditional Arabic" w:cs="Traditional Arabic"/>
          <w:b/>
          <w:bCs/>
          <w:sz w:val="28"/>
          <w:szCs w:val="28"/>
          <w:rtl/>
        </w:rPr>
        <w:t>ندرة الدراسات التي تقدم توصيات عملية وقابلة للتطبيق</w:t>
      </w:r>
      <w:r w:rsidRPr="00D432D9">
        <w:rPr>
          <w:rFonts w:ascii="Traditional Arabic" w:hAnsi="Traditional Arabic" w:cs="Traditional Arabic"/>
          <w:sz w:val="28"/>
          <w:szCs w:val="28"/>
          <w:rtl/>
        </w:rPr>
        <w:t xml:space="preserve"> تساعد الشركات الإنشائية على تبني ممارسات الاستدامة بشكل يعزز الأداء، مع تقديم أدوات قابلة للقياس لدعم عمليات المتابعة والتحسين المستمر في المشاريع</w:t>
      </w:r>
      <w:r w:rsidRPr="00D432D9">
        <w:rPr>
          <w:rFonts w:ascii="Traditional Arabic" w:hAnsi="Traditional Arabic" w:cs="Traditional Arabic"/>
          <w:sz w:val="28"/>
          <w:szCs w:val="28"/>
          <w:lang w:bidi="ar-EG"/>
        </w:rPr>
        <w:t>.</w:t>
      </w:r>
    </w:p>
    <w:p w14:paraId="7FA37C89" w14:textId="433F5CFA" w:rsidR="00C9278D" w:rsidRPr="00C9278D" w:rsidRDefault="0001291B" w:rsidP="00C9278D">
      <w:pPr>
        <w:bidi/>
        <w:spacing w:line="480" w:lineRule="auto"/>
        <w:rPr>
          <w:rFonts w:ascii="Traditional Arabic" w:hAnsi="Traditional Arabic" w:cs="Traditional Arabic"/>
          <w:b/>
          <w:bCs/>
          <w:sz w:val="28"/>
          <w:szCs w:val="28"/>
          <w:rtl/>
          <w:lang w:bidi="ar-EG"/>
        </w:rPr>
      </w:pPr>
      <w:r>
        <w:rPr>
          <w:rFonts w:ascii="Traditional Arabic" w:hAnsi="Traditional Arabic" w:cs="Traditional Arabic"/>
          <w:b/>
          <w:bCs/>
          <w:sz w:val="28"/>
          <w:szCs w:val="28"/>
          <w:lang w:bidi="ar-EG"/>
        </w:rPr>
        <w:t>6</w:t>
      </w:r>
      <w:r w:rsidR="007205A8">
        <w:rPr>
          <w:rFonts w:ascii="Traditional Arabic" w:hAnsi="Traditional Arabic" w:cs="Traditional Arabic" w:hint="cs"/>
          <w:b/>
          <w:bCs/>
          <w:sz w:val="28"/>
          <w:szCs w:val="28"/>
          <w:rtl/>
          <w:lang w:bidi="ar-EG"/>
        </w:rPr>
        <w:t xml:space="preserve">. </w:t>
      </w:r>
      <w:r w:rsidR="00C9278D" w:rsidRPr="00C9278D">
        <w:rPr>
          <w:rFonts w:ascii="Traditional Arabic" w:hAnsi="Traditional Arabic" w:cs="Traditional Arabic" w:hint="cs"/>
          <w:b/>
          <w:bCs/>
          <w:sz w:val="28"/>
          <w:szCs w:val="28"/>
          <w:rtl/>
          <w:lang w:bidi="ar-EG"/>
        </w:rPr>
        <w:t>خاتمة الفصل</w:t>
      </w:r>
    </w:p>
    <w:p w14:paraId="5303BC69" w14:textId="77777777" w:rsidR="00C9278D" w:rsidRPr="00C9278D" w:rsidRDefault="00C9278D" w:rsidP="00C9278D">
      <w:pPr>
        <w:bidi/>
        <w:spacing w:line="480" w:lineRule="auto"/>
        <w:rPr>
          <w:rFonts w:ascii="Traditional Arabic" w:hAnsi="Traditional Arabic" w:cs="Traditional Arabic"/>
          <w:sz w:val="28"/>
          <w:szCs w:val="28"/>
          <w:lang w:bidi="ar-EG"/>
        </w:rPr>
      </w:pPr>
      <w:r w:rsidRPr="00C9278D">
        <w:rPr>
          <w:rFonts w:ascii="Traditional Arabic" w:hAnsi="Traditional Arabic" w:cs="Traditional Arabic"/>
          <w:sz w:val="28"/>
          <w:szCs w:val="28"/>
          <w:rtl/>
        </w:rPr>
        <w:t>يتضح من تحليل الجانب النظري والدراسات السابقة أن الاستدامة في المشاريع الإنشائية تُعد إطارًا مفاهيميًا شاملاً يتقاطع مع الأداء التشغيلي والإداري والمالي للمشاريع، وأن فهم العلاقة بينهما يستلزم دمج الأبعاد النظرية مع الشواهد التجريبية. فقد قدّم الجانب النظري أساسًا فكريًا متينًا يوضح تطور مفهوم الاستدامة تاريخيًا ونظريًا، بدءًا من تقرير</w:t>
      </w:r>
      <w:r w:rsidRPr="00C9278D">
        <w:rPr>
          <w:rFonts w:ascii="Traditional Arabic" w:hAnsi="Traditional Arabic" w:cs="Traditional Arabic"/>
          <w:sz w:val="28"/>
          <w:szCs w:val="28"/>
          <w:lang w:bidi="ar-EG"/>
        </w:rPr>
        <w:t xml:space="preserve"> WCED (1987) </w:t>
      </w:r>
      <w:r w:rsidRPr="00C9278D">
        <w:rPr>
          <w:rFonts w:ascii="Traditional Arabic" w:hAnsi="Traditional Arabic" w:cs="Traditional Arabic"/>
          <w:sz w:val="28"/>
          <w:szCs w:val="28"/>
          <w:rtl/>
        </w:rPr>
        <w:t>وإطار</w:t>
      </w:r>
      <w:r w:rsidRPr="00C9278D">
        <w:rPr>
          <w:rFonts w:ascii="Traditional Arabic" w:hAnsi="Traditional Arabic" w:cs="Traditional Arabic"/>
          <w:sz w:val="28"/>
          <w:szCs w:val="28"/>
          <w:lang w:bidi="ar-EG"/>
        </w:rPr>
        <w:t xml:space="preserve"> Triple Bottom Line </w:t>
      </w:r>
      <w:proofErr w:type="spellStart"/>
      <w:r w:rsidRPr="00C9278D">
        <w:rPr>
          <w:rFonts w:ascii="Traditional Arabic" w:hAnsi="Traditional Arabic" w:cs="Traditional Arabic"/>
          <w:sz w:val="28"/>
          <w:szCs w:val="28"/>
          <w:rtl/>
        </w:rPr>
        <w:t>لإلكينغتون</w:t>
      </w:r>
      <w:proofErr w:type="spellEnd"/>
      <w:r w:rsidRPr="00C9278D">
        <w:rPr>
          <w:rFonts w:ascii="Traditional Arabic" w:hAnsi="Traditional Arabic" w:cs="Traditional Arabic"/>
          <w:sz w:val="28"/>
          <w:szCs w:val="28"/>
          <w:rtl/>
        </w:rPr>
        <w:t xml:space="preserve"> (1997)، وصولاً إلى النظريات الحديثة مثل الاقتصاد الدائري والإدارة البيئية المتكاملة. ويُظهر هذا الجانب أن الاستدامة ليست مجرد توجه بيئي، بل منظومة متكاملة تؤثر بعمق على جودة المشروع، وتكلفته، ووقته، ورضا العملاء</w:t>
      </w:r>
      <w:r w:rsidRPr="00C9278D">
        <w:rPr>
          <w:rFonts w:ascii="Traditional Arabic" w:hAnsi="Traditional Arabic" w:cs="Traditional Arabic"/>
          <w:sz w:val="28"/>
          <w:szCs w:val="28"/>
          <w:lang w:bidi="ar-EG"/>
        </w:rPr>
        <w:t>.</w:t>
      </w:r>
    </w:p>
    <w:p w14:paraId="515FF77D" w14:textId="77777777" w:rsidR="00C9278D" w:rsidRPr="00C9278D" w:rsidRDefault="00C9278D" w:rsidP="00C9278D">
      <w:pPr>
        <w:bidi/>
        <w:spacing w:line="480" w:lineRule="auto"/>
        <w:rPr>
          <w:rFonts w:ascii="Traditional Arabic" w:hAnsi="Traditional Arabic" w:cs="Traditional Arabic"/>
          <w:sz w:val="28"/>
          <w:szCs w:val="28"/>
          <w:lang w:bidi="ar-EG"/>
        </w:rPr>
      </w:pPr>
      <w:r w:rsidRPr="00C9278D">
        <w:rPr>
          <w:rFonts w:ascii="Traditional Arabic" w:hAnsi="Traditional Arabic" w:cs="Traditional Arabic"/>
          <w:sz w:val="28"/>
          <w:szCs w:val="28"/>
          <w:rtl/>
        </w:rPr>
        <w:t xml:space="preserve">وعند مقارنة هذا الأساس النظري مع ما قدمته الدراسات السابقة، يتبين أن معظمها ركز على أجزاء مجزأة من العلاقة بين الاستدامة والأداء. فبعض الدراسات تناولت الاستدامة من منظور تقني أو بيئي بحت، بينما ركزت دراسات أخرى على الأداء دون ربطه بممارسات الاستدامة، في حين حاولت دراسات محدودة الربط بين الجانبين لكنها تناولت عناصر منفردة كالتكنولوجيا أو مؤشرات الأداء دون تقديم إطار تكاملي شامل. وهذا يقدم دليلًا واضحًا على وجود فجوة معرفية تتمثل في غياب دراسة تجمع بين الأبعاد </w:t>
      </w:r>
      <w:r w:rsidRPr="00C9278D">
        <w:rPr>
          <w:rFonts w:ascii="Traditional Arabic" w:hAnsi="Traditional Arabic" w:cs="Traditional Arabic"/>
          <w:sz w:val="28"/>
          <w:szCs w:val="28"/>
          <w:rtl/>
        </w:rPr>
        <w:lastRenderedPageBreak/>
        <w:t>الثلاثة للاستدامة (البيئية، الاقتصادية، الاجتماعية) وجميع مؤشرات الأداء الأربعة (الجودة، التكلفة، الوقت، رضا العملاء) داخل نموذج واحد، وخاصة في السياق السعودي</w:t>
      </w:r>
      <w:r w:rsidRPr="00C9278D">
        <w:rPr>
          <w:rFonts w:ascii="Traditional Arabic" w:hAnsi="Traditional Arabic" w:cs="Traditional Arabic"/>
          <w:sz w:val="28"/>
          <w:szCs w:val="28"/>
          <w:lang w:bidi="ar-EG"/>
        </w:rPr>
        <w:t>.</w:t>
      </w:r>
    </w:p>
    <w:p w14:paraId="69A64D1A" w14:textId="77777777" w:rsidR="00C9278D" w:rsidRPr="00C9278D" w:rsidRDefault="00C9278D" w:rsidP="00C9278D">
      <w:pPr>
        <w:bidi/>
        <w:spacing w:line="480" w:lineRule="auto"/>
        <w:rPr>
          <w:rFonts w:ascii="Traditional Arabic" w:hAnsi="Traditional Arabic" w:cs="Traditional Arabic"/>
          <w:sz w:val="28"/>
          <w:szCs w:val="28"/>
          <w:lang w:bidi="ar-EG"/>
        </w:rPr>
      </w:pPr>
      <w:r w:rsidRPr="00C9278D">
        <w:rPr>
          <w:rFonts w:ascii="Traditional Arabic" w:hAnsi="Traditional Arabic" w:cs="Traditional Arabic"/>
          <w:sz w:val="28"/>
          <w:szCs w:val="28"/>
          <w:rtl/>
        </w:rPr>
        <w:t>ويُسهم هذا الربط في دعم فرضيات الدراسة، إذ تشير الأطر النظرية إلى أن الاستدامة تؤثر بطبيعتها على الأداء من خلال تحسين كفاءة الموارد، وتقليل الهدر، وتعزيز جودة التنفيذ، وهي نفس الاتجاهات التي أشارت إليها نتائج بعض الدراسات وإن كان بشكل غير مباشر أو جزئي. وبالتالي، فإن الدراسة الحالية تستند إلى الأساس النظري والدلائل التجريبية السابقة لتطوير تصور بحثي أكثر شمولًا قادرًا على تفسير كيفية انتقال أثر ممارسات الاستدامة إلى الأداء العام للمشاريع. ويؤكد ذلك أهمية النموذج المفاهيمي الذي تبنته الدراسة، والذي يربط بين الأبعاد النظرية المتكاملة ومؤشرات الأداء، مما يعزز قدرة الدراسة على اختبار الفرضيات بشكل منهجي دقيق</w:t>
      </w:r>
      <w:r w:rsidRPr="00C9278D">
        <w:rPr>
          <w:rFonts w:ascii="Traditional Arabic" w:hAnsi="Traditional Arabic" w:cs="Traditional Arabic"/>
          <w:sz w:val="28"/>
          <w:szCs w:val="28"/>
          <w:lang w:bidi="ar-EG"/>
        </w:rPr>
        <w:t>.</w:t>
      </w:r>
    </w:p>
    <w:p w14:paraId="344BAFE1" w14:textId="77777777" w:rsidR="00C9278D" w:rsidRPr="00C9278D" w:rsidRDefault="00C9278D" w:rsidP="00C9278D">
      <w:pPr>
        <w:bidi/>
        <w:spacing w:line="480" w:lineRule="auto"/>
        <w:rPr>
          <w:rFonts w:ascii="Traditional Arabic" w:hAnsi="Traditional Arabic" w:cs="Traditional Arabic"/>
          <w:sz w:val="28"/>
          <w:szCs w:val="28"/>
          <w:rtl/>
          <w:lang w:bidi="ar-EG"/>
        </w:rPr>
      </w:pPr>
    </w:p>
    <w:p w14:paraId="1720ED6A" w14:textId="77777777" w:rsidR="00D432D9" w:rsidRDefault="00D432D9" w:rsidP="00D432D9">
      <w:pPr>
        <w:bidi/>
        <w:spacing w:line="480" w:lineRule="auto"/>
        <w:rPr>
          <w:rFonts w:ascii="Traditional Arabic" w:hAnsi="Traditional Arabic" w:cs="Traditional Arabic"/>
          <w:sz w:val="28"/>
          <w:szCs w:val="28"/>
          <w:lang w:bidi="ar-EG"/>
        </w:rPr>
      </w:pPr>
    </w:p>
    <w:p w14:paraId="5BC06A87" w14:textId="77777777" w:rsidR="00146D14" w:rsidRDefault="00146D14" w:rsidP="00146D14">
      <w:pPr>
        <w:bidi/>
        <w:spacing w:line="480" w:lineRule="auto"/>
        <w:rPr>
          <w:rFonts w:ascii="Traditional Arabic" w:hAnsi="Traditional Arabic" w:cs="Traditional Arabic"/>
          <w:sz w:val="28"/>
          <w:szCs w:val="28"/>
          <w:rtl/>
          <w:lang w:bidi="ar-EG"/>
        </w:rPr>
      </w:pPr>
    </w:p>
    <w:p w14:paraId="6DF45C2B" w14:textId="77777777" w:rsidR="002D62DA" w:rsidRDefault="002D62DA" w:rsidP="002D62DA">
      <w:pPr>
        <w:bidi/>
        <w:spacing w:line="480" w:lineRule="auto"/>
        <w:rPr>
          <w:rFonts w:ascii="Traditional Arabic" w:hAnsi="Traditional Arabic" w:cs="Traditional Arabic"/>
          <w:sz w:val="28"/>
          <w:szCs w:val="28"/>
          <w:rtl/>
          <w:lang w:bidi="ar-EG"/>
        </w:rPr>
      </w:pPr>
    </w:p>
    <w:p w14:paraId="356032AD" w14:textId="77777777" w:rsidR="002D62DA" w:rsidRDefault="002D62DA" w:rsidP="002D62DA">
      <w:pPr>
        <w:bidi/>
        <w:spacing w:line="480" w:lineRule="auto"/>
        <w:rPr>
          <w:rFonts w:ascii="Traditional Arabic" w:hAnsi="Traditional Arabic" w:cs="Traditional Arabic"/>
          <w:sz w:val="28"/>
          <w:szCs w:val="28"/>
          <w:rtl/>
          <w:lang w:bidi="ar-EG"/>
        </w:rPr>
      </w:pPr>
    </w:p>
    <w:p w14:paraId="7EF8B539" w14:textId="77777777" w:rsidR="0001291B" w:rsidRDefault="0001291B" w:rsidP="0001291B">
      <w:pPr>
        <w:bidi/>
        <w:spacing w:line="480" w:lineRule="auto"/>
        <w:rPr>
          <w:rFonts w:ascii="Traditional Arabic" w:hAnsi="Traditional Arabic" w:cs="Traditional Arabic"/>
          <w:sz w:val="28"/>
          <w:szCs w:val="28"/>
          <w:rtl/>
          <w:lang w:bidi="ar-EG"/>
        </w:rPr>
      </w:pPr>
    </w:p>
    <w:p w14:paraId="7D914AB3" w14:textId="32D34B02" w:rsidR="00D432D9" w:rsidRDefault="00D432D9" w:rsidP="00D432D9">
      <w:pPr>
        <w:bidi/>
        <w:spacing w:line="480" w:lineRule="auto"/>
        <w:rPr>
          <w:rFonts w:ascii="Traditional Arabic" w:hAnsi="Traditional Arabic" w:cs="Traditional Arabic"/>
          <w:b/>
          <w:bCs/>
          <w:sz w:val="28"/>
          <w:szCs w:val="28"/>
          <w:rtl/>
          <w:lang w:bidi="ar-EG"/>
        </w:rPr>
      </w:pPr>
      <w:r w:rsidRPr="00D432D9">
        <w:rPr>
          <w:rFonts w:ascii="Traditional Arabic" w:hAnsi="Traditional Arabic" w:cs="Traditional Arabic" w:hint="cs"/>
          <w:b/>
          <w:bCs/>
          <w:sz w:val="28"/>
          <w:szCs w:val="28"/>
          <w:rtl/>
          <w:lang w:bidi="ar-EG"/>
        </w:rPr>
        <w:lastRenderedPageBreak/>
        <w:t>المراجع</w:t>
      </w:r>
    </w:p>
    <w:p w14:paraId="7D053F39" w14:textId="2DA5696B" w:rsidR="00D432D9" w:rsidRPr="00D432D9" w:rsidRDefault="00D432D9" w:rsidP="00D432D9">
      <w:pPr>
        <w:bidi/>
        <w:spacing w:line="480" w:lineRule="auto"/>
        <w:rPr>
          <w:rFonts w:ascii="Traditional Arabic" w:hAnsi="Traditional Arabic" w:cs="Traditional Arabic"/>
          <w:b/>
          <w:bCs/>
          <w:sz w:val="28"/>
          <w:szCs w:val="28"/>
          <w:rtl/>
          <w:lang w:bidi="ar-EG"/>
        </w:rPr>
      </w:pPr>
      <w:r>
        <w:rPr>
          <w:rFonts w:ascii="Traditional Arabic" w:hAnsi="Traditional Arabic" w:cs="Traditional Arabic" w:hint="cs"/>
          <w:b/>
          <w:bCs/>
          <w:sz w:val="28"/>
          <w:szCs w:val="28"/>
          <w:rtl/>
          <w:lang w:bidi="ar-EG"/>
        </w:rPr>
        <w:t>المراجع العربية</w:t>
      </w:r>
    </w:p>
    <w:p w14:paraId="21EBE06A" w14:textId="77777777" w:rsidR="00762E11" w:rsidRPr="00D432D9" w:rsidRDefault="00762E11" w:rsidP="00D432D9">
      <w:pPr>
        <w:pStyle w:val="ListParagraph"/>
        <w:numPr>
          <w:ilvl w:val="0"/>
          <w:numId w:val="18"/>
        </w:numPr>
        <w:bidi/>
        <w:spacing w:line="480" w:lineRule="auto"/>
        <w:rPr>
          <w:rFonts w:ascii="Traditional Arabic" w:hAnsi="Traditional Arabic" w:cs="Traditional Arabic"/>
          <w:sz w:val="28"/>
          <w:szCs w:val="28"/>
          <w:lang w:bidi="ar-EG"/>
        </w:rPr>
      </w:pPr>
      <w:r w:rsidRPr="00D432D9">
        <w:rPr>
          <w:rFonts w:ascii="Traditional Arabic" w:hAnsi="Traditional Arabic" w:cs="Traditional Arabic"/>
          <w:sz w:val="28"/>
          <w:szCs w:val="28"/>
          <w:rtl/>
        </w:rPr>
        <w:t>البقعي، ل. ب. ف.، و الهزايمة، أ. ب. ص. (2023). أثر تطبيق الإدارة الخضراء على تحقيق التنمية البيئية المستدامة</w:t>
      </w:r>
      <w:r w:rsidRPr="00D432D9">
        <w:rPr>
          <w:rFonts w:ascii="Traditional Arabic" w:hAnsi="Traditional Arabic" w:cs="Traditional Arabic"/>
          <w:sz w:val="28"/>
          <w:szCs w:val="28"/>
          <w:lang w:bidi="ar-EG"/>
        </w:rPr>
        <w:t xml:space="preserve">. </w:t>
      </w:r>
      <w:r w:rsidRPr="00D432D9">
        <w:rPr>
          <w:rFonts w:ascii="Traditional Arabic" w:hAnsi="Traditional Arabic" w:cs="Traditional Arabic"/>
          <w:i/>
          <w:iCs/>
          <w:sz w:val="28"/>
          <w:szCs w:val="28"/>
          <w:rtl/>
        </w:rPr>
        <w:t>المجلة الأكاديمية للأبحاث والنشر العلمي، الإصدار الثامن والأربعون</w:t>
      </w:r>
      <w:r w:rsidRPr="00D432D9">
        <w:rPr>
          <w:rFonts w:ascii="Traditional Arabic" w:hAnsi="Traditional Arabic" w:cs="Traditional Arabic"/>
          <w:i/>
          <w:iCs/>
          <w:sz w:val="28"/>
          <w:szCs w:val="28"/>
          <w:lang w:bidi="ar-EG"/>
        </w:rPr>
        <w:t>.</w:t>
      </w:r>
      <w:r w:rsidRPr="00D432D9">
        <w:rPr>
          <w:rFonts w:ascii="Traditional Arabic" w:hAnsi="Traditional Arabic" w:cs="Traditional Arabic"/>
          <w:sz w:val="28"/>
          <w:szCs w:val="28"/>
          <w:lang w:bidi="ar-EG"/>
        </w:rPr>
        <w:t xml:space="preserve"> https://doi.org/10.52132/Ajrsp/v4.48.3</w:t>
      </w:r>
    </w:p>
    <w:p w14:paraId="710D184C" w14:textId="2A8B8E5E" w:rsidR="00762E11" w:rsidRPr="007205A8" w:rsidRDefault="007205A8" w:rsidP="007205A8">
      <w:pPr>
        <w:pStyle w:val="ListParagraph"/>
        <w:numPr>
          <w:ilvl w:val="0"/>
          <w:numId w:val="18"/>
        </w:numPr>
        <w:bidi/>
        <w:spacing w:line="480" w:lineRule="auto"/>
        <w:rPr>
          <w:rFonts w:ascii="Traditional Arabic" w:hAnsi="Traditional Arabic" w:cs="Traditional Arabic"/>
          <w:sz w:val="28"/>
          <w:szCs w:val="28"/>
          <w:lang w:bidi="ar-EG"/>
        </w:rPr>
      </w:pPr>
      <w:r w:rsidRPr="007205A8">
        <w:rPr>
          <w:rFonts w:ascii="Traditional Arabic" w:hAnsi="Traditional Arabic" w:cs="Traditional Arabic"/>
          <w:sz w:val="28"/>
          <w:szCs w:val="28"/>
          <w:rtl/>
        </w:rPr>
        <w:t>الحسن، ع. م. ع</w:t>
      </w:r>
      <w:r w:rsidRPr="007205A8">
        <w:rPr>
          <w:rFonts w:ascii="Traditional Arabic" w:hAnsi="Traditional Arabic" w:cs="Traditional Arabic"/>
          <w:sz w:val="28"/>
          <w:szCs w:val="28"/>
          <w:lang w:bidi="ar-EG"/>
        </w:rPr>
        <w:t xml:space="preserve">. (2025). </w:t>
      </w:r>
      <w:r w:rsidRPr="007205A8">
        <w:rPr>
          <w:rFonts w:ascii="Traditional Arabic" w:hAnsi="Traditional Arabic" w:cs="Traditional Arabic"/>
          <w:sz w:val="28"/>
          <w:szCs w:val="28"/>
          <w:rtl/>
        </w:rPr>
        <w:t>دور إدارة الجودة في تحسين واستدامة المشاريع الإنشائية: دراسة حالة دولة الكويت</w:t>
      </w:r>
      <w:r w:rsidRPr="007205A8">
        <w:rPr>
          <w:rFonts w:ascii="Traditional Arabic" w:hAnsi="Traditional Arabic" w:cs="Traditional Arabic"/>
          <w:sz w:val="28"/>
          <w:szCs w:val="28"/>
          <w:lang w:bidi="ar-EG"/>
        </w:rPr>
        <w:t xml:space="preserve">. </w:t>
      </w:r>
      <w:r w:rsidRPr="007205A8">
        <w:rPr>
          <w:rFonts w:ascii="Traditional Arabic" w:hAnsi="Traditional Arabic" w:cs="Traditional Arabic"/>
          <w:i/>
          <w:iCs/>
          <w:sz w:val="28"/>
          <w:szCs w:val="28"/>
          <w:rtl/>
        </w:rPr>
        <w:t>المجلة العربية للنشر العلمي</w:t>
      </w:r>
      <w:r w:rsidRPr="007205A8">
        <w:rPr>
          <w:rFonts w:ascii="Traditional Arabic" w:hAnsi="Traditional Arabic" w:cs="Traditional Arabic"/>
          <w:sz w:val="28"/>
          <w:szCs w:val="28"/>
          <w:rtl/>
        </w:rPr>
        <w:t>، 8</w:t>
      </w:r>
      <w:r w:rsidRPr="007205A8">
        <w:rPr>
          <w:rFonts w:ascii="Traditional Arabic" w:hAnsi="Traditional Arabic" w:cs="Traditional Arabic"/>
          <w:sz w:val="28"/>
          <w:szCs w:val="28"/>
          <w:lang w:bidi="ar-EG"/>
        </w:rPr>
        <w:t>(67)</w:t>
      </w:r>
      <w:r w:rsidRPr="007205A8">
        <w:rPr>
          <w:rFonts w:ascii="Traditional Arabic" w:hAnsi="Traditional Arabic" w:cs="Traditional Arabic"/>
          <w:sz w:val="28"/>
          <w:szCs w:val="28"/>
          <w:rtl/>
        </w:rPr>
        <w:t>، 376</w:t>
      </w:r>
      <w:r w:rsidRPr="007205A8">
        <w:rPr>
          <w:rFonts w:ascii="Traditional Arabic" w:hAnsi="Traditional Arabic" w:cs="Traditional Arabic"/>
          <w:sz w:val="28"/>
          <w:szCs w:val="28"/>
          <w:lang w:bidi="ar-EG"/>
        </w:rPr>
        <w:t>–391.</w:t>
      </w:r>
    </w:p>
    <w:p w14:paraId="1E6A1AFD" w14:textId="77777777" w:rsidR="00762E11" w:rsidRPr="00D432D9" w:rsidRDefault="00762E11" w:rsidP="00D432D9">
      <w:pPr>
        <w:pStyle w:val="ListParagraph"/>
        <w:numPr>
          <w:ilvl w:val="0"/>
          <w:numId w:val="18"/>
        </w:numPr>
        <w:bidi/>
        <w:spacing w:line="480" w:lineRule="auto"/>
        <w:rPr>
          <w:rFonts w:ascii="Traditional Arabic" w:hAnsi="Traditional Arabic" w:cs="Traditional Arabic"/>
          <w:sz w:val="28"/>
          <w:szCs w:val="28"/>
          <w:lang w:bidi="ar-EG"/>
        </w:rPr>
      </w:pPr>
      <w:r w:rsidRPr="00D432D9">
        <w:rPr>
          <w:rFonts w:ascii="Traditional Arabic" w:hAnsi="Traditional Arabic" w:cs="Traditional Arabic"/>
          <w:sz w:val="28"/>
          <w:szCs w:val="28"/>
          <w:rtl/>
        </w:rPr>
        <w:t>الحسن، ع. م. ع.، و الفارسي، ح. ن. ح. (2025). تأثير تأخير المشاريع الإنشائية على التنمية المستدامة في الكويت: بحث تحليلي متعدد الأبعاد</w:t>
      </w:r>
      <w:r w:rsidRPr="00D432D9">
        <w:rPr>
          <w:rFonts w:ascii="Traditional Arabic" w:hAnsi="Traditional Arabic" w:cs="Traditional Arabic"/>
          <w:sz w:val="28"/>
          <w:szCs w:val="28"/>
          <w:lang w:bidi="ar-EG"/>
        </w:rPr>
        <w:t xml:space="preserve">. </w:t>
      </w:r>
      <w:r w:rsidRPr="00D432D9">
        <w:rPr>
          <w:rFonts w:ascii="Traditional Arabic" w:hAnsi="Traditional Arabic" w:cs="Traditional Arabic"/>
          <w:i/>
          <w:iCs/>
          <w:sz w:val="28"/>
          <w:szCs w:val="28"/>
          <w:rtl/>
        </w:rPr>
        <w:t>المجلة العربية للنشر العلمي، 2</w:t>
      </w:r>
      <w:r w:rsidRPr="00D432D9">
        <w:rPr>
          <w:rFonts w:ascii="Traditional Arabic" w:hAnsi="Traditional Arabic" w:cs="Traditional Arabic"/>
          <w:sz w:val="28"/>
          <w:szCs w:val="28"/>
          <w:lang w:bidi="ar-EG"/>
        </w:rPr>
        <w:t>(9)</w:t>
      </w:r>
      <w:r w:rsidRPr="00D432D9">
        <w:rPr>
          <w:rFonts w:ascii="Traditional Arabic" w:hAnsi="Traditional Arabic" w:cs="Traditional Arabic"/>
          <w:sz w:val="28"/>
          <w:szCs w:val="28"/>
          <w:rtl/>
        </w:rPr>
        <w:t>، 591</w:t>
      </w:r>
      <w:r w:rsidRPr="00D432D9">
        <w:rPr>
          <w:rFonts w:ascii="Traditional Arabic" w:hAnsi="Traditional Arabic" w:cs="Traditional Arabic"/>
          <w:sz w:val="28"/>
          <w:szCs w:val="28"/>
          <w:lang w:bidi="ar-EG"/>
        </w:rPr>
        <w:t>–607.</w:t>
      </w:r>
    </w:p>
    <w:p w14:paraId="671EF7AF" w14:textId="1E1C3779" w:rsidR="00A03BD5" w:rsidRDefault="00762E11" w:rsidP="00F1203C">
      <w:pPr>
        <w:pStyle w:val="ListParagraph"/>
        <w:numPr>
          <w:ilvl w:val="0"/>
          <w:numId w:val="18"/>
        </w:numPr>
        <w:bidi/>
        <w:spacing w:line="480" w:lineRule="auto"/>
        <w:rPr>
          <w:rFonts w:ascii="Traditional Arabic" w:hAnsi="Traditional Arabic" w:cs="Traditional Arabic"/>
          <w:sz w:val="28"/>
          <w:szCs w:val="28"/>
          <w:lang w:bidi="ar-EG"/>
        </w:rPr>
      </w:pPr>
      <w:r w:rsidRPr="00D432D9">
        <w:rPr>
          <w:rFonts w:ascii="Traditional Arabic" w:hAnsi="Traditional Arabic" w:cs="Traditional Arabic"/>
          <w:sz w:val="28"/>
          <w:szCs w:val="28"/>
          <w:rtl/>
        </w:rPr>
        <w:t xml:space="preserve">العابد، ع. م.، الزامل، و. س.، و المالكي، ع. م. (2022). تطبيق مبادئ الاستدامة البيئية في الأحياء السكنية القائمة في مكة المكرمة: حي الشرائع كنموذج. في </w:t>
      </w:r>
      <w:r w:rsidRPr="00D432D9">
        <w:rPr>
          <w:rFonts w:ascii="Traditional Arabic" w:hAnsi="Traditional Arabic" w:cs="Traditional Arabic"/>
          <w:i/>
          <w:iCs/>
          <w:sz w:val="28"/>
          <w:szCs w:val="28"/>
          <w:rtl/>
        </w:rPr>
        <w:t>أعمال المؤتمر الدولي جبري تونس (الندوة الدولية للمدن الذكية والتخطيط العمراني)</w:t>
      </w:r>
      <w:r w:rsidRPr="00D432D9">
        <w:rPr>
          <w:rFonts w:ascii="Traditional Arabic" w:hAnsi="Traditional Arabic" w:cs="Traditional Arabic"/>
          <w:sz w:val="28"/>
          <w:szCs w:val="28"/>
          <w:rtl/>
        </w:rPr>
        <w:t xml:space="preserve"> (ص. 1–17). تونس: الجمعية التونسية للإعلام الجغرافي الرقمي</w:t>
      </w:r>
      <w:r w:rsidRPr="00D432D9">
        <w:rPr>
          <w:rFonts w:ascii="Traditional Arabic" w:hAnsi="Traditional Arabic" w:cs="Traditional Arabic"/>
          <w:sz w:val="28"/>
          <w:szCs w:val="28"/>
          <w:lang w:bidi="ar-EG"/>
        </w:rPr>
        <w:t>.</w:t>
      </w:r>
    </w:p>
    <w:p w14:paraId="7AA726BF" w14:textId="0D1C36B0" w:rsidR="00C82DFC" w:rsidRPr="00C82DFC" w:rsidRDefault="00C82DFC" w:rsidP="00C82DFC">
      <w:pPr>
        <w:pStyle w:val="ListParagraph"/>
        <w:numPr>
          <w:ilvl w:val="0"/>
          <w:numId w:val="18"/>
        </w:numPr>
        <w:bidi/>
        <w:spacing w:line="480" w:lineRule="auto"/>
        <w:rPr>
          <w:rFonts w:ascii="Traditional Arabic" w:hAnsi="Traditional Arabic" w:cs="Traditional Arabic"/>
          <w:sz w:val="28"/>
          <w:szCs w:val="28"/>
          <w:lang w:bidi="ar-EG"/>
        </w:rPr>
      </w:pPr>
      <w:r w:rsidRPr="00C82DFC">
        <w:rPr>
          <w:rFonts w:ascii="Traditional Arabic" w:hAnsi="Traditional Arabic" w:cs="Traditional Arabic"/>
          <w:sz w:val="28"/>
          <w:szCs w:val="28"/>
          <w:rtl/>
        </w:rPr>
        <w:t>النويصر، ن. ب. ح.، غوش، أ.، و شمسي، م. أ. (2025). أثر تطبيق إدارة الجودة الشاملة في تحسين الأداء المؤسسي في المملكة العربية السعودية: دراسة ميدانية على مجموعة من الجمعيات الخيرية بمدينة الرياض</w:t>
      </w:r>
      <w:r w:rsidRPr="00C82DFC">
        <w:rPr>
          <w:rFonts w:ascii="Traditional Arabic" w:hAnsi="Traditional Arabic" w:cs="Traditional Arabic"/>
          <w:sz w:val="28"/>
          <w:szCs w:val="28"/>
          <w:lang w:bidi="ar-EG"/>
        </w:rPr>
        <w:t xml:space="preserve">. </w:t>
      </w:r>
      <w:r w:rsidRPr="00C82DFC">
        <w:rPr>
          <w:rFonts w:ascii="Traditional Arabic" w:hAnsi="Traditional Arabic" w:cs="Traditional Arabic"/>
          <w:i/>
          <w:iCs/>
          <w:sz w:val="28"/>
          <w:szCs w:val="28"/>
          <w:rtl/>
        </w:rPr>
        <w:t>المجلة الدولية لنشر البحوث والدراسات</w:t>
      </w:r>
      <w:r w:rsidRPr="00C82DFC">
        <w:rPr>
          <w:rFonts w:ascii="Traditional Arabic" w:hAnsi="Traditional Arabic" w:cs="Traditional Arabic"/>
          <w:i/>
          <w:iCs/>
          <w:sz w:val="28"/>
          <w:szCs w:val="28"/>
          <w:lang w:bidi="ar-EG"/>
        </w:rPr>
        <w:t xml:space="preserve"> (INJRSP)</w:t>
      </w:r>
      <w:r w:rsidRPr="00C82DFC">
        <w:rPr>
          <w:rFonts w:ascii="Traditional Arabic" w:hAnsi="Traditional Arabic" w:cs="Traditional Arabic"/>
          <w:sz w:val="28"/>
          <w:szCs w:val="28"/>
          <w:lang w:bidi="ar-EG"/>
        </w:rPr>
        <w:t>.</w:t>
      </w:r>
    </w:p>
    <w:p w14:paraId="0D4E9982" w14:textId="5C28323D" w:rsidR="00C82DFC" w:rsidRPr="00C82DFC" w:rsidRDefault="00C82DFC" w:rsidP="00C82DFC">
      <w:pPr>
        <w:pStyle w:val="ListParagraph"/>
        <w:numPr>
          <w:ilvl w:val="0"/>
          <w:numId w:val="18"/>
        </w:numPr>
        <w:bidi/>
        <w:spacing w:line="480" w:lineRule="auto"/>
        <w:rPr>
          <w:rFonts w:ascii="Traditional Arabic" w:hAnsi="Traditional Arabic" w:cs="Traditional Arabic"/>
          <w:sz w:val="28"/>
          <w:szCs w:val="28"/>
          <w:lang w:bidi="ar-EG"/>
        </w:rPr>
      </w:pPr>
      <w:r w:rsidRPr="00C82DFC">
        <w:rPr>
          <w:rFonts w:ascii="Traditional Arabic" w:hAnsi="Traditional Arabic" w:cs="Traditional Arabic"/>
          <w:sz w:val="28"/>
          <w:szCs w:val="28"/>
          <w:rtl/>
        </w:rPr>
        <w:lastRenderedPageBreak/>
        <w:t>القحطاني، ح. ح.، و شعيبي، ف. أ. (2022). أثر إدارة الجودة الشاملة على كفاءة الأداء: دراسة ميدانية على الموظفين الإداريين في إدارة التعليم بمحافظة جدة</w:t>
      </w:r>
      <w:r w:rsidRPr="00C82DFC">
        <w:rPr>
          <w:rFonts w:ascii="Traditional Arabic" w:hAnsi="Traditional Arabic" w:cs="Traditional Arabic"/>
          <w:sz w:val="28"/>
          <w:szCs w:val="28"/>
          <w:lang w:bidi="ar-EG"/>
        </w:rPr>
        <w:t xml:space="preserve">. </w:t>
      </w:r>
      <w:r w:rsidRPr="00C82DFC">
        <w:rPr>
          <w:rFonts w:ascii="Traditional Arabic" w:hAnsi="Traditional Arabic" w:cs="Traditional Arabic"/>
          <w:i/>
          <w:iCs/>
          <w:sz w:val="28"/>
          <w:szCs w:val="28"/>
          <w:rtl/>
        </w:rPr>
        <w:t>المجلة العربية للآداب والدراسات الإنسانية، 6</w:t>
      </w:r>
      <w:r w:rsidRPr="00C82DFC">
        <w:rPr>
          <w:rFonts w:ascii="Traditional Arabic" w:hAnsi="Traditional Arabic" w:cs="Traditional Arabic"/>
          <w:sz w:val="28"/>
          <w:szCs w:val="28"/>
          <w:lang w:bidi="ar-EG"/>
        </w:rPr>
        <w:t>(24)</w:t>
      </w:r>
      <w:r w:rsidRPr="00C82DFC">
        <w:rPr>
          <w:rFonts w:ascii="Traditional Arabic" w:hAnsi="Traditional Arabic" w:cs="Traditional Arabic"/>
          <w:sz w:val="28"/>
          <w:szCs w:val="28"/>
          <w:rtl/>
        </w:rPr>
        <w:t>، 181</w:t>
      </w:r>
      <w:r w:rsidRPr="00C82DFC">
        <w:rPr>
          <w:rFonts w:ascii="Traditional Arabic" w:hAnsi="Traditional Arabic" w:cs="Traditional Arabic"/>
          <w:sz w:val="28"/>
          <w:szCs w:val="28"/>
          <w:lang w:bidi="ar-EG"/>
        </w:rPr>
        <w:t xml:space="preserve">–226. </w:t>
      </w:r>
    </w:p>
    <w:p w14:paraId="11ECDF1A" w14:textId="20EBDA12" w:rsidR="00C82DFC" w:rsidRPr="00C82DFC" w:rsidRDefault="00C82DFC" w:rsidP="00C82DFC">
      <w:pPr>
        <w:pStyle w:val="ListParagraph"/>
        <w:numPr>
          <w:ilvl w:val="0"/>
          <w:numId w:val="18"/>
        </w:numPr>
        <w:bidi/>
        <w:spacing w:line="480" w:lineRule="auto"/>
        <w:rPr>
          <w:rFonts w:ascii="Traditional Arabic" w:hAnsi="Traditional Arabic" w:cs="Traditional Arabic"/>
          <w:sz w:val="28"/>
          <w:szCs w:val="28"/>
          <w:lang w:bidi="ar-EG"/>
        </w:rPr>
      </w:pPr>
      <w:r w:rsidRPr="00C82DFC">
        <w:rPr>
          <w:rFonts w:ascii="Traditional Arabic" w:hAnsi="Traditional Arabic" w:cs="Traditional Arabic"/>
          <w:sz w:val="28"/>
          <w:szCs w:val="28"/>
          <w:rtl/>
        </w:rPr>
        <w:t>العنزي، ط. ت. ف. (2024). إدارة المشاريع المستدامة في مدينة الرياض بتطبيق معايير</w:t>
      </w:r>
      <w:r w:rsidRPr="00C82DFC">
        <w:rPr>
          <w:rFonts w:ascii="Traditional Arabic" w:hAnsi="Traditional Arabic" w:cs="Traditional Arabic"/>
          <w:sz w:val="28"/>
          <w:szCs w:val="28"/>
          <w:lang w:bidi="ar-EG"/>
        </w:rPr>
        <w:t xml:space="preserve"> LEED </w:t>
      </w:r>
      <w:r w:rsidRPr="00C82DFC">
        <w:rPr>
          <w:rFonts w:ascii="Traditional Arabic" w:hAnsi="Traditional Arabic" w:cs="Traditional Arabic"/>
          <w:sz w:val="28"/>
          <w:szCs w:val="28"/>
          <w:rtl/>
        </w:rPr>
        <w:t>ودورها في تحقيق الاستدامة البيئية وفق رؤية المملكة 2030</w:t>
      </w:r>
      <w:r w:rsidRPr="00C82DFC">
        <w:rPr>
          <w:rFonts w:ascii="Traditional Arabic" w:hAnsi="Traditional Arabic" w:cs="Traditional Arabic"/>
          <w:sz w:val="28"/>
          <w:szCs w:val="28"/>
          <w:lang w:bidi="ar-EG"/>
        </w:rPr>
        <w:t xml:space="preserve">. </w:t>
      </w:r>
      <w:r w:rsidRPr="00C82DFC">
        <w:rPr>
          <w:rFonts w:ascii="Traditional Arabic" w:hAnsi="Traditional Arabic" w:cs="Traditional Arabic"/>
          <w:i/>
          <w:iCs/>
          <w:sz w:val="28"/>
          <w:szCs w:val="28"/>
          <w:rtl/>
        </w:rPr>
        <w:t>المجلة الدولية لنشر البحوث والدراسات</w:t>
      </w:r>
      <w:r w:rsidRPr="00C82DFC">
        <w:rPr>
          <w:rFonts w:ascii="Traditional Arabic" w:hAnsi="Traditional Arabic" w:cs="Traditional Arabic"/>
          <w:i/>
          <w:iCs/>
          <w:sz w:val="28"/>
          <w:szCs w:val="28"/>
          <w:lang w:bidi="ar-EG"/>
        </w:rPr>
        <w:t xml:space="preserve"> (INJRSP)</w:t>
      </w:r>
      <w:r w:rsidRPr="00C82DFC">
        <w:rPr>
          <w:rFonts w:ascii="Traditional Arabic" w:hAnsi="Traditional Arabic" w:cs="Traditional Arabic"/>
          <w:sz w:val="28"/>
          <w:szCs w:val="28"/>
          <w:rtl/>
        </w:rPr>
        <w:t xml:space="preserve">، </w:t>
      </w:r>
    </w:p>
    <w:p w14:paraId="41C012D6" w14:textId="45D67E74" w:rsidR="00F1203C" w:rsidRPr="00787328" w:rsidRDefault="00C82DFC" w:rsidP="00787328">
      <w:pPr>
        <w:pStyle w:val="ListParagraph"/>
        <w:numPr>
          <w:ilvl w:val="0"/>
          <w:numId w:val="18"/>
        </w:numPr>
        <w:bidi/>
        <w:spacing w:line="480" w:lineRule="auto"/>
        <w:rPr>
          <w:rFonts w:ascii="Traditional Arabic" w:hAnsi="Traditional Arabic" w:cs="Traditional Arabic"/>
          <w:sz w:val="28"/>
          <w:szCs w:val="28"/>
          <w:lang w:bidi="ar-EG"/>
        </w:rPr>
      </w:pPr>
      <w:r w:rsidRPr="00C82DFC">
        <w:rPr>
          <w:rFonts w:ascii="Traditional Arabic" w:hAnsi="Traditional Arabic" w:cs="Traditional Arabic"/>
          <w:sz w:val="28"/>
          <w:szCs w:val="28"/>
          <w:rtl/>
        </w:rPr>
        <w:t>ماجد، م. م.، وبدوي، س. م. (2025). أثر التخطيط الاستراتيجي على التنمية المستدامة في قطاع الإنشاءات</w:t>
      </w:r>
      <w:r w:rsidRPr="00C82DFC">
        <w:rPr>
          <w:rFonts w:ascii="Traditional Arabic" w:hAnsi="Traditional Arabic" w:cs="Traditional Arabic"/>
          <w:sz w:val="28"/>
          <w:szCs w:val="28"/>
          <w:lang w:bidi="ar-EG"/>
        </w:rPr>
        <w:t xml:space="preserve">. </w:t>
      </w:r>
      <w:r w:rsidRPr="00C82DFC">
        <w:rPr>
          <w:rFonts w:ascii="Traditional Arabic" w:hAnsi="Traditional Arabic" w:cs="Traditional Arabic"/>
          <w:i/>
          <w:iCs/>
          <w:sz w:val="28"/>
          <w:szCs w:val="28"/>
          <w:rtl/>
        </w:rPr>
        <w:t>المجلة العلمية للدراسات التجارية والبيئية، 16</w:t>
      </w:r>
      <w:r w:rsidRPr="00C82DFC">
        <w:rPr>
          <w:rFonts w:ascii="Traditional Arabic" w:hAnsi="Traditional Arabic" w:cs="Traditional Arabic"/>
          <w:sz w:val="28"/>
          <w:szCs w:val="28"/>
          <w:lang w:bidi="ar-EG"/>
        </w:rPr>
        <w:t>(3)</w:t>
      </w:r>
      <w:r w:rsidRPr="00C82DFC">
        <w:rPr>
          <w:rFonts w:ascii="Traditional Arabic" w:hAnsi="Traditional Arabic" w:cs="Traditional Arabic"/>
          <w:sz w:val="28"/>
          <w:szCs w:val="28"/>
          <w:rtl/>
        </w:rPr>
        <w:t>، 2932</w:t>
      </w:r>
      <w:r w:rsidRPr="00C82DFC">
        <w:rPr>
          <w:rFonts w:ascii="Traditional Arabic" w:hAnsi="Traditional Arabic" w:cs="Traditional Arabic"/>
          <w:sz w:val="28"/>
          <w:szCs w:val="28"/>
          <w:lang w:bidi="ar-EG"/>
        </w:rPr>
        <w:t xml:space="preserve">–3058. </w:t>
      </w:r>
      <w:r w:rsidRPr="00C82DFC">
        <w:rPr>
          <w:rFonts w:ascii="Traditional Arabic" w:hAnsi="Traditional Arabic" w:cs="Traditional Arabic"/>
          <w:sz w:val="28"/>
          <w:szCs w:val="28"/>
          <w:rtl/>
        </w:rPr>
        <w:t>‏</w:t>
      </w:r>
    </w:p>
    <w:p w14:paraId="6178CB22" w14:textId="24A1DF1A" w:rsidR="000843FE" w:rsidRPr="00270DA0" w:rsidRDefault="00D432D9" w:rsidP="000843FE">
      <w:pPr>
        <w:bidi/>
        <w:spacing w:line="480" w:lineRule="auto"/>
        <w:rPr>
          <w:rFonts w:ascii="Traditional Arabic" w:hAnsi="Traditional Arabic" w:cs="Traditional Arabic"/>
          <w:sz w:val="28"/>
          <w:szCs w:val="28"/>
          <w:lang w:bidi="ar-EG"/>
        </w:rPr>
      </w:pPr>
      <w:r>
        <w:rPr>
          <w:rFonts w:ascii="Traditional Arabic" w:hAnsi="Traditional Arabic" w:cs="Traditional Arabic" w:hint="cs"/>
          <w:b/>
          <w:bCs/>
          <w:sz w:val="28"/>
          <w:szCs w:val="28"/>
          <w:rtl/>
        </w:rPr>
        <w:t>المراجع الانجليزية</w:t>
      </w:r>
    </w:p>
    <w:p w14:paraId="7215C50B" w14:textId="77777777" w:rsidR="000843FE" w:rsidRPr="006337C0" w:rsidRDefault="000843FE" w:rsidP="000843FE">
      <w:pPr>
        <w:numPr>
          <w:ilvl w:val="0"/>
          <w:numId w:val="13"/>
        </w:numPr>
        <w:spacing w:line="480" w:lineRule="auto"/>
        <w:jc w:val="both"/>
        <w:rPr>
          <w:rFonts w:ascii="Traditional Arabic" w:hAnsi="Traditional Arabic" w:cs="Traditional Arabic"/>
          <w:sz w:val="28"/>
          <w:szCs w:val="28"/>
          <w:lang w:bidi="ar-EG"/>
        </w:rPr>
      </w:pPr>
      <w:r w:rsidRPr="006337C0">
        <w:rPr>
          <w:rFonts w:ascii="Traditional Arabic" w:hAnsi="Traditional Arabic" w:cs="Traditional Arabic"/>
          <w:sz w:val="28"/>
          <w:szCs w:val="28"/>
          <w:lang w:bidi="ar-EG"/>
        </w:rPr>
        <w:t xml:space="preserve">Alajmi, A. M., &amp; Ahmed Memon, Z. (2022). A Review on Significant Factors Causing Delays in Saudi Arabia Construction Projects. </w:t>
      </w:r>
      <w:r w:rsidRPr="006337C0">
        <w:rPr>
          <w:rFonts w:ascii="Traditional Arabic" w:hAnsi="Traditional Arabic" w:cs="Traditional Arabic"/>
          <w:i/>
          <w:iCs/>
          <w:sz w:val="28"/>
          <w:szCs w:val="28"/>
          <w:lang w:bidi="ar-EG"/>
        </w:rPr>
        <w:t>Smart Cities, 5</w:t>
      </w:r>
      <w:r w:rsidRPr="006337C0">
        <w:rPr>
          <w:rFonts w:ascii="Traditional Arabic" w:hAnsi="Traditional Arabic" w:cs="Traditional Arabic"/>
          <w:sz w:val="28"/>
          <w:szCs w:val="28"/>
          <w:lang w:bidi="ar-EG"/>
        </w:rPr>
        <w:t xml:space="preserve">(4), 1465-1487. </w:t>
      </w:r>
      <w:hyperlink r:id="rId7" w:tgtFrame="_new" w:history="1">
        <w:r w:rsidRPr="006337C0">
          <w:rPr>
            <w:rStyle w:val="Hyperlink"/>
            <w:rFonts w:ascii="Traditional Arabic" w:hAnsi="Traditional Arabic" w:cs="Traditional Arabic"/>
            <w:sz w:val="28"/>
            <w:szCs w:val="28"/>
            <w:lang w:bidi="ar-EG"/>
          </w:rPr>
          <w:t>https://doi.org/1</w:t>
        </w:r>
        <w:r w:rsidRPr="006337C0">
          <w:rPr>
            <w:rStyle w:val="Hyperlink"/>
            <w:rFonts w:ascii="Traditional Arabic" w:hAnsi="Traditional Arabic" w:cs="Traditional Arabic"/>
            <w:sz w:val="28"/>
            <w:szCs w:val="28"/>
            <w:lang w:bidi="ar-EG"/>
          </w:rPr>
          <w:t>0</w:t>
        </w:r>
        <w:r w:rsidRPr="006337C0">
          <w:rPr>
            <w:rStyle w:val="Hyperlink"/>
            <w:rFonts w:ascii="Traditional Arabic" w:hAnsi="Traditional Arabic" w:cs="Traditional Arabic"/>
            <w:sz w:val="28"/>
            <w:szCs w:val="28"/>
            <w:lang w:bidi="ar-EG"/>
          </w:rPr>
          <w:t>.3390/smartcities5040075</w:t>
        </w:r>
      </w:hyperlink>
    </w:p>
    <w:p w14:paraId="48353433" w14:textId="77777777" w:rsidR="000843FE" w:rsidRPr="00D432D9" w:rsidRDefault="000843FE" w:rsidP="000843FE">
      <w:pPr>
        <w:pStyle w:val="ListParagraph"/>
        <w:numPr>
          <w:ilvl w:val="0"/>
          <w:numId w:val="15"/>
        </w:numPr>
        <w:spacing w:line="480" w:lineRule="auto"/>
        <w:jc w:val="both"/>
        <w:rPr>
          <w:rFonts w:ascii="Traditional Arabic" w:hAnsi="Traditional Arabic" w:cs="Traditional Arabic"/>
          <w:sz w:val="28"/>
          <w:szCs w:val="28"/>
          <w:rtl/>
          <w:lang w:bidi="ar-EG"/>
        </w:rPr>
      </w:pPr>
      <w:r w:rsidRPr="00D432D9">
        <w:rPr>
          <w:rFonts w:ascii="Traditional Arabic" w:hAnsi="Traditional Arabic" w:cs="Traditional Arabic"/>
          <w:sz w:val="28"/>
          <w:szCs w:val="28"/>
          <w:lang w:bidi="ar-EG"/>
        </w:rPr>
        <w:t xml:space="preserve">Alazmi, S., Abdelmegid, M., Sarhan, S., </w:t>
      </w:r>
      <w:proofErr w:type="spellStart"/>
      <w:r w:rsidRPr="00D432D9">
        <w:rPr>
          <w:rFonts w:ascii="Traditional Arabic" w:hAnsi="Traditional Arabic" w:cs="Traditional Arabic"/>
          <w:sz w:val="28"/>
          <w:szCs w:val="28"/>
          <w:lang w:bidi="ar-EG"/>
        </w:rPr>
        <w:t>Poshdar</w:t>
      </w:r>
      <w:proofErr w:type="spellEnd"/>
      <w:r w:rsidRPr="00D432D9">
        <w:rPr>
          <w:rFonts w:ascii="Traditional Arabic" w:hAnsi="Traditional Arabic" w:cs="Traditional Arabic"/>
          <w:sz w:val="28"/>
          <w:szCs w:val="28"/>
          <w:lang w:bidi="ar-EG"/>
        </w:rPr>
        <w:t xml:space="preserve">, M., Gonzalez, V., &amp; Bidhendi, A. (2025). An integrated framework to improve waste management practices and environmental awareness in the Saudi construction industry. Cleaner Waste Systems, 10, 100195. </w:t>
      </w:r>
      <w:hyperlink r:id="rId8" w:history="1">
        <w:r w:rsidRPr="00D432D9">
          <w:rPr>
            <w:rStyle w:val="Hyperlink"/>
            <w:rFonts w:ascii="Traditional Arabic" w:hAnsi="Traditional Arabic" w:cs="Traditional Arabic"/>
            <w:sz w:val="28"/>
            <w:szCs w:val="28"/>
            <w:lang w:bidi="ar-EG"/>
          </w:rPr>
          <w:t>https://doi.org/10.1016/j.chwas.2024.100195</w:t>
        </w:r>
      </w:hyperlink>
    </w:p>
    <w:p w14:paraId="3C207673" w14:textId="77777777" w:rsidR="000843FE" w:rsidRPr="00D432D9" w:rsidRDefault="000843FE" w:rsidP="000843FE">
      <w:pPr>
        <w:pStyle w:val="ListParagraph"/>
        <w:numPr>
          <w:ilvl w:val="0"/>
          <w:numId w:val="15"/>
        </w:numPr>
        <w:spacing w:line="480" w:lineRule="auto"/>
        <w:jc w:val="both"/>
        <w:rPr>
          <w:rFonts w:ascii="Traditional Arabic" w:hAnsi="Traditional Arabic" w:cs="Traditional Arabic"/>
          <w:sz w:val="28"/>
          <w:szCs w:val="28"/>
          <w:rtl/>
          <w:lang w:bidi="ar-EG"/>
        </w:rPr>
      </w:pPr>
      <w:r w:rsidRPr="00D432D9">
        <w:rPr>
          <w:rFonts w:ascii="Traditional Arabic" w:hAnsi="Traditional Arabic" w:cs="Traditional Arabic"/>
          <w:sz w:val="28"/>
          <w:szCs w:val="28"/>
          <w:lang w:bidi="ar-EG"/>
        </w:rPr>
        <w:lastRenderedPageBreak/>
        <w:t xml:space="preserve">Alfalah, G., </w:t>
      </w:r>
      <w:proofErr w:type="spellStart"/>
      <w:r w:rsidRPr="00D432D9">
        <w:rPr>
          <w:rFonts w:ascii="Traditional Arabic" w:hAnsi="Traditional Arabic" w:cs="Traditional Arabic"/>
          <w:sz w:val="28"/>
          <w:szCs w:val="28"/>
          <w:lang w:bidi="ar-EG"/>
        </w:rPr>
        <w:t>Aldajani</w:t>
      </w:r>
      <w:proofErr w:type="spellEnd"/>
      <w:r w:rsidRPr="00D432D9">
        <w:rPr>
          <w:rFonts w:ascii="Traditional Arabic" w:hAnsi="Traditional Arabic" w:cs="Traditional Arabic"/>
          <w:sz w:val="28"/>
          <w:szCs w:val="28"/>
          <w:lang w:bidi="ar-EG"/>
        </w:rPr>
        <w:t xml:space="preserve">, S., </w:t>
      </w:r>
      <w:proofErr w:type="spellStart"/>
      <w:r w:rsidRPr="00D432D9">
        <w:rPr>
          <w:rFonts w:ascii="Traditional Arabic" w:hAnsi="Traditional Arabic" w:cs="Traditional Arabic"/>
          <w:sz w:val="28"/>
          <w:szCs w:val="28"/>
          <w:lang w:bidi="ar-EG"/>
        </w:rPr>
        <w:t>Elshaboury</w:t>
      </w:r>
      <w:proofErr w:type="spellEnd"/>
      <w:r w:rsidRPr="00D432D9">
        <w:rPr>
          <w:rFonts w:ascii="Traditional Arabic" w:hAnsi="Traditional Arabic" w:cs="Traditional Arabic"/>
          <w:sz w:val="28"/>
          <w:szCs w:val="28"/>
          <w:lang w:bidi="ar-EG"/>
        </w:rPr>
        <w:t>, N., Al-</w:t>
      </w:r>
      <w:proofErr w:type="spellStart"/>
      <w:r w:rsidRPr="00D432D9">
        <w:rPr>
          <w:rFonts w:ascii="Traditional Arabic" w:hAnsi="Traditional Arabic" w:cs="Traditional Arabic"/>
          <w:sz w:val="28"/>
          <w:szCs w:val="28"/>
          <w:lang w:bidi="ar-EG"/>
        </w:rPr>
        <w:t>Sakkaf</w:t>
      </w:r>
      <w:proofErr w:type="spellEnd"/>
      <w:r w:rsidRPr="00D432D9">
        <w:rPr>
          <w:rFonts w:ascii="Traditional Arabic" w:hAnsi="Traditional Arabic" w:cs="Traditional Arabic"/>
          <w:sz w:val="28"/>
          <w:szCs w:val="28"/>
          <w:lang w:bidi="ar-EG"/>
        </w:rPr>
        <w:t xml:space="preserve">, A., &amp; </w:t>
      </w:r>
      <w:proofErr w:type="spellStart"/>
      <w:r w:rsidRPr="00D432D9">
        <w:rPr>
          <w:rFonts w:ascii="Traditional Arabic" w:hAnsi="Traditional Arabic" w:cs="Traditional Arabic"/>
          <w:sz w:val="28"/>
          <w:szCs w:val="28"/>
          <w:lang w:bidi="ar-EG"/>
        </w:rPr>
        <w:t>Alshamrani</w:t>
      </w:r>
      <w:proofErr w:type="spellEnd"/>
      <w:r w:rsidRPr="00D432D9">
        <w:rPr>
          <w:rFonts w:ascii="Traditional Arabic" w:hAnsi="Traditional Arabic" w:cs="Traditional Arabic"/>
          <w:sz w:val="28"/>
          <w:szCs w:val="28"/>
          <w:lang w:bidi="ar-EG"/>
        </w:rPr>
        <w:t xml:space="preserve">, O. (2024). Development of a Performance Assessment Model for Contractors in Saudi Arabian Construction Projects. Advances in Civil Engineering, 2024, 1–17. </w:t>
      </w:r>
      <w:hyperlink r:id="rId9" w:history="1">
        <w:r w:rsidRPr="00D432D9">
          <w:rPr>
            <w:rStyle w:val="Hyperlink"/>
            <w:rFonts w:ascii="Traditional Arabic" w:hAnsi="Traditional Arabic" w:cs="Traditional Arabic"/>
            <w:sz w:val="28"/>
            <w:szCs w:val="28"/>
            <w:lang w:bidi="ar-EG"/>
          </w:rPr>
          <w:t>https://doi.org/10.1155/2024/8780539</w:t>
        </w:r>
      </w:hyperlink>
    </w:p>
    <w:p w14:paraId="1219FE01" w14:textId="77777777" w:rsidR="000843FE" w:rsidRDefault="000843FE" w:rsidP="000843FE">
      <w:pPr>
        <w:numPr>
          <w:ilvl w:val="0"/>
          <w:numId w:val="15"/>
        </w:numPr>
        <w:spacing w:line="480" w:lineRule="auto"/>
        <w:jc w:val="both"/>
        <w:rPr>
          <w:rFonts w:ascii="Traditional Arabic" w:hAnsi="Traditional Arabic" w:cs="Traditional Arabic"/>
          <w:sz w:val="28"/>
          <w:szCs w:val="28"/>
          <w:lang w:bidi="ar-EG"/>
        </w:rPr>
      </w:pPr>
      <w:proofErr w:type="spellStart"/>
      <w:r w:rsidRPr="00270DA0">
        <w:rPr>
          <w:rFonts w:ascii="Traditional Arabic" w:hAnsi="Traditional Arabic" w:cs="Traditional Arabic"/>
          <w:sz w:val="28"/>
          <w:szCs w:val="28"/>
          <w:lang w:bidi="ar-EG"/>
        </w:rPr>
        <w:t>Alghuried</w:t>
      </w:r>
      <w:proofErr w:type="spellEnd"/>
      <w:r w:rsidRPr="00270DA0">
        <w:rPr>
          <w:rFonts w:ascii="Traditional Arabic" w:hAnsi="Traditional Arabic" w:cs="Traditional Arabic"/>
          <w:sz w:val="28"/>
          <w:szCs w:val="28"/>
          <w:lang w:bidi="ar-EG"/>
        </w:rPr>
        <w:t xml:space="preserve">, A. (2023). Measuring the Benefits and Barriers of the Implementation of BIM in Sustainable Practice in the Construction Industry of Saudi Arabia. </w:t>
      </w:r>
      <w:r w:rsidRPr="00270DA0">
        <w:rPr>
          <w:rFonts w:ascii="Traditional Arabic" w:hAnsi="Traditional Arabic" w:cs="Traditional Arabic"/>
          <w:i/>
          <w:iCs/>
          <w:sz w:val="28"/>
          <w:szCs w:val="28"/>
          <w:lang w:bidi="ar-EG"/>
        </w:rPr>
        <w:t>Sustainability, 15</w:t>
      </w:r>
      <w:r w:rsidRPr="00270DA0">
        <w:rPr>
          <w:rFonts w:ascii="Traditional Arabic" w:hAnsi="Traditional Arabic" w:cs="Traditional Arabic"/>
          <w:sz w:val="28"/>
          <w:szCs w:val="28"/>
          <w:lang w:bidi="ar-EG"/>
        </w:rPr>
        <w:t xml:space="preserve">(19), 14323. </w:t>
      </w:r>
    </w:p>
    <w:p w14:paraId="1FBA0961" w14:textId="16B1E727" w:rsidR="000843FE" w:rsidRDefault="000843FE" w:rsidP="000843FE">
      <w:pPr>
        <w:numPr>
          <w:ilvl w:val="0"/>
          <w:numId w:val="13"/>
        </w:numPr>
        <w:spacing w:line="480" w:lineRule="auto"/>
        <w:jc w:val="both"/>
        <w:rPr>
          <w:rFonts w:ascii="Traditional Arabic" w:hAnsi="Traditional Arabic" w:cs="Traditional Arabic"/>
          <w:sz w:val="28"/>
          <w:szCs w:val="28"/>
          <w:lang w:bidi="ar-EG"/>
        </w:rPr>
      </w:pPr>
      <w:proofErr w:type="spellStart"/>
      <w:r w:rsidRPr="00270DA0">
        <w:rPr>
          <w:rFonts w:ascii="Traditional Arabic" w:hAnsi="Traditional Arabic" w:cs="Traditional Arabic"/>
          <w:sz w:val="28"/>
          <w:szCs w:val="28"/>
          <w:lang w:bidi="ar-EG"/>
        </w:rPr>
        <w:t>Alghuried</w:t>
      </w:r>
      <w:proofErr w:type="spellEnd"/>
      <w:r w:rsidRPr="00270DA0">
        <w:rPr>
          <w:rFonts w:ascii="Traditional Arabic" w:hAnsi="Traditional Arabic" w:cs="Traditional Arabic"/>
          <w:sz w:val="28"/>
          <w:szCs w:val="28"/>
          <w:lang w:bidi="ar-EG"/>
        </w:rPr>
        <w:t xml:space="preserve">, A. (2025). Assessing the critical success factors for the sustainable construction project management of Saudi Arabia. </w:t>
      </w:r>
      <w:r w:rsidRPr="00270DA0">
        <w:rPr>
          <w:rFonts w:ascii="Traditional Arabic" w:hAnsi="Traditional Arabic" w:cs="Traditional Arabic"/>
          <w:i/>
          <w:iCs/>
          <w:sz w:val="28"/>
          <w:szCs w:val="28"/>
          <w:lang w:bidi="ar-EG"/>
        </w:rPr>
        <w:t>Journal of Asian Architecture and Building Engineering</w:t>
      </w:r>
      <w:r w:rsidRPr="00270DA0">
        <w:rPr>
          <w:rFonts w:ascii="Traditional Arabic" w:hAnsi="Traditional Arabic" w:cs="Traditional Arabic"/>
          <w:sz w:val="28"/>
          <w:szCs w:val="28"/>
          <w:lang w:bidi="ar-EG"/>
        </w:rPr>
        <w:t xml:space="preserve">. </w:t>
      </w:r>
      <w:hyperlink r:id="rId10" w:history="1">
        <w:r w:rsidRPr="00D71969">
          <w:rPr>
            <w:rStyle w:val="Hyperlink"/>
            <w:rFonts w:ascii="Traditional Arabic" w:hAnsi="Traditional Arabic" w:cs="Traditional Arabic"/>
            <w:sz w:val="28"/>
            <w:szCs w:val="28"/>
            <w:lang w:bidi="ar-EG"/>
          </w:rPr>
          <w:t>https://doi.org/10.1080/13467581.2025.2454616</w:t>
        </w:r>
      </w:hyperlink>
    </w:p>
    <w:p w14:paraId="3F068DC7" w14:textId="77777777" w:rsidR="000843FE" w:rsidRPr="00D432D9" w:rsidRDefault="000843FE" w:rsidP="000843FE">
      <w:pPr>
        <w:pStyle w:val="ListParagraph"/>
        <w:numPr>
          <w:ilvl w:val="0"/>
          <w:numId w:val="15"/>
        </w:numPr>
        <w:spacing w:line="480" w:lineRule="auto"/>
        <w:jc w:val="both"/>
        <w:rPr>
          <w:rFonts w:ascii="Traditional Arabic" w:hAnsi="Traditional Arabic" w:cs="Traditional Arabic"/>
          <w:sz w:val="28"/>
          <w:szCs w:val="28"/>
          <w:rtl/>
          <w:lang w:bidi="ar-EG"/>
        </w:rPr>
      </w:pPr>
      <w:proofErr w:type="spellStart"/>
      <w:r w:rsidRPr="00D432D9">
        <w:rPr>
          <w:rFonts w:ascii="Traditional Arabic" w:hAnsi="Traditional Arabic" w:cs="Traditional Arabic"/>
          <w:sz w:val="28"/>
          <w:szCs w:val="28"/>
          <w:lang w:bidi="ar-EG"/>
        </w:rPr>
        <w:t>Almahmoud</w:t>
      </w:r>
      <w:proofErr w:type="spellEnd"/>
      <w:r w:rsidRPr="00D432D9">
        <w:rPr>
          <w:rFonts w:ascii="Traditional Arabic" w:hAnsi="Traditional Arabic" w:cs="Traditional Arabic"/>
          <w:sz w:val="28"/>
          <w:szCs w:val="28"/>
          <w:lang w:bidi="ar-EG"/>
        </w:rPr>
        <w:t xml:space="preserve">, E. S., </w:t>
      </w:r>
      <w:proofErr w:type="spellStart"/>
      <w:r w:rsidRPr="00D432D9">
        <w:rPr>
          <w:rFonts w:ascii="Traditional Arabic" w:hAnsi="Traditional Arabic" w:cs="Traditional Arabic"/>
          <w:sz w:val="28"/>
          <w:szCs w:val="28"/>
          <w:lang w:bidi="ar-EG"/>
        </w:rPr>
        <w:t>Doloi</w:t>
      </w:r>
      <w:proofErr w:type="spellEnd"/>
      <w:r w:rsidRPr="00D432D9">
        <w:rPr>
          <w:rFonts w:ascii="Traditional Arabic" w:hAnsi="Traditional Arabic" w:cs="Traditional Arabic"/>
          <w:sz w:val="28"/>
          <w:szCs w:val="28"/>
          <w:lang w:bidi="ar-EG"/>
        </w:rPr>
        <w:t xml:space="preserve">, H. K., &amp; </w:t>
      </w:r>
      <w:proofErr w:type="spellStart"/>
      <w:r w:rsidRPr="00D432D9">
        <w:rPr>
          <w:rFonts w:ascii="Traditional Arabic" w:hAnsi="Traditional Arabic" w:cs="Traditional Arabic"/>
          <w:sz w:val="28"/>
          <w:szCs w:val="28"/>
          <w:lang w:bidi="ar-EG"/>
        </w:rPr>
        <w:t>Panuwatwanich</w:t>
      </w:r>
      <w:proofErr w:type="spellEnd"/>
      <w:r w:rsidRPr="00D432D9">
        <w:rPr>
          <w:rFonts w:ascii="Traditional Arabic" w:hAnsi="Traditional Arabic" w:cs="Traditional Arabic"/>
          <w:sz w:val="28"/>
          <w:szCs w:val="28"/>
          <w:lang w:bidi="ar-EG"/>
        </w:rPr>
        <w:t xml:space="preserve">, K. (2012). Linking project health to project performance indicators: Multiple case studies of construction projects in Saudi Arabia. International Journal of Project Management, 30(3), 296-307. </w:t>
      </w:r>
      <w:hyperlink r:id="rId11" w:history="1">
        <w:r w:rsidRPr="00D432D9">
          <w:rPr>
            <w:rStyle w:val="Hyperlink"/>
            <w:rFonts w:ascii="Traditional Arabic" w:hAnsi="Traditional Arabic" w:cs="Traditional Arabic"/>
            <w:sz w:val="28"/>
            <w:szCs w:val="28"/>
            <w:lang w:bidi="ar-EG"/>
          </w:rPr>
          <w:t>https://doi.org/10.1016/j.ijproman.2011.07.001</w:t>
        </w:r>
      </w:hyperlink>
    </w:p>
    <w:p w14:paraId="7979E654" w14:textId="77777777" w:rsidR="000843FE" w:rsidRPr="00270DA0" w:rsidRDefault="000843FE" w:rsidP="000843FE">
      <w:pPr>
        <w:numPr>
          <w:ilvl w:val="0"/>
          <w:numId w:val="15"/>
        </w:numPr>
        <w:spacing w:line="480" w:lineRule="auto"/>
        <w:jc w:val="both"/>
        <w:rPr>
          <w:rFonts w:ascii="Traditional Arabic" w:hAnsi="Traditional Arabic" w:cs="Traditional Arabic"/>
          <w:sz w:val="28"/>
          <w:szCs w:val="28"/>
          <w:lang w:bidi="ar-EG"/>
        </w:rPr>
      </w:pPr>
      <w:r w:rsidRPr="00270DA0">
        <w:rPr>
          <w:rFonts w:ascii="Traditional Arabic" w:hAnsi="Traditional Arabic" w:cs="Traditional Arabic"/>
          <w:sz w:val="28"/>
          <w:szCs w:val="28"/>
          <w:lang w:bidi="ar-EG"/>
        </w:rPr>
        <w:lastRenderedPageBreak/>
        <w:t xml:space="preserve">Al-Otaibi, A., Bowan, P. A., </w:t>
      </w:r>
      <w:proofErr w:type="spellStart"/>
      <w:r w:rsidRPr="00270DA0">
        <w:rPr>
          <w:rFonts w:ascii="Traditional Arabic" w:hAnsi="Traditional Arabic" w:cs="Traditional Arabic"/>
          <w:sz w:val="28"/>
          <w:szCs w:val="28"/>
          <w:lang w:bidi="ar-EG"/>
        </w:rPr>
        <w:t>Alabdullatief</w:t>
      </w:r>
      <w:proofErr w:type="spellEnd"/>
      <w:r w:rsidRPr="00270DA0">
        <w:rPr>
          <w:rFonts w:ascii="Traditional Arabic" w:hAnsi="Traditional Arabic" w:cs="Traditional Arabic"/>
          <w:sz w:val="28"/>
          <w:szCs w:val="28"/>
          <w:lang w:bidi="ar-EG"/>
        </w:rPr>
        <w:t xml:space="preserve">, A., </w:t>
      </w:r>
      <w:proofErr w:type="spellStart"/>
      <w:r w:rsidRPr="00270DA0">
        <w:rPr>
          <w:rFonts w:ascii="Traditional Arabic" w:hAnsi="Traditional Arabic" w:cs="Traditional Arabic"/>
          <w:sz w:val="28"/>
          <w:szCs w:val="28"/>
          <w:lang w:bidi="ar-EG"/>
        </w:rPr>
        <w:t>Albaiz</w:t>
      </w:r>
      <w:proofErr w:type="spellEnd"/>
      <w:r w:rsidRPr="00270DA0">
        <w:rPr>
          <w:rFonts w:ascii="Traditional Arabic" w:hAnsi="Traditional Arabic" w:cs="Traditional Arabic"/>
          <w:sz w:val="28"/>
          <w:szCs w:val="28"/>
          <w:lang w:bidi="ar-EG"/>
        </w:rPr>
        <w:t xml:space="preserve">, M., &amp; Salah, M. (2025). Barriers to Sustainable Building Project Performance in Developing Countries: A Case of Ghana and the Kingdom of Saudi Arabia. </w:t>
      </w:r>
      <w:r w:rsidRPr="00270DA0">
        <w:rPr>
          <w:rFonts w:ascii="Traditional Arabic" w:hAnsi="Traditional Arabic" w:cs="Traditional Arabic"/>
          <w:i/>
          <w:iCs/>
          <w:sz w:val="28"/>
          <w:szCs w:val="28"/>
          <w:lang w:bidi="ar-EG"/>
        </w:rPr>
        <w:t>Sustainability, 17</w:t>
      </w:r>
      <w:r w:rsidRPr="00270DA0">
        <w:rPr>
          <w:rFonts w:ascii="Traditional Arabic" w:hAnsi="Traditional Arabic" w:cs="Traditional Arabic"/>
          <w:sz w:val="28"/>
          <w:szCs w:val="28"/>
          <w:lang w:bidi="ar-EG"/>
        </w:rPr>
        <w:t xml:space="preserve">(8), 3539. </w:t>
      </w:r>
      <w:hyperlink r:id="rId12" w:tgtFrame="_new" w:history="1">
        <w:r w:rsidRPr="00270DA0">
          <w:rPr>
            <w:rStyle w:val="Hyperlink"/>
            <w:rFonts w:ascii="Traditional Arabic" w:hAnsi="Traditional Arabic" w:cs="Traditional Arabic"/>
            <w:sz w:val="28"/>
            <w:szCs w:val="28"/>
            <w:lang w:bidi="ar-EG"/>
          </w:rPr>
          <w:t>https://doi.org/10.3390/</w:t>
        </w:r>
        <w:r w:rsidRPr="00270DA0">
          <w:rPr>
            <w:rStyle w:val="Hyperlink"/>
            <w:rFonts w:ascii="Traditional Arabic" w:hAnsi="Traditional Arabic" w:cs="Traditional Arabic"/>
            <w:sz w:val="28"/>
            <w:szCs w:val="28"/>
            <w:lang w:bidi="ar-EG"/>
          </w:rPr>
          <w:t>s</w:t>
        </w:r>
        <w:r w:rsidRPr="00270DA0">
          <w:rPr>
            <w:rStyle w:val="Hyperlink"/>
            <w:rFonts w:ascii="Traditional Arabic" w:hAnsi="Traditional Arabic" w:cs="Traditional Arabic"/>
            <w:sz w:val="28"/>
            <w:szCs w:val="28"/>
            <w:lang w:bidi="ar-EG"/>
          </w:rPr>
          <w:t>u17083539</w:t>
        </w:r>
      </w:hyperlink>
    </w:p>
    <w:p w14:paraId="548618F4" w14:textId="77777777" w:rsidR="000843FE" w:rsidRPr="006337C0" w:rsidRDefault="000843FE" w:rsidP="000843FE">
      <w:pPr>
        <w:numPr>
          <w:ilvl w:val="0"/>
          <w:numId w:val="13"/>
        </w:numPr>
        <w:spacing w:line="480" w:lineRule="auto"/>
        <w:jc w:val="both"/>
        <w:rPr>
          <w:rFonts w:ascii="Traditional Arabic" w:hAnsi="Traditional Arabic" w:cs="Traditional Arabic"/>
          <w:sz w:val="28"/>
          <w:szCs w:val="28"/>
          <w:lang w:bidi="ar-EG"/>
        </w:rPr>
      </w:pPr>
      <w:proofErr w:type="spellStart"/>
      <w:r w:rsidRPr="006337C0">
        <w:rPr>
          <w:rFonts w:ascii="Traditional Arabic" w:hAnsi="Traditional Arabic" w:cs="Traditional Arabic"/>
          <w:sz w:val="28"/>
          <w:szCs w:val="28"/>
          <w:lang w:bidi="ar-EG"/>
        </w:rPr>
        <w:t>Alshihri</w:t>
      </w:r>
      <w:proofErr w:type="spellEnd"/>
      <w:r w:rsidRPr="006337C0">
        <w:rPr>
          <w:rFonts w:ascii="Traditional Arabic" w:hAnsi="Traditional Arabic" w:cs="Traditional Arabic"/>
          <w:sz w:val="28"/>
          <w:szCs w:val="28"/>
          <w:lang w:bidi="ar-EG"/>
        </w:rPr>
        <w:t xml:space="preserve">, S., Al-Gahtani, K., &amp; </w:t>
      </w:r>
      <w:proofErr w:type="spellStart"/>
      <w:r w:rsidRPr="006337C0">
        <w:rPr>
          <w:rFonts w:ascii="Traditional Arabic" w:hAnsi="Traditional Arabic" w:cs="Traditional Arabic"/>
          <w:sz w:val="28"/>
          <w:szCs w:val="28"/>
          <w:lang w:bidi="ar-EG"/>
        </w:rPr>
        <w:t>Almohsen</w:t>
      </w:r>
      <w:proofErr w:type="spellEnd"/>
      <w:r w:rsidRPr="006337C0">
        <w:rPr>
          <w:rFonts w:ascii="Traditional Arabic" w:hAnsi="Traditional Arabic" w:cs="Traditional Arabic"/>
          <w:sz w:val="28"/>
          <w:szCs w:val="28"/>
          <w:lang w:bidi="ar-EG"/>
        </w:rPr>
        <w:t xml:space="preserve">, A. (2022). Risk Factors That Lead to Time and Cost Overruns of Building Projects in Saudi Arabia. </w:t>
      </w:r>
      <w:r w:rsidRPr="006337C0">
        <w:rPr>
          <w:rFonts w:ascii="Traditional Arabic" w:hAnsi="Traditional Arabic" w:cs="Traditional Arabic"/>
          <w:i/>
          <w:iCs/>
          <w:sz w:val="28"/>
          <w:szCs w:val="28"/>
          <w:lang w:bidi="ar-EG"/>
        </w:rPr>
        <w:t>Buildings, 12</w:t>
      </w:r>
      <w:r w:rsidRPr="006337C0">
        <w:rPr>
          <w:rFonts w:ascii="Traditional Arabic" w:hAnsi="Traditional Arabic" w:cs="Traditional Arabic"/>
          <w:sz w:val="28"/>
          <w:szCs w:val="28"/>
          <w:lang w:bidi="ar-EG"/>
        </w:rPr>
        <w:t xml:space="preserve">(7), 902. </w:t>
      </w:r>
      <w:hyperlink r:id="rId13" w:tgtFrame="_new" w:history="1">
        <w:r w:rsidRPr="006337C0">
          <w:rPr>
            <w:rStyle w:val="Hyperlink"/>
            <w:rFonts w:ascii="Traditional Arabic" w:hAnsi="Traditional Arabic" w:cs="Traditional Arabic"/>
            <w:sz w:val="28"/>
            <w:szCs w:val="28"/>
            <w:lang w:bidi="ar-EG"/>
          </w:rPr>
          <w:t>https://doi.o</w:t>
        </w:r>
        <w:r w:rsidRPr="006337C0">
          <w:rPr>
            <w:rStyle w:val="Hyperlink"/>
            <w:rFonts w:ascii="Traditional Arabic" w:hAnsi="Traditional Arabic" w:cs="Traditional Arabic"/>
            <w:sz w:val="28"/>
            <w:szCs w:val="28"/>
            <w:lang w:bidi="ar-EG"/>
          </w:rPr>
          <w:t>r</w:t>
        </w:r>
        <w:r w:rsidRPr="006337C0">
          <w:rPr>
            <w:rStyle w:val="Hyperlink"/>
            <w:rFonts w:ascii="Traditional Arabic" w:hAnsi="Traditional Arabic" w:cs="Traditional Arabic"/>
            <w:sz w:val="28"/>
            <w:szCs w:val="28"/>
            <w:lang w:bidi="ar-EG"/>
          </w:rPr>
          <w:t>g/10.3390/buildings12070902</w:t>
        </w:r>
      </w:hyperlink>
    </w:p>
    <w:p w14:paraId="37782CF8" w14:textId="77777777" w:rsidR="000843FE" w:rsidRPr="00270DA0" w:rsidRDefault="000843FE" w:rsidP="000843FE">
      <w:pPr>
        <w:numPr>
          <w:ilvl w:val="0"/>
          <w:numId w:val="13"/>
        </w:numPr>
        <w:spacing w:line="480" w:lineRule="auto"/>
        <w:jc w:val="both"/>
        <w:rPr>
          <w:rFonts w:ascii="Traditional Arabic" w:hAnsi="Traditional Arabic" w:cs="Traditional Arabic"/>
          <w:sz w:val="28"/>
          <w:szCs w:val="28"/>
          <w:lang w:bidi="ar-EG"/>
        </w:rPr>
      </w:pPr>
      <w:r w:rsidRPr="00270DA0">
        <w:rPr>
          <w:rFonts w:ascii="Traditional Arabic" w:hAnsi="Traditional Arabic" w:cs="Traditional Arabic"/>
          <w:sz w:val="28"/>
          <w:szCs w:val="28"/>
          <w:lang w:bidi="ar-EG"/>
        </w:rPr>
        <w:t xml:space="preserve">Al-Yami, A. M. H. (2008). </w:t>
      </w:r>
      <w:r w:rsidRPr="00270DA0">
        <w:rPr>
          <w:rFonts w:ascii="Traditional Arabic" w:hAnsi="Traditional Arabic" w:cs="Traditional Arabic"/>
          <w:i/>
          <w:iCs/>
          <w:sz w:val="28"/>
          <w:szCs w:val="28"/>
          <w:lang w:bidi="ar-EG"/>
        </w:rPr>
        <w:t>An Integrated Approach to Value Management and Sustainable Construction during Strategic Briefing in Saudi Construction Projects</w:t>
      </w:r>
      <w:r w:rsidRPr="00270DA0">
        <w:rPr>
          <w:rFonts w:ascii="Traditional Arabic" w:hAnsi="Traditional Arabic" w:cs="Traditional Arabic"/>
          <w:sz w:val="28"/>
          <w:szCs w:val="28"/>
          <w:lang w:bidi="ar-EG"/>
        </w:rPr>
        <w:t xml:space="preserve"> (Doctoral thesis, Loughborough University).</w:t>
      </w:r>
    </w:p>
    <w:p w14:paraId="18620841" w14:textId="77777777" w:rsidR="000843FE" w:rsidRPr="006337C0" w:rsidRDefault="000843FE" w:rsidP="000843FE">
      <w:pPr>
        <w:numPr>
          <w:ilvl w:val="0"/>
          <w:numId w:val="13"/>
        </w:numPr>
        <w:spacing w:line="480" w:lineRule="auto"/>
        <w:jc w:val="both"/>
        <w:rPr>
          <w:rFonts w:ascii="Traditional Arabic" w:hAnsi="Traditional Arabic" w:cs="Traditional Arabic"/>
          <w:sz w:val="28"/>
          <w:szCs w:val="28"/>
          <w:lang w:bidi="ar-EG"/>
        </w:rPr>
      </w:pPr>
      <w:r w:rsidRPr="006337C0">
        <w:rPr>
          <w:rFonts w:ascii="Traditional Arabic" w:hAnsi="Traditional Arabic" w:cs="Traditional Arabic"/>
          <w:sz w:val="28"/>
          <w:szCs w:val="28"/>
          <w:lang w:bidi="ar-EG"/>
        </w:rPr>
        <w:t xml:space="preserve">Asiri, A. N. M., &amp; Al Mazhar, M. K. (2025). Optimizing Construction Project Performance In Asir, Saudi Arabia: A KPI Perspective. </w:t>
      </w:r>
      <w:r w:rsidRPr="006337C0">
        <w:rPr>
          <w:rFonts w:ascii="Traditional Arabic" w:hAnsi="Traditional Arabic" w:cs="Traditional Arabic"/>
          <w:i/>
          <w:iCs/>
          <w:sz w:val="28"/>
          <w:szCs w:val="28"/>
          <w:lang w:bidi="ar-EG"/>
        </w:rPr>
        <w:t>Metallurgical and Materials Engineering</w:t>
      </w:r>
      <w:r w:rsidRPr="006337C0">
        <w:rPr>
          <w:rFonts w:ascii="Traditional Arabic" w:hAnsi="Traditional Arabic" w:cs="Traditional Arabic"/>
          <w:sz w:val="28"/>
          <w:szCs w:val="28"/>
          <w:lang w:bidi="ar-EG"/>
        </w:rPr>
        <w:t xml:space="preserve">, 430-445. </w:t>
      </w:r>
      <w:hyperlink r:id="rId14" w:tgtFrame="_new" w:history="1">
        <w:r w:rsidRPr="006337C0">
          <w:rPr>
            <w:rStyle w:val="Hyperlink"/>
            <w:rFonts w:ascii="Traditional Arabic" w:hAnsi="Traditional Arabic" w:cs="Traditional Arabic"/>
            <w:sz w:val="28"/>
            <w:szCs w:val="28"/>
            <w:lang w:bidi="ar-EG"/>
          </w:rPr>
          <w:t>https://doi.org/1</w:t>
        </w:r>
        <w:r w:rsidRPr="006337C0">
          <w:rPr>
            <w:rStyle w:val="Hyperlink"/>
            <w:rFonts w:ascii="Traditional Arabic" w:hAnsi="Traditional Arabic" w:cs="Traditional Arabic"/>
            <w:sz w:val="28"/>
            <w:szCs w:val="28"/>
            <w:lang w:bidi="ar-EG"/>
          </w:rPr>
          <w:t>0</w:t>
        </w:r>
        <w:r w:rsidRPr="006337C0">
          <w:rPr>
            <w:rStyle w:val="Hyperlink"/>
            <w:rFonts w:ascii="Traditional Arabic" w:hAnsi="Traditional Arabic" w:cs="Traditional Arabic"/>
            <w:sz w:val="28"/>
            <w:szCs w:val="28"/>
            <w:lang w:bidi="ar-EG"/>
          </w:rPr>
          <w:t>.63278/mme.vi.1598</w:t>
        </w:r>
      </w:hyperlink>
    </w:p>
    <w:p w14:paraId="03E35725" w14:textId="77777777" w:rsidR="000843FE" w:rsidRPr="008472C6" w:rsidRDefault="000843FE" w:rsidP="000843FE">
      <w:pPr>
        <w:numPr>
          <w:ilvl w:val="0"/>
          <w:numId w:val="13"/>
        </w:numPr>
        <w:spacing w:line="480" w:lineRule="auto"/>
        <w:jc w:val="both"/>
        <w:rPr>
          <w:rFonts w:ascii="Traditional Arabic" w:hAnsi="Traditional Arabic" w:cs="Traditional Arabic"/>
          <w:sz w:val="28"/>
          <w:szCs w:val="28"/>
          <w:lang w:bidi="ar-EG"/>
        </w:rPr>
      </w:pPr>
      <w:r w:rsidRPr="008472C6">
        <w:rPr>
          <w:rFonts w:ascii="Traditional Arabic" w:hAnsi="Traditional Arabic" w:cs="Traditional Arabic"/>
          <w:sz w:val="28"/>
          <w:szCs w:val="28"/>
          <w:lang w:bidi="ar-EG"/>
        </w:rPr>
        <w:t xml:space="preserve">Azmi, N. A., Sweis, G., Sweis, R., &amp; Sammour, F. (2022). Exploring Implementation of Blockchain for the Supply Chain Resilience and </w:t>
      </w:r>
      <w:r w:rsidRPr="008472C6">
        <w:rPr>
          <w:rFonts w:ascii="Traditional Arabic" w:hAnsi="Traditional Arabic" w:cs="Traditional Arabic"/>
          <w:sz w:val="28"/>
          <w:szCs w:val="28"/>
          <w:lang w:bidi="ar-EG"/>
        </w:rPr>
        <w:lastRenderedPageBreak/>
        <w:t xml:space="preserve">Sustainability of the Construction Industry in Saudi Arabia. </w:t>
      </w:r>
      <w:r w:rsidRPr="008472C6">
        <w:rPr>
          <w:rFonts w:ascii="Traditional Arabic" w:hAnsi="Traditional Arabic" w:cs="Traditional Arabic"/>
          <w:i/>
          <w:iCs/>
          <w:sz w:val="28"/>
          <w:szCs w:val="28"/>
          <w:lang w:bidi="ar-EG"/>
        </w:rPr>
        <w:t>Sustainability, 14</w:t>
      </w:r>
      <w:r w:rsidRPr="008472C6">
        <w:rPr>
          <w:rFonts w:ascii="Traditional Arabic" w:hAnsi="Traditional Arabic" w:cs="Traditional Arabic"/>
          <w:sz w:val="28"/>
          <w:szCs w:val="28"/>
          <w:lang w:bidi="ar-EG"/>
        </w:rPr>
        <w:t xml:space="preserve">(11), 6427. </w:t>
      </w:r>
      <w:hyperlink r:id="rId15" w:tgtFrame="_new" w:history="1">
        <w:r w:rsidRPr="008472C6">
          <w:rPr>
            <w:rStyle w:val="Hyperlink"/>
            <w:rFonts w:ascii="Traditional Arabic" w:hAnsi="Traditional Arabic" w:cs="Traditional Arabic"/>
            <w:sz w:val="28"/>
            <w:szCs w:val="28"/>
            <w:lang w:bidi="ar-EG"/>
          </w:rPr>
          <w:t>https://do</w:t>
        </w:r>
        <w:r w:rsidRPr="008472C6">
          <w:rPr>
            <w:rStyle w:val="Hyperlink"/>
            <w:rFonts w:ascii="Traditional Arabic" w:hAnsi="Traditional Arabic" w:cs="Traditional Arabic"/>
            <w:sz w:val="28"/>
            <w:szCs w:val="28"/>
            <w:lang w:bidi="ar-EG"/>
          </w:rPr>
          <w:t>i</w:t>
        </w:r>
        <w:r w:rsidRPr="008472C6">
          <w:rPr>
            <w:rStyle w:val="Hyperlink"/>
            <w:rFonts w:ascii="Traditional Arabic" w:hAnsi="Traditional Arabic" w:cs="Traditional Arabic"/>
            <w:sz w:val="28"/>
            <w:szCs w:val="28"/>
            <w:lang w:bidi="ar-EG"/>
          </w:rPr>
          <w:t>.org/10.3390/su14116427</w:t>
        </w:r>
      </w:hyperlink>
    </w:p>
    <w:p w14:paraId="4392DC64" w14:textId="77777777" w:rsidR="000843FE" w:rsidRPr="008472C6" w:rsidRDefault="000843FE" w:rsidP="000843FE">
      <w:pPr>
        <w:numPr>
          <w:ilvl w:val="0"/>
          <w:numId w:val="13"/>
        </w:numPr>
        <w:spacing w:line="480" w:lineRule="auto"/>
        <w:jc w:val="both"/>
        <w:rPr>
          <w:rFonts w:ascii="Traditional Arabic" w:hAnsi="Traditional Arabic" w:cs="Traditional Arabic"/>
          <w:sz w:val="28"/>
          <w:szCs w:val="28"/>
          <w:lang w:bidi="ar-EG"/>
        </w:rPr>
      </w:pPr>
      <w:proofErr w:type="spellStart"/>
      <w:r w:rsidRPr="008472C6">
        <w:rPr>
          <w:rFonts w:ascii="Traditional Arabic" w:hAnsi="Traditional Arabic" w:cs="Traditional Arabic"/>
          <w:sz w:val="28"/>
          <w:szCs w:val="28"/>
          <w:lang w:bidi="ar-EG"/>
        </w:rPr>
        <w:t>Jamoussi</w:t>
      </w:r>
      <w:proofErr w:type="spellEnd"/>
      <w:r w:rsidRPr="008472C6">
        <w:rPr>
          <w:rFonts w:ascii="Traditional Arabic" w:hAnsi="Traditional Arabic" w:cs="Traditional Arabic"/>
          <w:sz w:val="28"/>
          <w:szCs w:val="28"/>
          <w:lang w:bidi="ar-EG"/>
        </w:rPr>
        <w:t>, B., Abu-Rizaiza, A., &amp; AL-</w:t>
      </w:r>
      <w:proofErr w:type="spellStart"/>
      <w:r w:rsidRPr="008472C6">
        <w:rPr>
          <w:rFonts w:ascii="Traditional Arabic" w:hAnsi="Traditional Arabic" w:cs="Traditional Arabic"/>
          <w:sz w:val="28"/>
          <w:szCs w:val="28"/>
          <w:lang w:bidi="ar-EG"/>
        </w:rPr>
        <w:t>Haij</w:t>
      </w:r>
      <w:proofErr w:type="spellEnd"/>
      <w:r w:rsidRPr="008472C6">
        <w:rPr>
          <w:rFonts w:ascii="Traditional Arabic" w:hAnsi="Traditional Arabic" w:cs="Traditional Arabic"/>
          <w:sz w:val="28"/>
          <w:szCs w:val="28"/>
          <w:lang w:bidi="ar-EG"/>
        </w:rPr>
        <w:t xml:space="preserve">, A. (2022). Sustainable Building Standards, Codes and Certification Systems: The Status Quo and Future Directions in Saudi Arabia. </w:t>
      </w:r>
      <w:r w:rsidRPr="008472C6">
        <w:rPr>
          <w:rFonts w:ascii="Traditional Arabic" w:hAnsi="Traditional Arabic" w:cs="Traditional Arabic"/>
          <w:i/>
          <w:iCs/>
          <w:sz w:val="28"/>
          <w:szCs w:val="28"/>
          <w:lang w:bidi="ar-EG"/>
        </w:rPr>
        <w:t>Sustainability, 14</w:t>
      </w:r>
      <w:r w:rsidRPr="008472C6">
        <w:rPr>
          <w:rFonts w:ascii="Traditional Arabic" w:hAnsi="Traditional Arabic" w:cs="Traditional Arabic"/>
          <w:sz w:val="28"/>
          <w:szCs w:val="28"/>
          <w:lang w:bidi="ar-EG"/>
        </w:rPr>
        <w:t xml:space="preserve">(16), 10314. </w:t>
      </w:r>
      <w:hyperlink r:id="rId16" w:tgtFrame="_new" w:history="1">
        <w:r w:rsidRPr="008472C6">
          <w:rPr>
            <w:rStyle w:val="Hyperlink"/>
            <w:rFonts w:ascii="Traditional Arabic" w:hAnsi="Traditional Arabic" w:cs="Traditional Arabic"/>
            <w:sz w:val="28"/>
            <w:szCs w:val="28"/>
            <w:lang w:bidi="ar-EG"/>
          </w:rPr>
          <w:t>https://doi.org/10.3390/su14</w:t>
        </w:r>
        <w:r w:rsidRPr="008472C6">
          <w:rPr>
            <w:rStyle w:val="Hyperlink"/>
            <w:rFonts w:ascii="Traditional Arabic" w:hAnsi="Traditional Arabic" w:cs="Traditional Arabic"/>
            <w:sz w:val="28"/>
            <w:szCs w:val="28"/>
            <w:lang w:bidi="ar-EG"/>
          </w:rPr>
          <w:t>1</w:t>
        </w:r>
        <w:r w:rsidRPr="008472C6">
          <w:rPr>
            <w:rStyle w:val="Hyperlink"/>
            <w:rFonts w:ascii="Traditional Arabic" w:hAnsi="Traditional Arabic" w:cs="Traditional Arabic"/>
            <w:sz w:val="28"/>
            <w:szCs w:val="28"/>
            <w:lang w:bidi="ar-EG"/>
          </w:rPr>
          <w:t>610314</w:t>
        </w:r>
      </w:hyperlink>
    </w:p>
    <w:p w14:paraId="7022BB2D" w14:textId="77777777" w:rsidR="009A2D06" w:rsidRPr="009A2D06" w:rsidRDefault="000843FE" w:rsidP="009A2D06">
      <w:pPr>
        <w:pStyle w:val="ListParagraph"/>
        <w:numPr>
          <w:ilvl w:val="0"/>
          <w:numId w:val="13"/>
        </w:numPr>
        <w:spacing w:line="480" w:lineRule="auto"/>
        <w:jc w:val="both"/>
        <w:rPr>
          <w:rFonts w:ascii="Traditional Arabic" w:hAnsi="Traditional Arabic" w:cs="Traditional Arabic"/>
          <w:sz w:val="28"/>
          <w:szCs w:val="28"/>
          <w:lang w:bidi="ar-EG"/>
        </w:rPr>
      </w:pPr>
      <w:r w:rsidRPr="009A2D06">
        <w:rPr>
          <w:rFonts w:ascii="Traditional Arabic" w:hAnsi="Traditional Arabic" w:cs="Traditional Arabic"/>
          <w:sz w:val="28"/>
          <w:szCs w:val="28"/>
          <w:lang w:bidi="ar-EG"/>
        </w:rPr>
        <w:t xml:space="preserve">Kingdom of Saudi Arabia. (2018). </w:t>
      </w:r>
      <w:r w:rsidRPr="009A2D06">
        <w:rPr>
          <w:rFonts w:ascii="Traditional Arabic" w:hAnsi="Traditional Arabic" w:cs="Traditional Arabic"/>
          <w:i/>
          <w:iCs/>
          <w:sz w:val="28"/>
          <w:szCs w:val="28"/>
          <w:lang w:bidi="ar-EG"/>
        </w:rPr>
        <w:t>Voluntary National Review 2018: Towards a Sustainable Kingdom of Saudi Arabia.</w:t>
      </w:r>
      <w:r w:rsidRPr="009A2D06">
        <w:rPr>
          <w:rFonts w:ascii="Traditional Arabic" w:hAnsi="Traditional Arabic" w:cs="Traditional Arabic"/>
          <w:sz w:val="28"/>
          <w:szCs w:val="28"/>
          <w:lang w:bidi="ar-EG"/>
        </w:rPr>
        <w:t xml:space="preserve"> Ministry of Economy and Planning. </w:t>
      </w:r>
      <w:hyperlink r:id="rId17" w:history="1">
        <w:r w:rsidR="009A2D06" w:rsidRPr="009A2D06">
          <w:rPr>
            <w:rStyle w:val="Hyperlink"/>
          </w:rPr>
          <w:t>Voluntary National Review (VNR) for Saudi Arabia | United Nations Development Programme</w:t>
        </w:r>
      </w:hyperlink>
      <w:r w:rsidR="009A2D06" w:rsidRPr="009A2D06">
        <w:t xml:space="preserve"> </w:t>
      </w:r>
    </w:p>
    <w:p w14:paraId="6FD26C07" w14:textId="2C2A5C46" w:rsidR="000843FE" w:rsidRPr="009A2D06" w:rsidRDefault="000843FE" w:rsidP="009A2D06">
      <w:pPr>
        <w:pStyle w:val="ListParagraph"/>
        <w:numPr>
          <w:ilvl w:val="0"/>
          <w:numId w:val="13"/>
        </w:numPr>
        <w:spacing w:line="480" w:lineRule="auto"/>
        <w:jc w:val="both"/>
        <w:rPr>
          <w:rFonts w:ascii="Traditional Arabic" w:hAnsi="Traditional Arabic" w:cs="Traditional Arabic"/>
          <w:sz w:val="28"/>
          <w:szCs w:val="28"/>
          <w:lang w:bidi="ar-EG"/>
        </w:rPr>
      </w:pPr>
      <w:r w:rsidRPr="009A2D06">
        <w:rPr>
          <w:rFonts w:ascii="Traditional Arabic" w:hAnsi="Traditional Arabic" w:cs="Traditional Arabic"/>
          <w:sz w:val="28"/>
          <w:szCs w:val="28"/>
          <w:lang w:bidi="ar-EG"/>
        </w:rPr>
        <w:t xml:space="preserve">Qazi, A., </w:t>
      </w:r>
      <w:proofErr w:type="spellStart"/>
      <w:r w:rsidRPr="009A2D06">
        <w:rPr>
          <w:rFonts w:ascii="Traditional Arabic" w:hAnsi="Traditional Arabic" w:cs="Traditional Arabic"/>
          <w:sz w:val="28"/>
          <w:szCs w:val="28"/>
          <w:lang w:bidi="ar-EG"/>
        </w:rPr>
        <w:t>Shamayleh</w:t>
      </w:r>
      <w:proofErr w:type="spellEnd"/>
      <w:r w:rsidRPr="009A2D06">
        <w:rPr>
          <w:rFonts w:ascii="Traditional Arabic" w:hAnsi="Traditional Arabic" w:cs="Traditional Arabic"/>
          <w:sz w:val="28"/>
          <w:szCs w:val="28"/>
          <w:lang w:bidi="ar-EG"/>
        </w:rPr>
        <w:t xml:space="preserve">, A., El-Sayegh, S., &amp; </w:t>
      </w:r>
      <w:proofErr w:type="spellStart"/>
      <w:r w:rsidRPr="009A2D06">
        <w:rPr>
          <w:rFonts w:ascii="Traditional Arabic" w:hAnsi="Traditional Arabic" w:cs="Traditional Arabic"/>
          <w:sz w:val="28"/>
          <w:szCs w:val="28"/>
          <w:lang w:bidi="ar-EG"/>
        </w:rPr>
        <w:t>Formaneck</w:t>
      </w:r>
      <w:proofErr w:type="spellEnd"/>
      <w:r w:rsidRPr="009A2D06">
        <w:rPr>
          <w:rFonts w:ascii="Traditional Arabic" w:hAnsi="Traditional Arabic" w:cs="Traditional Arabic"/>
          <w:sz w:val="28"/>
          <w:szCs w:val="28"/>
          <w:lang w:bidi="ar-EG"/>
        </w:rPr>
        <w:t xml:space="preserve">, S. (2021). Prioritizing risks in sustainable construction projects using a risk matrix-based Monte Carlo Simulation approach. </w:t>
      </w:r>
      <w:r w:rsidRPr="009A2D06">
        <w:rPr>
          <w:rFonts w:ascii="Traditional Arabic" w:hAnsi="Traditional Arabic" w:cs="Traditional Arabic"/>
          <w:i/>
          <w:iCs/>
          <w:sz w:val="28"/>
          <w:szCs w:val="28"/>
          <w:lang w:bidi="ar-EG"/>
        </w:rPr>
        <w:t>Sustainable Cities and Society</w:t>
      </w:r>
      <w:r w:rsidRPr="009A2D06">
        <w:rPr>
          <w:rFonts w:ascii="Traditional Arabic" w:hAnsi="Traditional Arabic" w:cs="Traditional Arabic"/>
          <w:sz w:val="28"/>
          <w:szCs w:val="28"/>
          <w:lang w:bidi="ar-EG"/>
        </w:rPr>
        <w:t xml:space="preserve">, 65, 102576. </w:t>
      </w:r>
      <w:hyperlink r:id="rId18" w:tgtFrame="_new" w:history="1">
        <w:r w:rsidRPr="009A2D06">
          <w:rPr>
            <w:rStyle w:val="Hyperlink"/>
            <w:rFonts w:ascii="Traditional Arabic" w:hAnsi="Traditional Arabic" w:cs="Traditional Arabic"/>
            <w:sz w:val="28"/>
            <w:szCs w:val="28"/>
            <w:lang w:bidi="ar-EG"/>
          </w:rPr>
          <w:t>https://doi.org/10.1016/j.scs.2020.102576</w:t>
        </w:r>
      </w:hyperlink>
    </w:p>
    <w:p w14:paraId="76874778" w14:textId="77777777" w:rsidR="000843FE" w:rsidRPr="0022494E" w:rsidRDefault="000843FE" w:rsidP="000843FE">
      <w:pPr>
        <w:numPr>
          <w:ilvl w:val="0"/>
          <w:numId w:val="13"/>
        </w:numPr>
        <w:spacing w:line="480" w:lineRule="auto"/>
        <w:jc w:val="both"/>
        <w:rPr>
          <w:rFonts w:ascii="Traditional Arabic" w:hAnsi="Traditional Arabic" w:cs="Traditional Arabic"/>
          <w:sz w:val="28"/>
          <w:szCs w:val="28"/>
          <w:lang w:bidi="ar-EG"/>
        </w:rPr>
      </w:pPr>
      <w:r w:rsidRPr="0022494E">
        <w:rPr>
          <w:rFonts w:ascii="Traditional Arabic" w:hAnsi="Traditional Arabic" w:cs="Traditional Arabic"/>
          <w:sz w:val="28"/>
          <w:szCs w:val="28"/>
          <w:lang w:bidi="ar-EG"/>
        </w:rPr>
        <w:t xml:space="preserve">Rajabi, S., El-Sayegh, S., &amp; Romdhane, L. (2022). Identification and assessment of sustainability performance indicators for construction projects. </w:t>
      </w:r>
      <w:r w:rsidRPr="0022494E">
        <w:rPr>
          <w:rFonts w:ascii="Traditional Arabic" w:hAnsi="Traditional Arabic" w:cs="Traditional Arabic"/>
          <w:i/>
          <w:iCs/>
          <w:sz w:val="28"/>
          <w:szCs w:val="28"/>
          <w:lang w:bidi="ar-EG"/>
        </w:rPr>
        <w:lastRenderedPageBreak/>
        <w:t>Environmental and Sustainability Indicators</w:t>
      </w:r>
      <w:r w:rsidRPr="0022494E">
        <w:rPr>
          <w:rFonts w:ascii="Traditional Arabic" w:hAnsi="Traditional Arabic" w:cs="Traditional Arabic"/>
          <w:sz w:val="28"/>
          <w:szCs w:val="28"/>
          <w:lang w:bidi="ar-EG"/>
        </w:rPr>
        <w:t xml:space="preserve">, 15, 100193. </w:t>
      </w:r>
      <w:hyperlink r:id="rId19" w:tgtFrame="_new" w:history="1">
        <w:r w:rsidRPr="0022494E">
          <w:rPr>
            <w:rStyle w:val="Hyperlink"/>
            <w:rFonts w:ascii="Traditional Arabic" w:hAnsi="Traditional Arabic" w:cs="Traditional Arabic"/>
            <w:sz w:val="28"/>
            <w:szCs w:val="28"/>
            <w:lang w:bidi="ar-EG"/>
          </w:rPr>
          <w:t>https://doi.org/10.1016/j.indic.2022.100193</w:t>
        </w:r>
      </w:hyperlink>
    </w:p>
    <w:p w14:paraId="3ECDBB68" w14:textId="77777777" w:rsidR="000843FE" w:rsidRPr="0022494E" w:rsidRDefault="000843FE" w:rsidP="000843FE">
      <w:pPr>
        <w:numPr>
          <w:ilvl w:val="0"/>
          <w:numId w:val="13"/>
        </w:numPr>
        <w:spacing w:line="480" w:lineRule="auto"/>
        <w:jc w:val="both"/>
        <w:rPr>
          <w:rFonts w:ascii="Traditional Arabic" w:hAnsi="Traditional Arabic" w:cs="Traditional Arabic"/>
          <w:sz w:val="28"/>
          <w:szCs w:val="28"/>
          <w:lang w:bidi="ar-EG"/>
        </w:rPr>
      </w:pPr>
      <w:r w:rsidRPr="0022494E">
        <w:rPr>
          <w:rFonts w:ascii="Traditional Arabic" w:hAnsi="Traditional Arabic" w:cs="Traditional Arabic"/>
          <w:sz w:val="28"/>
          <w:szCs w:val="28"/>
          <w:lang w:bidi="ar-EG"/>
        </w:rPr>
        <w:t xml:space="preserve">Salah, M., Elmasry, M., Mashhour, I. M., &amp; Amer, N. (2023). A framework for assessing sustainability of construction projects. </w:t>
      </w:r>
      <w:r w:rsidRPr="0022494E">
        <w:rPr>
          <w:rFonts w:ascii="Traditional Arabic" w:hAnsi="Traditional Arabic" w:cs="Traditional Arabic"/>
          <w:i/>
          <w:iCs/>
          <w:sz w:val="28"/>
          <w:szCs w:val="28"/>
          <w:lang w:bidi="ar-EG"/>
        </w:rPr>
        <w:t>Cleaner Engineering and Technology</w:t>
      </w:r>
      <w:r w:rsidRPr="0022494E">
        <w:rPr>
          <w:rFonts w:ascii="Traditional Arabic" w:hAnsi="Traditional Arabic" w:cs="Traditional Arabic"/>
          <w:sz w:val="28"/>
          <w:szCs w:val="28"/>
          <w:lang w:bidi="ar-EG"/>
        </w:rPr>
        <w:t xml:space="preserve">, 13, 100626. </w:t>
      </w:r>
      <w:hyperlink r:id="rId20" w:tgtFrame="_new" w:history="1">
        <w:r w:rsidRPr="0022494E">
          <w:rPr>
            <w:rStyle w:val="Hyperlink"/>
            <w:rFonts w:ascii="Traditional Arabic" w:hAnsi="Traditional Arabic" w:cs="Traditional Arabic"/>
            <w:sz w:val="28"/>
            <w:szCs w:val="28"/>
            <w:lang w:bidi="ar-EG"/>
          </w:rPr>
          <w:t>https://doi.org/10.1016/j.clet.2023.100626</w:t>
        </w:r>
      </w:hyperlink>
    </w:p>
    <w:p w14:paraId="759B6583" w14:textId="77777777" w:rsidR="000843FE" w:rsidRPr="008472C6" w:rsidRDefault="000843FE" w:rsidP="000843FE">
      <w:pPr>
        <w:numPr>
          <w:ilvl w:val="0"/>
          <w:numId w:val="13"/>
        </w:numPr>
        <w:spacing w:line="480" w:lineRule="auto"/>
        <w:jc w:val="both"/>
        <w:rPr>
          <w:rFonts w:ascii="Traditional Arabic" w:hAnsi="Traditional Arabic" w:cs="Traditional Arabic"/>
          <w:sz w:val="28"/>
          <w:szCs w:val="28"/>
          <w:lang w:bidi="ar-EG"/>
        </w:rPr>
      </w:pPr>
      <w:proofErr w:type="spellStart"/>
      <w:r w:rsidRPr="008472C6">
        <w:rPr>
          <w:rFonts w:ascii="Traditional Arabic" w:hAnsi="Traditional Arabic" w:cs="Traditional Arabic"/>
          <w:sz w:val="28"/>
          <w:szCs w:val="28"/>
          <w:lang w:bidi="ar-EG"/>
        </w:rPr>
        <w:t>Shaawat</w:t>
      </w:r>
      <w:proofErr w:type="spellEnd"/>
      <w:r w:rsidRPr="008472C6">
        <w:rPr>
          <w:rFonts w:ascii="Traditional Arabic" w:hAnsi="Traditional Arabic" w:cs="Traditional Arabic"/>
          <w:sz w:val="28"/>
          <w:szCs w:val="28"/>
          <w:lang w:bidi="ar-EG"/>
        </w:rPr>
        <w:t xml:space="preserve">, M. E., Alqahtani, S. M. S., Qasem, A., Jamil, R., </w:t>
      </w:r>
      <w:proofErr w:type="spellStart"/>
      <w:r w:rsidRPr="008472C6">
        <w:rPr>
          <w:rFonts w:ascii="Traditional Arabic" w:hAnsi="Traditional Arabic" w:cs="Traditional Arabic"/>
          <w:sz w:val="28"/>
          <w:szCs w:val="28"/>
          <w:lang w:bidi="ar-EG"/>
        </w:rPr>
        <w:t>Almohassen</w:t>
      </w:r>
      <w:proofErr w:type="spellEnd"/>
      <w:r w:rsidRPr="008472C6">
        <w:rPr>
          <w:rFonts w:ascii="Traditional Arabic" w:hAnsi="Traditional Arabic" w:cs="Traditional Arabic"/>
          <w:sz w:val="28"/>
          <w:szCs w:val="28"/>
          <w:lang w:bidi="ar-EG"/>
        </w:rPr>
        <w:t xml:space="preserve">, A. S., &amp; </w:t>
      </w:r>
      <w:proofErr w:type="spellStart"/>
      <w:r w:rsidRPr="008472C6">
        <w:rPr>
          <w:rFonts w:ascii="Traditional Arabic" w:hAnsi="Traditional Arabic" w:cs="Traditional Arabic"/>
          <w:sz w:val="28"/>
          <w:szCs w:val="28"/>
          <w:lang w:bidi="ar-EG"/>
        </w:rPr>
        <w:t>Bongwirnso</w:t>
      </w:r>
      <w:proofErr w:type="spellEnd"/>
      <w:r w:rsidRPr="008472C6">
        <w:rPr>
          <w:rFonts w:ascii="Traditional Arabic" w:hAnsi="Traditional Arabic" w:cs="Traditional Arabic"/>
          <w:sz w:val="28"/>
          <w:szCs w:val="28"/>
          <w:lang w:bidi="ar-EG"/>
        </w:rPr>
        <w:t xml:space="preserve">, U. M. (2023). A Performance Quality Index to Assess Professional Conduct of Contractors at Sustainable Construction Projects in Saudi Arabia. </w:t>
      </w:r>
      <w:r w:rsidRPr="008472C6">
        <w:rPr>
          <w:rFonts w:ascii="Traditional Arabic" w:hAnsi="Traditional Arabic" w:cs="Traditional Arabic"/>
          <w:i/>
          <w:iCs/>
          <w:sz w:val="28"/>
          <w:szCs w:val="28"/>
          <w:lang w:bidi="ar-EG"/>
        </w:rPr>
        <w:t>Sustainability, 15</w:t>
      </w:r>
      <w:r w:rsidRPr="008472C6">
        <w:rPr>
          <w:rFonts w:ascii="Traditional Arabic" w:hAnsi="Traditional Arabic" w:cs="Traditional Arabic"/>
          <w:sz w:val="28"/>
          <w:szCs w:val="28"/>
          <w:lang w:bidi="ar-EG"/>
        </w:rPr>
        <w:t xml:space="preserve">(9), 7500. </w:t>
      </w:r>
      <w:hyperlink r:id="rId21" w:tgtFrame="_new" w:history="1">
        <w:r w:rsidRPr="008472C6">
          <w:rPr>
            <w:rStyle w:val="Hyperlink"/>
            <w:rFonts w:ascii="Traditional Arabic" w:hAnsi="Traditional Arabic" w:cs="Traditional Arabic"/>
            <w:sz w:val="28"/>
            <w:szCs w:val="28"/>
            <w:lang w:bidi="ar-EG"/>
          </w:rPr>
          <w:t>https://d</w:t>
        </w:r>
        <w:r w:rsidRPr="008472C6">
          <w:rPr>
            <w:rStyle w:val="Hyperlink"/>
            <w:rFonts w:ascii="Traditional Arabic" w:hAnsi="Traditional Arabic" w:cs="Traditional Arabic"/>
            <w:sz w:val="28"/>
            <w:szCs w:val="28"/>
            <w:lang w:bidi="ar-EG"/>
          </w:rPr>
          <w:t>o</w:t>
        </w:r>
        <w:r w:rsidRPr="008472C6">
          <w:rPr>
            <w:rStyle w:val="Hyperlink"/>
            <w:rFonts w:ascii="Traditional Arabic" w:hAnsi="Traditional Arabic" w:cs="Traditional Arabic"/>
            <w:sz w:val="28"/>
            <w:szCs w:val="28"/>
            <w:lang w:bidi="ar-EG"/>
          </w:rPr>
          <w:t>i.org/10.3390/su15097500</w:t>
        </w:r>
      </w:hyperlink>
    </w:p>
    <w:p w14:paraId="65923F89" w14:textId="77777777" w:rsidR="000843FE" w:rsidRPr="007205A8" w:rsidRDefault="000843FE" w:rsidP="000843FE">
      <w:pPr>
        <w:numPr>
          <w:ilvl w:val="0"/>
          <w:numId w:val="13"/>
        </w:numPr>
        <w:spacing w:line="480" w:lineRule="auto"/>
        <w:jc w:val="both"/>
        <w:rPr>
          <w:rFonts w:ascii="Traditional Arabic" w:hAnsi="Traditional Arabic" w:cs="Traditional Arabic"/>
          <w:sz w:val="28"/>
          <w:szCs w:val="28"/>
          <w:lang w:bidi="ar-EG"/>
        </w:rPr>
      </w:pPr>
      <w:proofErr w:type="spellStart"/>
      <w:r w:rsidRPr="006337C0">
        <w:rPr>
          <w:rFonts w:ascii="Traditional Arabic" w:hAnsi="Traditional Arabic" w:cs="Traditional Arabic"/>
          <w:sz w:val="28"/>
          <w:szCs w:val="28"/>
          <w:lang w:bidi="ar-EG"/>
        </w:rPr>
        <w:t>Unegbu</w:t>
      </w:r>
      <w:proofErr w:type="spellEnd"/>
      <w:r w:rsidRPr="006337C0">
        <w:rPr>
          <w:rFonts w:ascii="Traditional Arabic" w:hAnsi="Traditional Arabic" w:cs="Traditional Arabic"/>
          <w:sz w:val="28"/>
          <w:szCs w:val="28"/>
          <w:lang w:bidi="ar-EG"/>
        </w:rPr>
        <w:t xml:space="preserve">, H. C. O., </w:t>
      </w:r>
      <w:proofErr w:type="spellStart"/>
      <w:r w:rsidRPr="006337C0">
        <w:rPr>
          <w:rFonts w:ascii="Traditional Arabic" w:hAnsi="Traditional Arabic" w:cs="Traditional Arabic"/>
          <w:sz w:val="28"/>
          <w:szCs w:val="28"/>
          <w:lang w:bidi="ar-EG"/>
        </w:rPr>
        <w:t>Yawas</w:t>
      </w:r>
      <w:proofErr w:type="spellEnd"/>
      <w:r w:rsidRPr="006337C0">
        <w:rPr>
          <w:rFonts w:ascii="Traditional Arabic" w:hAnsi="Traditional Arabic" w:cs="Traditional Arabic"/>
          <w:sz w:val="28"/>
          <w:szCs w:val="28"/>
          <w:lang w:bidi="ar-EG"/>
        </w:rPr>
        <w:t>, D. S., &amp; Dan-</w:t>
      </w:r>
      <w:proofErr w:type="spellStart"/>
      <w:r w:rsidRPr="006337C0">
        <w:rPr>
          <w:rFonts w:ascii="Traditional Arabic" w:hAnsi="Traditional Arabic" w:cs="Traditional Arabic"/>
          <w:sz w:val="28"/>
          <w:szCs w:val="28"/>
          <w:lang w:bidi="ar-EG"/>
        </w:rPr>
        <w:t>asabe</w:t>
      </w:r>
      <w:proofErr w:type="spellEnd"/>
      <w:r w:rsidRPr="006337C0">
        <w:rPr>
          <w:rFonts w:ascii="Traditional Arabic" w:hAnsi="Traditional Arabic" w:cs="Traditional Arabic"/>
          <w:sz w:val="28"/>
          <w:szCs w:val="28"/>
          <w:lang w:bidi="ar-EG"/>
        </w:rPr>
        <w:t xml:space="preserve">, B. (2022). An investigation of the relationship between project performance measures and project management practices of construction projects for the construction industry in Nigeria. </w:t>
      </w:r>
      <w:r w:rsidRPr="006337C0">
        <w:rPr>
          <w:rFonts w:ascii="Traditional Arabic" w:hAnsi="Traditional Arabic" w:cs="Traditional Arabic"/>
          <w:i/>
          <w:iCs/>
          <w:sz w:val="28"/>
          <w:szCs w:val="28"/>
          <w:lang w:bidi="ar-EG"/>
        </w:rPr>
        <w:t>Journal of King Saud University - Engineering Sciences, 34</w:t>
      </w:r>
      <w:r w:rsidRPr="006337C0">
        <w:rPr>
          <w:rFonts w:ascii="Traditional Arabic" w:hAnsi="Traditional Arabic" w:cs="Traditional Arabic"/>
          <w:sz w:val="28"/>
          <w:szCs w:val="28"/>
          <w:lang w:bidi="ar-EG"/>
        </w:rPr>
        <w:t xml:space="preserve">(4), 240-249. </w:t>
      </w:r>
      <w:hyperlink r:id="rId22" w:tgtFrame="_new" w:history="1">
        <w:r w:rsidRPr="006337C0">
          <w:rPr>
            <w:rStyle w:val="Hyperlink"/>
            <w:rFonts w:ascii="Traditional Arabic" w:hAnsi="Traditional Arabic" w:cs="Traditional Arabic"/>
            <w:sz w:val="28"/>
            <w:szCs w:val="28"/>
            <w:lang w:bidi="ar-EG"/>
          </w:rPr>
          <w:t>https://do</w:t>
        </w:r>
        <w:r w:rsidRPr="006337C0">
          <w:rPr>
            <w:rStyle w:val="Hyperlink"/>
            <w:rFonts w:ascii="Traditional Arabic" w:hAnsi="Traditional Arabic" w:cs="Traditional Arabic"/>
            <w:sz w:val="28"/>
            <w:szCs w:val="28"/>
            <w:lang w:bidi="ar-EG"/>
          </w:rPr>
          <w:t>i</w:t>
        </w:r>
        <w:r w:rsidRPr="006337C0">
          <w:rPr>
            <w:rStyle w:val="Hyperlink"/>
            <w:rFonts w:ascii="Traditional Arabic" w:hAnsi="Traditional Arabic" w:cs="Traditional Arabic"/>
            <w:sz w:val="28"/>
            <w:szCs w:val="28"/>
            <w:lang w:bidi="ar-EG"/>
          </w:rPr>
          <w:t>.org/10.1016/j.jksues.2020.10.001</w:t>
        </w:r>
      </w:hyperlink>
    </w:p>
    <w:p w14:paraId="55734185" w14:textId="768808DD" w:rsidR="007205A8" w:rsidRPr="007205A8" w:rsidRDefault="007205A8" w:rsidP="007205A8">
      <w:pPr>
        <w:numPr>
          <w:ilvl w:val="0"/>
          <w:numId w:val="13"/>
        </w:numPr>
        <w:spacing w:line="480" w:lineRule="auto"/>
        <w:jc w:val="both"/>
        <w:rPr>
          <w:rFonts w:ascii="Traditional Arabic" w:hAnsi="Traditional Arabic" w:cs="Traditional Arabic"/>
          <w:sz w:val="28"/>
          <w:szCs w:val="28"/>
          <w:lang w:bidi="ar-EG"/>
        </w:rPr>
      </w:pPr>
      <w:r w:rsidRPr="007205A8">
        <w:rPr>
          <w:rFonts w:ascii="Traditional Arabic" w:hAnsi="Traditional Arabic" w:cs="Traditional Arabic"/>
          <w:sz w:val="28"/>
          <w:szCs w:val="28"/>
          <w:lang w:bidi="ar-EG"/>
        </w:rPr>
        <w:lastRenderedPageBreak/>
        <w:t>Brundtland Commission. (1987). Our Common Future. World Commission on Environment and Development (WCED). Oxford University Press.</w:t>
      </w:r>
    </w:p>
    <w:p w14:paraId="41A55F76" w14:textId="77777777" w:rsidR="007205A8" w:rsidRPr="007205A8" w:rsidRDefault="007205A8" w:rsidP="007205A8">
      <w:pPr>
        <w:numPr>
          <w:ilvl w:val="0"/>
          <w:numId w:val="13"/>
        </w:numPr>
        <w:spacing w:line="480" w:lineRule="auto"/>
        <w:jc w:val="both"/>
        <w:rPr>
          <w:rFonts w:ascii="Traditional Arabic" w:hAnsi="Traditional Arabic" w:cs="Traditional Arabic"/>
          <w:sz w:val="28"/>
          <w:szCs w:val="28"/>
          <w:lang w:bidi="ar-EG"/>
        </w:rPr>
      </w:pPr>
      <w:r w:rsidRPr="007205A8">
        <w:rPr>
          <w:rFonts w:ascii="Traditional Arabic" w:hAnsi="Traditional Arabic" w:cs="Traditional Arabic"/>
          <w:sz w:val="28"/>
          <w:szCs w:val="28"/>
          <w:lang w:bidi="ar-EG"/>
        </w:rPr>
        <w:t>Elkington, J. (1997). Cannibals with Forks: The Triple Bottom Line of 21st Century Business. Capstone Publishing.</w:t>
      </w:r>
    </w:p>
    <w:p w14:paraId="004C0B09" w14:textId="77777777" w:rsidR="007205A8" w:rsidRPr="007205A8" w:rsidRDefault="007205A8" w:rsidP="007205A8">
      <w:pPr>
        <w:numPr>
          <w:ilvl w:val="0"/>
          <w:numId w:val="13"/>
        </w:numPr>
        <w:spacing w:line="480" w:lineRule="auto"/>
        <w:jc w:val="both"/>
        <w:rPr>
          <w:rFonts w:ascii="Traditional Arabic" w:hAnsi="Traditional Arabic" w:cs="Traditional Arabic"/>
          <w:sz w:val="28"/>
          <w:szCs w:val="28"/>
          <w:lang w:bidi="ar-EG"/>
        </w:rPr>
      </w:pPr>
      <w:r w:rsidRPr="007205A8">
        <w:rPr>
          <w:rFonts w:ascii="Traditional Arabic" w:hAnsi="Traditional Arabic" w:cs="Traditional Arabic"/>
          <w:sz w:val="28"/>
          <w:szCs w:val="28"/>
          <w:lang w:bidi="ar-EG"/>
        </w:rPr>
        <w:t xml:space="preserve">OECD. (2011). Towards Green Growth. </w:t>
      </w:r>
      <w:proofErr w:type="spellStart"/>
      <w:r w:rsidRPr="007205A8">
        <w:rPr>
          <w:rFonts w:ascii="Traditional Arabic" w:hAnsi="Traditional Arabic" w:cs="Traditional Arabic"/>
          <w:sz w:val="28"/>
          <w:szCs w:val="28"/>
          <w:lang w:bidi="ar-EG"/>
        </w:rPr>
        <w:t>Organisation</w:t>
      </w:r>
      <w:proofErr w:type="spellEnd"/>
      <w:r w:rsidRPr="007205A8">
        <w:rPr>
          <w:rFonts w:ascii="Traditional Arabic" w:hAnsi="Traditional Arabic" w:cs="Traditional Arabic"/>
          <w:sz w:val="28"/>
          <w:szCs w:val="28"/>
          <w:lang w:bidi="ar-EG"/>
        </w:rPr>
        <w:t xml:space="preserve"> for Economic Co-operation and Development.</w:t>
      </w:r>
    </w:p>
    <w:p w14:paraId="00501198" w14:textId="77777777" w:rsidR="007205A8" w:rsidRPr="007205A8" w:rsidRDefault="007205A8" w:rsidP="007205A8">
      <w:pPr>
        <w:numPr>
          <w:ilvl w:val="0"/>
          <w:numId w:val="13"/>
        </w:numPr>
        <w:spacing w:line="480" w:lineRule="auto"/>
        <w:jc w:val="both"/>
        <w:rPr>
          <w:rFonts w:ascii="Traditional Arabic" w:hAnsi="Traditional Arabic" w:cs="Traditional Arabic"/>
          <w:sz w:val="28"/>
          <w:szCs w:val="28"/>
          <w:lang w:bidi="ar-EG"/>
        </w:rPr>
      </w:pPr>
      <w:r w:rsidRPr="007205A8">
        <w:rPr>
          <w:rFonts w:ascii="Traditional Arabic" w:hAnsi="Traditional Arabic" w:cs="Traditional Arabic"/>
          <w:sz w:val="28"/>
          <w:szCs w:val="28"/>
          <w:lang w:bidi="ar-EG"/>
        </w:rPr>
        <w:t xml:space="preserve">United Nations Environment </w:t>
      </w:r>
      <w:proofErr w:type="spellStart"/>
      <w:r w:rsidRPr="007205A8">
        <w:rPr>
          <w:rFonts w:ascii="Traditional Arabic" w:hAnsi="Traditional Arabic" w:cs="Traditional Arabic"/>
          <w:sz w:val="28"/>
          <w:szCs w:val="28"/>
          <w:lang w:bidi="ar-EG"/>
        </w:rPr>
        <w:t>Programme</w:t>
      </w:r>
      <w:proofErr w:type="spellEnd"/>
      <w:r w:rsidRPr="007205A8">
        <w:rPr>
          <w:rFonts w:ascii="Traditional Arabic" w:hAnsi="Traditional Arabic" w:cs="Traditional Arabic"/>
          <w:sz w:val="28"/>
          <w:szCs w:val="28"/>
          <w:lang w:bidi="ar-EG"/>
        </w:rPr>
        <w:t>. (2020). Global Status Report for Buildings and Construction. UNEP.</w:t>
      </w:r>
    </w:p>
    <w:p w14:paraId="3704E37A" w14:textId="77777777" w:rsidR="007205A8" w:rsidRPr="007205A8" w:rsidRDefault="007205A8" w:rsidP="007205A8">
      <w:pPr>
        <w:numPr>
          <w:ilvl w:val="0"/>
          <w:numId w:val="13"/>
        </w:numPr>
        <w:spacing w:line="480" w:lineRule="auto"/>
        <w:jc w:val="both"/>
        <w:rPr>
          <w:rFonts w:ascii="Traditional Arabic" w:hAnsi="Traditional Arabic" w:cs="Traditional Arabic"/>
          <w:sz w:val="28"/>
          <w:szCs w:val="28"/>
          <w:lang w:bidi="ar-EG"/>
        </w:rPr>
      </w:pPr>
      <w:r w:rsidRPr="007205A8">
        <w:rPr>
          <w:rFonts w:ascii="Traditional Arabic" w:hAnsi="Traditional Arabic" w:cs="Traditional Arabic"/>
          <w:sz w:val="28"/>
          <w:szCs w:val="28"/>
          <w:lang w:bidi="ar-EG"/>
        </w:rPr>
        <w:t xml:space="preserve">MacArthur, E. (2013). Towards the circular economy. Journal of industrial ecology, 2(1), 23-44. </w:t>
      </w:r>
    </w:p>
    <w:p w14:paraId="685C92F3" w14:textId="22872E38" w:rsidR="007205A8" w:rsidRPr="007205A8" w:rsidRDefault="007205A8" w:rsidP="007205A8">
      <w:pPr>
        <w:numPr>
          <w:ilvl w:val="0"/>
          <w:numId w:val="13"/>
        </w:numPr>
        <w:spacing w:line="480" w:lineRule="auto"/>
        <w:jc w:val="both"/>
        <w:rPr>
          <w:rFonts w:ascii="Traditional Arabic" w:hAnsi="Traditional Arabic" w:cs="Traditional Arabic"/>
          <w:sz w:val="28"/>
          <w:szCs w:val="28"/>
          <w:lang w:bidi="ar-EG"/>
        </w:rPr>
      </w:pPr>
      <w:r w:rsidRPr="007205A8">
        <w:rPr>
          <w:rFonts w:ascii="Traditional Arabic" w:hAnsi="Traditional Arabic" w:cs="Traditional Arabic"/>
          <w:sz w:val="28"/>
          <w:szCs w:val="28"/>
          <w:lang w:bidi="ar-EG"/>
        </w:rPr>
        <w:t>International Organization for Standardization. (2015). ISO 14001: Environmental Management Systems – Requirements with guidance for use. ISO.</w:t>
      </w:r>
    </w:p>
    <w:p w14:paraId="38048993" w14:textId="7394B5FD" w:rsidR="007205A8" w:rsidRDefault="007205A8" w:rsidP="007205A8">
      <w:pPr>
        <w:numPr>
          <w:ilvl w:val="0"/>
          <w:numId w:val="13"/>
        </w:numPr>
        <w:spacing w:line="480" w:lineRule="auto"/>
        <w:jc w:val="both"/>
        <w:rPr>
          <w:rFonts w:ascii="Traditional Arabic" w:hAnsi="Traditional Arabic" w:cs="Traditional Arabic"/>
          <w:sz w:val="28"/>
          <w:szCs w:val="28"/>
          <w:lang w:bidi="ar-EG"/>
        </w:rPr>
      </w:pPr>
      <w:r w:rsidRPr="007205A8">
        <w:rPr>
          <w:rFonts w:ascii="Traditional Arabic" w:hAnsi="Traditional Arabic" w:cs="Traditional Arabic"/>
          <w:sz w:val="28"/>
          <w:szCs w:val="28"/>
          <w:lang w:bidi="ar-EG"/>
        </w:rPr>
        <w:lastRenderedPageBreak/>
        <w:t xml:space="preserve">United Nations. (1992). </w:t>
      </w:r>
      <w:r w:rsidRPr="007205A8">
        <w:rPr>
          <w:rFonts w:ascii="Traditional Arabic" w:hAnsi="Traditional Arabic" w:cs="Traditional Arabic"/>
          <w:i/>
          <w:iCs/>
          <w:sz w:val="28"/>
          <w:szCs w:val="28"/>
          <w:lang w:bidi="ar-EG"/>
        </w:rPr>
        <w:t xml:space="preserve">Agenda 21: </w:t>
      </w:r>
      <w:proofErr w:type="spellStart"/>
      <w:r w:rsidRPr="007205A8">
        <w:rPr>
          <w:rFonts w:ascii="Traditional Arabic" w:hAnsi="Traditional Arabic" w:cs="Traditional Arabic"/>
          <w:i/>
          <w:iCs/>
          <w:sz w:val="28"/>
          <w:szCs w:val="28"/>
          <w:lang w:bidi="ar-EG"/>
        </w:rPr>
        <w:t>Programme</w:t>
      </w:r>
      <w:proofErr w:type="spellEnd"/>
      <w:r w:rsidRPr="007205A8">
        <w:rPr>
          <w:rFonts w:ascii="Traditional Arabic" w:hAnsi="Traditional Arabic" w:cs="Traditional Arabic"/>
          <w:i/>
          <w:iCs/>
          <w:sz w:val="28"/>
          <w:szCs w:val="28"/>
          <w:lang w:bidi="ar-EG"/>
        </w:rPr>
        <w:t xml:space="preserve"> of action for sustainable development</w:t>
      </w:r>
      <w:r w:rsidRPr="007205A8">
        <w:rPr>
          <w:rFonts w:ascii="Traditional Arabic" w:hAnsi="Traditional Arabic" w:cs="Traditional Arabic"/>
          <w:sz w:val="28"/>
          <w:szCs w:val="28"/>
          <w:lang w:bidi="ar-EG"/>
        </w:rPr>
        <w:t>. United Nations.</w:t>
      </w:r>
    </w:p>
    <w:p w14:paraId="0F970D3E" w14:textId="69C03DB8" w:rsidR="006C3304" w:rsidRPr="006C3304" w:rsidRDefault="006C3304" w:rsidP="006C3304">
      <w:pPr>
        <w:numPr>
          <w:ilvl w:val="0"/>
          <w:numId w:val="13"/>
        </w:numPr>
        <w:spacing w:line="480" w:lineRule="auto"/>
        <w:jc w:val="both"/>
        <w:rPr>
          <w:rFonts w:ascii="Traditional Arabic" w:hAnsi="Traditional Arabic" w:cs="Traditional Arabic"/>
          <w:sz w:val="28"/>
          <w:szCs w:val="28"/>
          <w:lang w:bidi="ar-EG"/>
        </w:rPr>
      </w:pPr>
      <w:r w:rsidRPr="006C3304">
        <w:rPr>
          <w:rFonts w:ascii="Traditional Arabic" w:hAnsi="Traditional Arabic" w:cs="Traditional Arabic"/>
          <w:sz w:val="28"/>
          <w:szCs w:val="28"/>
          <w:lang w:bidi="ar-EG"/>
        </w:rPr>
        <w:t xml:space="preserve">International Organization for Standardization. (1996). </w:t>
      </w:r>
      <w:r w:rsidRPr="006C3304">
        <w:rPr>
          <w:rFonts w:ascii="Traditional Arabic" w:hAnsi="Traditional Arabic" w:cs="Traditional Arabic"/>
          <w:i/>
          <w:iCs/>
          <w:sz w:val="28"/>
          <w:szCs w:val="28"/>
          <w:lang w:bidi="ar-EG"/>
        </w:rPr>
        <w:t>ISO 14001: Environmental management systems — Specification with guidance for use</w:t>
      </w:r>
      <w:r w:rsidRPr="006C3304">
        <w:rPr>
          <w:rFonts w:ascii="Traditional Arabic" w:hAnsi="Traditional Arabic" w:cs="Traditional Arabic"/>
          <w:sz w:val="28"/>
          <w:szCs w:val="28"/>
          <w:lang w:bidi="ar-EG"/>
        </w:rPr>
        <w:t>. ISO.</w:t>
      </w:r>
    </w:p>
    <w:p w14:paraId="043F07CF" w14:textId="211E9682" w:rsidR="007205A8" w:rsidRPr="006337C0" w:rsidRDefault="007205A8" w:rsidP="007205A8">
      <w:pPr>
        <w:spacing w:line="480" w:lineRule="auto"/>
        <w:ind w:left="720"/>
        <w:jc w:val="both"/>
        <w:rPr>
          <w:rFonts w:ascii="Traditional Arabic" w:hAnsi="Traditional Arabic" w:cs="Traditional Arabic"/>
          <w:sz w:val="28"/>
          <w:szCs w:val="28"/>
          <w:lang w:bidi="ar-EG"/>
        </w:rPr>
      </w:pPr>
    </w:p>
    <w:sectPr w:rsidR="007205A8" w:rsidRPr="006337C0" w:rsidSect="00E07BBC">
      <w:footerReference w:type="default" r:id="rId23"/>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41A62B" w14:textId="77777777" w:rsidR="00F24ACC" w:rsidRDefault="00F24ACC" w:rsidP="00E07BBC">
      <w:pPr>
        <w:spacing w:after="0" w:line="240" w:lineRule="auto"/>
      </w:pPr>
      <w:r>
        <w:separator/>
      </w:r>
    </w:p>
  </w:endnote>
  <w:endnote w:type="continuationSeparator" w:id="0">
    <w:p w14:paraId="47976DEA" w14:textId="77777777" w:rsidR="00F24ACC" w:rsidRDefault="00F24ACC" w:rsidP="00E07B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raditional Arabic">
    <w:charset w:val="B2"/>
    <w:family w:val="roman"/>
    <w:pitch w:val="variable"/>
    <w:sig w:usb0="00002003" w:usb1="80000000" w:usb2="00000008" w:usb3="00000000" w:csb0="00000041" w:csb1="00000000"/>
  </w:font>
  <w:font w:name="Simplified Arabic">
    <w:charset w:val="B2"/>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17513008"/>
      <w:docPartObj>
        <w:docPartGallery w:val="Page Numbers (Bottom of Page)"/>
        <w:docPartUnique/>
      </w:docPartObj>
    </w:sdtPr>
    <w:sdtEndPr>
      <w:rPr>
        <w:noProof/>
      </w:rPr>
    </w:sdtEndPr>
    <w:sdtContent>
      <w:p w14:paraId="2AC02B8A" w14:textId="3F19191B" w:rsidR="00E07BBC" w:rsidRDefault="00E07BB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8F14924" w14:textId="77777777" w:rsidR="00E07BBC" w:rsidRDefault="00E07BB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F98151" w14:textId="77777777" w:rsidR="00F24ACC" w:rsidRDefault="00F24ACC" w:rsidP="00E07BBC">
      <w:pPr>
        <w:spacing w:after="0" w:line="240" w:lineRule="auto"/>
      </w:pPr>
      <w:r>
        <w:separator/>
      </w:r>
    </w:p>
  </w:footnote>
  <w:footnote w:type="continuationSeparator" w:id="0">
    <w:p w14:paraId="319A6E5F" w14:textId="77777777" w:rsidR="00F24ACC" w:rsidRDefault="00F24ACC" w:rsidP="00E07BB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1551F9"/>
    <w:multiLevelType w:val="multilevel"/>
    <w:tmpl w:val="188861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BFB265E"/>
    <w:multiLevelType w:val="hybridMultilevel"/>
    <w:tmpl w:val="22FA18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81F69D2"/>
    <w:multiLevelType w:val="multilevel"/>
    <w:tmpl w:val="B832D28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9CC2566"/>
    <w:multiLevelType w:val="multilevel"/>
    <w:tmpl w:val="0BC278CA"/>
    <w:lvl w:ilvl="0">
      <w:start w:val="5"/>
      <w:numFmt w:val="decimal"/>
      <w:lvlText w:val="%1"/>
      <w:lvlJc w:val="left"/>
      <w:pPr>
        <w:ind w:left="360" w:hanging="360"/>
      </w:pPr>
      <w:rPr>
        <w:rFonts w:hint="default"/>
      </w:rPr>
    </w:lvl>
    <w:lvl w:ilvl="1">
      <w:start w:val="1"/>
      <w:numFmt w:val="decimal"/>
      <w:lvlText w:val="%1.%2"/>
      <w:lvlJc w:val="left"/>
      <w:pPr>
        <w:ind w:left="180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760" w:hanging="1440"/>
      </w:pPr>
      <w:rPr>
        <w:rFonts w:hint="default"/>
      </w:rPr>
    </w:lvl>
    <w:lvl w:ilvl="5">
      <w:start w:val="1"/>
      <w:numFmt w:val="decimal"/>
      <w:lvlText w:val="%1.%2.%3.%4.%5.%6"/>
      <w:lvlJc w:val="left"/>
      <w:pPr>
        <w:ind w:left="7200" w:hanging="1800"/>
      </w:pPr>
      <w:rPr>
        <w:rFonts w:hint="default"/>
      </w:rPr>
    </w:lvl>
    <w:lvl w:ilvl="6">
      <w:start w:val="1"/>
      <w:numFmt w:val="decimal"/>
      <w:lvlText w:val="%1.%2.%3.%4.%5.%6.%7"/>
      <w:lvlJc w:val="left"/>
      <w:pPr>
        <w:ind w:left="8280" w:hanging="1800"/>
      </w:pPr>
      <w:rPr>
        <w:rFonts w:hint="default"/>
      </w:rPr>
    </w:lvl>
    <w:lvl w:ilvl="7">
      <w:start w:val="1"/>
      <w:numFmt w:val="decimal"/>
      <w:lvlText w:val="%1.%2.%3.%4.%5.%6.%7.%8"/>
      <w:lvlJc w:val="left"/>
      <w:pPr>
        <w:ind w:left="9720" w:hanging="2160"/>
      </w:pPr>
      <w:rPr>
        <w:rFonts w:hint="default"/>
      </w:rPr>
    </w:lvl>
    <w:lvl w:ilvl="8">
      <w:start w:val="1"/>
      <w:numFmt w:val="decimal"/>
      <w:lvlText w:val="%1.%2.%3.%4.%5.%6.%7.%8.%9"/>
      <w:lvlJc w:val="left"/>
      <w:pPr>
        <w:ind w:left="11160" w:hanging="2520"/>
      </w:pPr>
      <w:rPr>
        <w:rFonts w:hint="default"/>
      </w:rPr>
    </w:lvl>
  </w:abstractNum>
  <w:abstractNum w:abstractNumId="4" w15:restartNumberingAfterBreak="0">
    <w:nsid w:val="29DF0044"/>
    <w:multiLevelType w:val="multilevel"/>
    <w:tmpl w:val="DDEC42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E7B6524"/>
    <w:multiLevelType w:val="multilevel"/>
    <w:tmpl w:val="A7C6C0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F7B2C56"/>
    <w:multiLevelType w:val="multilevel"/>
    <w:tmpl w:val="4E849E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4306262"/>
    <w:multiLevelType w:val="multilevel"/>
    <w:tmpl w:val="17AA2B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49621ED"/>
    <w:multiLevelType w:val="multilevel"/>
    <w:tmpl w:val="61580A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A091FE3"/>
    <w:multiLevelType w:val="hybridMultilevel"/>
    <w:tmpl w:val="B936FA6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1CA2091"/>
    <w:multiLevelType w:val="multilevel"/>
    <w:tmpl w:val="15ACBF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3166AB9"/>
    <w:multiLevelType w:val="multilevel"/>
    <w:tmpl w:val="F02A26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3E15872"/>
    <w:multiLevelType w:val="multilevel"/>
    <w:tmpl w:val="AFF601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2A014C0"/>
    <w:multiLevelType w:val="multilevel"/>
    <w:tmpl w:val="7A022A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4F216F9"/>
    <w:multiLevelType w:val="multilevel"/>
    <w:tmpl w:val="1F6031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591581E"/>
    <w:multiLevelType w:val="multilevel"/>
    <w:tmpl w:val="8FE83A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C864005"/>
    <w:multiLevelType w:val="multilevel"/>
    <w:tmpl w:val="716237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2CA2485"/>
    <w:multiLevelType w:val="hybridMultilevel"/>
    <w:tmpl w:val="C0F883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9A0481B"/>
    <w:multiLevelType w:val="multilevel"/>
    <w:tmpl w:val="D2021A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9C55D79"/>
    <w:multiLevelType w:val="multilevel"/>
    <w:tmpl w:val="0EB0E5B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20" w15:restartNumberingAfterBreak="0">
    <w:nsid w:val="7A1661BE"/>
    <w:multiLevelType w:val="multilevel"/>
    <w:tmpl w:val="0E4A8C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E1664E4"/>
    <w:multiLevelType w:val="multilevel"/>
    <w:tmpl w:val="96D848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908395">
    <w:abstractNumId w:val="12"/>
  </w:num>
  <w:num w:numId="2" w16cid:durableId="301036729">
    <w:abstractNumId w:val="0"/>
  </w:num>
  <w:num w:numId="3" w16cid:durableId="1143500114">
    <w:abstractNumId w:val="4"/>
  </w:num>
  <w:num w:numId="4" w16cid:durableId="1929579228">
    <w:abstractNumId w:val="2"/>
  </w:num>
  <w:num w:numId="5" w16cid:durableId="1216431513">
    <w:abstractNumId w:val="16"/>
  </w:num>
  <w:num w:numId="6" w16cid:durableId="1546989389">
    <w:abstractNumId w:val="10"/>
  </w:num>
  <w:num w:numId="7" w16cid:durableId="1509297735">
    <w:abstractNumId w:val="15"/>
  </w:num>
  <w:num w:numId="8" w16cid:durableId="271940834">
    <w:abstractNumId w:val="21"/>
  </w:num>
  <w:num w:numId="9" w16cid:durableId="2103837216">
    <w:abstractNumId w:val="8"/>
  </w:num>
  <w:num w:numId="10" w16cid:durableId="140970090">
    <w:abstractNumId w:val="7"/>
  </w:num>
  <w:num w:numId="11" w16cid:durableId="1738014972">
    <w:abstractNumId w:val="17"/>
  </w:num>
  <w:num w:numId="12" w16cid:durableId="1366709679">
    <w:abstractNumId w:val="19"/>
  </w:num>
  <w:num w:numId="13" w16cid:durableId="923369447">
    <w:abstractNumId w:val="5"/>
  </w:num>
  <w:num w:numId="14" w16cid:durableId="2146852859">
    <w:abstractNumId w:val="14"/>
  </w:num>
  <w:num w:numId="15" w16cid:durableId="15664211">
    <w:abstractNumId w:val="11"/>
  </w:num>
  <w:num w:numId="16" w16cid:durableId="1245409242">
    <w:abstractNumId w:val="13"/>
  </w:num>
  <w:num w:numId="17" w16cid:durableId="1288898986">
    <w:abstractNumId w:val="6"/>
  </w:num>
  <w:num w:numId="18" w16cid:durableId="1985893321">
    <w:abstractNumId w:val="1"/>
  </w:num>
  <w:num w:numId="19" w16cid:durableId="15932594">
    <w:abstractNumId w:val="20"/>
  </w:num>
  <w:num w:numId="20" w16cid:durableId="407384259">
    <w:abstractNumId w:val="18"/>
  </w:num>
  <w:num w:numId="21" w16cid:durableId="224072543">
    <w:abstractNumId w:val="9"/>
  </w:num>
  <w:num w:numId="22" w16cid:durableId="87342570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25B1"/>
    <w:rsid w:val="000063B9"/>
    <w:rsid w:val="0001291B"/>
    <w:rsid w:val="000525B1"/>
    <w:rsid w:val="000843FE"/>
    <w:rsid w:val="00146D14"/>
    <w:rsid w:val="00150072"/>
    <w:rsid w:val="0022494E"/>
    <w:rsid w:val="00242F8C"/>
    <w:rsid w:val="00270DA0"/>
    <w:rsid w:val="0028676E"/>
    <w:rsid w:val="002D62DA"/>
    <w:rsid w:val="00316366"/>
    <w:rsid w:val="004022E2"/>
    <w:rsid w:val="004D61FE"/>
    <w:rsid w:val="00585596"/>
    <w:rsid w:val="00597CD5"/>
    <w:rsid w:val="006337C0"/>
    <w:rsid w:val="006C3304"/>
    <w:rsid w:val="007205A8"/>
    <w:rsid w:val="00756261"/>
    <w:rsid w:val="00762E11"/>
    <w:rsid w:val="00787328"/>
    <w:rsid w:val="007F522E"/>
    <w:rsid w:val="008472C6"/>
    <w:rsid w:val="0087127B"/>
    <w:rsid w:val="008E6B0A"/>
    <w:rsid w:val="009355E3"/>
    <w:rsid w:val="0098481C"/>
    <w:rsid w:val="009A2D06"/>
    <w:rsid w:val="009E5536"/>
    <w:rsid w:val="009E5C94"/>
    <w:rsid w:val="00A03BD5"/>
    <w:rsid w:val="00A229CA"/>
    <w:rsid w:val="00AB5030"/>
    <w:rsid w:val="00AF2DF2"/>
    <w:rsid w:val="00B70995"/>
    <w:rsid w:val="00BB2147"/>
    <w:rsid w:val="00C82DFC"/>
    <w:rsid w:val="00C9278D"/>
    <w:rsid w:val="00D432D9"/>
    <w:rsid w:val="00E07BBC"/>
    <w:rsid w:val="00F1203C"/>
    <w:rsid w:val="00F24AC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ABBDEB"/>
  <w15:chartTrackingRefBased/>
  <w15:docId w15:val="{D3807CCD-7003-4040-8157-970EAFE96A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525B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0525B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0525B1"/>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0525B1"/>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0525B1"/>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0525B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525B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525B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525B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25B1"/>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0525B1"/>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0525B1"/>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0525B1"/>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0525B1"/>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0525B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525B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525B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525B1"/>
    <w:rPr>
      <w:rFonts w:eastAsiaTheme="majorEastAsia" w:cstheme="majorBidi"/>
      <w:color w:val="272727" w:themeColor="text1" w:themeTint="D8"/>
    </w:rPr>
  </w:style>
  <w:style w:type="paragraph" w:styleId="Title">
    <w:name w:val="Title"/>
    <w:basedOn w:val="Normal"/>
    <w:next w:val="Normal"/>
    <w:link w:val="TitleChar"/>
    <w:uiPriority w:val="10"/>
    <w:qFormat/>
    <w:rsid w:val="000525B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525B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525B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525B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525B1"/>
    <w:pPr>
      <w:spacing w:before="160"/>
      <w:jc w:val="center"/>
    </w:pPr>
    <w:rPr>
      <w:i/>
      <w:iCs/>
      <w:color w:val="404040" w:themeColor="text1" w:themeTint="BF"/>
    </w:rPr>
  </w:style>
  <w:style w:type="character" w:customStyle="1" w:styleId="QuoteChar">
    <w:name w:val="Quote Char"/>
    <w:basedOn w:val="DefaultParagraphFont"/>
    <w:link w:val="Quote"/>
    <w:uiPriority w:val="29"/>
    <w:rsid w:val="000525B1"/>
    <w:rPr>
      <w:i/>
      <w:iCs/>
      <w:color w:val="404040" w:themeColor="text1" w:themeTint="BF"/>
    </w:rPr>
  </w:style>
  <w:style w:type="paragraph" w:styleId="ListParagraph">
    <w:name w:val="List Paragraph"/>
    <w:basedOn w:val="Normal"/>
    <w:uiPriority w:val="34"/>
    <w:qFormat/>
    <w:rsid w:val="000525B1"/>
    <w:pPr>
      <w:ind w:left="720"/>
      <w:contextualSpacing/>
    </w:pPr>
  </w:style>
  <w:style w:type="character" w:styleId="IntenseEmphasis">
    <w:name w:val="Intense Emphasis"/>
    <w:basedOn w:val="DefaultParagraphFont"/>
    <w:uiPriority w:val="21"/>
    <w:qFormat/>
    <w:rsid w:val="000525B1"/>
    <w:rPr>
      <w:i/>
      <w:iCs/>
      <w:color w:val="2F5496" w:themeColor="accent1" w:themeShade="BF"/>
    </w:rPr>
  </w:style>
  <w:style w:type="paragraph" w:styleId="IntenseQuote">
    <w:name w:val="Intense Quote"/>
    <w:basedOn w:val="Normal"/>
    <w:next w:val="Normal"/>
    <w:link w:val="IntenseQuoteChar"/>
    <w:uiPriority w:val="30"/>
    <w:qFormat/>
    <w:rsid w:val="000525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0525B1"/>
    <w:rPr>
      <w:i/>
      <w:iCs/>
      <w:color w:val="2F5496" w:themeColor="accent1" w:themeShade="BF"/>
    </w:rPr>
  </w:style>
  <w:style w:type="character" w:styleId="IntenseReference">
    <w:name w:val="Intense Reference"/>
    <w:basedOn w:val="DefaultParagraphFont"/>
    <w:uiPriority w:val="32"/>
    <w:qFormat/>
    <w:rsid w:val="000525B1"/>
    <w:rPr>
      <w:b/>
      <w:bCs/>
      <w:smallCaps/>
      <w:color w:val="2F5496" w:themeColor="accent1" w:themeShade="BF"/>
      <w:spacing w:val="5"/>
    </w:rPr>
  </w:style>
  <w:style w:type="character" w:styleId="Hyperlink">
    <w:name w:val="Hyperlink"/>
    <w:basedOn w:val="DefaultParagraphFont"/>
    <w:uiPriority w:val="99"/>
    <w:unhideWhenUsed/>
    <w:rsid w:val="004D61FE"/>
    <w:rPr>
      <w:color w:val="0563C1" w:themeColor="hyperlink"/>
      <w:u w:val="single"/>
    </w:rPr>
  </w:style>
  <w:style w:type="character" w:styleId="UnresolvedMention">
    <w:name w:val="Unresolved Mention"/>
    <w:basedOn w:val="DefaultParagraphFont"/>
    <w:uiPriority w:val="99"/>
    <w:semiHidden/>
    <w:unhideWhenUsed/>
    <w:rsid w:val="004D61FE"/>
    <w:rPr>
      <w:color w:val="605E5C"/>
      <w:shd w:val="clear" w:color="auto" w:fill="E1DFDD"/>
    </w:rPr>
  </w:style>
  <w:style w:type="paragraph" w:styleId="NormalWeb">
    <w:name w:val="Normal (Web)"/>
    <w:basedOn w:val="Normal"/>
    <w:uiPriority w:val="99"/>
    <w:semiHidden/>
    <w:unhideWhenUsed/>
    <w:rsid w:val="0022494E"/>
    <w:rPr>
      <w:rFonts w:ascii="Times New Roman" w:hAnsi="Times New Roman" w:cs="Times New Roman"/>
    </w:rPr>
  </w:style>
  <w:style w:type="paragraph" w:styleId="Header">
    <w:name w:val="header"/>
    <w:basedOn w:val="Normal"/>
    <w:link w:val="HeaderChar"/>
    <w:uiPriority w:val="99"/>
    <w:unhideWhenUsed/>
    <w:rsid w:val="00E07BBC"/>
    <w:pPr>
      <w:tabs>
        <w:tab w:val="center" w:pos="4680"/>
        <w:tab w:val="right" w:pos="9360"/>
      </w:tabs>
      <w:spacing w:after="0" w:line="240" w:lineRule="auto"/>
    </w:pPr>
  </w:style>
  <w:style w:type="character" w:customStyle="1" w:styleId="HeaderChar">
    <w:name w:val="Header Char"/>
    <w:basedOn w:val="DefaultParagraphFont"/>
    <w:link w:val="Header"/>
    <w:uiPriority w:val="99"/>
    <w:rsid w:val="00E07BBC"/>
  </w:style>
  <w:style w:type="paragraph" w:styleId="Footer">
    <w:name w:val="footer"/>
    <w:basedOn w:val="Normal"/>
    <w:link w:val="FooterChar"/>
    <w:uiPriority w:val="99"/>
    <w:unhideWhenUsed/>
    <w:rsid w:val="00E07BBC"/>
    <w:pPr>
      <w:tabs>
        <w:tab w:val="center" w:pos="4680"/>
        <w:tab w:val="right" w:pos="9360"/>
      </w:tabs>
      <w:spacing w:after="0" w:line="240" w:lineRule="auto"/>
    </w:pPr>
  </w:style>
  <w:style w:type="character" w:customStyle="1" w:styleId="FooterChar">
    <w:name w:val="Footer Char"/>
    <w:basedOn w:val="DefaultParagraphFont"/>
    <w:link w:val="Footer"/>
    <w:uiPriority w:val="99"/>
    <w:rsid w:val="00E07BBC"/>
  </w:style>
  <w:style w:type="character" w:styleId="FollowedHyperlink">
    <w:name w:val="FollowedHyperlink"/>
    <w:basedOn w:val="DefaultParagraphFont"/>
    <w:uiPriority w:val="99"/>
    <w:semiHidden/>
    <w:unhideWhenUsed/>
    <w:rsid w:val="00146D14"/>
    <w:rPr>
      <w:color w:val="954F72" w:themeColor="followedHyperlink"/>
      <w:u w:val="single"/>
    </w:rPr>
  </w:style>
  <w:style w:type="table" w:styleId="TableGrid">
    <w:name w:val="Table Grid"/>
    <w:basedOn w:val="TableNormal"/>
    <w:uiPriority w:val="39"/>
    <w:rsid w:val="009848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687275">
      <w:bodyDiv w:val="1"/>
      <w:marLeft w:val="0"/>
      <w:marRight w:val="0"/>
      <w:marTop w:val="0"/>
      <w:marBottom w:val="0"/>
      <w:divBdr>
        <w:top w:val="none" w:sz="0" w:space="0" w:color="auto"/>
        <w:left w:val="none" w:sz="0" w:space="0" w:color="auto"/>
        <w:bottom w:val="none" w:sz="0" w:space="0" w:color="auto"/>
        <w:right w:val="none" w:sz="0" w:space="0" w:color="auto"/>
      </w:divBdr>
    </w:div>
    <w:div w:id="82339920">
      <w:bodyDiv w:val="1"/>
      <w:marLeft w:val="0"/>
      <w:marRight w:val="0"/>
      <w:marTop w:val="0"/>
      <w:marBottom w:val="0"/>
      <w:divBdr>
        <w:top w:val="none" w:sz="0" w:space="0" w:color="auto"/>
        <w:left w:val="none" w:sz="0" w:space="0" w:color="auto"/>
        <w:bottom w:val="none" w:sz="0" w:space="0" w:color="auto"/>
        <w:right w:val="none" w:sz="0" w:space="0" w:color="auto"/>
      </w:divBdr>
    </w:div>
    <w:div w:id="197474254">
      <w:bodyDiv w:val="1"/>
      <w:marLeft w:val="0"/>
      <w:marRight w:val="0"/>
      <w:marTop w:val="0"/>
      <w:marBottom w:val="0"/>
      <w:divBdr>
        <w:top w:val="none" w:sz="0" w:space="0" w:color="auto"/>
        <w:left w:val="none" w:sz="0" w:space="0" w:color="auto"/>
        <w:bottom w:val="none" w:sz="0" w:space="0" w:color="auto"/>
        <w:right w:val="none" w:sz="0" w:space="0" w:color="auto"/>
      </w:divBdr>
    </w:div>
    <w:div w:id="282613866">
      <w:bodyDiv w:val="1"/>
      <w:marLeft w:val="0"/>
      <w:marRight w:val="0"/>
      <w:marTop w:val="0"/>
      <w:marBottom w:val="0"/>
      <w:divBdr>
        <w:top w:val="none" w:sz="0" w:space="0" w:color="auto"/>
        <w:left w:val="none" w:sz="0" w:space="0" w:color="auto"/>
        <w:bottom w:val="none" w:sz="0" w:space="0" w:color="auto"/>
        <w:right w:val="none" w:sz="0" w:space="0" w:color="auto"/>
      </w:divBdr>
    </w:div>
    <w:div w:id="288049657">
      <w:bodyDiv w:val="1"/>
      <w:marLeft w:val="0"/>
      <w:marRight w:val="0"/>
      <w:marTop w:val="0"/>
      <w:marBottom w:val="0"/>
      <w:divBdr>
        <w:top w:val="none" w:sz="0" w:space="0" w:color="auto"/>
        <w:left w:val="none" w:sz="0" w:space="0" w:color="auto"/>
        <w:bottom w:val="none" w:sz="0" w:space="0" w:color="auto"/>
        <w:right w:val="none" w:sz="0" w:space="0" w:color="auto"/>
      </w:divBdr>
    </w:div>
    <w:div w:id="309989207">
      <w:bodyDiv w:val="1"/>
      <w:marLeft w:val="0"/>
      <w:marRight w:val="0"/>
      <w:marTop w:val="0"/>
      <w:marBottom w:val="0"/>
      <w:divBdr>
        <w:top w:val="none" w:sz="0" w:space="0" w:color="auto"/>
        <w:left w:val="none" w:sz="0" w:space="0" w:color="auto"/>
        <w:bottom w:val="none" w:sz="0" w:space="0" w:color="auto"/>
        <w:right w:val="none" w:sz="0" w:space="0" w:color="auto"/>
      </w:divBdr>
    </w:div>
    <w:div w:id="336690682">
      <w:bodyDiv w:val="1"/>
      <w:marLeft w:val="0"/>
      <w:marRight w:val="0"/>
      <w:marTop w:val="0"/>
      <w:marBottom w:val="0"/>
      <w:divBdr>
        <w:top w:val="none" w:sz="0" w:space="0" w:color="auto"/>
        <w:left w:val="none" w:sz="0" w:space="0" w:color="auto"/>
        <w:bottom w:val="none" w:sz="0" w:space="0" w:color="auto"/>
        <w:right w:val="none" w:sz="0" w:space="0" w:color="auto"/>
      </w:divBdr>
    </w:div>
    <w:div w:id="409621332">
      <w:bodyDiv w:val="1"/>
      <w:marLeft w:val="0"/>
      <w:marRight w:val="0"/>
      <w:marTop w:val="0"/>
      <w:marBottom w:val="0"/>
      <w:divBdr>
        <w:top w:val="none" w:sz="0" w:space="0" w:color="auto"/>
        <w:left w:val="none" w:sz="0" w:space="0" w:color="auto"/>
        <w:bottom w:val="none" w:sz="0" w:space="0" w:color="auto"/>
        <w:right w:val="none" w:sz="0" w:space="0" w:color="auto"/>
      </w:divBdr>
    </w:div>
    <w:div w:id="425930465">
      <w:bodyDiv w:val="1"/>
      <w:marLeft w:val="0"/>
      <w:marRight w:val="0"/>
      <w:marTop w:val="0"/>
      <w:marBottom w:val="0"/>
      <w:divBdr>
        <w:top w:val="none" w:sz="0" w:space="0" w:color="auto"/>
        <w:left w:val="none" w:sz="0" w:space="0" w:color="auto"/>
        <w:bottom w:val="none" w:sz="0" w:space="0" w:color="auto"/>
        <w:right w:val="none" w:sz="0" w:space="0" w:color="auto"/>
      </w:divBdr>
    </w:div>
    <w:div w:id="472913951">
      <w:bodyDiv w:val="1"/>
      <w:marLeft w:val="0"/>
      <w:marRight w:val="0"/>
      <w:marTop w:val="0"/>
      <w:marBottom w:val="0"/>
      <w:divBdr>
        <w:top w:val="none" w:sz="0" w:space="0" w:color="auto"/>
        <w:left w:val="none" w:sz="0" w:space="0" w:color="auto"/>
        <w:bottom w:val="none" w:sz="0" w:space="0" w:color="auto"/>
        <w:right w:val="none" w:sz="0" w:space="0" w:color="auto"/>
      </w:divBdr>
    </w:div>
    <w:div w:id="584188079">
      <w:bodyDiv w:val="1"/>
      <w:marLeft w:val="0"/>
      <w:marRight w:val="0"/>
      <w:marTop w:val="0"/>
      <w:marBottom w:val="0"/>
      <w:divBdr>
        <w:top w:val="none" w:sz="0" w:space="0" w:color="auto"/>
        <w:left w:val="none" w:sz="0" w:space="0" w:color="auto"/>
        <w:bottom w:val="none" w:sz="0" w:space="0" w:color="auto"/>
        <w:right w:val="none" w:sz="0" w:space="0" w:color="auto"/>
      </w:divBdr>
    </w:div>
    <w:div w:id="648244488">
      <w:bodyDiv w:val="1"/>
      <w:marLeft w:val="0"/>
      <w:marRight w:val="0"/>
      <w:marTop w:val="0"/>
      <w:marBottom w:val="0"/>
      <w:divBdr>
        <w:top w:val="none" w:sz="0" w:space="0" w:color="auto"/>
        <w:left w:val="none" w:sz="0" w:space="0" w:color="auto"/>
        <w:bottom w:val="none" w:sz="0" w:space="0" w:color="auto"/>
        <w:right w:val="none" w:sz="0" w:space="0" w:color="auto"/>
      </w:divBdr>
    </w:div>
    <w:div w:id="675691916">
      <w:bodyDiv w:val="1"/>
      <w:marLeft w:val="0"/>
      <w:marRight w:val="0"/>
      <w:marTop w:val="0"/>
      <w:marBottom w:val="0"/>
      <w:divBdr>
        <w:top w:val="none" w:sz="0" w:space="0" w:color="auto"/>
        <w:left w:val="none" w:sz="0" w:space="0" w:color="auto"/>
        <w:bottom w:val="none" w:sz="0" w:space="0" w:color="auto"/>
        <w:right w:val="none" w:sz="0" w:space="0" w:color="auto"/>
      </w:divBdr>
    </w:div>
    <w:div w:id="708607593">
      <w:bodyDiv w:val="1"/>
      <w:marLeft w:val="0"/>
      <w:marRight w:val="0"/>
      <w:marTop w:val="0"/>
      <w:marBottom w:val="0"/>
      <w:divBdr>
        <w:top w:val="none" w:sz="0" w:space="0" w:color="auto"/>
        <w:left w:val="none" w:sz="0" w:space="0" w:color="auto"/>
        <w:bottom w:val="none" w:sz="0" w:space="0" w:color="auto"/>
        <w:right w:val="none" w:sz="0" w:space="0" w:color="auto"/>
      </w:divBdr>
    </w:div>
    <w:div w:id="818813275">
      <w:bodyDiv w:val="1"/>
      <w:marLeft w:val="0"/>
      <w:marRight w:val="0"/>
      <w:marTop w:val="0"/>
      <w:marBottom w:val="0"/>
      <w:divBdr>
        <w:top w:val="none" w:sz="0" w:space="0" w:color="auto"/>
        <w:left w:val="none" w:sz="0" w:space="0" w:color="auto"/>
        <w:bottom w:val="none" w:sz="0" w:space="0" w:color="auto"/>
        <w:right w:val="none" w:sz="0" w:space="0" w:color="auto"/>
      </w:divBdr>
    </w:div>
    <w:div w:id="831215221">
      <w:bodyDiv w:val="1"/>
      <w:marLeft w:val="0"/>
      <w:marRight w:val="0"/>
      <w:marTop w:val="0"/>
      <w:marBottom w:val="0"/>
      <w:divBdr>
        <w:top w:val="none" w:sz="0" w:space="0" w:color="auto"/>
        <w:left w:val="none" w:sz="0" w:space="0" w:color="auto"/>
        <w:bottom w:val="none" w:sz="0" w:space="0" w:color="auto"/>
        <w:right w:val="none" w:sz="0" w:space="0" w:color="auto"/>
      </w:divBdr>
    </w:div>
    <w:div w:id="939751158">
      <w:bodyDiv w:val="1"/>
      <w:marLeft w:val="0"/>
      <w:marRight w:val="0"/>
      <w:marTop w:val="0"/>
      <w:marBottom w:val="0"/>
      <w:divBdr>
        <w:top w:val="none" w:sz="0" w:space="0" w:color="auto"/>
        <w:left w:val="none" w:sz="0" w:space="0" w:color="auto"/>
        <w:bottom w:val="none" w:sz="0" w:space="0" w:color="auto"/>
        <w:right w:val="none" w:sz="0" w:space="0" w:color="auto"/>
      </w:divBdr>
    </w:div>
    <w:div w:id="967006737">
      <w:bodyDiv w:val="1"/>
      <w:marLeft w:val="0"/>
      <w:marRight w:val="0"/>
      <w:marTop w:val="0"/>
      <w:marBottom w:val="0"/>
      <w:divBdr>
        <w:top w:val="none" w:sz="0" w:space="0" w:color="auto"/>
        <w:left w:val="none" w:sz="0" w:space="0" w:color="auto"/>
        <w:bottom w:val="none" w:sz="0" w:space="0" w:color="auto"/>
        <w:right w:val="none" w:sz="0" w:space="0" w:color="auto"/>
      </w:divBdr>
    </w:div>
    <w:div w:id="1166938468">
      <w:bodyDiv w:val="1"/>
      <w:marLeft w:val="0"/>
      <w:marRight w:val="0"/>
      <w:marTop w:val="0"/>
      <w:marBottom w:val="0"/>
      <w:divBdr>
        <w:top w:val="none" w:sz="0" w:space="0" w:color="auto"/>
        <w:left w:val="none" w:sz="0" w:space="0" w:color="auto"/>
        <w:bottom w:val="none" w:sz="0" w:space="0" w:color="auto"/>
        <w:right w:val="none" w:sz="0" w:space="0" w:color="auto"/>
      </w:divBdr>
    </w:div>
    <w:div w:id="1331906377">
      <w:bodyDiv w:val="1"/>
      <w:marLeft w:val="0"/>
      <w:marRight w:val="0"/>
      <w:marTop w:val="0"/>
      <w:marBottom w:val="0"/>
      <w:divBdr>
        <w:top w:val="none" w:sz="0" w:space="0" w:color="auto"/>
        <w:left w:val="none" w:sz="0" w:space="0" w:color="auto"/>
        <w:bottom w:val="none" w:sz="0" w:space="0" w:color="auto"/>
        <w:right w:val="none" w:sz="0" w:space="0" w:color="auto"/>
      </w:divBdr>
    </w:div>
    <w:div w:id="1348023838">
      <w:bodyDiv w:val="1"/>
      <w:marLeft w:val="0"/>
      <w:marRight w:val="0"/>
      <w:marTop w:val="0"/>
      <w:marBottom w:val="0"/>
      <w:divBdr>
        <w:top w:val="none" w:sz="0" w:space="0" w:color="auto"/>
        <w:left w:val="none" w:sz="0" w:space="0" w:color="auto"/>
        <w:bottom w:val="none" w:sz="0" w:space="0" w:color="auto"/>
        <w:right w:val="none" w:sz="0" w:space="0" w:color="auto"/>
      </w:divBdr>
    </w:div>
    <w:div w:id="1349024665">
      <w:bodyDiv w:val="1"/>
      <w:marLeft w:val="0"/>
      <w:marRight w:val="0"/>
      <w:marTop w:val="0"/>
      <w:marBottom w:val="0"/>
      <w:divBdr>
        <w:top w:val="none" w:sz="0" w:space="0" w:color="auto"/>
        <w:left w:val="none" w:sz="0" w:space="0" w:color="auto"/>
        <w:bottom w:val="none" w:sz="0" w:space="0" w:color="auto"/>
        <w:right w:val="none" w:sz="0" w:space="0" w:color="auto"/>
      </w:divBdr>
    </w:div>
    <w:div w:id="1351301235">
      <w:bodyDiv w:val="1"/>
      <w:marLeft w:val="0"/>
      <w:marRight w:val="0"/>
      <w:marTop w:val="0"/>
      <w:marBottom w:val="0"/>
      <w:divBdr>
        <w:top w:val="none" w:sz="0" w:space="0" w:color="auto"/>
        <w:left w:val="none" w:sz="0" w:space="0" w:color="auto"/>
        <w:bottom w:val="none" w:sz="0" w:space="0" w:color="auto"/>
        <w:right w:val="none" w:sz="0" w:space="0" w:color="auto"/>
      </w:divBdr>
    </w:div>
    <w:div w:id="1475831914">
      <w:bodyDiv w:val="1"/>
      <w:marLeft w:val="0"/>
      <w:marRight w:val="0"/>
      <w:marTop w:val="0"/>
      <w:marBottom w:val="0"/>
      <w:divBdr>
        <w:top w:val="none" w:sz="0" w:space="0" w:color="auto"/>
        <w:left w:val="none" w:sz="0" w:space="0" w:color="auto"/>
        <w:bottom w:val="none" w:sz="0" w:space="0" w:color="auto"/>
        <w:right w:val="none" w:sz="0" w:space="0" w:color="auto"/>
      </w:divBdr>
    </w:div>
    <w:div w:id="1479416814">
      <w:bodyDiv w:val="1"/>
      <w:marLeft w:val="0"/>
      <w:marRight w:val="0"/>
      <w:marTop w:val="0"/>
      <w:marBottom w:val="0"/>
      <w:divBdr>
        <w:top w:val="none" w:sz="0" w:space="0" w:color="auto"/>
        <w:left w:val="none" w:sz="0" w:space="0" w:color="auto"/>
        <w:bottom w:val="none" w:sz="0" w:space="0" w:color="auto"/>
        <w:right w:val="none" w:sz="0" w:space="0" w:color="auto"/>
      </w:divBdr>
    </w:div>
    <w:div w:id="1520120583">
      <w:bodyDiv w:val="1"/>
      <w:marLeft w:val="0"/>
      <w:marRight w:val="0"/>
      <w:marTop w:val="0"/>
      <w:marBottom w:val="0"/>
      <w:divBdr>
        <w:top w:val="none" w:sz="0" w:space="0" w:color="auto"/>
        <w:left w:val="none" w:sz="0" w:space="0" w:color="auto"/>
        <w:bottom w:val="none" w:sz="0" w:space="0" w:color="auto"/>
        <w:right w:val="none" w:sz="0" w:space="0" w:color="auto"/>
      </w:divBdr>
    </w:div>
    <w:div w:id="1560480648">
      <w:bodyDiv w:val="1"/>
      <w:marLeft w:val="0"/>
      <w:marRight w:val="0"/>
      <w:marTop w:val="0"/>
      <w:marBottom w:val="0"/>
      <w:divBdr>
        <w:top w:val="none" w:sz="0" w:space="0" w:color="auto"/>
        <w:left w:val="none" w:sz="0" w:space="0" w:color="auto"/>
        <w:bottom w:val="none" w:sz="0" w:space="0" w:color="auto"/>
        <w:right w:val="none" w:sz="0" w:space="0" w:color="auto"/>
      </w:divBdr>
    </w:div>
    <w:div w:id="1581134548">
      <w:bodyDiv w:val="1"/>
      <w:marLeft w:val="0"/>
      <w:marRight w:val="0"/>
      <w:marTop w:val="0"/>
      <w:marBottom w:val="0"/>
      <w:divBdr>
        <w:top w:val="none" w:sz="0" w:space="0" w:color="auto"/>
        <w:left w:val="none" w:sz="0" w:space="0" w:color="auto"/>
        <w:bottom w:val="none" w:sz="0" w:space="0" w:color="auto"/>
        <w:right w:val="none" w:sz="0" w:space="0" w:color="auto"/>
      </w:divBdr>
    </w:div>
    <w:div w:id="1642343196">
      <w:bodyDiv w:val="1"/>
      <w:marLeft w:val="0"/>
      <w:marRight w:val="0"/>
      <w:marTop w:val="0"/>
      <w:marBottom w:val="0"/>
      <w:divBdr>
        <w:top w:val="none" w:sz="0" w:space="0" w:color="auto"/>
        <w:left w:val="none" w:sz="0" w:space="0" w:color="auto"/>
        <w:bottom w:val="none" w:sz="0" w:space="0" w:color="auto"/>
        <w:right w:val="none" w:sz="0" w:space="0" w:color="auto"/>
      </w:divBdr>
    </w:div>
    <w:div w:id="1734161994">
      <w:bodyDiv w:val="1"/>
      <w:marLeft w:val="0"/>
      <w:marRight w:val="0"/>
      <w:marTop w:val="0"/>
      <w:marBottom w:val="0"/>
      <w:divBdr>
        <w:top w:val="none" w:sz="0" w:space="0" w:color="auto"/>
        <w:left w:val="none" w:sz="0" w:space="0" w:color="auto"/>
        <w:bottom w:val="none" w:sz="0" w:space="0" w:color="auto"/>
        <w:right w:val="none" w:sz="0" w:space="0" w:color="auto"/>
      </w:divBdr>
    </w:div>
    <w:div w:id="1785736074">
      <w:bodyDiv w:val="1"/>
      <w:marLeft w:val="0"/>
      <w:marRight w:val="0"/>
      <w:marTop w:val="0"/>
      <w:marBottom w:val="0"/>
      <w:divBdr>
        <w:top w:val="none" w:sz="0" w:space="0" w:color="auto"/>
        <w:left w:val="none" w:sz="0" w:space="0" w:color="auto"/>
        <w:bottom w:val="none" w:sz="0" w:space="0" w:color="auto"/>
        <w:right w:val="none" w:sz="0" w:space="0" w:color="auto"/>
      </w:divBdr>
    </w:div>
    <w:div w:id="1793550466">
      <w:bodyDiv w:val="1"/>
      <w:marLeft w:val="0"/>
      <w:marRight w:val="0"/>
      <w:marTop w:val="0"/>
      <w:marBottom w:val="0"/>
      <w:divBdr>
        <w:top w:val="none" w:sz="0" w:space="0" w:color="auto"/>
        <w:left w:val="none" w:sz="0" w:space="0" w:color="auto"/>
        <w:bottom w:val="none" w:sz="0" w:space="0" w:color="auto"/>
        <w:right w:val="none" w:sz="0" w:space="0" w:color="auto"/>
      </w:divBdr>
    </w:div>
    <w:div w:id="1807040009">
      <w:bodyDiv w:val="1"/>
      <w:marLeft w:val="0"/>
      <w:marRight w:val="0"/>
      <w:marTop w:val="0"/>
      <w:marBottom w:val="0"/>
      <w:divBdr>
        <w:top w:val="none" w:sz="0" w:space="0" w:color="auto"/>
        <w:left w:val="none" w:sz="0" w:space="0" w:color="auto"/>
        <w:bottom w:val="none" w:sz="0" w:space="0" w:color="auto"/>
        <w:right w:val="none" w:sz="0" w:space="0" w:color="auto"/>
      </w:divBdr>
    </w:div>
    <w:div w:id="1877809797">
      <w:bodyDiv w:val="1"/>
      <w:marLeft w:val="0"/>
      <w:marRight w:val="0"/>
      <w:marTop w:val="0"/>
      <w:marBottom w:val="0"/>
      <w:divBdr>
        <w:top w:val="none" w:sz="0" w:space="0" w:color="auto"/>
        <w:left w:val="none" w:sz="0" w:space="0" w:color="auto"/>
        <w:bottom w:val="none" w:sz="0" w:space="0" w:color="auto"/>
        <w:right w:val="none" w:sz="0" w:space="0" w:color="auto"/>
      </w:divBdr>
    </w:div>
    <w:div w:id="1956205202">
      <w:bodyDiv w:val="1"/>
      <w:marLeft w:val="0"/>
      <w:marRight w:val="0"/>
      <w:marTop w:val="0"/>
      <w:marBottom w:val="0"/>
      <w:divBdr>
        <w:top w:val="none" w:sz="0" w:space="0" w:color="auto"/>
        <w:left w:val="none" w:sz="0" w:space="0" w:color="auto"/>
        <w:bottom w:val="none" w:sz="0" w:space="0" w:color="auto"/>
        <w:right w:val="none" w:sz="0" w:space="0" w:color="auto"/>
      </w:divBdr>
    </w:div>
    <w:div w:id="2000108040">
      <w:bodyDiv w:val="1"/>
      <w:marLeft w:val="0"/>
      <w:marRight w:val="0"/>
      <w:marTop w:val="0"/>
      <w:marBottom w:val="0"/>
      <w:divBdr>
        <w:top w:val="none" w:sz="0" w:space="0" w:color="auto"/>
        <w:left w:val="none" w:sz="0" w:space="0" w:color="auto"/>
        <w:bottom w:val="none" w:sz="0" w:space="0" w:color="auto"/>
        <w:right w:val="none" w:sz="0" w:space="0" w:color="auto"/>
      </w:divBdr>
    </w:div>
    <w:div w:id="2005745261">
      <w:bodyDiv w:val="1"/>
      <w:marLeft w:val="0"/>
      <w:marRight w:val="0"/>
      <w:marTop w:val="0"/>
      <w:marBottom w:val="0"/>
      <w:divBdr>
        <w:top w:val="none" w:sz="0" w:space="0" w:color="auto"/>
        <w:left w:val="none" w:sz="0" w:space="0" w:color="auto"/>
        <w:bottom w:val="none" w:sz="0" w:space="0" w:color="auto"/>
        <w:right w:val="none" w:sz="0" w:space="0" w:color="auto"/>
      </w:divBdr>
    </w:div>
    <w:div w:id="2006087412">
      <w:bodyDiv w:val="1"/>
      <w:marLeft w:val="0"/>
      <w:marRight w:val="0"/>
      <w:marTop w:val="0"/>
      <w:marBottom w:val="0"/>
      <w:divBdr>
        <w:top w:val="none" w:sz="0" w:space="0" w:color="auto"/>
        <w:left w:val="none" w:sz="0" w:space="0" w:color="auto"/>
        <w:bottom w:val="none" w:sz="0" w:space="0" w:color="auto"/>
        <w:right w:val="none" w:sz="0" w:space="0" w:color="auto"/>
      </w:divBdr>
    </w:div>
    <w:div w:id="2009824047">
      <w:bodyDiv w:val="1"/>
      <w:marLeft w:val="0"/>
      <w:marRight w:val="0"/>
      <w:marTop w:val="0"/>
      <w:marBottom w:val="0"/>
      <w:divBdr>
        <w:top w:val="none" w:sz="0" w:space="0" w:color="auto"/>
        <w:left w:val="none" w:sz="0" w:space="0" w:color="auto"/>
        <w:bottom w:val="none" w:sz="0" w:space="0" w:color="auto"/>
        <w:right w:val="none" w:sz="0" w:space="0" w:color="auto"/>
      </w:divBdr>
    </w:div>
    <w:div w:id="2010909245">
      <w:bodyDiv w:val="1"/>
      <w:marLeft w:val="0"/>
      <w:marRight w:val="0"/>
      <w:marTop w:val="0"/>
      <w:marBottom w:val="0"/>
      <w:divBdr>
        <w:top w:val="none" w:sz="0" w:space="0" w:color="auto"/>
        <w:left w:val="none" w:sz="0" w:space="0" w:color="auto"/>
        <w:bottom w:val="none" w:sz="0" w:space="0" w:color="auto"/>
        <w:right w:val="none" w:sz="0" w:space="0" w:color="auto"/>
      </w:divBdr>
    </w:div>
    <w:div w:id="2059665789">
      <w:bodyDiv w:val="1"/>
      <w:marLeft w:val="0"/>
      <w:marRight w:val="0"/>
      <w:marTop w:val="0"/>
      <w:marBottom w:val="0"/>
      <w:divBdr>
        <w:top w:val="none" w:sz="0" w:space="0" w:color="auto"/>
        <w:left w:val="none" w:sz="0" w:space="0" w:color="auto"/>
        <w:bottom w:val="none" w:sz="0" w:space="0" w:color="auto"/>
        <w:right w:val="none" w:sz="0" w:space="0" w:color="auto"/>
      </w:divBdr>
    </w:div>
    <w:div w:id="21277744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16/j.chwas.2024.100195" TargetMode="External"/><Relationship Id="rId13" Type="http://schemas.openxmlformats.org/officeDocument/2006/relationships/hyperlink" Target="https://doi.org/10.3390/buildings12070902" TargetMode="External"/><Relationship Id="rId18" Type="http://schemas.openxmlformats.org/officeDocument/2006/relationships/hyperlink" Target="https://doi.org/10.1016/j.scs.2020.102576" TargetMode="External"/><Relationship Id="rId3" Type="http://schemas.openxmlformats.org/officeDocument/2006/relationships/settings" Target="settings.xml"/><Relationship Id="rId21" Type="http://schemas.openxmlformats.org/officeDocument/2006/relationships/hyperlink" Target="https://doi.org/10.3390/su15097500" TargetMode="External"/><Relationship Id="rId7" Type="http://schemas.openxmlformats.org/officeDocument/2006/relationships/hyperlink" Target="https://doi.org/10.3390/smartcities5040075" TargetMode="External"/><Relationship Id="rId12" Type="http://schemas.openxmlformats.org/officeDocument/2006/relationships/hyperlink" Target="https://doi.org/10.3390/su17083539" TargetMode="External"/><Relationship Id="rId17" Type="http://schemas.openxmlformats.org/officeDocument/2006/relationships/hyperlink" Target="https://www.undp.org/saudi-arabia/publications/voluntary-national-review-vnr-saudi-arabia"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doi.org/10.3390/su141610314" TargetMode="External"/><Relationship Id="rId20" Type="http://schemas.openxmlformats.org/officeDocument/2006/relationships/hyperlink" Target="https://doi.org/10.1016/j.clet.2023.100626"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016/j.ijproman.2011.07.001"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doi.org/10.3390/su14116427" TargetMode="External"/><Relationship Id="rId23" Type="http://schemas.openxmlformats.org/officeDocument/2006/relationships/footer" Target="footer1.xml"/><Relationship Id="rId10" Type="http://schemas.openxmlformats.org/officeDocument/2006/relationships/hyperlink" Target="https://doi.org/10.1080/13467581.2025.2454616" TargetMode="External"/><Relationship Id="rId19" Type="http://schemas.openxmlformats.org/officeDocument/2006/relationships/hyperlink" Target="https://doi.org/10.1016/j.indic.2022.100193" TargetMode="External"/><Relationship Id="rId4" Type="http://schemas.openxmlformats.org/officeDocument/2006/relationships/webSettings" Target="webSettings.xml"/><Relationship Id="rId9" Type="http://schemas.openxmlformats.org/officeDocument/2006/relationships/hyperlink" Target="https://doi.org/10.1155/2024/8780539" TargetMode="External"/><Relationship Id="rId14" Type="http://schemas.openxmlformats.org/officeDocument/2006/relationships/hyperlink" Target="https://doi.org/10.63278/mme.vi.1598" TargetMode="External"/><Relationship Id="rId22" Type="http://schemas.openxmlformats.org/officeDocument/2006/relationships/hyperlink" Target="https://doi.org/10.1016/j.jksues.2020.10.00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50</TotalTime>
  <Pages>42</Pages>
  <Words>8195</Words>
  <Characters>46715</Characters>
  <Application>Microsoft Office Word</Application>
  <DocSecurity>0</DocSecurity>
  <Lines>389</Lines>
  <Paragraphs>109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nourhan adel</dc:creator>
  <cp:keywords/>
  <dc:description/>
  <cp:lastModifiedBy>nourhan adel</cp:lastModifiedBy>
  <cp:revision>9</cp:revision>
  <cp:lastPrinted>2025-12-05T22:43:00Z</cp:lastPrinted>
  <dcterms:created xsi:type="dcterms:W3CDTF">2025-11-27T01:18:00Z</dcterms:created>
  <dcterms:modified xsi:type="dcterms:W3CDTF">2025-12-05T22:45:00Z</dcterms:modified>
</cp:coreProperties>
</file>