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center"/>
        <w:rPr/>
      </w:pPr>
      <w:r>
        <w:rPr>
          <w:rFonts w:ascii="Times-Roman" w:hAnsi="Times-Roman" w:eastAsia="Times-Roman" w:cs="Times-Roman"/>
          <w:b/>
          <w:b/>
          <w:bCs/>
          <w:color w:val="000000"/>
          <w:spacing w:val="0"/>
          <w:sz w:val="28"/>
          <w:sz w:val="28"/>
          <w:szCs w:val="28"/>
          <w:rtl w:val="true"/>
          <w:lang w:val="ar-EG"/>
        </w:rPr>
        <w:t xml:space="preserve">العنوان المقترح </w:t>
      </w:r>
      <w:r>
        <w:rPr>
          <w:rFonts w:eastAsia="Times-Roman" w:cs="Times-Roman" w:ascii="Times-Roman" w:hAnsi="Times-Roman"/>
          <w:b/>
          <w:bCs/>
          <w:color w:val="000000"/>
          <w:spacing w:val="0"/>
          <w:sz w:val="28"/>
          <w:szCs w:val="28"/>
          <w:rtl w:val="true"/>
          <w:lang w:val="ar-EG"/>
        </w:rPr>
        <w:t xml:space="preserve">: </w:t>
      </w:r>
      <w:r>
        <w:rPr>
          <w:rFonts w:eastAsia="Times-Roman" w:cs="Times-Roman" w:ascii="Times-Roman" w:hAnsi="Times-Roman"/>
          <w:b/>
          <w:bCs/>
          <w:color w:val="000000"/>
          <w:spacing w:val="0"/>
          <w:sz w:val="28"/>
          <w:szCs w:val="28"/>
          <w:rtl w:val="true"/>
        </w:rPr>
        <w:t>"</w:t>
      </w:r>
      <w:r>
        <w:rPr>
          <w:rFonts w:ascii="Times-Roman" w:hAnsi="Times-Roman" w:eastAsia="Times-Roman" w:cs="Times-Roman"/>
          <w:b/>
          <w:b/>
          <w:bCs/>
          <w:color w:val="000000"/>
          <w:spacing w:val="0"/>
          <w:sz w:val="28"/>
          <w:sz w:val="28"/>
          <w:szCs w:val="28"/>
          <w:rtl w:val="true"/>
        </w:rPr>
        <w:t>استراتيجيات إدارة مخاطر سلاسل الإمداد لتعزيز المرونة التشغيلية في شركات اللوجستيات والنقل الكبرى في ظل الأزمات الجيوسياسية والاقتصادية المعاصرة</w:t>
      </w:r>
      <w:r>
        <w:rPr>
          <w:rFonts w:eastAsia="Times-Roman" w:cs="Times-Roman" w:ascii="Times-Roman" w:hAnsi="Times-Roman"/>
          <w:b/>
          <w:bCs/>
          <w:color w:val="000000"/>
          <w:spacing w:val="0"/>
          <w:sz w:val="28"/>
          <w:szCs w:val="28"/>
          <w:rtl w:val="true"/>
        </w:rPr>
        <w:t>"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center"/>
        <w:rPr>
          <w:rFonts w:ascii="Times-Roman" w:hAnsi="Times-Roman" w:eastAsia="Times-Roman" w:cs="Times-Roman"/>
          <w:b/>
          <w:bCs/>
          <w:color w:val="000000"/>
          <w:spacing w:val="0"/>
          <w:sz w:val="28"/>
          <w:szCs w:val="28"/>
        </w:rPr>
      </w:pPr>
      <w:r>
        <w:rPr>
          <w:rFonts w:eastAsia="Times-Roman" w:cs="Times-Roman" w:ascii="Times-Roman" w:hAnsi="Times-Roman"/>
          <w:b/>
          <w:bCs/>
          <w:color w:val="000000"/>
          <w:spacing w:val="0"/>
          <w:sz w:val="28"/>
          <w:szCs w:val="28"/>
          <w:rtl w:val="true"/>
        </w:rPr>
        <w:t>(</w:t>
      </w:r>
      <w:r>
        <w:rPr>
          <w:rFonts w:ascii="Times-Roman" w:hAnsi="Times-Roman" w:eastAsia="Times-Roman" w:cs="Times-Roman"/>
          <w:b/>
          <w:b/>
          <w:bCs/>
          <w:color w:val="000000"/>
          <w:spacing w:val="0"/>
          <w:sz w:val="28"/>
          <w:sz w:val="28"/>
          <w:szCs w:val="28"/>
          <w:rtl w:val="true"/>
        </w:rPr>
        <w:t>يمكن تطبيق الدراسة على مجموعة شركات لوجستية كبرى في المملكة كدراسة حالة</w:t>
      </w:r>
      <w:r>
        <w:rPr>
          <w:rFonts w:eastAsia="Times-Roman" w:cs="Times-Roman" w:ascii="Times-Roman" w:hAnsi="Times-Roman"/>
          <w:b/>
          <w:bCs/>
          <w:color w:val="000000"/>
          <w:spacing w:val="0"/>
          <w:sz w:val="28"/>
          <w:szCs w:val="28"/>
          <w:rtl w:val="true"/>
        </w:rPr>
        <w:t>)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center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center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center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center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center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center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center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center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center"/>
        <w:rPr>
          <w:rFonts w:ascii="Times-Roman" w:hAnsi="Times-Roman" w:eastAsia="Times-Roman" w:cs="Times-Roman"/>
          <w:b/>
          <w:bCs/>
          <w:color w:val="000000"/>
          <w:spacing w:val="0"/>
          <w:sz w:val="28"/>
          <w:szCs w:val="28"/>
          <w:lang w:val="ar-EG"/>
        </w:rPr>
      </w:pPr>
      <w:r>
        <w:rPr>
          <w:rFonts w:ascii="Times-Roman" w:hAnsi="Times-Roman" w:eastAsia="Times-Roman" w:cs="Times-Roman"/>
          <w:b/>
          <w:b/>
          <w:bCs/>
          <w:color w:val="000000"/>
          <w:spacing w:val="0"/>
          <w:sz w:val="28"/>
          <w:sz w:val="28"/>
          <w:szCs w:val="28"/>
          <w:rtl w:val="true"/>
          <w:lang w:val="ar-EG"/>
        </w:rPr>
        <w:t xml:space="preserve">اسم الطالب </w:t>
      </w:r>
      <w:r>
        <w:rPr>
          <w:rFonts w:eastAsia="Times-Roman" w:cs="Times-Roman" w:ascii="Times-Roman" w:hAnsi="Times-Roman"/>
          <w:b/>
          <w:bCs/>
          <w:color w:val="000000"/>
          <w:spacing w:val="0"/>
          <w:sz w:val="28"/>
          <w:szCs w:val="28"/>
          <w:rtl w:val="true"/>
          <w:lang w:val="ar-EG"/>
        </w:rPr>
        <w:t xml:space="preserve">: </w:t>
      </w:r>
      <w:r>
        <w:rPr>
          <w:rFonts w:ascii="Times-Roman" w:hAnsi="Times-Roman" w:eastAsia="Times-Roman" w:cs="Times-Roman"/>
          <w:b/>
          <w:b/>
          <w:bCs/>
          <w:color w:val="000000"/>
          <w:spacing w:val="0"/>
          <w:sz w:val="28"/>
          <w:sz w:val="28"/>
          <w:szCs w:val="28"/>
          <w:rtl w:val="true"/>
          <w:lang w:val="ar-EG"/>
        </w:rPr>
        <w:t xml:space="preserve">محمد احمد ابوسيفين  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center"/>
        <w:rPr>
          <w:rFonts w:ascii="Times-Roman" w:hAnsi="Times-Roman" w:eastAsia="Times-Roman" w:cs="Times-Roman"/>
          <w:b/>
          <w:bCs/>
          <w:color w:val="000000"/>
          <w:spacing w:val="0"/>
          <w:sz w:val="28"/>
          <w:szCs w:val="28"/>
          <w:lang w:val="ar-EG"/>
        </w:rPr>
      </w:pPr>
      <w:r>
        <w:rPr>
          <w:rFonts w:ascii="Times-Roman" w:hAnsi="Times-Roman" w:eastAsia="Times-Roman" w:cs="Times-Roman"/>
          <w:b/>
          <w:b/>
          <w:bCs/>
          <w:color w:val="000000"/>
          <w:spacing w:val="0"/>
          <w:sz w:val="28"/>
          <w:sz w:val="28"/>
          <w:szCs w:val="28"/>
          <w:rtl w:val="true"/>
          <w:lang w:val="ar-EG"/>
        </w:rPr>
        <w:t xml:space="preserve">مقترح مشروع التخرج 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center"/>
        <w:rPr>
          <w:rFonts w:ascii="Times-Roman" w:hAnsi="Times-Roman" w:eastAsia="Times-Roman" w:cs="Times-Roman"/>
          <w:b/>
          <w:bCs/>
          <w:color w:val="000000"/>
          <w:spacing w:val="0"/>
          <w:sz w:val="28"/>
          <w:szCs w:val="28"/>
          <w:lang w:val="ar-EG"/>
        </w:rPr>
      </w:pPr>
      <w:r>
        <w:rPr>
          <w:rFonts w:ascii="Times-Roman" w:hAnsi="Times-Roman" w:eastAsia="Times-Roman" w:cs="Times-Roman"/>
          <w:b/>
          <w:b/>
          <w:bCs/>
          <w:color w:val="000000"/>
          <w:spacing w:val="0"/>
          <w:sz w:val="28"/>
          <w:sz w:val="28"/>
          <w:szCs w:val="28"/>
          <w:rtl w:val="true"/>
          <w:lang w:val="ar-EG"/>
        </w:rPr>
        <w:t xml:space="preserve">كلية </w:t>
      </w:r>
      <w:r>
        <w:rPr>
          <w:rFonts w:eastAsia="Times-Roman" w:cs="Times-Roman" w:ascii="Times-Roman" w:hAnsi="Times-Roman"/>
          <w:b/>
          <w:bCs/>
          <w:color w:val="000000"/>
          <w:spacing w:val="0"/>
          <w:sz w:val="28"/>
          <w:szCs w:val="28"/>
          <w:rtl w:val="true"/>
          <w:lang w:val="ar-EG"/>
        </w:rPr>
        <w:t xml:space="preserve">: </w:t>
      </w:r>
      <w:r>
        <w:rPr>
          <w:rFonts w:ascii="Times-Roman" w:hAnsi="Times-Roman" w:eastAsia="Times-Roman" w:cs="Times-Roman"/>
          <w:b/>
          <w:b/>
          <w:bCs/>
          <w:color w:val="000000"/>
          <w:spacing w:val="0"/>
          <w:sz w:val="28"/>
          <w:sz w:val="28"/>
          <w:szCs w:val="28"/>
          <w:rtl w:val="true"/>
          <w:lang w:val="ar-EG"/>
        </w:rPr>
        <w:t xml:space="preserve">الادارة </w:t>
      </w:r>
      <w:r>
        <w:rPr>
          <w:rFonts w:eastAsia="Times-Roman" w:cs="Times-Roman" w:ascii="Times-Roman" w:hAnsi="Times-Roman"/>
          <w:b/>
          <w:bCs/>
          <w:color w:val="000000"/>
          <w:spacing w:val="0"/>
          <w:sz w:val="28"/>
          <w:szCs w:val="28"/>
          <w:rtl w:val="true"/>
          <w:lang w:val="ar-EG"/>
        </w:rPr>
        <w:t xml:space="preserve">- </w:t>
      </w:r>
      <w:r>
        <w:rPr>
          <w:rFonts w:ascii="Times-Roman" w:hAnsi="Times-Roman" w:eastAsia="Times-Roman" w:cs="Times-Roman"/>
          <w:b/>
          <w:b/>
          <w:bCs/>
          <w:color w:val="000000"/>
          <w:spacing w:val="0"/>
          <w:sz w:val="28"/>
          <w:sz w:val="28"/>
          <w:szCs w:val="28"/>
          <w:rtl w:val="true"/>
          <w:lang w:val="ar-EG"/>
        </w:rPr>
        <w:t xml:space="preserve">ماجستير ادارة اعمال 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center"/>
        <w:rPr>
          <w:rFonts w:ascii="Times-Roman" w:hAnsi="Times-Roman" w:eastAsia="Times-Roman" w:cs="Times-Roman"/>
          <w:b/>
          <w:bCs/>
          <w:color w:val="000000"/>
          <w:spacing w:val="0"/>
          <w:sz w:val="28"/>
          <w:szCs w:val="28"/>
          <w:lang w:val="ar-EG"/>
        </w:rPr>
      </w:pPr>
      <w:r>
        <w:rPr>
          <w:rFonts w:ascii="Times-Roman" w:hAnsi="Times-Roman" w:eastAsia="Times-Roman" w:cs="Times-Roman"/>
          <w:b/>
          <w:b/>
          <w:bCs/>
          <w:color w:val="000000"/>
          <w:spacing w:val="0"/>
          <w:sz w:val="28"/>
          <w:sz w:val="28"/>
          <w:szCs w:val="28"/>
          <w:rtl w:val="true"/>
          <w:lang w:val="ar-EG"/>
        </w:rPr>
        <w:t xml:space="preserve">اشراف الدكتور </w:t>
      </w:r>
      <w:r>
        <w:rPr>
          <w:rFonts w:eastAsia="Times-Roman" w:cs="Times-Roman" w:ascii="Times-Roman" w:hAnsi="Times-Roman"/>
          <w:b/>
          <w:bCs/>
          <w:color w:val="000000"/>
          <w:spacing w:val="0"/>
          <w:sz w:val="28"/>
          <w:szCs w:val="28"/>
          <w:rtl w:val="true"/>
          <w:lang w:val="ar-EG"/>
        </w:rPr>
        <w:t>: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center"/>
        <w:rPr>
          <w:rFonts w:ascii="Times-Roman" w:hAnsi="Times-Roman" w:eastAsia="Times-Roman" w:cs="Times-Roman"/>
          <w:b/>
          <w:bCs/>
          <w:color w:val="000000"/>
          <w:spacing w:val="0"/>
          <w:sz w:val="28"/>
          <w:szCs w:val="28"/>
          <w:lang w:val="ar-EG"/>
        </w:rPr>
      </w:pPr>
      <w:r>
        <w:rPr>
          <w:rFonts w:ascii="Times-Roman" w:hAnsi="Times-Roman" w:eastAsia="Times-Roman" w:cs="Times-Roman"/>
          <w:b/>
          <w:b/>
          <w:bCs/>
          <w:color w:val="000000"/>
          <w:spacing w:val="0"/>
          <w:sz w:val="28"/>
          <w:sz w:val="28"/>
          <w:szCs w:val="28"/>
          <w:rtl w:val="true"/>
          <w:lang w:val="ar-EG"/>
        </w:rPr>
        <w:t xml:space="preserve">د الفيصل عبدالحميد 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center"/>
        <w:rPr>
          <w:rFonts w:ascii="Times-Roman" w:hAnsi="Times-Roman" w:eastAsia="Times-Roman" w:cs="Times-Roman"/>
          <w:b/>
          <w:bCs/>
          <w:color w:val="000000"/>
          <w:spacing w:val="0"/>
          <w:sz w:val="28"/>
          <w:szCs w:val="28"/>
          <w:lang w:val="ar-EG"/>
        </w:rPr>
      </w:pPr>
      <w:r>
        <w:rPr>
          <w:rFonts w:ascii="Times-Roman" w:hAnsi="Times-Roman" w:eastAsia="Times-Roman" w:cs="Times-Roman"/>
          <w:b/>
          <w:b/>
          <w:bCs/>
          <w:color w:val="000000"/>
          <w:spacing w:val="0"/>
          <w:sz w:val="28"/>
          <w:sz w:val="28"/>
          <w:szCs w:val="28"/>
          <w:rtl w:val="true"/>
          <w:lang w:val="ar-EG"/>
        </w:rPr>
        <w:t xml:space="preserve">عضو هيئة التدريس كلية الادارة جامعة ميداوشن 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center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</w:rPr>
        <w:t>1</w:t>
      </w: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  <w:rtl w:val="true"/>
        </w:rPr>
        <w:t xml:space="preserve">. </w:t>
      </w:r>
      <w:r>
        <w:rPr>
          <w:rFonts w:ascii="Times-Roman" w:hAnsi="Times-Roman" w:eastAsia="Times-Roman" w:cs="Times-Roman"/>
          <w:b/>
          <w:b/>
          <w:bCs/>
          <w:color w:val="000000"/>
          <w:spacing w:val="0"/>
          <w:sz w:val="24"/>
          <w:sz w:val="24"/>
          <w:szCs w:val="24"/>
          <w:rtl w:val="true"/>
        </w:rPr>
        <w:t xml:space="preserve">مقدمة وخلفية البحث </w:t>
      </w: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  <w:rtl w:val="true"/>
        </w:rPr>
        <w:t>(</w:t>
      </w: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</w:rPr>
        <w:t>Research Background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)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يشهد قطاع اللوجستيات والنقل تحديات غير مسبوقة ناتجة عن عدم اليقين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(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</w:rPr>
        <w:t>Uncertainty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)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في البيئة الدولية، مثل اضطرابات خطوط الملاحة البحرية، تقلبات أسعار الوقود والطاقة، والتضخم الاقتصادي العالمي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.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في هذا السياق، لم تعد إدارة المخاطر التقليدية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(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التي تركز على تجنب الخطر فقط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)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كافية، بل أصبح من الضروري بناء مرونة تشغيلية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(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</w:rPr>
        <w:t>Operational Resilience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)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تمكّن الشركات اللوجستية من امتصاص الصدمات، التكيف السريع، والتعافي دون توقف العمليات الشحن والإمداد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.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b/>
          <w:bCs/>
          <w:color w:val="000000"/>
          <w:spacing w:val="0"/>
          <w:sz w:val="24"/>
          <w:szCs w:val="24"/>
        </w:rPr>
      </w:pP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</w:rPr>
        <w:t>2</w:t>
      </w: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  <w:rtl w:val="true"/>
        </w:rPr>
        <w:t xml:space="preserve">. </w:t>
      </w:r>
      <w:r>
        <w:rPr>
          <w:rFonts w:ascii="Times-Roman" w:hAnsi="Times-Roman" w:eastAsia="Times-Roman" w:cs="Times-Roman"/>
          <w:b/>
          <w:b/>
          <w:bCs/>
          <w:color w:val="000000"/>
          <w:spacing w:val="0"/>
          <w:sz w:val="24"/>
          <w:sz w:val="24"/>
          <w:szCs w:val="24"/>
          <w:rtl w:val="true"/>
        </w:rPr>
        <w:t xml:space="preserve">مشكلة البحث </w:t>
      </w: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  <w:rtl w:val="true"/>
        </w:rPr>
        <w:t>(</w:t>
      </w: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</w:rPr>
        <w:t>Research Problem</w:t>
      </w: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  <w:rtl w:val="true"/>
        </w:rPr>
        <w:t>)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تواجه شركات اللوجستيات والنقل الكبرى معضلة حقيقية تتمثل في تأثر دقة وموثوقية سلاسل الإمداد بالأزمات الجيوسياسية والاقتصادية المستمرة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.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هذا التأثر ينعكس في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: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تأخير وصول الشحنات وضغط الجداول الزمنية للمشاريع المستفيدة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.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ارتفاع تكاليف التشغيل والشحن بشكل مفاجئ مما يضغط على هوامش الربح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.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ضعف الرؤية اللوجستية المتكاملة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(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</w:rPr>
        <w:t>Visibility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)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عبر الحدود أثناء الأزمات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.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تكمن المشكلة في الفجوة المعرفية والتطبيقية حول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"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كيفية تحويل المخاطر الجيوسياسية والاقتصادية المعقدة إلى استراتيجيات مرونة تشغيلية ملموسة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"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داخل الشركات اللوجستية في البيئة المحلية والإقليمية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.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b/>
          <w:bCs/>
          <w:color w:val="000000"/>
          <w:spacing w:val="0"/>
          <w:sz w:val="24"/>
          <w:szCs w:val="24"/>
        </w:rPr>
      </w:pP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</w:rPr>
        <w:t>3</w:t>
      </w: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  <w:rtl w:val="true"/>
        </w:rPr>
        <w:t xml:space="preserve">. </w:t>
      </w:r>
      <w:r>
        <w:rPr>
          <w:rFonts w:ascii="Times-Roman" w:hAnsi="Times-Roman" w:eastAsia="Times-Roman" w:cs="Times-Roman"/>
          <w:b/>
          <w:b/>
          <w:bCs/>
          <w:color w:val="000000"/>
          <w:spacing w:val="0"/>
          <w:sz w:val="24"/>
          <w:sz w:val="24"/>
          <w:szCs w:val="24"/>
          <w:rtl w:val="true"/>
        </w:rPr>
        <w:t xml:space="preserve">أسئلة البحث </w:t>
      </w: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  <w:rtl w:val="true"/>
        </w:rPr>
        <w:t>(</w:t>
      </w: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</w:rPr>
        <w:t>Research Questions</w:t>
      </w: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  <w:rtl w:val="true"/>
        </w:rPr>
        <w:t>)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سيتوجب على بحثك الإجابة عن الأسئلة الجوهرية التالية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: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eastAsia="Times-Roman" w:cs="Times-Roman" w:ascii="Times-Roman" w:hAnsi="Times-Roman"/>
          <w:color w:val="000000"/>
          <w:spacing w:val="0"/>
          <w:sz w:val="24"/>
          <w:szCs w:val="24"/>
        </w:rPr>
        <w:t>1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.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</w:rPr>
        <w:t>Q1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: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ما هي أبرز المخاطر الجيوسياسية والاقتصادية الأكثر تأثيراً على عمليات شركات اللوجستيات والنقل الكبرى حالياً؟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eastAsia="Times-Roman" w:cs="Times-Roman" w:ascii="Times-Roman" w:hAnsi="Times-Roman"/>
          <w:color w:val="000000"/>
          <w:spacing w:val="0"/>
          <w:sz w:val="24"/>
          <w:szCs w:val="24"/>
        </w:rPr>
        <w:t>2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.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</w:rPr>
        <w:t>Q2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: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كيف تؤثر هذه المخاطر مباشرة على الكفاءة التشغيلية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(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الوقت، التكلفة، جودة الخدمة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)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في حركة الشحن والإمداد؟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eastAsia="Times-Roman" w:cs="Times-Roman" w:ascii="Times-Roman" w:hAnsi="Times-Roman"/>
          <w:color w:val="000000"/>
          <w:spacing w:val="0"/>
          <w:sz w:val="24"/>
          <w:szCs w:val="24"/>
        </w:rPr>
        <w:t>3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.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</w:rPr>
        <w:t>Q3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: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ما هي الاستراتيجيات والممارسات الحالية التي تبنتها الشركات لبناء مرونة تشغيلية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(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مثل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: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تنويع المسارات، التحول الرقمي، الشراكات الاستراتيجية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)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؟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eastAsia="Times-Roman" w:cs="Times-Roman" w:ascii="Times-Roman" w:hAnsi="Times-Roman"/>
          <w:color w:val="000000"/>
          <w:spacing w:val="0"/>
          <w:sz w:val="24"/>
          <w:szCs w:val="24"/>
        </w:rPr>
        <w:t>4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.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</w:rPr>
        <w:t>Q4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: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ما هو الإطار المقترح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(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</w:rPr>
        <w:t>Framework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)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لتعزيز المرونة التشغيلية واستباق المخاطر في هذا القطاع؟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b/>
          <w:bCs/>
          <w:color w:val="000000"/>
          <w:spacing w:val="0"/>
          <w:sz w:val="24"/>
          <w:szCs w:val="24"/>
        </w:rPr>
      </w:pP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</w:rPr>
        <w:t>4</w:t>
      </w: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  <w:rtl w:val="true"/>
        </w:rPr>
        <w:t xml:space="preserve">. </w:t>
      </w:r>
      <w:r>
        <w:rPr>
          <w:rFonts w:ascii="Times-Roman" w:hAnsi="Times-Roman" w:eastAsia="Times-Roman" w:cs="Times-Roman"/>
          <w:b/>
          <w:b/>
          <w:bCs/>
          <w:color w:val="000000"/>
          <w:spacing w:val="0"/>
          <w:sz w:val="24"/>
          <w:sz w:val="24"/>
          <w:szCs w:val="24"/>
          <w:rtl w:val="true"/>
        </w:rPr>
        <w:t xml:space="preserve">أهمية البحث </w:t>
      </w: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  <w:rtl w:val="true"/>
        </w:rPr>
        <w:t>(</w:t>
      </w: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</w:rPr>
        <w:t>Research Significance</w:t>
      </w: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  <w:rtl w:val="true"/>
        </w:rPr>
        <w:t>)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الأهمية العلمية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: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إثراء المكتبة العربية والأكاديمية بمراجع حديثة تربط بين إدارة المخاطر اللوجستية و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"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المرونة التشغيلية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"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في وقت تشهد فيه سلاسل الإمداد إعادة تشكيل عالمية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.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الأهمية العملية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: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تقديم توصيات وإطار عمل لمديري اللوجستيات وصناع القرار في الشركات الكبرى لمساعدتهم على تصميم سلاسل إمداد مرنة وقادرة على الصمود، والتماشي مع مستهدفات الاستراتيجية الوطنية للنقل والخدمات اللوجستية في المملكة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.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  <w:lang w:val="en-US"/>
        </w:rPr>
        <w:t xml:space="preserve"> 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b/>
          <w:bCs/>
          <w:color w:val="000000"/>
          <w:spacing w:val="0"/>
          <w:sz w:val="24"/>
          <w:szCs w:val="24"/>
        </w:rPr>
      </w:pP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</w:rPr>
        <w:t>5</w:t>
      </w: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  <w:rtl w:val="true"/>
        </w:rPr>
        <w:t xml:space="preserve">. </w:t>
      </w:r>
      <w:r>
        <w:rPr>
          <w:rFonts w:ascii="Times-Roman" w:hAnsi="Times-Roman" w:eastAsia="Times-Roman" w:cs="Times-Roman"/>
          <w:b/>
          <w:b/>
          <w:bCs/>
          <w:color w:val="000000"/>
          <w:spacing w:val="0"/>
          <w:sz w:val="24"/>
          <w:sz w:val="24"/>
          <w:szCs w:val="24"/>
          <w:rtl w:val="true"/>
        </w:rPr>
        <w:t xml:space="preserve">المنهجية المقترحة لجمع البيانات </w:t>
      </w: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  <w:rtl w:val="true"/>
        </w:rPr>
        <w:t>(</w:t>
      </w: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</w:rPr>
        <w:t>Methodology</w:t>
      </w: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  <w:rtl w:val="true"/>
        </w:rPr>
        <w:t>)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بما أنكِ تركزين على الشركات اللوجستية، أقترح الاعتماد على المنهج المختلط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(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</w:rPr>
        <w:t>Mixed Methods Case Study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):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الدراسة الكمية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(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</w:rPr>
        <w:t>Quantitative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):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تصميم استبيان وتوزيعه على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(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مديري العمليات، مديري سلاسل الإمداد، مديري المخاطر، ورؤساء أقسام الشحن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)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في شركات كبرى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(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مثل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: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أرامكس، ناقل، الشركات اللوجستية التابعة لـ سال أو مرافئ الموانئ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).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الدراسة النوعية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(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</w:rPr>
        <w:t>Qualitative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):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إجراء مقابلات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(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</w:rPr>
        <w:t>Interviews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)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مع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</w:rPr>
        <w:t>3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إلى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</w:rPr>
        <w:t>5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خبراء أو قياديين في هذا المجال للحصول على رؤية أعمق حول كيفية اتخاذ القرار أثناء الأزمات المفاجئة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.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  <w:lang w:val="en-US"/>
        </w:rPr>
        <w:t>6</w:t>
      </w: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  <w:rtl w:val="true"/>
        </w:rPr>
        <w:t xml:space="preserve">. </w:t>
      </w:r>
      <w:r>
        <w:rPr>
          <w:rFonts w:ascii="Times-Roman" w:hAnsi="Times-Roman" w:eastAsia="Times-Roman" w:cs="Times-Roman"/>
          <w:b/>
          <w:b/>
          <w:bCs/>
          <w:color w:val="000000"/>
          <w:spacing w:val="0"/>
          <w:sz w:val="24"/>
          <w:sz w:val="24"/>
          <w:szCs w:val="24"/>
          <w:rtl w:val="true"/>
        </w:rPr>
        <w:t xml:space="preserve">أهداف البحث </w:t>
      </w: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  <w:rtl w:val="true"/>
        </w:rPr>
        <w:t>(</w:t>
      </w: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</w:rPr>
        <w:t>Research Objectives</w:t>
      </w: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  <w:rtl w:val="true"/>
        </w:rPr>
        <w:t>)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يسعى هذا البحث بشكل رئيسي إلى تحقيق الأهداف التالية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: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eastAsia="Times-Roman" w:cs="Times-Roman" w:ascii="Times-Roman" w:hAnsi="Times-Roman"/>
          <w:color w:val="000000"/>
          <w:spacing w:val="0"/>
          <w:sz w:val="24"/>
          <w:szCs w:val="24"/>
        </w:rPr>
        <w:t>1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.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تحديد المخاطر الحالية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: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حصر وتقييم أبرز المخاطر الجيوسياسية والاقتصادية المعاصرة التي تؤثر على شركات اللوجستيات والنقل الكبرى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.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eastAsia="Times-Roman" w:cs="Times-Roman" w:ascii="Times-Roman" w:hAnsi="Times-Roman"/>
          <w:color w:val="000000"/>
          <w:spacing w:val="0"/>
          <w:sz w:val="24"/>
          <w:szCs w:val="24"/>
        </w:rPr>
        <w:t>2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.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قياس الأثر التشغيلي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: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قياس وتحليل مدى تأثير هذه المخاطر على مؤشرات الأداء التشغيلي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(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مثل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: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زمن الرحلات، تكاليف الشحن، ومستوى رضا العملاء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).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eastAsia="Times-Roman" w:cs="Times-Roman" w:ascii="Times-Roman" w:hAnsi="Times-Roman"/>
          <w:color w:val="000000"/>
          <w:spacing w:val="0"/>
          <w:sz w:val="24"/>
          <w:szCs w:val="24"/>
        </w:rPr>
        <w:t>3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.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تقييم الاستراتيجيات القائمة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: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تقييم فاعلية الأدوات والاستراتيجيات التي تستخدمها الشركات حالياً لبناء مرونتها التشغيلية ومدى كفايتها للتكيف مع الأزمات المفاجئة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.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eastAsia="Times-Roman" w:cs="Times-Roman" w:ascii="Times-Roman" w:hAnsi="Times-Roman"/>
          <w:color w:val="000000"/>
          <w:spacing w:val="0"/>
          <w:sz w:val="24"/>
          <w:szCs w:val="24"/>
        </w:rPr>
        <w:t>4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.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بناء إطار عمل مقترح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: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تقديم إطار عمل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(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</w:rPr>
        <w:t>Framework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)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إداري وتطبيقي متكامل يساعد شركات اللوجستيات على تعزيز قدراتها الاستباقية والاستجابية لمواجهة الأزمات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.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  <w:lang w:val="en-US"/>
        </w:rPr>
        <w:t>7</w:t>
      </w: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  <w:rtl w:val="true"/>
        </w:rPr>
        <w:t xml:space="preserve">. </w:t>
      </w:r>
      <w:r>
        <w:rPr>
          <w:rFonts w:ascii="Times-Roman" w:hAnsi="Times-Roman" w:eastAsia="Times-Roman" w:cs="Times-Roman"/>
          <w:b/>
          <w:b/>
          <w:bCs/>
          <w:color w:val="000000"/>
          <w:spacing w:val="0"/>
          <w:sz w:val="24"/>
          <w:sz w:val="24"/>
          <w:szCs w:val="24"/>
          <w:rtl w:val="true"/>
        </w:rPr>
        <w:t xml:space="preserve">فرضيات البحث </w:t>
      </w: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  <w:rtl w:val="true"/>
        </w:rPr>
        <w:t>(</w:t>
      </w: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</w:rPr>
        <w:t>Research Hypotheses</w:t>
      </w: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  <w:rtl w:val="true"/>
        </w:rPr>
        <w:t>)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بما أن بحثكِ يعتمد على المنهج المختلط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(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الكمي والنوعي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)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، ستحتاجين إلى صياغة فرضيات واضحة لاختبارها إحصائياً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(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عبر برامج مثل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</w:rPr>
        <w:t>SPSS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أو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</w:rPr>
        <w:t>SmartPLS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)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بناءً على الإجابات التي ستجمعينها من الاستبيانات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.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إليكِ الفرضيات المقترحة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: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الفرضية الأولى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(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</w:rPr>
        <w:t>H_1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):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توجد علاقة ذات دلالة إحصائية بين شدة الأزمات الجيوسياسية والاقتصادية وانخفاض الكفاءة التشغيلية لشركات اللوجستيات والنقل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.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الفرضية الثانية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(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</w:rPr>
        <w:t>H_2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):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يساهم تبني تقنيات التحول الرقمي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(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مثل التتبع الذكي والتنبؤ بالبيانات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)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إيجابياً وبشكل دال إحصائياً في تعزيز المرونة التشغيلية للشركات أثناء الأزمات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.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الفرضية الثالثة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(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</w:rPr>
        <w:t>H_3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):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توجد فروق ذات دلالة إحصائية في مستويات المرونة التشغيلية بين الشركات اللوجستية التي تعتمد على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"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موردين وشراكات متعددة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"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والشركات التي تعتمد على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"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مصدر إمداد واحد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".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  <w:lang w:val="en-US"/>
        </w:rPr>
        <w:t>8</w:t>
      </w: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  <w:rtl w:val="true"/>
        </w:rPr>
        <w:t xml:space="preserve">. </w:t>
      </w:r>
      <w:r>
        <w:rPr>
          <w:rFonts w:ascii="Times-Roman" w:hAnsi="Times-Roman" w:eastAsia="Times-Roman" w:cs="Times-Roman"/>
          <w:b/>
          <w:b/>
          <w:bCs/>
          <w:color w:val="000000"/>
          <w:spacing w:val="0"/>
          <w:sz w:val="24"/>
          <w:sz w:val="24"/>
          <w:szCs w:val="24"/>
          <w:rtl w:val="true"/>
        </w:rPr>
        <w:t xml:space="preserve">نموذج الدراسة التصوري </w:t>
      </w: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  <w:rtl w:val="true"/>
        </w:rPr>
        <w:t>(</w:t>
      </w: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</w:rPr>
        <w:t>Conceptual Framework</w:t>
      </w: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  <w:rtl w:val="true"/>
        </w:rPr>
        <w:t>)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لكي تتضح الرؤية للمشرفين على بحثكِ، يتم تقسيم المتغيرات كالتالي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: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المتغير المستقل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(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</w:rPr>
        <w:t>Independent Variable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):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الأزمات الجيوسياسية والاقتصادية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(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مخاطر الشحن، تضخم الأسعار، اضطرابات الطرق الملاحية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).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المتغير التابع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(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</w:rPr>
        <w:t>Dependent Variable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):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المرونة التشغيلية واستمرارية الأعمال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(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القدرة على التعافي، الحفاظ على استقرار التكاليف، دقة المواعيد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).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المتغير الوسيط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/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المعدل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(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</w:rPr>
        <w:t>Modifying/Mediating Variable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):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الاستراتيجيات المتبعة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(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التحول الرقمي، تنويع المسارات، الحوكمة وإدارة المخاطر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).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  <w:lang w:val="en-US"/>
        </w:rPr>
        <w:t xml:space="preserve"> 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  <w:rtl w:val="true"/>
          <w:lang w:val="en-US"/>
        </w:rPr>
        <w:t>.</w:t>
      </w: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  <w:lang w:val="en-US"/>
        </w:rPr>
        <w:t>9</w:t>
      </w: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  <w:rtl w:val="true"/>
          <w:lang w:val="en-US"/>
        </w:rPr>
        <w:t xml:space="preserve"> </w:t>
      </w:r>
      <w:r>
        <w:rPr>
          <w:rFonts w:ascii="Times-Roman" w:hAnsi="Times-Roman" w:eastAsia="Times-Roman" w:cs="Times-Roman"/>
          <w:b/>
          <w:b/>
          <w:bCs/>
          <w:color w:val="000000"/>
          <w:spacing w:val="0"/>
          <w:sz w:val="24"/>
          <w:sz w:val="24"/>
          <w:szCs w:val="24"/>
          <w:rtl w:val="true"/>
        </w:rPr>
        <w:t xml:space="preserve">إطار أدبيات البحث والدراسات السابقة </w:t>
      </w: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  <w:rtl w:val="true"/>
        </w:rPr>
        <w:t>(</w:t>
      </w: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</w:rPr>
        <w:t>Literature Review</w:t>
      </w: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  <w:rtl w:val="true"/>
        </w:rPr>
        <w:t>)</w:t>
      </w: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  <w:rtl w:val="true"/>
          <w:lang w:val="en-US"/>
        </w:rPr>
        <w:t xml:space="preserve"> 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</w:rPr>
        <w:t>1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.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المحور الأول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: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إدارة مخاطر سلاسل الإمداد الحديثة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(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</w:rPr>
        <w:t>Modern Supply Chain Risks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)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المفهوم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: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الانتقال من إدارة المخاطر التقليدية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(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المتوقعة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)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إلى إدارة بيئة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</w:rPr>
        <w:t>VUCA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 (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التقلب، عدم اليقين، التعقيد، والغموض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).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التركيز البحثي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: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التركيز على الأزمات الجيوسياسية والاقتصادية الأخيرة وتأثيرها على خطوط الشحن البحري والجوي، وارتفاع تكلفة الوقود، والتحول في الممرات اللوجستية العالمية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.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eastAsia="Times-Roman" w:cs="Times-Roman" w:ascii="Times-Roman" w:hAnsi="Times-Roman"/>
          <w:color w:val="000000"/>
          <w:spacing w:val="0"/>
          <w:sz w:val="24"/>
          <w:szCs w:val="24"/>
        </w:rPr>
        <w:t>2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.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المحور الثاني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: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المرونة التشغيلية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(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</w:rPr>
        <w:t>Operational Resilience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)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المفهوم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: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قدرة المنظمة اللوجستية على امتصاص الصدمات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(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</w:rPr>
        <w:t>Absorb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)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، التكيف السريع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(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</w:rPr>
        <w:t>Adapt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)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، والتعافي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(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</w:rPr>
        <w:t>Recover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)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بعد وقوع الأزمة دون انقطاع خدماتها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.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التركيز البحثي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: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الفرق بين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"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المرونة الاستباقية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" (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التخطيط المسبق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)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و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"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المرونة الاستجابية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" (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رد الفعل السريع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)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، وكيف تقاس المرونة في شركات النقل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.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eastAsia="Times-Roman" w:cs="Times-Roman" w:ascii="Times-Roman" w:hAnsi="Times-Roman"/>
          <w:color w:val="000000"/>
          <w:spacing w:val="0"/>
          <w:sz w:val="24"/>
          <w:szCs w:val="24"/>
        </w:rPr>
        <w:t>3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.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المحور الثالث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: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الاستراتيجيات والحلول اللوجستية الرقمية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المفهوم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: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توظيف التقنية لتوليد مرونة أعلى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.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التركيز البحثي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: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دور الرؤية المتكاملة للبيانات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(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</w:rPr>
        <w:t>Supply Chain Visibility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)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، التتبع اللحظي، واستخدام تحليلات البيانات الضخمة للتنبؤ بالأزمات وتغيير مسارات الشحن ديناميكياً قبل تفاقم المشكلة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.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ثانياً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: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مسودة محاور وأبعاد الاستبيان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(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</w:rPr>
        <w:t>Questionnaire Dimensions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)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عند بناء الاستبيان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(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الذي سيتم توزيعه عبر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</w:rPr>
        <w:t>Google Forms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أو ميركوري على مديري اللوجستيات والمخاطر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)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، سيتم تقسيم الأسئلة وفق مقياس ليكرت الخماسي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(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موافق بشدة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-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موافق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-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محايد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-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غير موافق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-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غير موافق بشدة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)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على المحاور التالية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: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المحور الأول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: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قياس شدة المخاطر الجيوسياسية والاقتصادية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(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المتغير المستقل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)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تتأثر أسعار خدماتنا اللوجستية مباشرة بالتقلبات الاقتصادية وتضخم الأسعار العالمي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.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تؤدي الاضطرابات الجيوسياسية في الممرات المائية أو الحدود البرية إلى تأخير وصول شحناتنا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.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نواجه صعوبة في التنبؤ بالتغيرات التنظيمية والجمركية المفاجئة بين الدول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.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المحور الثاني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: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قياس المرونة التشغيلية واستمرارية الأعمال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(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المتغير التابع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)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تمتلك الشركة القدرة على تعديل مسارات الشحن بسرعة عند حدوث طوارئ في المسار الأصلي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.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تستطيع الشركة استعادة كفاءتها التشغيلية الكاملة خلال فترة قصيرة بعد تعرضها لصدمة في سلاسل الإمداد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.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تتوفر لدى الشركة طاقة استيعابية بديلة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(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مستودعات، أساطيل نقل إضافية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)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للتعامل مع الأزمات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.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المحور الثالث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: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الاستراتيجيات والحلول الرقمية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(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المتغير الوسيط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/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المعدل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)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تعتمد الشركة على استراتيجية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"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تعدد الموردين والشركاء اللوجستيين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"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بدلاً من الاعتماد على مصدر واحد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.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تساهم أنظمة التتبع اللحظي والرقمنة لدينا في زيادة الشفافية وسرعة اتخاذ القرار أثناء الأزمات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.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 xml:space="preserve">توجد خطط طوارئ 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(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</w:rPr>
        <w:t>Contingency Plans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 xml:space="preserve">) </w:t>
      </w:r>
      <w:r>
        <w:rPr>
          <w:rFonts w:ascii="Times-Roman" w:hAnsi="Times-Roman" w:eastAsia="Times-Roman" w:cs="Times-Roman"/>
          <w:color w:val="000000"/>
          <w:spacing w:val="0"/>
          <w:sz w:val="24"/>
          <w:sz w:val="24"/>
          <w:szCs w:val="24"/>
          <w:rtl w:val="true"/>
        </w:rPr>
        <w:t>محدثة ومجرّبة بشكل دوري للتعامل مع انقطاع سلاسل الإمداد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.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  <w:lang w:val="en-US"/>
        </w:rPr>
        <w:t xml:space="preserve"> 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  <w:rtl w:val="true"/>
          <w:lang w:val="en-US"/>
        </w:rPr>
        <w:t xml:space="preserve">. </w:t>
      </w: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  <w:lang w:val="en-US"/>
        </w:rPr>
        <w:t>10</w:t>
      </w: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  <w:rtl w:val="true"/>
          <w:lang w:val="en-US"/>
        </w:rPr>
        <w:t xml:space="preserve"> </w:t>
      </w:r>
      <w:r>
        <w:rPr>
          <w:rFonts w:ascii="Times-Roman" w:hAnsi="Times-Roman" w:eastAsia="Times-Roman" w:cs="Times-Roman"/>
          <w:b/>
          <w:b/>
          <w:bCs/>
          <w:color w:val="000000"/>
          <w:spacing w:val="0"/>
          <w:sz w:val="24"/>
          <w:sz w:val="24"/>
          <w:szCs w:val="24"/>
          <w:rtl w:val="true"/>
        </w:rPr>
        <w:t xml:space="preserve">المراجع الأكاديمية </w:t>
      </w: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  <w:rtl w:val="true"/>
        </w:rPr>
        <w:t>(</w:t>
      </w: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</w:rPr>
        <w:t>Journal Articles</w:t>
      </w: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  <w:rtl w:val="true"/>
        </w:rPr>
        <w:t>)</w:t>
      </w: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  <w:rtl w:val="true"/>
          <w:lang w:val="en-US"/>
        </w:rPr>
        <w:t xml:space="preserve"> 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eastAsia="Times-Roman" w:cs="Times-Roman" w:ascii="Times-Roman" w:hAnsi="Times-Roman"/>
          <w:color w:val="000000"/>
          <w:spacing w:val="0"/>
          <w:sz w:val="24"/>
          <w:szCs w:val="24"/>
        </w:rPr>
        <w:t>Ivanov, D. (2023). Resilient supply chains: Adaptation, recovery, and viability in changing environments. Springer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.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eastAsia="Times-Roman" w:cs="Times-Roman" w:ascii="Times-Roman" w:hAnsi="Times-Roman"/>
          <w:color w:val="000000"/>
          <w:spacing w:val="0"/>
          <w:sz w:val="24"/>
          <w:szCs w:val="24"/>
        </w:rPr>
        <w:t>Yadav, A. K., Singh, P., &amp; Adyasa, P. (2025). Geo-political risks and global supply chains: A strategic resilience model. Lex Localis - Journal of Local Self-Government, 23(S4), 622-635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eastAsia="Times-Roman" w:cs="Times-Roman" w:ascii="Times-Roman" w:hAnsi="Times-Roman"/>
          <w:color w:val="000000"/>
          <w:spacing w:val="0"/>
          <w:sz w:val="24"/>
          <w:szCs w:val="24"/>
        </w:rPr>
        <w:t>Wieland, A., &amp; Durach, C. F. (2021). Two decades of supply chain resilience research: An crisis-driven literature review. International Journal of Physical Distribution &amp; Logistics Management, 51(9), 925-943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.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eastAsia="Times-Roman" w:cs="Times-Roman" w:ascii="Times-Roman" w:hAnsi="Times-Roman"/>
          <w:color w:val="000000"/>
          <w:spacing w:val="0"/>
          <w:sz w:val="24"/>
          <w:szCs w:val="24"/>
        </w:rPr>
        <w:t>Zhao, L., Hong, J., &amp; Lau, K. H. (2023). The role of digital technologies in building supply chain resilience: A systematic review and research agenda. International Journal of Production Research, 61(12), 4150-4172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.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eastAsia="Times-Roman" w:cs="Times-Roman" w:ascii="Times-Roman" w:hAnsi="Times-Roman"/>
          <w:color w:val="000000"/>
          <w:spacing w:val="0"/>
          <w:sz w:val="24"/>
          <w:szCs w:val="24"/>
        </w:rPr>
        <w:t>Bruckler, M., et al. (2024). Towards resilient supply chains: A quantitative approach to risk and resilience. Journal of Modelling in Management. Advance online publication. https://doi.org/10.1108/JM2-12-2024-0409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b/>
          <w:bCs/>
          <w:color w:val="000000"/>
          <w:spacing w:val="0"/>
          <w:sz w:val="24"/>
          <w:szCs w:val="24"/>
        </w:rPr>
      </w:pPr>
      <w:r>
        <w:rPr>
          <w:rFonts w:ascii="Times-Roman" w:hAnsi="Times-Roman" w:eastAsia="Times-Roman" w:cs="Times-Roman"/>
          <w:b/>
          <w:b/>
          <w:bCs/>
          <w:color w:val="000000"/>
          <w:spacing w:val="0"/>
          <w:sz w:val="24"/>
          <w:sz w:val="24"/>
          <w:szCs w:val="24"/>
          <w:rtl w:val="true"/>
        </w:rPr>
        <w:t xml:space="preserve">التقارير المهنية العالمية </w:t>
      </w: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  <w:rtl w:val="true"/>
        </w:rPr>
        <w:t>(</w:t>
      </w: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</w:rPr>
        <w:t>Industry &amp; Global Reports</w:t>
      </w:r>
      <w:r>
        <w:rPr>
          <w:rFonts w:eastAsia="Times-Roman" w:cs="Times-Roman" w:ascii="Times-Roman" w:hAnsi="Times-Roman"/>
          <w:b/>
          <w:bCs/>
          <w:color w:val="000000"/>
          <w:spacing w:val="0"/>
          <w:sz w:val="24"/>
          <w:szCs w:val="24"/>
          <w:rtl w:val="true"/>
        </w:rPr>
        <w:t>)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eastAsia="Times-Roman" w:cs="Times-Roman" w:ascii="Times-Roman" w:hAnsi="Times-Roman"/>
          <w:color w:val="000000"/>
          <w:spacing w:val="0"/>
          <w:sz w:val="24"/>
          <w:szCs w:val="24"/>
        </w:rPr>
        <w:t>World Economic Forum. (2025). The Global Risks Report 2025 (20th ed.). World Economic Forum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.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eastAsia="Times-Roman" w:cs="Times-Roman" w:ascii="Times-Roman" w:hAnsi="Times-Roman"/>
          <w:color w:val="000000"/>
          <w:spacing w:val="0"/>
          <w:sz w:val="24"/>
          <w:szCs w:val="24"/>
        </w:rPr>
        <w:t>WTW (Willis Towers Watson). (2025). Global Supply Chain Risk Report 2025: Balancing efficiency and resilience. WTW Survey Insights</w:t>
      </w:r>
      <w:r>
        <w:rPr>
          <w:rFonts w:eastAsia="Times-Roman" w:cs="Times-Roman" w:ascii="Times-Roman" w:hAnsi="Times-Roman"/>
          <w:color w:val="000000"/>
          <w:spacing w:val="0"/>
          <w:sz w:val="24"/>
          <w:szCs w:val="24"/>
          <w:rtl w:val="true"/>
        </w:rPr>
        <w:t>.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eastAsia="Times-Roman" w:cs="Times-Roman" w:ascii="Times-Roman" w:hAnsi="Times-Roman"/>
          <w:color w:val="000000"/>
          <w:spacing w:val="0"/>
          <w:sz w:val="24"/>
          <w:szCs w:val="24"/>
        </w:rPr>
        <w:t>GOV.UK Foresight. (2024). Global Supply Chains: A Foresight report on risk and resilience. Government Office for Science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>
          <w:rFonts w:ascii="Times-Roman" w:hAnsi="Times-Roman" w:eastAsia="Times-Roman" w:cs="Times-Roman"/>
          <w:color w:val="000000"/>
          <w:spacing w:val="0"/>
          <w:sz w:val="24"/>
          <w:szCs w:val="24"/>
        </w:rPr>
      </w:pPr>
      <w:r>
        <w:rPr>
          <w:rFonts w:eastAsia="Times-Roman" w:cs="Times-Roman" w:ascii="Times-Roman" w:hAnsi="Times-Roman"/>
          <w:color w:val="000000"/>
          <w:spacing w:val="0"/>
          <w:sz w:val="24"/>
          <w:szCs w:val="24"/>
        </w:rPr>
        <w:t>Xeneta. (2026). The biggest supply chain risks of 2026 and how to navigate them. Xeneta Freight Insights</w:t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p>
      <w:pPr>
        <w:pStyle w:val="Normal"/>
        <w:widowControl/>
        <w:bidi w:val="1"/>
        <w:spacing w:lineRule="auto" w:line="288" w:before="0" w:after="0"/>
        <w:ind w:hanging="0" w:left="720" w:right="0"/>
        <w:jc w:val="right"/>
        <w:rPr/>
      </w:pPr>
      <w:r>
        <w:rPr>
          <w:rtl w:val="true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-Roman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Noto Serif CJK SC" w:cs="Lohit Devanagari"/>
      <w:color w:val="auto"/>
      <w:kern w:val="2"/>
      <w:sz w:val="24"/>
      <w:szCs w:val="24"/>
      <w:lang w:val="en-US" w:eastAsia="zh-CN" w:bidi="hi-IN"/>
    </w:rPr>
  </w:style>
  <w:style w:type="character" w:styleId="FootnoteSymbol">
    <w:name w:val="Footnote_Symbol"/>
    <w:qFormat/>
    <w:rPr>
      <w:vertAlign w:val="superscript"/>
    </w:rPr>
  </w:style>
  <w:style w:type="character" w:styleId="EndnoteSymbol">
    <w:name w:val="Endnote_Symbol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FootnoteAnchor">
    <w:name w:val="Footnote Anchor"/>
    <w:qFormat/>
    <w:rPr>
      <w:vertAlign w:val="superscript"/>
    </w:rPr>
  </w:style>
  <w:style w:type="character" w:styleId="EndnoteAnchor">
    <w:name w:val="Endnote Anchor"/>
    <w:qFormat/>
    <w:rPr>
      <w:vertAlign w:val="superscript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/>
    <w:rPr/>
  </w:style>
  <w:style w:type="paragraph" w:styleId="Index">
    <w:name w:val="Index"/>
    <w:basedOn w:val="Normal"/>
    <w:qFormat/>
    <w:pPr/>
    <w:rPr/>
  </w:style>
  <w:style w:type="paragraph" w:styleId="TextBody">
    <w:name w:val="Text Body"/>
    <w:basedOn w:val="Normal"/>
    <w:qFormat/>
    <w:pPr/>
    <w:rPr/>
  </w:style>
  <w:style w:type="paragraph" w:styleId="TableContents">
    <w:name w:val="Table Contents"/>
    <w:basedOn w:val="TextBody"/>
    <w:qFormat/>
    <w:pPr/>
    <w:rPr/>
  </w:style>
  <w:style w:type="paragraph" w:styleId="TableHeading">
    <w:name w:val="Table Heading"/>
    <w:basedOn w:val="TableContents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/>
    <w:rPr/>
  </w:style>
  <w:style w:type="paragraph" w:styleId="Footer">
    <w:name w:val="footer"/>
    <w:basedOn w:val="Normal"/>
    <w:pPr/>
    <w:rPr/>
  </w:style>
  <w:style w:type="paragraph" w:styleId="FootnoteText">
    <w:name w:val="footnote text"/>
    <w:basedOn w:val="Normal"/>
    <w:pPr/>
    <w:rPr/>
  </w:style>
  <w:style w:type="paragraph" w:styleId="EndnoteText">
    <w:name w:val="endnote text"/>
    <w:basedOn w:val="Normal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