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357E523E" w:rsidR="00EA22ED" w:rsidRDefault="001D4AE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A25E54C" w:rsidR="00EA22ED" w:rsidRDefault="001D4AE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2ADA671B" w:rsidR="00EA22ED" w:rsidRDefault="001D4AE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17B25020" w:rsidR="00EA22ED" w:rsidRDefault="001D4AE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2EB8A2E2" w:rsidR="00EA22ED" w:rsidRDefault="001D4AE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C4D87F9" w:rsidR="00EA22ED" w:rsidRDefault="001D4AE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5664D6C" w:rsidR="00EA22ED" w:rsidRDefault="001D4AE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00B50CB8" w:rsidR="00EA22ED" w:rsidRDefault="001D4AE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CB59236" w:rsidR="00EA22ED" w:rsidRDefault="001D4AE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1CB6F145" w:rsidR="00EA22ED" w:rsidRDefault="001D4AE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3152A63B" w:rsidR="00EA22ED" w:rsidRDefault="001D4AE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4ABFE7D2" w:rsidR="00EA22ED" w:rsidRDefault="001D4AE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F2D3A95" w:rsidR="00EA22ED" w:rsidRDefault="001D4AE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31EE33E" w:rsidR="00EA22ED" w:rsidRDefault="001D4AE9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الدراسة نظرية وليست تطبيقية يرجى مراجعة المادة العلمية والمحاضرات المسجلة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1D4AE9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2024-09-11T10:43:00Z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