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76891" w14:textId="06BCB786" w:rsidR="00E61049" w:rsidRDefault="009C39E8">
      <w:pPr>
        <w:pStyle w:val="ThesisTitleArabic"/>
        <w:jc w:val="center"/>
        <w:rPr>
          <w:rFonts w:asciiTheme="majorBidi" w:hAnsiTheme="majorBidi" w:cstheme="majorBidi"/>
          <w:color w:val="1F4E79"/>
          <w:sz w:val="22"/>
        </w:rPr>
      </w:pPr>
      <w:r w:rsidRPr="001902DB">
        <w:rPr>
          <w:rFonts w:ascii="Sakkal Majalla" w:hAnsi="Sakkal Majalla" w:cs="Sakkal Majalla"/>
          <w:b w:val="0"/>
          <w:bCs/>
          <w:noProof/>
          <w:sz w:val="28"/>
          <w:szCs w:val="28"/>
        </w:rPr>
        <w:drawing>
          <wp:anchor distT="0" distB="0" distL="114300" distR="114300" simplePos="0" relativeHeight="251659264" behindDoc="0" locked="0" layoutInCell="1" allowOverlap="1" wp14:anchorId="13DEF91D" wp14:editId="40CBE36C">
            <wp:simplePos x="0" y="0"/>
            <wp:positionH relativeFrom="margin">
              <wp:posOffset>-86995</wp:posOffset>
            </wp:positionH>
            <wp:positionV relativeFrom="margin">
              <wp:posOffset>-361950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331C793" w14:textId="77777777" w:rsidR="009C39E8" w:rsidRDefault="009C39E8">
      <w:pPr>
        <w:pStyle w:val="ThesisTitleArabic"/>
        <w:jc w:val="center"/>
        <w:rPr>
          <w:rFonts w:asciiTheme="majorBidi" w:hAnsiTheme="majorBidi" w:cstheme="majorBidi"/>
          <w:color w:val="1F4E79"/>
          <w:sz w:val="22"/>
        </w:rPr>
      </w:pPr>
    </w:p>
    <w:p w14:paraId="4775E67D" w14:textId="77777777" w:rsidR="007A6886" w:rsidRPr="001902DB" w:rsidRDefault="007A6886" w:rsidP="007A6886">
      <w:pPr>
        <w:jc w:val="lef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1181FF5" w14:textId="5F93D163" w:rsidR="007A6886" w:rsidRPr="001902DB" w:rsidRDefault="007A6886" w:rsidP="007A6886">
      <w:pPr>
        <w:jc w:val="lef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7B61976" w14:textId="6FE98067" w:rsidR="009C39E8" w:rsidRDefault="007A6886" w:rsidP="007A6886">
      <w:pPr>
        <w:pStyle w:val="ThesisTitleArabic"/>
        <w:jc w:val="left"/>
        <w:rPr>
          <w:rFonts w:asciiTheme="majorBidi" w:hAnsiTheme="majorBidi" w:cstheme="majorBidi" w:hint="cs"/>
          <w:color w:val="1F4E79"/>
          <w:sz w:val="22"/>
          <w:rtl/>
        </w:rPr>
      </w:pPr>
      <w:r w:rsidRPr="001902DB">
        <w:rPr>
          <w:rFonts w:ascii="Sakkal Majalla" w:hAnsi="Sakkal Majalla" w:cs="Sakkal Majalla"/>
          <w:bCs/>
          <w:sz w:val="28"/>
          <w:szCs w:val="28"/>
          <w:rtl/>
          <w:lang w:bidi="ar-EG"/>
        </w:rPr>
        <w:t>قسم / تخصص</w:t>
      </w:r>
      <w:r>
        <w:rPr>
          <w:rFonts w:ascii="Sakkal Majalla" w:hAnsi="Sakkal Majalla" w:cs="Sakkal Majalla"/>
          <w:bCs/>
          <w:sz w:val="28"/>
          <w:szCs w:val="28"/>
          <w:lang w:bidi="ar-EG"/>
        </w:rPr>
        <w:t xml:space="preserve"> </w:t>
      </w:r>
      <w:r>
        <w:rPr>
          <w:rFonts w:ascii="Sakkal Majalla" w:hAnsi="Sakkal Majalla" w:cs="Sakkal Majalla" w:hint="cs"/>
          <w:bCs/>
          <w:sz w:val="28"/>
          <w:szCs w:val="28"/>
          <w:rtl/>
        </w:rPr>
        <w:t xml:space="preserve"> </w:t>
      </w:r>
      <w:r w:rsidR="00A21B0C">
        <w:rPr>
          <w:rFonts w:ascii="Sakkal Majalla" w:hAnsi="Sakkal Majalla" w:cs="Sakkal Majalla" w:hint="cs"/>
          <w:bCs/>
          <w:sz w:val="28"/>
          <w:szCs w:val="28"/>
          <w:rtl/>
        </w:rPr>
        <w:t>الموارد البشرية</w:t>
      </w:r>
    </w:p>
    <w:p w14:paraId="048BA2E4" w14:textId="77777777" w:rsidR="002D66D4" w:rsidRPr="004F28F7" w:rsidRDefault="002D66D4" w:rsidP="002D66D4">
      <w:pPr>
        <w:jc w:val="center"/>
        <w:rPr>
          <w:b/>
          <w:sz w:val="28"/>
        </w:rPr>
      </w:pPr>
    </w:p>
    <w:p w14:paraId="1C1CD5C9" w14:textId="77777777" w:rsidR="009C39E8" w:rsidRPr="00A21B0C" w:rsidRDefault="009C39E8">
      <w:pPr>
        <w:pStyle w:val="ThesisTitleArabic"/>
        <w:jc w:val="center"/>
        <w:rPr>
          <w:rFonts w:asciiTheme="majorBidi" w:hAnsiTheme="majorBidi" w:cstheme="majorBidi"/>
          <w:color w:val="auto"/>
          <w:sz w:val="22"/>
        </w:rPr>
      </w:pPr>
    </w:p>
    <w:p w14:paraId="356356D2" w14:textId="77777777" w:rsidR="00E61049" w:rsidRPr="008E1E95" w:rsidRDefault="00BB6015">
      <w:pPr>
        <w:pStyle w:val="ThesisTitleArabic"/>
        <w:jc w:val="center"/>
        <w:rPr>
          <w:rFonts w:asciiTheme="majorBidi" w:hAnsiTheme="majorBidi" w:cstheme="majorBidi"/>
          <w:b w:val="0"/>
          <w:bCs/>
          <w:color w:val="auto"/>
          <w:sz w:val="28"/>
          <w:szCs w:val="28"/>
        </w:rPr>
      </w:pPr>
      <w:r w:rsidRPr="008E1E95">
        <w:rPr>
          <w:rFonts w:asciiTheme="majorBidi" w:hAnsiTheme="majorBidi" w:cstheme="majorBidi"/>
          <w:b w:val="0"/>
          <w:bCs/>
          <w:color w:val="auto"/>
          <w:sz w:val="28"/>
          <w:szCs w:val="28"/>
          <w:rtl/>
        </w:rPr>
        <w:t>أثر استخدام تحليلات الموارد البشرية على نية ترك العمل: الدور الوسيط للارتباط الوظيفي لدى العاملين في شركات الاستشارات الهندسية في المملكة العربية السعودية</w:t>
      </w:r>
    </w:p>
    <w:p w14:paraId="7FBFE9D5" w14:textId="77777777" w:rsidR="002D66D4" w:rsidRDefault="00BB6015" w:rsidP="002D66D4">
      <w:pPr>
        <w:pStyle w:val="BodyTextArabic"/>
        <w:jc w:val="center"/>
        <w:rPr>
          <w:rFonts w:asciiTheme="majorBidi" w:hAnsiTheme="majorBidi" w:cstheme="majorBidi"/>
          <w:b/>
          <w:color w:val="auto"/>
          <w:sz w:val="22"/>
          <w:rtl/>
        </w:rPr>
      </w:pPr>
      <w:r w:rsidRPr="00A21B0C">
        <w:rPr>
          <w:rFonts w:asciiTheme="majorBidi" w:hAnsiTheme="majorBidi" w:cstheme="majorBidi"/>
          <w:b/>
          <w:color w:val="auto"/>
          <w:sz w:val="22"/>
          <w:rtl/>
        </w:rPr>
        <w:t>الفصل الأول والفصل الثاني</w:t>
      </w:r>
      <w:r w:rsidR="002D66D4">
        <w:rPr>
          <w:rFonts w:asciiTheme="majorBidi" w:hAnsiTheme="majorBidi" w:cstheme="majorBidi" w:hint="cs"/>
          <w:b/>
          <w:color w:val="auto"/>
          <w:sz w:val="22"/>
          <w:rtl/>
        </w:rPr>
        <w:t xml:space="preserve"> </w:t>
      </w:r>
    </w:p>
    <w:p w14:paraId="18BE30C3" w14:textId="3178BB8D" w:rsidR="002D66D4" w:rsidRPr="002D66D4" w:rsidRDefault="002D66D4" w:rsidP="002D66D4">
      <w:pPr>
        <w:pStyle w:val="BodyTextArabic"/>
        <w:jc w:val="center"/>
        <w:rPr>
          <w:rFonts w:asciiTheme="majorBidi" w:hAnsiTheme="majorBidi" w:cstheme="majorBidi"/>
          <w:color w:val="auto"/>
          <w:sz w:val="22"/>
        </w:rPr>
      </w:pPr>
      <w:r w:rsidRPr="004F28F7">
        <w:rPr>
          <w:b/>
          <w:bCs/>
          <w:sz w:val="28"/>
          <w:rtl/>
        </w:rPr>
        <w:t>إعداد الطالب: يحيى حسين آل عمر</w:t>
      </w:r>
    </w:p>
    <w:p w14:paraId="53617651" w14:textId="77777777" w:rsidR="002D66D4" w:rsidRPr="004F28F7" w:rsidRDefault="002D66D4" w:rsidP="002D66D4">
      <w:pPr>
        <w:jc w:val="center"/>
        <w:rPr>
          <w:b/>
          <w:sz w:val="28"/>
          <w:rtl/>
        </w:rPr>
      </w:pPr>
      <w:r w:rsidRPr="004F28F7">
        <w:rPr>
          <w:b/>
          <w:bCs/>
          <w:sz w:val="28"/>
          <w:rtl/>
        </w:rPr>
        <w:t>الرقم الجامعي: 2021205091</w:t>
      </w:r>
    </w:p>
    <w:p w14:paraId="5D04D438" w14:textId="77777777" w:rsidR="002D66D4" w:rsidRPr="004F28F7" w:rsidRDefault="002D66D4" w:rsidP="002D66D4">
      <w:pPr>
        <w:jc w:val="center"/>
        <w:rPr>
          <w:b/>
          <w:sz w:val="28"/>
          <w:rtl/>
        </w:rPr>
      </w:pPr>
      <w:r w:rsidRPr="004F28F7">
        <w:rPr>
          <w:b/>
          <w:bCs/>
          <w:sz w:val="28"/>
          <w:rtl/>
        </w:rPr>
        <w:t>إشراف:</w:t>
      </w:r>
    </w:p>
    <w:p w14:paraId="1D4E5D89" w14:textId="77777777" w:rsidR="002D66D4" w:rsidRPr="004F28F7" w:rsidRDefault="002D66D4" w:rsidP="002D66D4">
      <w:pPr>
        <w:jc w:val="center"/>
        <w:rPr>
          <w:b/>
          <w:sz w:val="28"/>
          <w:rtl/>
        </w:rPr>
      </w:pPr>
      <w:r w:rsidRPr="004F28F7">
        <w:rPr>
          <w:b/>
          <w:sz w:val="28"/>
          <w:rtl/>
        </w:rPr>
        <w:t>د. الفيصل عبد الحميد</w:t>
      </w:r>
    </w:p>
    <w:p w14:paraId="6267078A" w14:textId="77777777" w:rsidR="002D66D4" w:rsidRPr="004F28F7" w:rsidRDefault="002D66D4" w:rsidP="002D66D4">
      <w:pPr>
        <w:jc w:val="center"/>
        <w:rPr>
          <w:b/>
          <w:sz w:val="28"/>
          <w:rtl/>
        </w:rPr>
      </w:pPr>
      <w:r w:rsidRPr="004F28F7">
        <w:rPr>
          <w:b/>
          <w:sz w:val="28"/>
          <w:rtl/>
        </w:rPr>
        <w:t>د. فايز جراد</w:t>
      </w:r>
    </w:p>
    <w:p w14:paraId="259930DF" w14:textId="77777777" w:rsidR="002D66D4" w:rsidRPr="004F28F7" w:rsidRDefault="002D66D4" w:rsidP="002D66D4">
      <w:pPr>
        <w:jc w:val="center"/>
        <w:rPr>
          <w:b/>
          <w:sz w:val="28"/>
          <w:rtl/>
        </w:rPr>
      </w:pPr>
      <w:r w:rsidRPr="004F28F7">
        <w:rPr>
          <w:b/>
          <w:bCs/>
          <w:sz w:val="28"/>
          <w:rtl/>
        </w:rPr>
        <w:t>العام الدراسي: 2026</w:t>
      </w:r>
    </w:p>
    <w:p w14:paraId="79BA34D2" w14:textId="00F49888" w:rsidR="00E61049" w:rsidRDefault="00E61049" w:rsidP="002D66D4">
      <w:pPr>
        <w:jc w:val="center"/>
        <w:rPr>
          <w:rFonts w:asciiTheme="majorBidi" w:hAnsiTheme="majorBidi" w:cstheme="majorBidi"/>
          <w:color w:val="auto"/>
          <w:sz w:val="22"/>
          <w:rtl/>
        </w:rPr>
      </w:pPr>
    </w:p>
    <w:p w14:paraId="0533FC41" w14:textId="77777777" w:rsidR="008E1E95" w:rsidRDefault="008E1E95" w:rsidP="002D66D4">
      <w:pPr>
        <w:jc w:val="center"/>
        <w:rPr>
          <w:rFonts w:asciiTheme="majorBidi" w:hAnsiTheme="majorBidi" w:cstheme="majorBidi"/>
          <w:color w:val="auto"/>
          <w:sz w:val="22"/>
          <w:rtl/>
        </w:rPr>
      </w:pPr>
    </w:p>
    <w:p w14:paraId="4144B3C1" w14:textId="77777777" w:rsidR="008E1E95" w:rsidRDefault="008E1E95" w:rsidP="002D66D4">
      <w:pPr>
        <w:jc w:val="center"/>
        <w:rPr>
          <w:rFonts w:asciiTheme="majorBidi" w:hAnsiTheme="majorBidi" w:cstheme="majorBidi"/>
          <w:color w:val="auto"/>
          <w:sz w:val="22"/>
          <w:rtl/>
        </w:rPr>
      </w:pPr>
    </w:p>
    <w:p w14:paraId="4573282D" w14:textId="77777777" w:rsidR="008E1E95" w:rsidRDefault="008E1E95" w:rsidP="002D66D4">
      <w:pPr>
        <w:jc w:val="center"/>
        <w:rPr>
          <w:rFonts w:asciiTheme="majorBidi" w:hAnsiTheme="majorBidi" w:cstheme="majorBidi"/>
          <w:color w:val="auto"/>
          <w:sz w:val="22"/>
          <w:rtl/>
        </w:rPr>
      </w:pPr>
    </w:p>
    <w:p w14:paraId="52F04E39" w14:textId="77777777" w:rsidR="008E1E95" w:rsidRPr="00A21B0C" w:rsidRDefault="008E1E95" w:rsidP="002D66D4">
      <w:pPr>
        <w:jc w:val="center"/>
        <w:rPr>
          <w:rFonts w:asciiTheme="majorBidi" w:hAnsiTheme="majorBidi" w:cstheme="majorBidi"/>
          <w:color w:val="auto"/>
          <w:sz w:val="22"/>
        </w:rPr>
      </w:pPr>
    </w:p>
    <w:p w14:paraId="77895AC4" w14:textId="77777777" w:rsidR="00E61049" w:rsidRPr="00A21B0C" w:rsidRDefault="00BB6015" w:rsidP="00A21B0C">
      <w:pPr>
        <w:pStyle w:val="Heading1"/>
        <w:jc w:val="left"/>
        <w:rPr>
          <w:rFonts w:asciiTheme="majorBidi" w:hAnsiTheme="majorBidi"/>
          <w:color w:val="auto"/>
          <w:sz w:val="22"/>
          <w:szCs w:val="22"/>
        </w:rPr>
      </w:pPr>
      <w:bookmarkStart w:id="0" w:name="_Toc236950035"/>
      <w:r w:rsidRPr="00A21B0C">
        <w:rPr>
          <w:rFonts w:asciiTheme="majorBidi" w:eastAsia="Traditional Arabic" w:hAnsiTheme="majorBidi"/>
          <w:color w:val="auto"/>
          <w:sz w:val="22"/>
          <w:szCs w:val="22"/>
          <w:rtl/>
        </w:rPr>
        <w:lastRenderedPageBreak/>
        <w:t>فهرس المحتويات</w:t>
      </w:r>
      <w:bookmarkEnd w:id="0"/>
    </w:p>
    <w:p w14:paraId="6B6C026B" w14:textId="77777777" w:rsidR="00CA377D" w:rsidRPr="00A21B0C" w:rsidRDefault="00BB6015">
      <w:pPr>
        <w:pStyle w:val="TOC1"/>
        <w:tabs>
          <w:tab w:val="right" w:leader="dot" w:pos="9350"/>
        </w:tabs>
        <w:rPr>
          <w:rFonts w:asciiTheme="majorBidi" w:hAnsiTheme="majorBidi" w:cstheme="majorBidi"/>
          <w:noProof/>
          <w:color w:val="auto"/>
          <w:sz w:val="22"/>
        </w:rPr>
      </w:pPr>
      <w:r w:rsidRPr="00A21B0C">
        <w:rPr>
          <w:rFonts w:asciiTheme="majorBidi" w:hAnsiTheme="majorBidi" w:cstheme="majorBidi"/>
          <w:color w:val="auto"/>
          <w:sz w:val="22"/>
        </w:rPr>
        <w:fldChar w:fldCharType="begin"/>
      </w:r>
      <w:r w:rsidRPr="00A21B0C">
        <w:rPr>
          <w:rFonts w:asciiTheme="majorBidi" w:hAnsiTheme="majorBidi" w:cstheme="majorBidi"/>
          <w:color w:val="auto"/>
          <w:sz w:val="22"/>
        </w:rPr>
        <w:instrText xml:space="preserve"> TOC \o "1-3" \h \z \u </w:instrText>
      </w:r>
      <w:r w:rsidRPr="00A21B0C">
        <w:rPr>
          <w:rFonts w:asciiTheme="majorBidi" w:hAnsiTheme="majorBidi" w:cstheme="majorBidi"/>
          <w:color w:val="auto"/>
          <w:sz w:val="22"/>
        </w:rPr>
        <w:fldChar w:fldCharType="separate"/>
      </w:r>
      <w:hyperlink w:anchor="_Toc236950035" w:history="1">
        <w:r w:rsidR="00CA377D" w:rsidRPr="00A21B0C">
          <w:rPr>
            <w:rStyle w:val="Hyperlink"/>
            <w:rFonts w:asciiTheme="majorBidi" w:hAnsiTheme="majorBidi" w:cstheme="majorBidi"/>
            <w:noProof/>
            <w:color w:val="auto"/>
            <w:sz w:val="22"/>
            <w:rtl/>
          </w:rPr>
          <w:t>فهرس المحتويات</w:t>
        </w:r>
        <w:r w:rsidR="00CA377D" w:rsidRPr="00A21B0C">
          <w:rPr>
            <w:rFonts w:asciiTheme="majorBidi" w:hAnsiTheme="majorBidi" w:cstheme="majorBidi"/>
            <w:noProof/>
            <w:webHidden/>
            <w:color w:val="auto"/>
            <w:sz w:val="22"/>
          </w:rPr>
          <w:tab/>
        </w:r>
        <w:r w:rsidR="00CA377D" w:rsidRPr="00A21B0C">
          <w:rPr>
            <w:rFonts w:asciiTheme="majorBidi" w:hAnsiTheme="majorBidi" w:cstheme="majorBidi"/>
            <w:noProof/>
            <w:webHidden/>
            <w:color w:val="auto"/>
            <w:sz w:val="22"/>
          </w:rPr>
          <w:fldChar w:fldCharType="begin"/>
        </w:r>
        <w:r w:rsidR="00CA377D" w:rsidRPr="00A21B0C">
          <w:rPr>
            <w:rFonts w:asciiTheme="majorBidi" w:hAnsiTheme="majorBidi" w:cstheme="majorBidi"/>
            <w:noProof/>
            <w:webHidden/>
            <w:color w:val="auto"/>
            <w:sz w:val="22"/>
          </w:rPr>
          <w:instrText xml:space="preserve"> PAGEREF _Toc236950035 \h </w:instrText>
        </w:r>
        <w:r w:rsidR="00CA377D" w:rsidRPr="00A21B0C">
          <w:rPr>
            <w:rFonts w:asciiTheme="majorBidi" w:hAnsiTheme="majorBidi" w:cstheme="majorBidi"/>
            <w:noProof/>
            <w:webHidden/>
            <w:color w:val="auto"/>
            <w:sz w:val="22"/>
          </w:rPr>
        </w:r>
        <w:r w:rsidR="00CA377D" w:rsidRPr="00A21B0C">
          <w:rPr>
            <w:rFonts w:asciiTheme="majorBidi" w:hAnsiTheme="majorBidi" w:cstheme="majorBidi"/>
            <w:noProof/>
            <w:webHidden/>
            <w:color w:val="auto"/>
            <w:sz w:val="22"/>
          </w:rPr>
          <w:fldChar w:fldCharType="separate"/>
        </w:r>
        <w:r w:rsidR="00CA377D" w:rsidRPr="00A21B0C">
          <w:rPr>
            <w:rFonts w:asciiTheme="majorBidi" w:hAnsiTheme="majorBidi" w:cstheme="majorBidi"/>
            <w:noProof/>
            <w:webHidden/>
            <w:color w:val="auto"/>
            <w:sz w:val="22"/>
            <w:rtl/>
          </w:rPr>
          <w:t>1</w:t>
        </w:r>
        <w:r w:rsidR="00CA377D" w:rsidRPr="00A21B0C">
          <w:rPr>
            <w:rFonts w:asciiTheme="majorBidi" w:hAnsiTheme="majorBidi" w:cstheme="majorBidi"/>
            <w:noProof/>
            <w:webHidden/>
            <w:color w:val="auto"/>
            <w:sz w:val="22"/>
          </w:rPr>
          <w:fldChar w:fldCharType="end"/>
        </w:r>
      </w:hyperlink>
    </w:p>
    <w:p w14:paraId="29A5AE65" w14:textId="77777777" w:rsidR="00CA377D" w:rsidRPr="00A21B0C" w:rsidRDefault="00CA377D">
      <w:pPr>
        <w:pStyle w:val="TOC1"/>
        <w:tabs>
          <w:tab w:val="right" w:leader="dot" w:pos="9350"/>
        </w:tabs>
        <w:rPr>
          <w:rFonts w:asciiTheme="majorBidi" w:hAnsiTheme="majorBidi" w:cstheme="majorBidi"/>
          <w:noProof/>
          <w:color w:val="auto"/>
          <w:sz w:val="22"/>
        </w:rPr>
      </w:pPr>
      <w:hyperlink w:anchor="_Toc236950036" w:history="1">
        <w:r w:rsidRPr="00A21B0C">
          <w:rPr>
            <w:rStyle w:val="Hyperlink"/>
            <w:rFonts w:asciiTheme="majorBidi" w:hAnsiTheme="majorBidi" w:cstheme="majorBidi"/>
            <w:noProof/>
            <w:color w:val="auto"/>
            <w:sz w:val="22"/>
            <w:rtl/>
          </w:rPr>
          <w:t>الفصل الأول: الإطار العام للدراسة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_Toc236950036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54202558"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37" w:history="1">
        <w:r w:rsidRPr="00A21B0C">
          <w:rPr>
            <w:rStyle w:val="Hyperlink"/>
            <w:rFonts w:asciiTheme="majorBidi" w:hAnsiTheme="majorBidi" w:cstheme="majorBidi"/>
            <w:noProof/>
            <w:color w:val="auto"/>
            <w:sz w:val="22"/>
            <w:rtl/>
          </w:rPr>
          <w:t>مقدمة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_Toc236950037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704573D6"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38" w:history="1">
        <w:r w:rsidRPr="00A21B0C">
          <w:rPr>
            <w:rStyle w:val="Hyperlink"/>
            <w:rFonts w:asciiTheme="majorBidi" w:hAnsiTheme="majorBidi" w:cstheme="majorBidi"/>
            <w:noProof/>
            <w:color w:val="auto"/>
            <w:sz w:val="22"/>
            <w:rtl/>
          </w:rPr>
          <w:t>خلفية الدراسة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_Toc236950038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3379D4E6"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39" w:history="1">
        <w:r w:rsidRPr="00A21B0C">
          <w:rPr>
            <w:rStyle w:val="Hyperlink"/>
            <w:rFonts w:asciiTheme="majorBidi" w:hAnsiTheme="majorBidi" w:cstheme="majorBidi"/>
            <w:noProof/>
            <w:color w:val="auto"/>
            <w:sz w:val="22"/>
            <w:rtl/>
          </w:rPr>
          <w:t>مشكلة الدراسة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_Toc236950039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63E954A4"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0" w:history="1">
        <w:r w:rsidRPr="00A21B0C">
          <w:rPr>
            <w:rStyle w:val="Hyperlink"/>
            <w:rFonts w:asciiTheme="majorBidi" w:hAnsiTheme="majorBidi" w:cstheme="majorBidi"/>
            <w:noProof/>
            <w:color w:val="auto"/>
            <w:sz w:val="22"/>
            <w:rtl/>
          </w:rPr>
          <w:t>أسئلة الدراسة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_Toc236950040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096116A9"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1" w:history="1">
        <w:r w:rsidRPr="00A21B0C">
          <w:rPr>
            <w:rStyle w:val="Hyperlink"/>
            <w:rFonts w:asciiTheme="majorBidi" w:hAnsiTheme="majorBidi" w:cstheme="majorBidi"/>
            <w:noProof/>
            <w:color w:val="auto"/>
            <w:sz w:val="22"/>
            <w:rtl/>
          </w:rPr>
          <w:t>أهداف الدراسة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_Toc236950041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6CAF0744"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2" w:history="1">
        <w:r w:rsidRPr="00A21B0C">
          <w:rPr>
            <w:rStyle w:val="Hyperlink"/>
            <w:rFonts w:asciiTheme="majorBidi" w:hAnsiTheme="majorBidi" w:cstheme="majorBidi"/>
            <w:noProof/>
            <w:color w:val="auto"/>
            <w:sz w:val="22"/>
            <w:rtl/>
          </w:rPr>
          <w:t>فرضيات الدراسة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_Toc236950042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11B6AC8C"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3" w:history="1">
        <w:r w:rsidRPr="00A21B0C">
          <w:rPr>
            <w:rStyle w:val="Hyperlink"/>
            <w:rFonts w:asciiTheme="majorBidi" w:hAnsiTheme="majorBidi" w:cstheme="majorBidi"/>
            <w:noProof/>
            <w:color w:val="auto"/>
            <w:sz w:val="22"/>
            <w:rtl/>
          </w:rPr>
          <w:t>أهمية الدراسة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_Toc236950043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28063F9E"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4" w:history="1">
        <w:r w:rsidRPr="00A21B0C">
          <w:rPr>
            <w:rStyle w:val="Hyperlink"/>
            <w:rFonts w:asciiTheme="majorBidi" w:hAnsiTheme="majorBidi" w:cstheme="majorBidi"/>
            <w:noProof/>
            <w:color w:val="auto"/>
            <w:sz w:val="22"/>
            <w:rtl/>
          </w:rPr>
          <w:t>حدود الدراسة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_Toc236950044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12C35230"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5" w:history="1">
        <w:r w:rsidRPr="00A21B0C">
          <w:rPr>
            <w:rStyle w:val="Hyperlink"/>
            <w:rFonts w:asciiTheme="majorBidi" w:hAnsiTheme="majorBidi" w:cstheme="majorBidi"/>
            <w:noProof/>
            <w:color w:val="auto"/>
            <w:sz w:val="22"/>
            <w:rtl/>
          </w:rPr>
          <w:t>التعريفات الإجرائية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_Toc236950045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6A34C158"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6" w:history="1">
        <w:r w:rsidRPr="00A21B0C">
          <w:rPr>
            <w:rStyle w:val="Hyperlink"/>
            <w:rFonts w:asciiTheme="majorBidi" w:hAnsiTheme="majorBidi" w:cstheme="majorBidi"/>
            <w:noProof/>
            <w:color w:val="auto"/>
            <w:sz w:val="22"/>
            <w:rtl/>
          </w:rPr>
          <w:t>هيكل الرسالة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_Toc236950046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04EA38DF" w14:textId="77777777" w:rsidR="00CA377D" w:rsidRPr="00A21B0C" w:rsidRDefault="00CA377D">
      <w:pPr>
        <w:pStyle w:val="TOC1"/>
        <w:tabs>
          <w:tab w:val="right" w:leader="dot" w:pos="9350"/>
        </w:tabs>
        <w:rPr>
          <w:rFonts w:asciiTheme="majorBidi" w:hAnsiTheme="majorBidi" w:cstheme="majorBidi"/>
          <w:noProof/>
          <w:color w:val="auto"/>
          <w:sz w:val="22"/>
        </w:rPr>
      </w:pPr>
      <w:hyperlink w:anchor="_Toc236950047" w:history="1">
        <w:r w:rsidRPr="00A21B0C">
          <w:rPr>
            <w:rStyle w:val="Hyperlink"/>
            <w:rFonts w:asciiTheme="majorBidi" w:hAnsiTheme="majorBidi" w:cstheme="majorBidi"/>
            <w:noProof/>
            <w:color w:val="auto"/>
            <w:sz w:val="22"/>
            <w:rtl/>
          </w:rPr>
          <w:t>الفصل الثاني: الإطار النظري والدراسات السابقة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_Toc236950047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289465B5"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8" w:history="1">
        <w:r w:rsidRPr="00A21B0C">
          <w:rPr>
            <w:rStyle w:val="Hyperlink"/>
            <w:rFonts w:asciiTheme="majorBidi" w:hAnsiTheme="majorBidi" w:cstheme="majorBidi"/>
            <w:noProof/>
            <w:color w:val="auto"/>
            <w:sz w:val="22"/>
            <w:rtl/>
          </w:rPr>
          <w:t>مقدمة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_Toc236950048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600E880D"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49" w:history="1">
        <w:r w:rsidRPr="00A21B0C">
          <w:rPr>
            <w:rStyle w:val="Hyperlink"/>
            <w:rFonts w:asciiTheme="majorBidi" w:hAnsiTheme="majorBidi" w:cstheme="majorBidi"/>
            <w:noProof/>
            <w:color w:val="auto"/>
            <w:sz w:val="22"/>
            <w:rtl/>
          </w:rPr>
          <w:t>تحليلات الموارد البشرية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_Toc236950049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28863683"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0" w:history="1">
        <w:r w:rsidRPr="00A21B0C">
          <w:rPr>
            <w:rStyle w:val="Hyperlink"/>
            <w:rFonts w:asciiTheme="majorBidi" w:hAnsiTheme="majorBidi" w:cstheme="majorBidi"/>
            <w:noProof/>
            <w:color w:val="auto"/>
            <w:sz w:val="22"/>
            <w:rtl/>
          </w:rPr>
          <w:t>الارتباط الوظيفي</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_Toc236950050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3FE6069F"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1" w:history="1">
        <w:r w:rsidRPr="00A21B0C">
          <w:rPr>
            <w:rStyle w:val="Hyperlink"/>
            <w:rFonts w:asciiTheme="majorBidi" w:hAnsiTheme="majorBidi" w:cstheme="majorBidi"/>
            <w:noProof/>
            <w:color w:val="auto"/>
            <w:sz w:val="22"/>
            <w:rtl/>
          </w:rPr>
          <w:t>نية ترك العمل</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_Toc236950051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7698E317"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2" w:history="1">
        <w:r w:rsidRPr="00A21B0C">
          <w:rPr>
            <w:rStyle w:val="Hyperlink"/>
            <w:rFonts w:asciiTheme="majorBidi" w:hAnsiTheme="majorBidi" w:cstheme="majorBidi"/>
            <w:noProof/>
            <w:color w:val="auto"/>
            <w:sz w:val="22"/>
            <w:rtl/>
          </w:rPr>
          <w:t>الأساس النظري</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_Toc236950052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624CE7AF"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3" w:history="1">
        <w:r w:rsidRPr="00A21B0C">
          <w:rPr>
            <w:rStyle w:val="Hyperlink"/>
            <w:rFonts w:asciiTheme="majorBidi" w:hAnsiTheme="majorBidi" w:cstheme="majorBidi"/>
            <w:noProof/>
            <w:color w:val="auto"/>
            <w:sz w:val="22"/>
            <w:rtl/>
          </w:rPr>
          <w:t>العلاقة بين المتغيرات</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_Toc236950053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3B610801"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4" w:history="1">
        <w:r w:rsidRPr="00A21B0C">
          <w:rPr>
            <w:rStyle w:val="Hyperlink"/>
            <w:rFonts w:asciiTheme="majorBidi" w:hAnsiTheme="majorBidi" w:cstheme="majorBidi"/>
            <w:noProof/>
            <w:color w:val="auto"/>
            <w:sz w:val="22"/>
            <w:rtl/>
          </w:rPr>
          <w:t>الدراسات السابقة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_Toc236950054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147CE9A1"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5" w:history="1">
        <w:r w:rsidRPr="00A21B0C">
          <w:rPr>
            <w:rStyle w:val="Hyperlink"/>
            <w:rFonts w:asciiTheme="majorBidi" w:hAnsiTheme="majorBidi" w:cstheme="majorBidi"/>
            <w:noProof/>
            <w:color w:val="auto"/>
            <w:sz w:val="22"/>
            <w:rtl/>
          </w:rPr>
          <w:t>الفجوة البحثية</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_Toc236950055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171B821C"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6" w:history="1">
        <w:r w:rsidRPr="00A21B0C">
          <w:rPr>
            <w:rStyle w:val="Hyperlink"/>
            <w:rFonts w:asciiTheme="majorBidi" w:hAnsiTheme="majorBidi" w:cstheme="majorBidi"/>
            <w:noProof/>
            <w:color w:val="auto"/>
            <w:sz w:val="22"/>
            <w:rtl/>
          </w:rPr>
          <w:t>الإطار المفاهيمي</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_Toc236950056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155B1DA1"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7" w:history="1">
        <w:r w:rsidRPr="00A21B0C">
          <w:rPr>
            <w:rStyle w:val="Hyperlink"/>
            <w:rFonts w:asciiTheme="majorBidi" w:hAnsiTheme="majorBidi" w:cstheme="majorBidi"/>
            <w:noProof/>
            <w:color w:val="auto"/>
            <w:sz w:val="22"/>
            <w:rtl/>
          </w:rPr>
          <w:t>تطوير الفرضيات</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_Toc236950057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638C5877" w14:textId="77777777" w:rsidR="00CA377D" w:rsidRPr="00A21B0C" w:rsidRDefault="00CA377D">
      <w:pPr>
        <w:pStyle w:val="TOC2"/>
        <w:tabs>
          <w:tab w:val="right" w:leader="dot" w:pos="9350"/>
        </w:tabs>
        <w:rPr>
          <w:rFonts w:asciiTheme="majorBidi" w:hAnsiTheme="majorBidi" w:cstheme="majorBidi"/>
          <w:noProof/>
          <w:color w:val="auto"/>
          <w:sz w:val="22"/>
        </w:rPr>
      </w:pPr>
      <w:hyperlink w:anchor="_Toc236950058" w:history="1">
        <w:r w:rsidRPr="00A21B0C">
          <w:rPr>
            <w:rStyle w:val="Hyperlink"/>
            <w:rFonts w:asciiTheme="majorBidi" w:hAnsiTheme="majorBidi" w:cstheme="majorBidi"/>
            <w:noProof/>
            <w:color w:val="auto"/>
            <w:sz w:val="22"/>
            <w:rtl/>
          </w:rPr>
          <w:t>ملخص الفصل</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_Toc236950058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1A2AC92A" w14:textId="77777777" w:rsidR="00CA377D" w:rsidRPr="00A21B0C" w:rsidRDefault="00CA377D">
      <w:pPr>
        <w:pStyle w:val="TOC1"/>
        <w:tabs>
          <w:tab w:val="right" w:leader="dot" w:pos="9350"/>
        </w:tabs>
        <w:rPr>
          <w:rFonts w:asciiTheme="majorBidi" w:hAnsiTheme="majorBidi" w:cstheme="majorBidi"/>
          <w:noProof/>
          <w:color w:val="auto"/>
          <w:sz w:val="22"/>
        </w:rPr>
      </w:pPr>
      <w:hyperlink w:anchor="_Toc236950059" w:history="1">
        <w:r w:rsidRPr="00A21B0C">
          <w:rPr>
            <w:rStyle w:val="Hyperlink"/>
            <w:rFonts w:asciiTheme="majorBidi" w:hAnsiTheme="majorBidi" w:cstheme="majorBidi"/>
            <w:noProof/>
            <w:color w:val="auto"/>
            <w:sz w:val="22"/>
            <w:rtl/>
          </w:rPr>
          <w:t>المراجع</w:t>
        </w:r>
        <w:r w:rsidRPr="00A21B0C">
          <w:rPr>
            <w:rFonts w:asciiTheme="majorBidi" w:hAnsiTheme="majorBidi" w:cstheme="majorBidi"/>
            <w:noProof/>
            <w:webHidden/>
            <w:color w:val="auto"/>
            <w:sz w:val="22"/>
          </w:rPr>
          <w:tab/>
        </w:r>
        <w:r w:rsidRPr="00A21B0C">
          <w:rPr>
            <w:rFonts w:asciiTheme="majorBidi" w:hAnsiTheme="majorBidi" w:cstheme="majorBidi"/>
            <w:noProof/>
            <w:webHidden/>
            <w:color w:val="auto"/>
            <w:sz w:val="22"/>
          </w:rPr>
          <w:fldChar w:fldCharType="begin"/>
        </w:r>
        <w:r w:rsidRPr="00A21B0C">
          <w:rPr>
            <w:rFonts w:asciiTheme="majorBidi" w:hAnsiTheme="majorBidi" w:cstheme="majorBidi"/>
            <w:noProof/>
            <w:webHidden/>
            <w:color w:val="auto"/>
            <w:sz w:val="22"/>
          </w:rPr>
          <w:instrText xml:space="preserve"> PAGEREF _Toc236950059 \h </w:instrText>
        </w:r>
        <w:r w:rsidRPr="00A21B0C">
          <w:rPr>
            <w:rFonts w:asciiTheme="majorBidi" w:hAnsiTheme="majorBidi" w:cstheme="majorBidi"/>
            <w:noProof/>
            <w:webHidden/>
            <w:color w:val="auto"/>
            <w:sz w:val="22"/>
          </w:rPr>
        </w:r>
        <w:r w:rsidRPr="00A21B0C">
          <w:rPr>
            <w:rFonts w:asciiTheme="majorBidi" w:hAnsiTheme="majorBidi" w:cstheme="majorBidi"/>
            <w:noProof/>
            <w:webHidden/>
            <w:color w:val="auto"/>
            <w:sz w:val="22"/>
          </w:rPr>
          <w:fldChar w:fldCharType="separate"/>
        </w:r>
        <w:r w:rsidRPr="00A21B0C">
          <w:rPr>
            <w:rFonts w:asciiTheme="majorBidi" w:hAnsiTheme="majorBidi" w:cstheme="majorBidi"/>
            <w:noProof/>
            <w:webHidden/>
            <w:color w:val="auto"/>
            <w:sz w:val="22"/>
            <w:rtl/>
          </w:rPr>
          <w:t>1</w:t>
        </w:r>
        <w:r w:rsidRPr="00A21B0C">
          <w:rPr>
            <w:rFonts w:asciiTheme="majorBidi" w:hAnsiTheme="majorBidi" w:cstheme="majorBidi"/>
            <w:noProof/>
            <w:webHidden/>
            <w:color w:val="auto"/>
            <w:sz w:val="22"/>
          </w:rPr>
          <w:fldChar w:fldCharType="end"/>
        </w:r>
      </w:hyperlink>
    </w:p>
    <w:p w14:paraId="7674145D" w14:textId="77777777" w:rsidR="00E61049" w:rsidRPr="00A21B0C" w:rsidRDefault="00BB6015">
      <w:pPr>
        <w:rPr>
          <w:rFonts w:asciiTheme="majorBidi" w:hAnsiTheme="majorBidi" w:cstheme="majorBidi"/>
          <w:color w:val="auto"/>
          <w:sz w:val="22"/>
        </w:rPr>
      </w:pPr>
      <w:r w:rsidRPr="00A21B0C">
        <w:rPr>
          <w:rFonts w:asciiTheme="majorBidi" w:hAnsiTheme="majorBidi" w:cstheme="majorBidi"/>
          <w:color w:val="auto"/>
          <w:sz w:val="22"/>
        </w:rPr>
        <w:fldChar w:fldCharType="end"/>
      </w:r>
    </w:p>
    <w:p w14:paraId="5E3E3842" w14:textId="77777777" w:rsidR="00E61049" w:rsidRPr="00A21B0C" w:rsidRDefault="00E61049">
      <w:pPr>
        <w:rPr>
          <w:rFonts w:asciiTheme="majorBidi" w:hAnsiTheme="majorBidi" w:cstheme="majorBidi"/>
          <w:color w:val="auto"/>
          <w:sz w:val="22"/>
        </w:rPr>
        <w:sectPr w:rsidR="00E61049" w:rsidRPr="00A21B0C" w:rsidSect="008D6FE0">
          <w:footerReference w:type="default" r:id="rId9"/>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14:paraId="14011B37" w14:textId="77777777" w:rsidR="00E61049" w:rsidRPr="00A21B0C" w:rsidRDefault="00BB6015" w:rsidP="00CA377D">
      <w:pPr>
        <w:pStyle w:val="Heading1"/>
        <w:jc w:val="center"/>
        <w:rPr>
          <w:rFonts w:asciiTheme="majorBidi" w:hAnsiTheme="majorBidi"/>
          <w:color w:val="auto"/>
          <w:sz w:val="22"/>
          <w:szCs w:val="22"/>
        </w:rPr>
      </w:pPr>
      <w:bookmarkStart w:id="1" w:name="_Toc236950036"/>
      <w:r w:rsidRPr="00A21B0C">
        <w:rPr>
          <w:rFonts w:asciiTheme="majorBidi" w:eastAsia="Traditional Arabic" w:hAnsiTheme="majorBidi"/>
          <w:color w:val="auto"/>
          <w:sz w:val="22"/>
          <w:szCs w:val="22"/>
          <w:rtl/>
        </w:rPr>
        <w:lastRenderedPageBreak/>
        <w:t>الفصل الأول: الإطار العام للدراسة</w:t>
      </w:r>
      <w:bookmarkEnd w:id="1"/>
    </w:p>
    <w:p w14:paraId="097DBB4A" w14:textId="77777777" w:rsidR="00E61049" w:rsidRPr="00A21B0C" w:rsidRDefault="00BB6015" w:rsidP="00CA377D">
      <w:pPr>
        <w:pStyle w:val="Heading2"/>
        <w:jc w:val="left"/>
        <w:rPr>
          <w:rFonts w:asciiTheme="majorBidi" w:hAnsiTheme="majorBidi"/>
          <w:color w:val="auto"/>
          <w:sz w:val="22"/>
          <w:szCs w:val="22"/>
        </w:rPr>
      </w:pPr>
      <w:bookmarkStart w:id="2" w:name="_Toc236950037"/>
      <w:r w:rsidRPr="00A21B0C">
        <w:rPr>
          <w:rFonts w:asciiTheme="majorBidi" w:eastAsia="Traditional Arabic" w:hAnsiTheme="majorBidi"/>
          <w:color w:val="auto"/>
          <w:sz w:val="22"/>
          <w:szCs w:val="22"/>
          <w:rtl/>
        </w:rPr>
        <w:t>مقدمة</w:t>
      </w:r>
      <w:bookmarkEnd w:id="2"/>
    </w:p>
    <w:p w14:paraId="3786C31A"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يمثل موضوع نية ترك العمل أحد الموضوعات المركزية في إدارة الموارد البشرية المعاصرة، لأنه لا يقف عند حدود رغبة فردية عابرة، بل يعكس حصيلة تفاعل طويل بين الخبرة الوظيفية، وعدالة السياسات، وجودة القيادة، وفرص النمو، وإحساس العامل بأن المنظمة تستثمر فيه بوصفه شريكًا في القيمة لا مجرد تكلفة قابلة للاستبدال. وتزداد حساسية هذا الموضوع في شركات الاستشارات الهندسية؛ إذ تعتمد هذه الشركات على معرفة تراكمية، وعلاقات مهنية مع العملاء، وقدرة فرق العمل على تحويل الخبرة الفنية إلى حلول عملية في مواعيد ضاغطة. وعندما تتزايد نية ترك العمل بين العاملين ذوي الخبرة، فإن الخسارة لا تتمثل في شاغر وظيفي فحسب، بل في فجوة معرفية تؤثر في استمرارية المشاريع وجودة التسليم وثقة العميل.</w:t>
      </w:r>
    </w:p>
    <w:p w14:paraId="47F77F4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السنوات الأخيرة برزت تحليلات الموارد البشرية بوصفها مدخلًا يستند إلى البيانات في فهم قضايا القوى العاملة واتخاذ قرارات أكثر اتساقًا مع الأدلة. ولم تعد وظيفة الموارد البشرية تكتفي بوصف معدلات الغياب أو الدوران، بل اتجهت نحو تفسير الأنماط، والتنبؤ بالمخاطر، وتصميم تدخلات موجهة تستند إلى مؤشرات قابلة للقياس. وتؤكد الأدبيات الحديثة أن قيمة تحليلات الموارد البشرية لا تتحقق بمجرد امتلاك أنظمة معلومات أو لوحات قياس، وإنما من خلال تحويل البيانات إلى معرفة قابلة للاستخدام الإداري والأخلاقي في الوقت نفسه (Margherita, 2022; McCartney &amp; Fu, 2022).</w:t>
      </w:r>
    </w:p>
    <w:p w14:paraId="7CDAC7E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تكتسب هذه الدراسة أهميتها من تناولها أثر استخدام تحليلات الموارد البشرية على نية ترك العمل من خلال الارتباط الوظيفي بوصفه متغيرًا وسيطًا. فالتحليلات قد تساعد المنظمة على اكتشاف عوامل الخطر، لكنها لا تخفض نية المغادرة تلقائيًا ما لم يشعر العاملون بأن القرارات الناتجة عنها تحسن تجربتهم اليومية، وتدعم عدالة المعاملة، وتزيد وضوح المسار المهني، وتوسع الإحساس بالمعنى والانتماء. ومن هنا يصبح الارتباط الوظيفي حلقة تفسيرية مهمة؛ إذ يشير إلى درجة استثمار العامل لطاقته الذهنية والعاطفية والسلوكية في العمل، وقد بينت دراسات متعددة علاقته السلبية بنية ترك العمل (Saks, 2006; Zhou et al. , 2022).</w:t>
      </w:r>
    </w:p>
    <w:p w14:paraId="703374C1"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ينطلق البحث من بيئة المملكة العربية السعودية التي تشهد توسعًا في مشاريع البنية التحتية والتحول الرقمي والبرامج الكبرى المرتبطة برؤية 2030. وتعمل شركات الاستشارات الهندسية في قلب هذا التحول؛ فهي تربط بين التخطيط الفني، وإدارة المشاريع، والاستشارات التخصصية، والالتزام بمعايير السلامة والجودة. وتحتاج هذه الشركات إلى الاحتفاظ بالكفاءات المهنية القادرة على التعامل مع متطلبات العملاء والجهات التنظيمية، في حين تجعل المنافسة على المهندسين ومديري المشاريع والمختصين الفنيين مسألة الاستبقاء تحديًا إداريًا واستراتيجيًا.</w:t>
      </w:r>
    </w:p>
    <w:p w14:paraId="011304EE"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وبناء على ذلك، يسعى الفصل الأول إلى تقديم الإطار العام للدراسة من حيث الخلفية والمشكلة والأسئلة والأهداف والفرضيات والأهمية والحدود والتعريفات الإجرائية. أما الفصل الثاني فيؤسس نظريًا ومفاهيميًا للعلاقة بين تحليلات الموارد البشرية، والارتباط الوظيفي، ونية ترك العمل، من خلال مراجعة تحليلية للأدبيات والدراسات السابقة وبناء الفجوة البحثية والإطار المفاهيمي للدراسة.</w:t>
      </w:r>
    </w:p>
    <w:p w14:paraId="51B0D8D4" w14:textId="77777777" w:rsidR="00E61049" w:rsidRPr="00A21B0C" w:rsidRDefault="00BB6015" w:rsidP="00CA377D">
      <w:pPr>
        <w:pStyle w:val="Heading2"/>
        <w:jc w:val="left"/>
        <w:rPr>
          <w:rFonts w:asciiTheme="majorBidi" w:hAnsiTheme="majorBidi"/>
          <w:color w:val="auto"/>
          <w:sz w:val="22"/>
          <w:szCs w:val="22"/>
        </w:rPr>
      </w:pPr>
      <w:bookmarkStart w:id="3" w:name="_Toc236950038"/>
      <w:r w:rsidRPr="00A21B0C">
        <w:rPr>
          <w:rFonts w:asciiTheme="majorBidi" w:eastAsia="Traditional Arabic" w:hAnsiTheme="majorBidi"/>
          <w:color w:val="auto"/>
          <w:sz w:val="22"/>
          <w:szCs w:val="22"/>
          <w:rtl/>
        </w:rPr>
        <w:t>خلفية الدراسة</w:t>
      </w:r>
      <w:bookmarkEnd w:id="3"/>
    </w:p>
    <w:p w14:paraId="087B29F7"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شهدت إدارة الموارد البشرية انتقالًا تدريجيًا من الدور الإداري التقليدي إلى دور أكثر استراتيجية يعتمد على البيانات والتقنية. فقد أصبح توفر أنظمة معلومات الموارد البشرية، ومنصات إدارة الأداء، وسجلات التدريب، واستطلاعات تجربة الموظف، ومؤشرات الإنتاجية، مصدرًا واسعًا للبيانات التي يمكن تحليلها لفهم اتجاهات القوى العاملة. وتذهب مراجعات حديثة إلى أن تحليلات الموارد البشرية تتشكل عند نقطة التقاء البيانات، والمنهج التحليلي، والمعرفة التنظيمية، والقدرة على التأثير في القرار الإداري (Fernandez &amp; Gallardo-Gallardo, 2021; Margherita, 2022).</w:t>
      </w:r>
    </w:p>
    <w:p w14:paraId="7805ABB7"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قطاع الاستشارات الهندسية، تظهر الحاجة إلى هذا المدخل بوضوح؛ لأن العمل غالبًا ما يكون قائمًا على مشاريع متعددة، وفرق مؤقتة أو شبه مؤقتة، وجداول زمنية ضاغطة، وتفاعل مستمر مع العملاء. ولا يكفي أن تعرف الشركة عدد من غادروا أو معدل الدوران السنوي، بل تحتاج إلى معرفة أين تبدأ مؤشرات الانفصال النفسي، وأي فئات وظيفية أو مشاريع أو أنماط قيادة ترتبط بضعف الارتباط، وما إذا كانت ضغوط العمل أو غموض الدور أو محدودية التقدير تنعكس على نية المغادرة قبل أن تصبح استقالة فعلية.</w:t>
      </w:r>
    </w:p>
    <w:p w14:paraId="0C99742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تؤكد أدبيات الدوران الوظيفي أن نية ترك العمل تعد من أقوى المؤشرات السابقة للسلوك الفعلي، لأنها تكشف عن مرحلة إدراكية وسلوكية تسبق قرار المغادرة. ورغم أن النية لا تتحول دائمًا إلى ترك فعلي، فإنها تمنح الإدارة فرصة للتدخل المبكر إذا أحسن قياسها وفهم محدداتها (Lazzari et al. , 2022; Mobley et al. , 1979). وفي البيئات المهنية كثيفة المعرفة، قد تكون هذه الفرصة أكثر قيمة لأن استبدال الخبرات الفنية يستغرق وقتًا وتدريبًا وتكاليف غير مباشرة.</w:t>
      </w:r>
    </w:p>
    <w:p w14:paraId="7609F2ED"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الارتباط الوظيفي فيقدم تفسيرًا نفسيًا وتنظيميًا لسبب بقاء الأفراد أو استعدادهم للمغادرة. فالعامل المرتبط بعمله لا يبقى فقط بسبب الراتب أو ندرة البدائل، بل لأنه يجد معنى في العمل، ويتوفر لديه قدر من الطاقة والحماس والتركيز، ويشعر بأن المنظمة تمنحه موارد كافية لأداء دوره. وتنسجم هذه الفكرة مع نظرية مطالب وموارد العمل التي ترى أن الموارد الوظيفية، مثل الدعم، والاستقلالية، والتغذية الراجعة، وفرص النمو، تعزز الارتباط وتخفف أثر المطالب الضاغطة (Bakker &amp; Demerouti, 2017).</w:t>
      </w:r>
    </w:p>
    <w:p w14:paraId="76B96A7A"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تتبلور خلفية الدراسة إذن في تقاطع ثلاث قضايا: التحول نحو قرارات موارد بشرية قائمة على البيانات، والحاجة إلى تعزيز الارتباط الوظيفي في أعمال مهنية معقدة، والحد من نية ترك العمل في سوق يتسم بتنافس عال على الكفاءات. ومن هذا التقاطع تنشأ الحاجة إلى اختبار ما إذا كان استخدام تحليلات الموارد البشرية يسهم في خفض نية ترك العمل مباشرة، أو أن أثره يمر جزئيًا عبر تحسين الارتباط الوظيفي لدى العاملين.</w:t>
      </w:r>
    </w:p>
    <w:p w14:paraId="4236B83E" w14:textId="77777777" w:rsidR="00E61049" w:rsidRPr="00A21B0C" w:rsidRDefault="00BB6015" w:rsidP="00CA377D">
      <w:pPr>
        <w:pStyle w:val="Heading2"/>
        <w:jc w:val="left"/>
        <w:rPr>
          <w:rFonts w:asciiTheme="majorBidi" w:hAnsiTheme="majorBidi"/>
          <w:color w:val="auto"/>
          <w:sz w:val="22"/>
          <w:szCs w:val="22"/>
        </w:rPr>
      </w:pPr>
      <w:bookmarkStart w:id="4" w:name="_Toc236950039"/>
      <w:r w:rsidRPr="00A21B0C">
        <w:rPr>
          <w:rFonts w:asciiTheme="majorBidi" w:eastAsia="Traditional Arabic" w:hAnsiTheme="majorBidi"/>
          <w:color w:val="auto"/>
          <w:sz w:val="22"/>
          <w:szCs w:val="22"/>
          <w:rtl/>
        </w:rPr>
        <w:lastRenderedPageBreak/>
        <w:t>مشكلة الدراسة</w:t>
      </w:r>
      <w:bookmarkEnd w:id="4"/>
    </w:p>
    <w:p w14:paraId="4846E7FB"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تواجه شركات الاستشارات الهندسية في المملكة العربية السعودية تحديًا مزدوجًا يتمثل في زيادة الطلب على الكفاءات المهنية من جهة، وارتفاع حساسية فقدان الموظفين أصحاب الخبرة من جهة أخرى. فالمهندس أو مدير المشروع أو مستشار التخصص لا يحمل مهارات فنية فقط، بل يحمل معرفة بسياق العملاء، وأنظمة العمل، وتاريخ المشروع، وتفاصيل غير مكتوبة لا تظهر في الوصف الوظيفي. وعندما تتشكل لدى هؤلاء العاملين نية لترك العمل، فإن ذلك يشير إلى خلل محتمل في تجربة العمل قبل أن يكون مجرد حركة في سوق العمل.</w:t>
      </w:r>
    </w:p>
    <w:p w14:paraId="633E70A2"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رغم أن كثيرًا من المنظمات تجمع بيانات واسعة عن موظفيها، إلا أن الاستخدام الفعلي لهذه البيانات في قرارات الاستبقاء والارتباط لا يزال متفاوتًا. وتشير الأدبيات إلى أن تبني تحليلات الموارد البشرية قد يتعثر بسبب ضعف الثقافة التحليلية، ومحدودية مهارات الموارد البشرية في قراءة البيانات، وغموض العلاقة بين التحليل والقرار، والمخاوف الأخلاقية المرتبطة باستخدام بيانات الأفراد (Edwards et al. , 2024; Fernandez &amp; Gallardo-Gallardo, 2021). ولذلك قد تمتلك الشركة بيانات كثيرة دون أن تتحول هذه البيانات إلى تدخلات يشعر بها العاملون في بيئة العمل.</w:t>
      </w:r>
    </w:p>
    <w:p w14:paraId="6D73D8A1"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تكمن المشكلة البحثية في أن العلاقة بين استخدام تحليلات الموارد البشرية ونية ترك العمل لم تحظ بما يكفي من الاختبار في سياق شركات الاستشارات الهندسية السعودية، كما أن الدور الوسيط للارتباط الوظيفي يحتاج إلى توضيح. فقد تكون التحليلات مؤثرة لأنها تكشف مسببات المغادرة، وقد تكون مؤثرة لأنها تساعد على تصميم ممارسات تزيد الارتباط، وقد لا يظهر أثرها إذا ظلت محصورة في تقارير إدارية لا تغير واقع الموظف. ومن ثم فإن قياس العلاقة المباشرة وحدها قد لا يكفي لفهم الآلية التي تعمل من خلالها التحليلات.</w:t>
      </w:r>
    </w:p>
    <w:p w14:paraId="104A9A4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تتفرع المشكلة أيضًا من أن معظم الأدبيات الحديثة ركزت إما على تحليلات الموارد البشرية بوصفها قدرة تنظيمية تؤثر في الأداء والقرار، أو على الارتباط الوظيفي بوصفه عاملًا نفسيًا يقلل نية ترك العمل، أو على التنبؤ بنية المغادرة باستخدام نماذج بيانات متقدمة. أما الجمع بين هذه المتغيرات الثلاثة في نموذج واحد داخل قطاع مهني محدد في المملكة، فيظل مجالًا يحتاج إلى دراسة تطبيقية يمكن أن تسهم في سد فجوة نظرية وعملية.</w:t>
      </w:r>
    </w:p>
    <w:p w14:paraId="190CED42"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وعليه يمكن صياغة مشكلة الدراسة في السؤال العام الآتي: ما أثر استخدام تحليلات الموارد البشرية على نية ترك العمل لدى العاملين في شركات الاستشارات الهندسية في المملكة العربية السعودية، وما الدور الوسيط الذي يؤديه الارتباط الوظيفي في هذه العلاقة؟</w:t>
      </w:r>
    </w:p>
    <w:p w14:paraId="1FF6CC8D" w14:textId="77777777" w:rsidR="00E61049" w:rsidRPr="00A21B0C" w:rsidRDefault="00BB6015" w:rsidP="00CA377D">
      <w:pPr>
        <w:pStyle w:val="Heading2"/>
        <w:jc w:val="left"/>
        <w:rPr>
          <w:rFonts w:asciiTheme="majorBidi" w:hAnsiTheme="majorBidi"/>
          <w:color w:val="auto"/>
          <w:sz w:val="22"/>
          <w:szCs w:val="22"/>
        </w:rPr>
      </w:pPr>
      <w:bookmarkStart w:id="5" w:name="_Toc236950040"/>
      <w:r w:rsidRPr="00A21B0C">
        <w:rPr>
          <w:rFonts w:asciiTheme="majorBidi" w:eastAsia="Traditional Arabic" w:hAnsiTheme="majorBidi"/>
          <w:color w:val="auto"/>
          <w:sz w:val="22"/>
          <w:szCs w:val="22"/>
          <w:rtl/>
        </w:rPr>
        <w:t>أسئلة الدراسة</w:t>
      </w:r>
      <w:bookmarkEnd w:id="5"/>
    </w:p>
    <w:p w14:paraId="5A12135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تنطلق الدراسة من سؤال رئيس مفاده: ما أثر استخدام تحليلات الموارد البشرية على نية ترك العمل من خلال الارتباط الوظيفي لدى العاملين في شركات الاستشارات الهندسية في المملكة العربية السعودية؟ ويجمع هذا السؤال بين البعد الإداري المرتبط باستخدام البيانات، والبعد النفسي المرتبط بالارتباط، والبعد السلوكي المرتبط بنية المغادرة.</w:t>
      </w:r>
    </w:p>
    <w:p w14:paraId="027BD8F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يتفرع عن السؤال الرئيس السؤال الأول: ما مستوى استخدام تحليلات الموارد البشرية كما يدركه العاملون أو المسؤولون في شركات الاستشارات الهندسية؟ ويهدف هذا السؤال إلى قياس مدى حضور الممارسات التحليلية في بيئة العمل، مثل استخدام البيانات في تخطيط القوى العاملة، وتحليل الأداء، وتوقع مخاطر الدوران، ودعم قرارات التدريب والتطوير.</w:t>
      </w:r>
    </w:p>
    <w:p w14:paraId="643EC9E7"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السؤال الثاني فيتمثل في: ما مستوى الارتباط الوظيفي لدى العاملين في هذه الشركات؟ ويركز هذا السؤال على درجة الطاقة والحماس والاندماج والمعنى الذي يشعر به العاملون في أعمالهم، لأن الارتباط لا يختزل في الرضا الوظيفي، بل يتجاوز ذلك إلى حالة نفسية نشطة تظهر في المثابرة والامتصاص في العمل.</w:t>
      </w:r>
    </w:p>
    <w:p w14:paraId="57D484C7"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ويتمثل السؤال الثالث في: ما مستوى نية ترك العمل لدى العاملين في شركات الاستشارات الهندسية؟ ويقيس هذا السؤال درجة تفكير العامل في مغادرة المنظمة، وبحثه المحتمل عن بدائل، وتوقعه الشخصي للاستمرار أو الرحيل خلال فترة قريبة.</w:t>
      </w:r>
    </w:p>
    <w:p w14:paraId="0EF69951"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ويركز السؤال الرابع على العلاقة المباشرة بين تحليلات الموارد البشرية ونية ترك العمل: هل يؤدي ارتفاع استخدام تحليلات الموارد البشرية إلى انخفاض نية ترك العمل؟ أما السؤال الخامس فيتعلق بالعلاقة بين تحليلات الموارد البشرية والارتباط الوظيفي: هل يسهم استخدام التحليلات في تعزيز الارتباط؟ ويتناول السؤال السادس العلاقة بين الارتباط الوظيفي ونية ترك العمل: هل يؤدي ارتفاع الارتباط إلى انخفاض نية المغادرة؟ وأخيرًا يسأل البحث: هل يتوسط الارتباط الوظيفي العلاقة بين استخدام تحليلات الموارد البشرية ونية ترك العمل؟</w:t>
      </w:r>
    </w:p>
    <w:p w14:paraId="256475CB" w14:textId="77777777" w:rsidR="00E61049" w:rsidRPr="00A21B0C" w:rsidRDefault="00BB6015" w:rsidP="00CA377D">
      <w:pPr>
        <w:pStyle w:val="Heading2"/>
        <w:jc w:val="left"/>
        <w:rPr>
          <w:rFonts w:asciiTheme="majorBidi" w:hAnsiTheme="majorBidi"/>
          <w:color w:val="auto"/>
          <w:sz w:val="22"/>
          <w:szCs w:val="22"/>
        </w:rPr>
      </w:pPr>
      <w:bookmarkStart w:id="6" w:name="_Toc236950041"/>
      <w:r w:rsidRPr="00A21B0C">
        <w:rPr>
          <w:rFonts w:asciiTheme="majorBidi" w:eastAsia="Traditional Arabic" w:hAnsiTheme="majorBidi"/>
          <w:color w:val="auto"/>
          <w:sz w:val="22"/>
          <w:szCs w:val="22"/>
          <w:rtl/>
        </w:rPr>
        <w:t>أهداف الدراسة</w:t>
      </w:r>
      <w:bookmarkEnd w:id="6"/>
    </w:p>
    <w:p w14:paraId="1A07BD85"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يتمثل الهدف العام للدراسة في اختبار أثر استخدام تحليلات الموارد البشرية على نية ترك العمل من خلال الدور الوسيط للارتباط الوظيفي لدى العاملين في شركات الاستشارات الهندسية في المملكة العربية السعودية. ويجمع هذا الهدف بين تفسير العلاقة السببية المفترضة وتقديم نموذج يمكن اختباره ميدانيًا باستخدام أدوات كمية مناسبة.</w:t>
      </w:r>
    </w:p>
    <w:p w14:paraId="35FE69D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تهدف الدراسة أولًا إلى قياس مستوى استخدام تحليلات الموارد البشرية في الشركات محل الدراسة كما يظهر في التخطيط، والاستقطاب، والتدريب، وإدارة الأداء، والاستبقاء. ولا يقصد بالاستخدام مجرد وجود نظام تقني، بل مدى اعتماد الإدارة على البيانات في فهم مشكلات الموارد البشرية واتخاذ قرارات قابلة للتتبع.</w:t>
      </w:r>
    </w:p>
    <w:p w14:paraId="7C2E29E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وتهدف ثانيًا إلى قياس مستوى الارتباط الوظيفي لدى العاملين، بما يشمل الحيوية والتفاني والاندماج في العمل. ويتيح هذا الهدف تقدير الحالة النفسية والمهنية للعاملين في قطاع يتطلب جهدًا معرفيًا عاليًا وتفاعلًا مستمرًا مع فرق ومشاريع متعددة.</w:t>
      </w:r>
    </w:p>
    <w:p w14:paraId="1209640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كما تهدف الدراسة إلى قياس مستوى نية ترك العمل لدى العاملين، وتحليل ما إذا كانت هذه النية ترتبط بانخفاض الارتباط أو بضعف إدراك العاملين لاستخدام منظم وفعال للبيانات في إدارة الموارد البشرية. ويكتسب هذا الهدف أهمية عملية لأنه يساعد الإدارة على التعامل مع مؤشرات الخطر قبل تحولها إلى استقالات فعلية.</w:t>
      </w:r>
    </w:p>
    <w:p w14:paraId="0D4DFD97"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وتسعى الدراسة أيضًا إلى اختبار العلاقات المباشرة بين المتغيرات: أثر تحليلات الموارد البشرية على الارتباط الوظيفي، وأثر الارتباط الوظيفي على نية ترك العمل، وأثر تحليلات الموارد البشرية على نية ترك العمل. وأخيرًا تختبر الدراسة الدور الوسيط للارتباط الوظيفي، بما يساعد على توضيح الآلية التي يمكن أن تتحول عبرها التحليلات من ممارسة إدارية إلى نتيجة سلوكية.</w:t>
      </w:r>
    </w:p>
    <w:p w14:paraId="04063611" w14:textId="77777777" w:rsidR="00E61049" w:rsidRPr="00A21B0C" w:rsidRDefault="00BB6015" w:rsidP="00CA377D">
      <w:pPr>
        <w:pStyle w:val="Heading2"/>
        <w:jc w:val="left"/>
        <w:rPr>
          <w:rFonts w:asciiTheme="majorBidi" w:hAnsiTheme="majorBidi"/>
          <w:color w:val="auto"/>
          <w:sz w:val="22"/>
          <w:szCs w:val="22"/>
        </w:rPr>
      </w:pPr>
      <w:bookmarkStart w:id="7" w:name="_Toc236950042"/>
      <w:r w:rsidRPr="00A21B0C">
        <w:rPr>
          <w:rFonts w:asciiTheme="majorBidi" w:eastAsia="Traditional Arabic" w:hAnsiTheme="majorBidi"/>
          <w:color w:val="auto"/>
          <w:sz w:val="22"/>
          <w:szCs w:val="22"/>
          <w:rtl/>
        </w:rPr>
        <w:t>فرضيات الدراسة</w:t>
      </w:r>
      <w:bookmarkEnd w:id="7"/>
    </w:p>
    <w:p w14:paraId="7D54E41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استنادًا إلى الأدبيات التي تربط تحليلات الموارد البشرية بتحسين القرار التنظيمي وبناء ممارسات أكثر استهدافًا، تفترض الدراسة وجود أثر إيجابي لاستخدام تحليلات الموارد البشرية على الارتباط الوظيفي. فالمنظمة التي تستخدم البيانات لتحديد احتياجات التطوير، وفهم ضغوط العمل، وتحسين عدالة القرارات، قد توفر موارد وظيفية تزيد شعور العاملين بالاهتمام والوضوح والمعنى (McCartney &amp; Fu, 2022).</w:t>
      </w:r>
    </w:p>
    <w:p w14:paraId="3CBF563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وتفترض الدراسة كذلك وجود أثر سلبي لاستخدام تحليلات الموارد البشرية على نية ترك العمل. ويستند هذا الافتراض إلى أن التحليلات قد تساعد في الكشف المبكر عن عوامل الدوران، مثل ضغط العمل، وضعف فرص التقدم، ومشكلات القيادة، وعدم ملاءمة الأدوار. وعندما تتحول هذه المعرفة إلى ممارسات تصحيحية، فمن المتوقع أن تنخفض نية المغادرة.</w:t>
      </w:r>
    </w:p>
    <w:p w14:paraId="135B729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الفرضية الثالثة فتنص على وجود أثر سلبي للارتباط الوظيفي على نية ترك العمل. ويعد هذا الافتراض منسجمًا مع أدبيات الارتباط التي ترى أن العامل المرتبط بعمله يميل إلى بذل جهد أعلى، وإلى إدراك أكبر للمعنى، وإلى رغبة أقوى في الاستمرار، في حين ترتبط حالات الانفصال النفسي بارتفاع التفكير في الرحيل (Saks, 2006; Zhou et al. , 2022).</w:t>
      </w:r>
    </w:p>
    <w:p w14:paraId="3647F94D"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وتفترض الدراسة في الفرضية الرابعة أن الارتباط الوظيفي يتوسط العلاقة بين استخدام تحليلات الموارد البشرية ونية ترك العمل. ويعني ذلك أن أثر التحليلات لا يقتصر على مسار مباشر نحو خفض النية، بل يمر جزئيًا عبر تعزيز تجربة العامل وانخراطه. فإذا كانت التحليلات تستخدم بطريقة لا تغير بيئة العمل أو لا يثق بها العاملون، فقد يضعف أثرها على نية المغادرة، أما إذا ترجمت إلى تدخلات محسوسة، فإن الارتباط يصبح الآلية الأقرب لتفسير انخفاض النية.</w:t>
      </w:r>
    </w:p>
    <w:p w14:paraId="0233CEC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وعليه تصاغ الفرضيات إجرائيًا على النحو الآتي: توجد علاقة إيجابية ذات دلالة إحصائية بين استخدام تحليلات الموارد البشرية والارتباط الوظيفي؛ توجد علاقة سلبية ذات دلالة إحصائية بين استخدام تحليلات الموارد البشرية ونية ترك العمل؛ توجد علاقة سلبية ذات دلالة إحصائية بين الارتباط الوظيفي ونية ترك العمل؛ ويتوسط الارتباط الوظيفي العلاقة بين استخدام تحليلات الموارد البشرية ونية ترك العمل.</w:t>
      </w:r>
    </w:p>
    <w:p w14:paraId="18904691" w14:textId="77777777" w:rsidR="00E61049" w:rsidRPr="00A21B0C" w:rsidRDefault="00BB6015" w:rsidP="00CA377D">
      <w:pPr>
        <w:pStyle w:val="Heading2"/>
        <w:jc w:val="left"/>
        <w:rPr>
          <w:rFonts w:asciiTheme="majorBidi" w:hAnsiTheme="majorBidi"/>
          <w:color w:val="auto"/>
          <w:sz w:val="22"/>
          <w:szCs w:val="22"/>
        </w:rPr>
      </w:pPr>
      <w:bookmarkStart w:id="8" w:name="_Toc236950043"/>
      <w:r w:rsidRPr="00A21B0C">
        <w:rPr>
          <w:rFonts w:asciiTheme="majorBidi" w:eastAsia="Traditional Arabic" w:hAnsiTheme="majorBidi"/>
          <w:color w:val="auto"/>
          <w:sz w:val="22"/>
          <w:szCs w:val="22"/>
          <w:rtl/>
        </w:rPr>
        <w:t>أهمية الدراسة</w:t>
      </w:r>
      <w:bookmarkEnd w:id="8"/>
    </w:p>
    <w:p w14:paraId="71EFEAD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 xml:space="preserve">تتمثل الأهمية النظرية للدراسة في ربطها بين حقلين غالبًا ما تمت دراستهما بصورة منفصلة: تحليلات الموارد البشرية من جهة، والارتباط الوظيفي ونية ترك العمل من جهة أخرى. فالأدبيات الحديثة حول التحليلات تركز على القدرة التنظيمية والتقنية والقيمة </w:t>
      </w:r>
      <w:r w:rsidRPr="00A21B0C">
        <w:rPr>
          <w:rFonts w:asciiTheme="majorBidi" w:hAnsiTheme="majorBidi" w:cstheme="majorBidi"/>
          <w:color w:val="auto"/>
          <w:sz w:val="22"/>
          <w:rtl/>
        </w:rPr>
        <w:lastRenderedPageBreak/>
        <w:t>الاستراتيجية، بينما تركز أدبيات الارتباط على الحالة النفسية للعاملين وعلاقتها بالنتائج السلوكية. ويقدم هذا البحث نموذجًا يربط بين القدرة التحليلية والنتيجة السلوكية عبر وسيط نفسي.</w:t>
      </w:r>
    </w:p>
    <w:p w14:paraId="1C11137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كما تسهم الدراسة في إثراء الأدبيات العربية في مجال إدارة الموارد البشرية التحليلية، وهو مجال لا يزال في طور التشكل مقارنة بالأدبيات الأجنبية. وتكتسب الدراسة خصوصية إضافية لأنها تركز على قطاع الاستشارات الهندسية في المملكة العربية السعودية، وهو قطاع مهني معرفي تتداخل فيه الكفاءة الفنية مع إدارة المشاريع والعلاقات مع العملاء.</w:t>
      </w:r>
    </w:p>
    <w:p w14:paraId="5625BD7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الأهمية التطبيقية فتتمثل في مساعدة إدارات الموارد البشرية في شركات الاستشارات الهندسية على استخدام البيانات بصورة أكثر فاعلية في سياسات الاستبقاء. فبدل التعامل مع ترك العمل بوصفه حدثًا يقع في نهاية العلاقة الوظيفية، يمكن استخدام التحليلات لرصد المؤشرات المبكرة المرتبطة بانخفاض الارتباط أو ارتفاع ضغط العمل أو ضعف الرضا عن المسار المهني.</w:t>
      </w:r>
    </w:p>
    <w:p w14:paraId="00E1446A"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وتفيد الدراسة القيادات التنفيذية في فهم أن الاستثمار في التحليلات لا يحقق أثرًا بمجرد شراء نظام أو إنتاج تقرير، بل يحتاج إلى ثقافة إدارية تستخدم البيانات لتحسين حياة العاملين المهنية. فإذا شعر الموظفون أن البيانات تستخدم للرقابة فقط، فقد تتولد مقاومة أو قلق، أما إذا ربطت البيانات بالتطوير والعدالة والدعم، فقد تتحول إلى مصدر ثقة وارتباط.</w:t>
      </w:r>
    </w:p>
    <w:p w14:paraId="5D0A380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كما تفيد الدراسة الباحثين اللاحقين من خلال تقديم نموذج قابل للتوسع؛ إذ يمكن اختبار متغيرات وسيطة أو معدلة أخرى، مثل الثقة التنظيمية، والعدالة المدركة، والدعم القيادي، أو الثقافة التحليلية. ويمكن كذلك نقل النموذج إلى قطاعات مهنية أخرى مثل التقنية، والطاقة، والرعاية الصحية، والمقاولات.</w:t>
      </w:r>
    </w:p>
    <w:p w14:paraId="6C133941" w14:textId="77777777" w:rsidR="00E61049" w:rsidRPr="00A21B0C" w:rsidRDefault="00BB6015" w:rsidP="00CA377D">
      <w:pPr>
        <w:pStyle w:val="Heading2"/>
        <w:jc w:val="left"/>
        <w:rPr>
          <w:rFonts w:asciiTheme="majorBidi" w:hAnsiTheme="majorBidi"/>
          <w:color w:val="auto"/>
          <w:sz w:val="22"/>
          <w:szCs w:val="22"/>
        </w:rPr>
      </w:pPr>
      <w:bookmarkStart w:id="9" w:name="_Toc236950044"/>
      <w:r w:rsidRPr="00A21B0C">
        <w:rPr>
          <w:rFonts w:asciiTheme="majorBidi" w:eastAsia="Traditional Arabic" w:hAnsiTheme="majorBidi"/>
          <w:color w:val="auto"/>
          <w:sz w:val="22"/>
          <w:szCs w:val="22"/>
          <w:rtl/>
        </w:rPr>
        <w:t>حدود الدراسة</w:t>
      </w:r>
      <w:bookmarkEnd w:id="9"/>
    </w:p>
    <w:p w14:paraId="3888757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تتمثل الحدود الموضوعية للدراسة في تناول ثلاثة متغيرات رئيسة هي استخدام تحليلات الموارد البشرية، والارتباط الوظيفي، ونية ترك العمل. ولا تسعى الدراسة إلى قياس جميع مخرجات الموارد البشرية، مثل الأداء أو الإبداع أو الرضا أو الالتزام، إلا بقدر ما تظهر في الإطار النظري بوصفها مفاهيم قريبة أو داعمة.</w:t>
      </w:r>
    </w:p>
    <w:p w14:paraId="660E293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وتتمثل الحدود المكانية في شركات الاستشارات الهندسية العاملة في المملكة العربية السعودية. ويشمل ذلك الشركات التي تقدم خدمات التصميم، والإشراف، وإدارة المشاريع، والاستشارات الفنية والهندسية، سواء كانت محلية أو فروعًا لشركات دولية. ويعد هذا التحديد مهمًا لأن طبيعة العمل في هذه الشركات تختلف عن قطاعات إنتاجية أو خدمية أخرى.</w:t>
      </w:r>
    </w:p>
    <w:p w14:paraId="485039E3"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الحدود البشرية فتتعلق بالعاملين في هذه الشركات، وبخاصة الفئات المهنية والإدارية المرتبطة بالمشاريع والخدمات الفنية والموارد البشرية. ويمكن أن تشمل العينة مهندسين، ومديري مشاريع، ومختصي موارد بشرية، ومشرفين، وفنيين ذوي علاقة بسياق الدراسة، وفق ضوابط العينة التي ستحدد في الفصل الثالث.</w:t>
      </w:r>
    </w:p>
    <w:p w14:paraId="48C98C8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وتتمثل الحدود الزمنية في الفترة التي ستجمع فيها البيانات الميدانية. ومن المتوقع أن تعكس النتائج إدراكات العاملين في تلك الفترة، ولذلك ينبغي تفسيرها في ضوء الظروف التنظيمية والاقتصادية السائدة وقت جمع البيانات. كما أن الدراسة، إذا اعتمدت تصميمًا مقطعيًا، لا تزعم إثبات سببية نهائية بقدر ما تختبر علاقات إحصائية مستندة إلى إطار نظري.</w:t>
      </w:r>
    </w:p>
    <w:p w14:paraId="772234A5"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وتتعلق الحدود المنهجية باستخدام أدوات قياس كمية قائمة على الاستبانة، وهو ما يجعل النتائج معتمدة على إدراكات المشاركين. ورغم أن الإدراك مهم في موضوعات الارتباط ونية ترك العمل، إلا أنه قد يتأثر بعوامل شخصية أو ظرفية. لذلك ينبغي التعامل مع النتائج بوصفها مؤشرًا علميًا قابلًا للتفسير لا حكمًا مطلقًا على كل الشركات أو العاملين.</w:t>
      </w:r>
    </w:p>
    <w:p w14:paraId="764A90F4" w14:textId="77777777" w:rsidR="00E61049" w:rsidRPr="00A21B0C" w:rsidRDefault="00BB6015" w:rsidP="00CA377D">
      <w:pPr>
        <w:pStyle w:val="Heading2"/>
        <w:jc w:val="left"/>
        <w:rPr>
          <w:rFonts w:asciiTheme="majorBidi" w:hAnsiTheme="majorBidi"/>
          <w:color w:val="auto"/>
          <w:sz w:val="22"/>
          <w:szCs w:val="22"/>
        </w:rPr>
      </w:pPr>
      <w:bookmarkStart w:id="10" w:name="_Toc236950045"/>
      <w:r w:rsidRPr="00A21B0C">
        <w:rPr>
          <w:rFonts w:asciiTheme="majorBidi" w:eastAsia="Traditional Arabic" w:hAnsiTheme="majorBidi"/>
          <w:color w:val="auto"/>
          <w:sz w:val="22"/>
          <w:szCs w:val="22"/>
          <w:rtl/>
        </w:rPr>
        <w:t>التعريفات الإجرائية</w:t>
      </w:r>
      <w:bookmarkEnd w:id="10"/>
    </w:p>
    <w:p w14:paraId="25A7D9F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يقصد بتحليلات الموارد البشرية إجرائيًا درجة استخدام المنظمة للبيانات المتعلقة بالعاملين في دعم قرارات الموارد البشرية، بما يشمل جمع البيانات وتنظيمها وتحليلها واستخدام نتائجها في التخطيط، والاستقطاب، والتدريب، وإدارة الأداء، والاستبقاء. وسيقاس هذا المتغير من خلال استجابات المشاركين على فقرات تعكس مدى إدراكهم لاستخدام ممارسات تحليلية في بيئة العمل.</w:t>
      </w:r>
    </w:p>
    <w:p w14:paraId="33611C1D"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ويقصد بالارتباط الوظيفي إجرائيًا الحالة الإيجابية التي يشعر فيها العامل بالحيوية والتفاني والاندماج أثناء أداء العمل. وتشير الحيوية إلى الطاقة والاستعداد لبذل الجهد، ويشير التفاني إلى الإحساس بالمعنى والحماس والفخر، بينما يشير الاندماج إلى التركيز والانغماس في المهام. ويرتبط هذا التعريف بأدبيات قياس الارتباط الوظيفي التي طورتها دراسات Schaufeli وزملاؤه (Schaufeli et al. , 2002).</w:t>
      </w:r>
    </w:p>
    <w:p w14:paraId="2F80606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نية ترك العمل فتعرف إجرائيًا بأنها درجة تفكير العامل في مغادرة المنظمة الحالية، أو بحثه عن فرص بديلة، أو احتمالية تركه العمل خلال فترة قريبة. ولا تعني النية بالضرورة وقوع الترك الفعلي، لكنها تعد مؤشرًا سابقًا ومهمًا يمكن استخدامه لتقدير مخاطر الدوران الطوعي (Lazzari et al. , 2022; Mobley et al. , 1979).</w:t>
      </w:r>
    </w:p>
    <w:p w14:paraId="6AFEF70E"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ويقصد بشركات الاستشارات الهندسية في هذه الدراسة المنشآت التي تقدم خدمات مهنية هندسية، مثل التصميم، والإشراف، وإدارة المشاريع، والاستشارات الفنية، ودراسات الجدوى الهندسية، وخدمات ضبط الجودة والمراجعة الفنية. ويشمل العاملون في هذه الشركات من يؤدون أدوارًا فنية أو إدارية أو داعمة ترتبط بتقديم هذه الخدمات.</w:t>
      </w:r>
    </w:p>
    <w:p w14:paraId="5258B14C"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ويقصد بالدور الوسيط للارتباط الوظيفي أن استخدام تحليلات الموارد البشرية يؤثر في نية ترك العمل من خلال تأثيره في مستوى ارتباط العاملين بعملهم. بمعنى آخر، تختبر الدراسة ما إذا كانت التحليلات تخفض نية المغادرة لأنها تعزز الارتباط، لا لأنها تعمل فقط كأداة تنبؤ أو مراقبة.</w:t>
      </w:r>
    </w:p>
    <w:p w14:paraId="2F9688F3"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يوضح الجدول الآتي التعريفات الإجرائية المختصرة لمتغيرات الدراسة الرئيسة:</w:t>
      </w:r>
    </w:p>
    <w:p w14:paraId="3D10B209" w14:textId="77777777" w:rsidR="00E61049" w:rsidRPr="00A21B0C" w:rsidRDefault="00BB6015" w:rsidP="00CA377D">
      <w:pPr>
        <w:pStyle w:val="CaptionArabic"/>
        <w:jc w:val="left"/>
        <w:rPr>
          <w:rFonts w:asciiTheme="majorBidi" w:hAnsiTheme="majorBidi" w:cstheme="majorBidi"/>
          <w:color w:val="auto"/>
          <w:sz w:val="22"/>
        </w:rPr>
      </w:pPr>
      <w:r w:rsidRPr="00A21B0C">
        <w:rPr>
          <w:rFonts w:asciiTheme="majorBidi" w:hAnsiTheme="majorBidi" w:cstheme="majorBidi"/>
          <w:color w:val="auto"/>
          <w:sz w:val="22"/>
          <w:rtl/>
        </w:rPr>
        <w:t xml:space="preserve">جدول </w:t>
      </w:r>
      <w:r w:rsidRPr="00A21B0C">
        <w:rPr>
          <w:rFonts w:asciiTheme="majorBidi" w:hAnsiTheme="majorBidi" w:cstheme="majorBidi"/>
          <w:color w:val="auto"/>
          <w:sz w:val="22"/>
          <w:rtl/>
        </w:rPr>
        <w:fldChar w:fldCharType="begin"/>
      </w:r>
      <w:r w:rsidRPr="00A21B0C">
        <w:rPr>
          <w:rFonts w:asciiTheme="majorBidi" w:hAnsiTheme="majorBidi" w:cstheme="majorBidi"/>
          <w:color w:val="auto"/>
          <w:sz w:val="22"/>
          <w:rtl/>
        </w:rPr>
        <w:instrText xml:space="preserve"> SEQ Table \* ARABIC </w:instrText>
      </w:r>
      <w:r w:rsidRPr="00A21B0C">
        <w:rPr>
          <w:rFonts w:asciiTheme="majorBidi" w:hAnsiTheme="majorBidi" w:cstheme="majorBidi"/>
          <w:color w:val="auto"/>
          <w:sz w:val="22"/>
          <w:rtl/>
        </w:rPr>
        <w:fldChar w:fldCharType="separate"/>
      </w:r>
      <w:r w:rsidR="00CA377D" w:rsidRPr="00A21B0C">
        <w:rPr>
          <w:rFonts w:asciiTheme="majorBidi" w:hAnsiTheme="majorBidi" w:cstheme="majorBidi"/>
          <w:noProof/>
          <w:color w:val="auto"/>
          <w:sz w:val="22"/>
          <w:rtl/>
        </w:rPr>
        <w:t>1</w:t>
      </w:r>
      <w:r w:rsidRPr="00A21B0C">
        <w:rPr>
          <w:rFonts w:asciiTheme="majorBidi" w:hAnsiTheme="majorBidi" w:cstheme="majorBidi"/>
          <w:color w:val="auto"/>
          <w:sz w:val="22"/>
          <w:rtl/>
        </w:rPr>
        <w:fldChar w:fldCharType="end"/>
      </w:r>
      <w:r w:rsidRPr="00A21B0C">
        <w:rPr>
          <w:rFonts w:asciiTheme="majorBidi" w:hAnsiTheme="majorBidi" w:cstheme="majorBidi"/>
          <w:color w:val="auto"/>
          <w:sz w:val="22"/>
          <w:rtl/>
        </w:rPr>
        <w:t>. التعريفات الإجرائية لمتغيرات الدراسة</w:t>
      </w:r>
    </w:p>
    <w:tbl>
      <w:tblPr>
        <w:tblW w:w="9360"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100" w:type="dxa"/>
          <w:left w:w="140" w:type="dxa"/>
          <w:bottom w:w="100" w:type="dxa"/>
          <w:right w:w="140" w:type="dxa"/>
        </w:tblCellMar>
        <w:tblLook w:val="04A0" w:firstRow="1" w:lastRow="0" w:firstColumn="1" w:lastColumn="0" w:noHBand="0" w:noVBand="1"/>
      </w:tblPr>
      <w:tblGrid>
        <w:gridCol w:w="1900"/>
        <w:gridCol w:w="5600"/>
        <w:gridCol w:w="1860"/>
      </w:tblGrid>
      <w:tr w:rsidR="00E61049" w:rsidRPr="00A21B0C" w14:paraId="1E935B58" w14:textId="77777777">
        <w:trPr>
          <w:jc w:val="right"/>
        </w:trPr>
        <w:tc>
          <w:tcPr>
            <w:tcW w:w="1900" w:type="dxa"/>
            <w:shd w:val="clear" w:color="auto" w:fill="F2F4F7"/>
            <w:vAlign w:val="center"/>
          </w:tcPr>
          <w:p w14:paraId="448AE25B"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b/>
                <w:color w:val="auto"/>
                <w:sz w:val="22"/>
                <w:rtl/>
              </w:rPr>
              <w:t>المتغير</w:t>
            </w:r>
          </w:p>
        </w:tc>
        <w:tc>
          <w:tcPr>
            <w:tcW w:w="5600" w:type="dxa"/>
            <w:shd w:val="clear" w:color="auto" w:fill="F2F4F7"/>
            <w:vAlign w:val="center"/>
          </w:tcPr>
          <w:p w14:paraId="1F1A83CB"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b/>
                <w:color w:val="auto"/>
                <w:sz w:val="22"/>
                <w:rtl/>
              </w:rPr>
              <w:t>التعريف الإجرائي</w:t>
            </w:r>
          </w:p>
        </w:tc>
        <w:tc>
          <w:tcPr>
            <w:tcW w:w="1860" w:type="dxa"/>
            <w:shd w:val="clear" w:color="auto" w:fill="F2F4F7"/>
            <w:vAlign w:val="center"/>
          </w:tcPr>
          <w:p w14:paraId="573EC834"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b/>
                <w:color w:val="auto"/>
                <w:sz w:val="22"/>
                <w:rtl/>
              </w:rPr>
              <w:t>اتجاه القياس المتوقع</w:t>
            </w:r>
          </w:p>
        </w:tc>
      </w:tr>
      <w:tr w:rsidR="00E61049" w:rsidRPr="00A21B0C" w14:paraId="63D93D65" w14:textId="77777777">
        <w:trPr>
          <w:jc w:val="right"/>
        </w:trPr>
        <w:tc>
          <w:tcPr>
            <w:tcW w:w="1900" w:type="dxa"/>
            <w:vAlign w:val="center"/>
          </w:tcPr>
          <w:p w14:paraId="1623FA64"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تحليلات الموارد البشرية</w:t>
            </w:r>
          </w:p>
        </w:tc>
        <w:tc>
          <w:tcPr>
            <w:tcW w:w="5600" w:type="dxa"/>
            <w:vAlign w:val="center"/>
          </w:tcPr>
          <w:p w14:paraId="7D498360"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استخدام بيانات العاملين ونماذج التحليل لدعم قرارات التخطيط والتطوير والاستبقاء.</w:t>
            </w:r>
          </w:p>
        </w:tc>
        <w:tc>
          <w:tcPr>
            <w:tcW w:w="1860" w:type="dxa"/>
            <w:vAlign w:val="center"/>
          </w:tcPr>
          <w:p w14:paraId="0841EACC"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ارتفاع الدرجة يعني استخدامًا أكبر للتحليلات.</w:t>
            </w:r>
          </w:p>
        </w:tc>
      </w:tr>
      <w:tr w:rsidR="00E61049" w:rsidRPr="00A21B0C" w14:paraId="58D2AFF9" w14:textId="77777777">
        <w:trPr>
          <w:jc w:val="right"/>
        </w:trPr>
        <w:tc>
          <w:tcPr>
            <w:tcW w:w="1900" w:type="dxa"/>
            <w:vAlign w:val="center"/>
          </w:tcPr>
          <w:p w14:paraId="201528C1"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الارتباط الوظيفي</w:t>
            </w:r>
          </w:p>
        </w:tc>
        <w:tc>
          <w:tcPr>
            <w:tcW w:w="5600" w:type="dxa"/>
            <w:vAlign w:val="center"/>
          </w:tcPr>
          <w:p w14:paraId="66C93E84"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حالة إيجابية تتكون من الحيوية والتفاني والاندماج في العمل.</w:t>
            </w:r>
          </w:p>
        </w:tc>
        <w:tc>
          <w:tcPr>
            <w:tcW w:w="1860" w:type="dxa"/>
            <w:vAlign w:val="center"/>
          </w:tcPr>
          <w:p w14:paraId="517035F4"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ارتفاع الدرجة يعني ارتباطًا أعلى.</w:t>
            </w:r>
          </w:p>
        </w:tc>
      </w:tr>
      <w:tr w:rsidR="00E61049" w:rsidRPr="00A21B0C" w14:paraId="29E34542" w14:textId="77777777">
        <w:trPr>
          <w:jc w:val="right"/>
        </w:trPr>
        <w:tc>
          <w:tcPr>
            <w:tcW w:w="1900" w:type="dxa"/>
            <w:vAlign w:val="center"/>
          </w:tcPr>
          <w:p w14:paraId="25B5D799"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نية ترك العمل</w:t>
            </w:r>
          </w:p>
        </w:tc>
        <w:tc>
          <w:tcPr>
            <w:tcW w:w="5600" w:type="dxa"/>
            <w:vAlign w:val="center"/>
          </w:tcPr>
          <w:p w14:paraId="4C1CD0E3"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تفكير العامل في مغادرة المنظمة أو بحثه عن بدائل أو توقعه للرحيل.</w:t>
            </w:r>
          </w:p>
        </w:tc>
        <w:tc>
          <w:tcPr>
            <w:tcW w:w="1860" w:type="dxa"/>
            <w:vAlign w:val="center"/>
          </w:tcPr>
          <w:p w14:paraId="0886792C"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ارتفاع الدرجة يعني نية أعلى للمغادرة.</w:t>
            </w:r>
          </w:p>
        </w:tc>
      </w:tr>
    </w:tbl>
    <w:p w14:paraId="0EE4B844" w14:textId="77777777" w:rsidR="00E61049" w:rsidRPr="00A21B0C" w:rsidRDefault="00BB6015" w:rsidP="00CA377D">
      <w:pPr>
        <w:pStyle w:val="Heading2"/>
        <w:jc w:val="left"/>
        <w:rPr>
          <w:rFonts w:asciiTheme="majorBidi" w:hAnsiTheme="majorBidi"/>
          <w:color w:val="auto"/>
          <w:sz w:val="22"/>
          <w:szCs w:val="22"/>
        </w:rPr>
      </w:pPr>
      <w:bookmarkStart w:id="11" w:name="_Toc236950046"/>
      <w:r w:rsidRPr="00A21B0C">
        <w:rPr>
          <w:rFonts w:asciiTheme="majorBidi" w:eastAsia="Traditional Arabic" w:hAnsiTheme="majorBidi"/>
          <w:color w:val="auto"/>
          <w:sz w:val="22"/>
          <w:szCs w:val="22"/>
          <w:rtl/>
        </w:rPr>
        <w:t>هيكل الرسالة</w:t>
      </w:r>
      <w:bookmarkEnd w:id="11"/>
    </w:p>
    <w:p w14:paraId="777DC08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تتكون الرسالة المقترحة من خمسة فصول مترابطة. يعرض الفصل الأول الإطار العام للدراسة، ويشمل المقدمة، وخلفية الدراسة، ومشكلتها، وأسئلتها، وأهدافها، وفرضياتها، وأهميتها، وحدودها، وتعريفاتها الإجرائية، وهيكلها العام.</w:t>
      </w:r>
    </w:p>
    <w:p w14:paraId="2E4FBAE2"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ويتناول الفصل الثاني الإطار النظري والدراسات السابقة، من خلال عرض مفاهيم تحليلات الموارد البشرية، والارتباط الوظيفي، ونية ترك العمل، والأسس النظرية التي تفسر العلاقة بينها، ثم تحليل الدراسات السابقة واستخلاص الفجوة البحثية وبناء الإطار المفاهيمي وفرضيات الدراسة.</w:t>
      </w:r>
    </w:p>
    <w:p w14:paraId="43C140A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الفصل الثالث فيعرض منهجية الدراسة، بما يتضمن المنهج المستخدم، ومجتمع الدراسة وعينتها، وأداة القياس، وإجراءات جمع البيانات، وطرق التحقق من الصدق والثبات، والأساليب الإحصائية المناسبة لاختبار الفرضيات.</w:t>
      </w:r>
    </w:p>
    <w:p w14:paraId="67DA0442"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ويخصص الفصل الرابع لعرض النتائج وتحليلها ومناقشتها في ضوء أسئلة الدراسة وفرضياتها. ويتضمن ذلك الإحصاءات الوصفية، واختبارات العلاقات المباشرة، وتحليل الدور الوسيط للارتباط الوظيفي، ثم تفسير النتائج في ضوء الأدبيات السابقة والسياق السعودي.</w:t>
      </w:r>
    </w:p>
    <w:p w14:paraId="31E23DA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ويختتم الفصل الخامس الرسالة بعرض ملخص النتائج، والاستنتاجات، والتوصيات التطبيقية لشركات الاستشارات الهندسية، والمقترحات البحثية المستقبلية، مع الإشارة إلى حدود الدراسة التي ينبغي مراعاتها عند تفسير النتائج.</w:t>
      </w:r>
    </w:p>
    <w:p w14:paraId="4F641C2A" w14:textId="77777777" w:rsidR="00E61049" w:rsidRPr="00A21B0C" w:rsidRDefault="00E61049" w:rsidP="00CA377D">
      <w:pPr>
        <w:jc w:val="left"/>
        <w:rPr>
          <w:rFonts w:asciiTheme="majorBidi" w:hAnsiTheme="majorBidi" w:cstheme="majorBidi"/>
          <w:color w:val="auto"/>
          <w:sz w:val="22"/>
        </w:rPr>
        <w:sectPr w:rsidR="00E61049" w:rsidRPr="00A21B0C" w:rsidSect="008D6FE0">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14:paraId="4E9951B2" w14:textId="77777777" w:rsidR="00E61049" w:rsidRPr="00A21B0C" w:rsidRDefault="00BB6015" w:rsidP="00CA377D">
      <w:pPr>
        <w:pStyle w:val="Heading1"/>
        <w:jc w:val="center"/>
        <w:rPr>
          <w:rFonts w:asciiTheme="majorBidi" w:hAnsiTheme="majorBidi"/>
          <w:color w:val="auto"/>
          <w:sz w:val="22"/>
          <w:szCs w:val="22"/>
        </w:rPr>
      </w:pPr>
      <w:bookmarkStart w:id="12" w:name="_Toc236950047"/>
      <w:r w:rsidRPr="00A21B0C">
        <w:rPr>
          <w:rFonts w:asciiTheme="majorBidi" w:eastAsia="Traditional Arabic" w:hAnsiTheme="majorBidi"/>
          <w:color w:val="auto"/>
          <w:sz w:val="22"/>
          <w:szCs w:val="22"/>
          <w:rtl/>
        </w:rPr>
        <w:lastRenderedPageBreak/>
        <w:t>الفصل الثاني: الإطار النظري والدراسات السابقة</w:t>
      </w:r>
      <w:bookmarkEnd w:id="12"/>
    </w:p>
    <w:p w14:paraId="6ADFFCB8" w14:textId="77777777" w:rsidR="00E61049" w:rsidRPr="00A21B0C" w:rsidRDefault="00BB6015" w:rsidP="00CA377D">
      <w:pPr>
        <w:pStyle w:val="Heading2"/>
        <w:jc w:val="left"/>
        <w:rPr>
          <w:rFonts w:asciiTheme="majorBidi" w:hAnsiTheme="majorBidi"/>
          <w:color w:val="auto"/>
          <w:sz w:val="22"/>
          <w:szCs w:val="22"/>
        </w:rPr>
      </w:pPr>
      <w:bookmarkStart w:id="13" w:name="_Toc236950048"/>
      <w:r w:rsidRPr="00A21B0C">
        <w:rPr>
          <w:rFonts w:asciiTheme="majorBidi" w:eastAsia="Traditional Arabic" w:hAnsiTheme="majorBidi"/>
          <w:color w:val="auto"/>
          <w:sz w:val="22"/>
          <w:szCs w:val="22"/>
          <w:rtl/>
        </w:rPr>
        <w:t>مقدمة</w:t>
      </w:r>
      <w:bookmarkEnd w:id="13"/>
    </w:p>
    <w:p w14:paraId="2DEEFDA1"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يركز هذا الفصل على بناء الأساس النظري والمعرفي للدراسة من خلال تحليل المتغيرات الرئيسة والعلاقات المفترضة بينها. ويعد الفصل الثاني حلقة وصل بين المشكلة البحثية والمنهجية اللاحقة؛ فهو يوضح لماذا يمكن توقع أثر لاستخدام تحليلات الموارد البشرية على نية ترك العمل، ولماذا قد يكون الارتباط الوظيفي آلية وسيطة تفسر هذا الأثر.</w:t>
      </w:r>
    </w:p>
    <w:p w14:paraId="4484DAC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تتكون الدراسة من ثلاثة مفاهيم رئيسة تنتمي إلى مستويات تحليل متداخلة. فتحليلات الموارد البشرية تمثل قدرة أو ممارسة تنظيمية تعتمد على البيانات في تحسين القرار. أما الارتباط الوظيفي فيمثل حالة نفسية مهنية يعيشها العامل في علاقته بعمله. وتمثل نية ترك العمل اتجاهًا سلوكيًا سابقًا لاحتمال المغادرة. ومن هنا فإن النموذج المقترح يجمع بين مستوى المنظمة ومستوى الفرد ومستوى السلوك المتوقع.</w:t>
      </w:r>
    </w:p>
    <w:p w14:paraId="37CA2DEE"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اعتمدت مراجعة الأدبيات في هذا الفصل على مراجع حديثة قدر الإمكان، مع الاستعانة بعدد محدود من المراجع المؤسسة التي لا يمكن الاستغناء عنها في موضوع الارتباط الوظيفي أو الدوران الوظيفي أو التبادل الاجتماعي. ويعود ذلك إلى أن بعض المفاهيم، مثل الارتباط كما صاغه Kahn أو نموذج الدوران لدى Mobley وزملائه، لا تزال تشكل أساسًا نظريًا لكثير من الدراسات الحديثة.</w:t>
      </w:r>
    </w:p>
    <w:p w14:paraId="6250E64A"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ينظم الفصل الثاني العرض في أربعة مسارات: المسار الأول يشرح تحليلات الموارد البشرية من حيث المفهوم والمكونات والمستويات والتحديات. والمسار الثاني يوضح الارتباط الوظيفي ونية ترك العمل وعلاقتهما بالأدبيات النفسية والتنظيمية. والمسار الثالث يعرض الأسس النظرية والعلاقات بين المتغيرات. أما المسار الرابع فيحلل الدراسات السابقة ويستخلص الفجوة البحثية والإطار المفاهيمي وتطوير الفرضيات.</w:t>
      </w:r>
    </w:p>
    <w:p w14:paraId="549F952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ولا تتعامل المراجعة مع الدراسات السابقة بوصفها قائمة وصفية، بل بوصفها مادة تحليلية تساعد على تمييز ما اتفق عليه الباحثون وما ظل موضع نقاش، وما يصلح نقله إلى سياق شركات الاستشارات الهندسية السعودية وما يحتاج إلى اختبار ميداني.</w:t>
      </w:r>
    </w:p>
    <w:p w14:paraId="0928CA37" w14:textId="77777777" w:rsidR="00E61049" w:rsidRPr="00A21B0C" w:rsidRDefault="00BB6015" w:rsidP="00CA377D">
      <w:pPr>
        <w:pStyle w:val="Heading2"/>
        <w:jc w:val="left"/>
        <w:rPr>
          <w:rFonts w:asciiTheme="majorBidi" w:hAnsiTheme="majorBidi"/>
          <w:color w:val="auto"/>
          <w:sz w:val="22"/>
          <w:szCs w:val="22"/>
        </w:rPr>
      </w:pPr>
      <w:bookmarkStart w:id="14" w:name="_Toc236950049"/>
      <w:r w:rsidRPr="00A21B0C">
        <w:rPr>
          <w:rFonts w:asciiTheme="majorBidi" w:eastAsia="Traditional Arabic" w:hAnsiTheme="majorBidi"/>
          <w:color w:val="auto"/>
          <w:sz w:val="22"/>
          <w:szCs w:val="22"/>
          <w:rtl/>
        </w:rPr>
        <w:t>تحليلات الموارد البشرية</w:t>
      </w:r>
      <w:bookmarkEnd w:id="14"/>
    </w:p>
    <w:p w14:paraId="7CE24E6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تشير تحليلات الموارد البشرية إلى استخدام البيانات والمنهجيات الكمية والنوعية والنماذج التحليلية لفهم قضايا العاملين وتحسين قرارات إدارة الموارد البشرية. ولا يقتصر المفهوم على إنتاج مؤشرات رقمية، بل يشمل تحويل البيانات إلى رؤى قابلة للتنفيذ تساعد المنظمة على اختيار التدخلات المناسبة وتقييم أثرها. وقد أوضحت مراجعة Margherita (2022) أن المجال يتوزع بين ممكنات التحليلات، وتطبيقاتها، وقيمتها التنظيمية، وهو تقسيم يفيد في فهم طبيعة المتغير في هذه الدراسة.</w:t>
      </w:r>
    </w:p>
    <w:p w14:paraId="10E7E9D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 xml:space="preserve">تتدرج التحليلات عادة من المستوى الوصفي إلى التشخيصي ثم التنبؤي والتوجيهي. فالتحليل الوصفي يجيب عن سؤال: ماذا حدث؟ مثل معدل الدوران أو الغياب. والتحليل التشخيصي يسأل: لماذا حدث ذلك؟ أما التحليل التنبؤي فيحاول تقدير ما قد يحدث، مثل احتمالية ارتفاع </w:t>
      </w:r>
      <w:r w:rsidRPr="00A21B0C">
        <w:rPr>
          <w:rFonts w:asciiTheme="majorBidi" w:hAnsiTheme="majorBidi" w:cstheme="majorBidi"/>
          <w:color w:val="auto"/>
          <w:sz w:val="22"/>
          <w:rtl/>
        </w:rPr>
        <w:lastRenderedPageBreak/>
        <w:t>نية المغادرة لدى فئة معينة. ويضيف التحليل التوجيهي سؤالًا أكثر تقدمًا: ما القرار أو التدخل الأنسب؟ وتزداد قيمة التحليلات كلما انتقلت من مجرد الوصف إلى تفسير القرار وتحسينه.</w:t>
      </w:r>
    </w:p>
    <w:p w14:paraId="2C02BE2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تنبع أهمية تحليلات الموارد البشرية من قدرتها على تقليل الاعتماد على الانطباعات الفردية في قرارات حساسة مثل الترقية، والتدريب، وتوزيع عبء العمل، وسياسات الاستبقاء. غير أن هذه القدرة لا تتحقق بصورة آلية؛ إذ إن القرار المبني على البيانات يحتاج إلى جودة في البيانات، وكفاءة في التحليل، وثقة في الاستخدام، وقدرة إدارية على تحويل النتائج إلى ممارسات. وقد بين McCartney وFu (2022) أن تحليلات الموارد البشرية تؤثر في الأداء التنظيمي عبر تمكين الإدارة القائمة على الأدلة.</w:t>
      </w:r>
    </w:p>
    <w:p w14:paraId="0045272D"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شركات الاستشارات الهندسية يمكن أن تتخذ تحليلات الموارد البشرية صورًا متعددة. فقد تستخدم الشركة بيانات المشاريع لتحديد فرق العمل المعرضة للإجهاد، أو بيانات الأداء لتصميم تدريب تخصصي، أو بيانات الاستقالات السابقة لفهم الفئات الأكثر عرضة للمغادرة. ويمكن كذلك استخدام استطلاعات الارتباط الوظيفي وتحليلها حسب نوع المشروع أو الدور أو سنوات الخبرة، شريطة أن يتم ذلك بطريقة تحترم السرية وتمنع وصم الأفراد.</w:t>
      </w:r>
    </w:p>
    <w:p w14:paraId="77FC9062"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تؤكد الأدبيات أن تبني التحليلات يتطلب عوامل تنظيمية داعمة، منها دعم الإدارة العليا، وتوافر البنية التقنية، وتكامل أنظمة البيانات، وكفاءة متخصصي الموارد البشرية، وثقافة تقبل القرار المبني على الأدلة (Fernandez &amp; Gallardo-Gallardo, 2021; Kalvakolanu et al. , 2023). ومن دون هذه العوامل قد تتحول التحليلات إلى نشاط شكلي منفصل عن القرارات الحقيقية.</w:t>
      </w:r>
    </w:p>
    <w:p w14:paraId="2F3BF1CC"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ويظهر تحد أخلاقي مهم في هذا المجال؛ لأن بيانات الموارد البشرية تتعلق بأفراد يمكن أن يتضرروا إذا استخدمت البيانات بصورة غير شفافة أو تمييزية. لذلك ينبه Edwards وزملاؤه (2024) إلى أن تحليلات الموارد البشرية تحمل تحديات أخلاقية كامنة، لا سيما عند استخدام نماذج تنبؤية أو بيانات حساسة. وبناء عليه، فإن الاستخدام الرشيد للتحليلات في هذه الدراسة يفترض أن يكون موجهًا لتحسين القرارات وتجربة العمل، لا لمراقبة العاملين أو تصنيفهم بطريقة تضعف الثقة.</w:t>
      </w:r>
    </w:p>
    <w:p w14:paraId="29B7DA1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من زاوية القياس، يمكن النظر إلى تحليلات الموارد البشرية من خلال أبعاد مثل توافر البيانات، وجودة التحليل، واستخدام النتائج في القرار، ووضوح التواصل، وعدالة الممارسات الناتجة. وتهم هذه الأبعاد في الدراسة الحالية لأن الأثر المتوقع على الارتباط ونية ترك العمل لن ينشأ من مجرد وجود بيانات، بل من إدراك العاملين أن المنظمة تستخدم البيانات لتحسين بيئة العمل وممارسات الموارد البشرية.</w:t>
      </w:r>
    </w:p>
    <w:p w14:paraId="0D36093C"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تسهم التحليلات أيضًا في إدارة المواهب عبر تحديد الفجوات المهارية، وتوقع احتياجات القوى العاملة، وقياس أثر التدريب، وتحسين مطابقة الأفراد للأدوار. وفي قطاع الاستشارات الهندسية، حيث تعتمد القيمة على الخبرة الفنية وجودة تخصيص الكفاءات للمشاريع، يمكن للتحليلات أن تساعد في تقليل سوء التوزيع، وتخفيف ضغوط العمل غير المتوازنة، وتعزيز فرص التطوير، وهي جميعها موارد وظيفية ذات صلة بالارتباط.</w:t>
      </w:r>
    </w:p>
    <w:p w14:paraId="6D0CFFB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 xml:space="preserve">مع ذلك، لا ينبغي المبالغة في تصوير التحليلات بوصفها حلًا تقنيًا مستقلًا. فالتحليلات لا تنشئ قيمة إلا إذا ارتبطت بحوار إداري، وفهم سياقي، وقدرة على تفسير الأرقام في ضوء طبيعة العمل. وقد تكون النماذج التنبؤية دقيقة إحصائيًا لكنها محدودة إداريًا إذا لم تفسر لماذا </w:t>
      </w:r>
      <w:r w:rsidRPr="00A21B0C">
        <w:rPr>
          <w:rFonts w:asciiTheme="majorBidi" w:hAnsiTheme="majorBidi" w:cstheme="majorBidi"/>
          <w:color w:val="auto"/>
          <w:sz w:val="22"/>
          <w:rtl/>
        </w:rPr>
        <w:lastRenderedPageBreak/>
        <w:t>يفكر العاملون في المغادرة أو كيف يمكن معالجة السبب. ومن ثم فإن الدراسة الحالية تنظر إلى التحليلات بوصفها ممارسة إدارية اجتماعية مدعومة بالبيانات.</w:t>
      </w:r>
    </w:p>
    <w:p w14:paraId="26BADCC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وبذلك يصبح استخدام تحليلات الموارد البشرية متغيرًا مهمًا في تفسير نية ترك العمل؛ لأنه يضع المنظمة في موقع أكثر قدرة على فهم التجربة الوظيفية والتدخل قبل تفاقم المشكلة. غير أن هذا الأثر، كما تفترض الدراسة، يتوقف جزئيًا على ما إذا كان العاملون أكثر ارتباطًا بعملهم نتيجة لهذا الاستخدام.</w:t>
      </w:r>
    </w:p>
    <w:p w14:paraId="69B5B60E" w14:textId="77777777" w:rsidR="00E61049" w:rsidRPr="00A21B0C" w:rsidRDefault="00BB6015" w:rsidP="00CA377D">
      <w:pPr>
        <w:pStyle w:val="Heading2"/>
        <w:jc w:val="left"/>
        <w:rPr>
          <w:rFonts w:asciiTheme="majorBidi" w:hAnsiTheme="majorBidi"/>
          <w:color w:val="auto"/>
          <w:sz w:val="22"/>
          <w:szCs w:val="22"/>
        </w:rPr>
      </w:pPr>
      <w:bookmarkStart w:id="15" w:name="_Toc236950050"/>
      <w:r w:rsidRPr="00A21B0C">
        <w:rPr>
          <w:rFonts w:asciiTheme="majorBidi" w:eastAsia="Traditional Arabic" w:hAnsiTheme="majorBidi"/>
          <w:color w:val="auto"/>
          <w:sz w:val="22"/>
          <w:szCs w:val="22"/>
          <w:rtl/>
        </w:rPr>
        <w:t>الارتباط الوظيفي</w:t>
      </w:r>
      <w:bookmarkEnd w:id="15"/>
    </w:p>
    <w:p w14:paraId="7B163483"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ظهر مفهوم الارتباط الوظيفي في الأدبيات التنظيمية بوصفه حالة يعبر فيها الفرد عن حضوره النفسي والجسدي والعاطفي في أداء الدور. وقد قدم Kahn (1990) أحد أكثر التصورات تأثيرًا عندما ربط الارتباط بشعور الفرد بالمعنى والأمان والتوافر النفسي. ورغم تطور المفهوم لاحقًا، ظل جوهره قائمًا على أن العامل لا يؤدي مهامه فقط، بل يستثمر ذاته في العمل عندما يجد بيئة تتيح هذا الاستثمار.</w:t>
      </w:r>
    </w:p>
    <w:p w14:paraId="1DE9885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يميز الباحثون عادة بين الارتباط الوظيفي والرضا الوظيفي والالتزام التنظيمي. فالرضا يشير إلى تقييم الفرد لعمله، والالتزام يشير إلى ارتباطه بالمنظمة، أما الارتباط فيشير إلى حالة نشطة من الطاقة والتفاني والانغماس. ولذلك قد يكون الموظف راضيًا لكنه غير مندمج، أو ملتزمًا لأسباب اقتصادية لكنه لا يشعر بحماس للعمل. هذا التمييز مهم في الدراسة الحالية لأن المتغير الوسيط ليس مجرد رضا عام، بل حالة نفسية يمكن أن تنقل أثر ممارسات الموارد البشرية إلى نية الاستمرار.</w:t>
      </w:r>
    </w:p>
    <w:p w14:paraId="23204A1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تستخدم كثير من الدراسات نموذج الحيوية والتفاني والاندماج لقياس الارتباط الوظيفي. فالحيوية تعكس الطاقة والقدرة على المثابرة، والتفاني يعكس الإحساس بالأهمية والحماس والفخر، والاندماج يعكس التركيز العميق في العمل. وقد أسهم Schaufeli وزملاؤه (2002) في تطوير هذا الاتجاه القياسي الذي أصبح شائعًا في دراسات الارتباط.</w:t>
      </w:r>
    </w:p>
    <w:p w14:paraId="28C7686A"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يرتبط الارتباط الوظيفي بالموارد التي يحصل عليها العامل في بيئة العمل. فالدعم القيادي، والاستقلالية، والتغذية الراجعة، وفرص التعلم، والعدالة، ووضوح الدور، كلها موارد تساعد العامل على التعامل مع مطالب العمل وتحويل الجهد إلى تجربة ذات معنى. وتفسر نظرية مطالب وموارد العمل هذا المسار من خلال القول إن الموارد الوظيفية لا تقلل الاحتراق فحسب، بل تنشط عملية تحفيزية تؤدي إلى الارتباط (Bakker &amp; Demerouti, 2017).</w:t>
      </w:r>
    </w:p>
    <w:p w14:paraId="04FD815B"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شركات الاستشارات الهندسية، قد يتأثر الارتباط بعوامل خاصة مثل وضوح مسؤوليات المشروع، وعدالة توزيع ساعات العمل، وتوازن عبء المشاريع، وجودة العلاقة مع العميل، وفرص المشاركة في قرارات فنية، وحصول العامل على تقدير لخبرته. كما يمكن أن يتأثر الارتباط بمدى شعور العامل بأن الشركة تستثمر في تطويره ولا تتعامل معه كموارد مؤقتة مرتبطة بعقد أو مشروع.</w:t>
      </w:r>
    </w:p>
    <w:p w14:paraId="0C58212E"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يمكن لتحليلات الموارد البشرية أن تعزز الارتباط إذا استخدمت في تحديد مصادر الضغط وفجوات التطوير وتحسين تصميم العمل. فحين تكتشف الإدارة، مثلًا، أن فئة معينة تعاني من عبء زائد أو ضعف تغذية راجعة أو بطء في الترقية، يمكنها تصميم تدخلات أكثر عدلًا وملاءمة. لكن إذا اقتصرت التحليلات على تتبع الأداء الفردي دون توفير دعم، فقد تنعكس سلبًا على الارتباط بسبب الإحساس بالمراقبة.</w:t>
      </w:r>
    </w:p>
    <w:p w14:paraId="2BFDA021"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تشير الأدبيات إلى أن الارتباط يرتبط بنتائج إيجابية مثل الأداء، والالتزام، وسلوك المواطنة التنظيمية، وانخفاض نية ترك العمل. وقد بين Saks (2006) أن الارتباط يؤدي إلى نتائج تنظيمية مرغوبة، كما أكدت دراسات لاحقة أن الارتباط يمكن أن يتوسط أثر الممارسات التنظيمية على النية السلوكية بالمغادرة.</w:t>
      </w:r>
    </w:p>
    <w:p w14:paraId="3BF4D13A"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ومع ذلك، يجب الانتباه إلى أن الارتباط ليس مطلبًا غير محدود من العامل. فالأدبيات التي تناولت الموارد الوظيفية والدعم التنظيمي تشير إلى أن الارتباط الصحي لا ينفصل عن العدالة، والثقة، وتوافر الموارد، وأن الإفراط في تحميل الموظف باسم الحماس أو الانتماء قد يؤدي إلى نتائج عكسية إذا لم يقترن بموارد كافية (Bakker &amp; Demerouti, 2017; Caesens et al. , 2016). لذلك فإن الارتباط الصحي يتطلب توازنًا بين المطالب والموارد.</w:t>
      </w:r>
    </w:p>
    <w:p w14:paraId="3A0B839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هذه الدراسة، لا ينظر إلى الارتباط الوظيفي كحالة فردية منفصلة عن النظام الإداري، بل بوصفه نتيجة محتملة لطريقة إدارة البيانات والقرارات في المنظمة. فإذا دعمت تحليلات الموارد البشرية العدالة والتطوير والوضوح، فمن المتوقع أن يرتفع الارتباط، وإذا ارتفع الارتباط، فمن المتوقع أن تنخفض نية ترك العمل.</w:t>
      </w:r>
    </w:p>
    <w:p w14:paraId="66C46324" w14:textId="77777777" w:rsidR="00E61049" w:rsidRPr="00A21B0C" w:rsidRDefault="00BB6015" w:rsidP="00CA377D">
      <w:pPr>
        <w:pStyle w:val="Heading2"/>
        <w:jc w:val="left"/>
        <w:rPr>
          <w:rFonts w:asciiTheme="majorBidi" w:hAnsiTheme="majorBidi"/>
          <w:color w:val="auto"/>
          <w:sz w:val="22"/>
          <w:szCs w:val="22"/>
        </w:rPr>
      </w:pPr>
      <w:bookmarkStart w:id="16" w:name="_Toc236950051"/>
      <w:r w:rsidRPr="00A21B0C">
        <w:rPr>
          <w:rFonts w:asciiTheme="majorBidi" w:eastAsia="Traditional Arabic" w:hAnsiTheme="majorBidi"/>
          <w:color w:val="auto"/>
          <w:sz w:val="22"/>
          <w:szCs w:val="22"/>
          <w:rtl/>
        </w:rPr>
        <w:t>نية ترك العمل</w:t>
      </w:r>
      <w:bookmarkEnd w:id="16"/>
    </w:p>
    <w:p w14:paraId="171C3EC3"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تعبر نية ترك العمل عن استعداد نفسي أو اتجاه سلوكي نحو مغادرة المنظمة. وهي لا تعني الاستقالة الفعلية، لكنها مؤشر مبكر يستخدمه الباحثون والمديرون لتقدير مخاطر الدوران الطوعي. وقد قدم Mobley وزملاؤه (1979) تصورًا مبكرًا لعملية الدوران يوضح أن التفكير في الترك يسبق البحث عن البدائل والمقارنة واتخاذ القرار.</w:t>
      </w:r>
    </w:p>
    <w:p w14:paraId="31A07AC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تعد نية ترك العمل مهمة لأنها أكثر قابلية للقياس من الدوران الفعلي في الدراسات المقطعية، ولأنها تمنح المنظمة فرصة للتدخل. فإذا تم قياس النية مبكرًا وربطها بعوامل تنظيمية قابلة للإصلاح، يمكن للشركة تحسين ظروف العمل قبل أن تتحول النية إلى استقالة. وقد أكد Lazzari وزملاؤه (2022) أن نية المغادرة تستخدم على نطاق واسع لدراسة الدوران لأنها تسبق السلوك الفعلي ويمكن التنبؤ بها من خلال عوامل نفسية وتنظيمية.</w:t>
      </w:r>
    </w:p>
    <w:p w14:paraId="7493307B"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تتأثر نية ترك العمل بعوامل متعددة تشمل الرضا، والالتزام، والعدالة، وضغط العمل، والقيادة، وفرص التطور، والبدائل المتاحة في السوق. وفي البيئات المهنية المتخصصة، قد تتأثر النية كذلك بسمعة المشاريع، ونوعية العملاء، وفرص اكتساب خبرة فنية، ووضوح المسار المهني. ولذلك فإن تفسير نية ترك العمل في شركات الاستشارات الهندسية يحتاج إلى فهم خصوصية العمل القائم على المعرفة والمشاريع.</w:t>
      </w:r>
    </w:p>
    <w:p w14:paraId="4DB7D91E"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لا يمكن اختزال نية ترك العمل في العامل الاقتصادي. فرغم أهمية الأجر والمزايا، تشير الأدبيات إلى أن العاملين قد يفكرون في المغادرة بسبب ضعف التقدير، أو انعدام العدالة، أو غموض الدور، أو عدم القدرة على التوفيق بين متطلبات العمل والموارد المتاحة. كما أن العامل صاحب المهارة العالية قد تكون لديه بدائل أوسع في السوق، ما يجعل ضعف الارتباط أو سوء التجربة الوظيفية أكثر تأثيرًا.</w:t>
      </w:r>
    </w:p>
    <w:p w14:paraId="2111263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تظهر أهمية نية ترك العمل في القطاع السعودي مع ارتفاع وتيرة المشاريع وتحول سوق العمل نحو مهارات أكثر تخصصًا. فالشركات التي لا تحتفظ بكفاءاتها تواجه تكاليف مباشرة وغير مباشرة، منها تكلفة الاستقطاب، وفقدان المعرفة، وتأخر التسليم، وانخفاض الروح المعنوية لدى الباقين. وقد أظهرت دراسات في السياق السعودي علاقة بين الارتباط أو العوامل التنظيمية ونية ترك العمل في قطاعات مختلفة، مما يدعم الحاجة إلى اختبار النموذج في قطاع الاستشارات الهندسية (Alilyyani, 2022; Nassani et al. , 2021).</w:t>
      </w:r>
    </w:p>
    <w:p w14:paraId="29F50A4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من زاوية تحليلات الموارد البشرية، تمثل نية ترك العمل هدفًا مناسبًا للتحليل لأنها قابلة للتنبؤ نسبيًا من خلال بيانات الاستطلاعات والخصائص الوظيفية وسجلات العمل. إلا أن استخدام النماذج التنبؤية وحده لا يكفي؛ فالمطلوب أن يقترن التنبؤ بفهم أخلاقي وإداري للأسباب. فإذا أشارت البيانات إلى ارتفاع النية في فريق معين، فإن التدخل ينبغي أن يركز على ظروف العمل لا على معاقبة الأفراد أو تصنيفهم.</w:t>
      </w:r>
    </w:p>
    <w:p w14:paraId="3897A23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تتناول الدراسة الحالية نية ترك العمل بوصفها متغيرًا تابعًا يتأثر باستخدام تحليلات الموارد البشرية مباشرة وبالارتباط الوظيفي بصورة مباشرة، كما يتأثر بصورة غير مباشرة من خلال المسار الوسيط. ويعني ذلك أن انخفاض النية لا يتحقق فقط عبر معرفة من قد يغادر، بل عبر بناء بيئة تزيد ارتباط الأفراد بعملهم وتقلل دوافع المغادرة.</w:t>
      </w:r>
    </w:p>
    <w:p w14:paraId="2C367404" w14:textId="77777777" w:rsidR="00E61049" w:rsidRPr="00A21B0C" w:rsidRDefault="00BB6015" w:rsidP="00CA377D">
      <w:pPr>
        <w:pStyle w:val="Heading2"/>
        <w:jc w:val="left"/>
        <w:rPr>
          <w:rFonts w:asciiTheme="majorBidi" w:hAnsiTheme="majorBidi"/>
          <w:color w:val="auto"/>
          <w:sz w:val="22"/>
          <w:szCs w:val="22"/>
        </w:rPr>
      </w:pPr>
      <w:bookmarkStart w:id="17" w:name="_Toc236950052"/>
      <w:r w:rsidRPr="00A21B0C">
        <w:rPr>
          <w:rFonts w:asciiTheme="majorBidi" w:eastAsia="Traditional Arabic" w:hAnsiTheme="majorBidi"/>
          <w:color w:val="auto"/>
          <w:sz w:val="22"/>
          <w:szCs w:val="22"/>
          <w:rtl/>
        </w:rPr>
        <w:t>الأساس النظري</w:t>
      </w:r>
      <w:bookmarkEnd w:id="17"/>
    </w:p>
    <w:p w14:paraId="400D901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تستند الدراسة إلى أكثر من منظور نظري لتفسير العلاقات بين المتغيرات. ويعد الجمع بين النظريات ضروريًا لأن النموذج يربط بين ممارسة تنظيمية قائمة على البيانات، وحالة نفسية مهنية، واتجاه سلوكي نحو المغادرة. ولا تكفي نظرية واحدة لتفسير هذه المستويات جميعًا بصورة كاملة.</w:t>
      </w:r>
    </w:p>
    <w:p w14:paraId="635DF655"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تقدم نظرية مطالب وموارد العمل إطارًا مناسبًا لتفسير أثر تحليلات الموارد البشرية على الارتباط الوظيفي. فهذه النظرية ترى أن الموارد الوظيفية تعزز الدافعية والارتباط، بينما تزيد المطالب غير المتوازنة من الإجهاد. وإذا استخدمت التحليلات في فهم عبء العمل، وتحديد فجوات الدعم، وتحسين فرص التطوير، فإنها تصبح أداة لإعادة تصميم الموارد الوظيفية بطريقة تزيد الارتباط (Bakker &amp; Demerouti, 2017).</w:t>
      </w:r>
    </w:p>
    <w:p w14:paraId="26C00042"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كما تقدم نظرية التبادل الاجتماعي أساسًا لفهم رد فعل العاملين تجاه ممارسات الموارد البشرية. فالعاملون يميلون إلى مبادلة المعاملة التنظيمية الإيجابية بمواقف وسلوكيات إيجابية. فإذا أدركوا أن المنظمة تستخدم بياناتهم لتحسين العدالة والدعم والتطوير، فقد يستجيبون بارتباط أعلى ورغبة أقل في المغادرة. أما إذا أدركوا أن البيانات تستخدم للرقابة أو العقاب، فقد تتراجع الثقة وتزداد النية السلبية.</w:t>
      </w:r>
    </w:p>
    <w:p w14:paraId="2ED6B49A"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ويفيد منظور الإدارة القائمة على الأدلة في تفسير قيمة تحليلات الموارد البشرية. فالتحليلات لا تعد قيمة في ذاتها، بل لأنها تساعد المديرين على اتخاذ قرارات مبنية على بيانات دقيقة لا على الحدس وحده. وقد أوضح McCartney وFu (2022) أن أثر تحليلات الموارد البشرية على الأداء يمر عبر الإدارة القائمة على الأدلة، وهو منطق يمكن نقله إلى مخرجات أخرى مثل الارتباط والاستبقاء.</w:t>
      </w:r>
    </w:p>
    <w:p w14:paraId="7DDB3C8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نموذج الدوران الوظيفي فيوضح أن نية ترك العمل مرحلة سابقة للسلوك الفعلي، وتتأثر بتقييم العامل لتجربته وفرصه وبدائله. ويفيد هذا النموذج في وضع نية ترك العمل كمتغير تابع قابل للقياس قبل حدوث الاستقالة، كما ينسجم مع استخدام التحليلات في التدخل المبكر.</w:t>
      </w:r>
    </w:p>
    <w:p w14:paraId="5EAD026B"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بناء على ذلك، يمكن تصور العلاقة النظرية على النحو الآتي: استخدام تحليلات الموارد البشرية يساعد المنظمة على تحسين الموارد الوظيفية واتخاذ قرارات أكثر إنصافًا وملاءمة؛ هذه التحسينات ترفع الارتباط الوظيفي؛ وارتفاع الارتباط يقلل نية ترك العمل. وقد يوجد أيضًا أثر مباشر للتحليلات على النية عندما تستخدم لتحديد مخاطر الدوران وتصميم سياسات استبقاء فعالة.</w:t>
      </w:r>
    </w:p>
    <w:p w14:paraId="2E42AFE5" w14:textId="77777777" w:rsidR="00E61049" w:rsidRPr="00A21B0C" w:rsidRDefault="00BB6015" w:rsidP="00CA377D">
      <w:pPr>
        <w:pStyle w:val="Heading2"/>
        <w:jc w:val="left"/>
        <w:rPr>
          <w:rFonts w:asciiTheme="majorBidi" w:hAnsiTheme="majorBidi"/>
          <w:color w:val="auto"/>
          <w:sz w:val="22"/>
          <w:szCs w:val="22"/>
        </w:rPr>
      </w:pPr>
      <w:bookmarkStart w:id="18" w:name="_Toc236950053"/>
      <w:r w:rsidRPr="00A21B0C">
        <w:rPr>
          <w:rFonts w:asciiTheme="majorBidi" w:eastAsia="Traditional Arabic" w:hAnsiTheme="majorBidi"/>
          <w:color w:val="auto"/>
          <w:sz w:val="22"/>
          <w:szCs w:val="22"/>
          <w:rtl/>
        </w:rPr>
        <w:t>العلاقة بين المتغيرات</w:t>
      </w:r>
      <w:bookmarkEnd w:id="18"/>
    </w:p>
    <w:p w14:paraId="4F62A2AE"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تقوم العلاقة الأولى في النموذج على أثر تحليلات الموارد البشرية في الارتباط الوظيفي. فمن الناحية النظرية، يفترض أن التحليلات تساعد المنظمة على فهم احتياجات العاملين وتخصيص الموارد بصورة أفضل. فإذا أظهرت البيانات أن فئة معينة تحتاج إلى تدريب أو دعم أو تعديل في عبء العمل، فإن الاستجابة الإدارية قد تعزز شعور العاملين بالاهتمام والمعنى والعدالة، وهي عناصر قريبة من الارتباط.</w:t>
      </w:r>
    </w:p>
    <w:p w14:paraId="1607D9C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غير أن هذا الأثر ليس تلقائيًا؛ إذ يمكن أن تفشل التحليلات في رفع الارتباط إذا ظلت محصورة في الإدارة العليا أو استخدمت بلغة رقمية لا يفهمها العاملون. لذلك يتوقف أثر التحليلات على جودة التواصل وشفافية الاستخدام ومدى تحول النتائج إلى قرارات ملموسة. وفي هذا المعنى، فإن إدراك العاملين للتحليلات قد يكون أهم من وجودها التقني المجرد.</w:t>
      </w:r>
    </w:p>
    <w:p w14:paraId="463AAF1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العلاقة الثانية فتتمثل في أثر تحليلات الموارد البشرية على نية ترك العمل. فإذا استخدمت الشركة التحليلات في رصد مؤشرات الدوران، وفهم الفئات الأكثر عرضة للمغادرة، وتحديد العوامل التنظيمية المرتبطة بذلك، فمن المتوقع أن تتمكن من خفض النية من خلال تدخلات استباقية. وقد أظهرت الدراسات الحديثة أن نماذج البيانات يمكن أن تتنبأ بنية المغادرة وتفسر بعض محدداتها (Lazzari et al. , 2022).</w:t>
      </w:r>
    </w:p>
    <w:p w14:paraId="545AD7B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لكن استخدام التحليلات للتنبؤ بنية المغادرة قد يثير مخاطر أخلاقية إذا تعاملت المنظمة مع العاملين كحالات خطر بدلًا من التعامل مع أسباب الخطر. لذلك ينبغي أن توجه التحليلات نحو تحسين ظروف العمل لا نحو مراقبة الأفراد. وكلما شعر العاملون بأن البيانات تستخدم بصورة عادلة وداعمة، زادت احتمالية أن تنعكس على انخفاض نية المغادرة.</w:t>
      </w:r>
    </w:p>
    <w:p w14:paraId="3C13998C"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العلاقة الثالثة بين الارتباط الوظيفي ونية ترك العمل تعد من أكثر العلاقات رسوخًا في الأدبيات. فالعاملون المرتبطون بعملهم يميلون إلى الشعور بطاقة ومعنى، ويطورون ارتباطًا أقوى بالدور، وينخفض لديهم التفكير في ترك المنظمة. وقد دعمت دراسات في قطاعات متعددة هذا الاتجاه، بما فيها دراسات تناولت الدور الوسيط للارتباط بين ممارسات تنظيمية ونية المغادرة (Zhou et al. , 2022).</w:t>
      </w:r>
    </w:p>
    <w:p w14:paraId="56F65D8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العلاقة الرابعة هي الدور الوسيط للارتباط الوظيفي. ويفترض هذا الدور أن تحليلات الموارد البشرية تؤثر في نية ترك العمل من خلال تحسين الارتباط. وهذا يعني أن التحليلات ليست فقط أداة لتخفيض الدوران بطريقة مباشرة، بل أداة يمكن أن تعيد تشكيل تجربة العمل، فتجعل العامل أكثر حماسًا وتركيزًا واستعدادًا للاستمرار.</w:t>
      </w:r>
    </w:p>
    <w:p w14:paraId="44701EA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سياق شركات الاستشارات الهندسية، تبدو هذه العلاقة منطقية؛ لأن العامل قد لا يربط مباشرة بين وجود التحليلات ورغبته في البقاء، لكنه يلمس أثرها عندما تتحسن طريقة توزيع المشاريع، أو يصبح التدريب أكثر ملاءمة، أو تقل ضبابية تقييم الأداء، أو تظهر سياسات استبقاء موجهة للكفاءات. ومن ثم يعمل الارتباط كجسر بين الممارسة التحليلية والنية السلوكية.</w:t>
      </w:r>
    </w:p>
    <w:p w14:paraId="1C54AF22"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تستدعي العلاقة بين المتغيرات أيضًا مراعاة السياق الثقافي والتنظيمي. ففي بيئات العمل التي تتسم بمركزية القرار، قد لا تكون البيانات كافية لإقناع العاملين إذا لم تصاحبها مشاركة وتواصل. وفي الشركات المهنية، قد يتوقع العاملون أن تعكس القرارات فهمًا عميقًا لطبيعة العمل لا مجرد مؤشرات عامة. ولذلك تختبر الدراسة النموذج في سياق محدد بدل افتراض صلاحيته العامة لكل القطاعات.</w:t>
      </w:r>
    </w:p>
    <w:p w14:paraId="77CF633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بناء على ما سبق، يظهر أن العلاقة بين تحليلات الموارد البشرية ونية ترك العمل تمر عبر مسارات معرفية ونفسية وسلوكية. فالمعرفة الناتجة عن البيانات تتحول إلى قرارات، والقرارات تشكل تجربة العمل، وتجربة العمل تؤثر في الارتباط، والارتباط ينعكس على نية الاستمرار أو المغادرة.</w:t>
      </w:r>
    </w:p>
    <w:p w14:paraId="6A1F550E" w14:textId="77777777" w:rsidR="00E61049" w:rsidRPr="00A21B0C" w:rsidRDefault="00BB6015" w:rsidP="00CA377D">
      <w:pPr>
        <w:pStyle w:val="Heading2"/>
        <w:jc w:val="left"/>
        <w:rPr>
          <w:rFonts w:asciiTheme="majorBidi" w:hAnsiTheme="majorBidi"/>
          <w:color w:val="auto"/>
          <w:sz w:val="22"/>
          <w:szCs w:val="22"/>
        </w:rPr>
      </w:pPr>
      <w:bookmarkStart w:id="19" w:name="_Toc236950054"/>
      <w:r w:rsidRPr="00A21B0C">
        <w:rPr>
          <w:rFonts w:asciiTheme="majorBidi" w:eastAsia="Traditional Arabic" w:hAnsiTheme="majorBidi"/>
          <w:color w:val="auto"/>
          <w:sz w:val="22"/>
          <w:szCs w:val="22"/>
          <w:rtl/>
        </w:rPr>
        <w:t>الدراسات السابقة</w:t>
      </w:r>
      <w:bookmarkEnd w:id="19"/>
    </w:p>
    <w:p w14:paraId="4F0EECF3"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يمكن تنظيم الدراسات السابقة في هذا الموضوع حول أربعة مسارات تحليلية. المسار الأول يتناول نشأة تحليلات الموارد البشرية ومحددات تبنيها. والمسار الثاني يبحث أثر التحليلات في القرار والأداء. والمسار الثالث يركز على الارتباط الوظيفي وعلاقته بنية ترك العمل. أما المسار الرابع فيدمج التحليلات أو التحول الرقمي مع مخرجات سلوكية مثل الاستبقاء والنية بالمغادرة.</w:t>
      </w:r>
    </w:p>
    <w:p w14:paraId="0AA5119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المسار الأول، تقدم مراجعات Margherita (2022) وChhetri وزملاؤه (2024) وQamar وSamad (2022) صورة عامة عن تطور مجال تحليلات الموارد البشرية. وتشير هذه المراجعات إلى أن المجال لا يزال ناشئًا من حيث النماذج النظرية والقياس، وأن كثيرًا من الأدبيات تميل إلى الطابع المفاهيمي أو التطبيقي العام أكثر من اختبار علاقات سببية محددة على مستوى العاملين.</w:t>
      </w:r>
    </w:p>
    <w:p w14:paraId="79A0126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تظهر في هذا المسار أيضًا دراسات تبني التحليلات مثل Fernandez وGallardo-Gallardo (2021) وKalvakolanu وزملائه (2023)، إذ تركز على العوامل التي تساعد أو تعيق اعتماد التحليلات داخل وظيفة الموارد البشرية. وتفيد هذه الدراسات في توضيح أن التحليلات ليست مجرد أداة تقنية، بل ابتكار تنظيمي يحتاج إلى قبول المستخدمين والموارد والبنية والثقافة.</w:t>
      </w:r>
    </w:p>
    <w:p w14:paraId="0CF02AF5"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أما المسار الثاني فيوضح أثر تحليلات الموارد البشرية في الأداء والقرار. فقد قدم McCartney وFu (2022) نموذجًا يربط بين تقنية الموارد البشرية والتحليلات والإدارة القائمة على الأدلة والأداء التنظيمي. وتكمن قيمة هذه الدراسة في أنها لا تفترض أثرًا مباشرًا بسيطًا للتحليلات، بل تشرح آلية انتقال الأثر عبر القرار. وهذا المنطق قريب من الدراسة الحالية التي تفترض انتقال الأثر عبر الارتباط الوظيفي.</w:t>
      </w:r>
    </w:p>
    <w:p w14:paraId="74ACAB9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وتضيف دراسات مثل Madhani (2023) وMinbaeva (2018) أن قيمة تحليلات الموارد البشرية تعتمد على مصداقية البيانات وقدرة المنظمة على دمج التحليل في القرارات الاستراتيجية. ومن منظور نقدي، يشير Edwards وزملاؤه (2024) إلى أن المجال يواجه تحديات أخلاقية وسياسية؛ لأن البيانات المتعلقة بالعاملين قد تستخدم بطرق تؤثر في العدالة والثقة. وهذا البعد مهم عند ربط التحليلات بالارتباط ونية ترك العمل.</w:t>
      </w:r>
    </w:p>
    <w:p w14:paraId="1F3F3DE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المسار الثالث، تؤكد دراسات الارتباط الوظيفي أن الارتباط يرتبط بانخفاض نية المغادرة. فقد أسس Kahn (1990) المفهوم من منظور الحضور النفسي، ثم طور Saks (2006) نموذجًا يربط الارتباط بمخرجات مثل الرضا والالتزام ونية ترك العمل. كما قدمت نظرية مطالب وموارد العمل تفسيرًا قويًا لدور الموارد في خلق الارتباط (Bakker &amp; Demerouti, 2017).</w:t>
      </w:r>
    </w:p>
    <w:p w14:paraId="5836D1E9"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وتدعم الدراسات الحديثة هذا الاتجاه في سياقات متنوعة. فقد وجدت دراسة Zhou وزملائه (2022) أن الارتباط الوظيفي يتوسط أثر العدالة التنظيمية على نية ترك العمل لدى الممرضين في سياق جائحة كورونا. وتظهر أهمية هذه الدراسة في تأكيد الدور الوسيط للارتباط بين ممارسة أو إدراك تنظيمي من جهة ونية المغادرة من جهة أخرى.</w:t>
      </w:r>
    </w:p>
    <w:p w14:paraId="4A1FAF4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كما تشير أدبيات نموذج مطالب وموارد العمل إلى أن أثر الارتباط في نية ترك العمل لا ينشأ من الحماس وحده، بل من جودة الموارد التي تسمح بتحويل الطاقة النفسية إلى أداء مستدام وبقاء تنظيمي (Bakker &amp; Demerouti, 2017). ومن ثم فالارتباط ليس مجرد متغير كلما زاد تحسن كل شيء بالضرورة، بل يجب أن يقترن ببيئة عمل صحية وموارد مناسبة حتى يكون عامل استبقاء حقيقي.</w:t>
      </w:r>
    </w:p>
    <w:p w14:paraId="3C955778"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السياق السعودي، تشير دراسات مثل Alilyyani (2022) إلى ارتباط القيادة والسلامة النفسية والارتباط بمخرجات مثل نية ترك العمل في القطاع الصحي. كما تناول Nassani وزملاؤه (2021) علاقة الرضا والاحتراق والارتباط بنية ترك العمل لدى موظفي القطاع الخاص في الرياض. ورغم اختلاف القطاعات، تقدم هذه الدراسات مؤشرًا على أهمية الارتباط ونية ترك العمل في البيئة السعودية.</w:t>
      </w:r>
    </w:p>
    <w:p w14:paraId="48497467"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وفي مسار التحول الرقمي، تقدم دراسة Dukhaykh وزملائها (2026) مثالًا حديثًا من المملكة العربية السعودية يربط التحول الرقمي بنية ترك العمل عبر الارتباط الوظيفي. ورغم أن متغير التحول الرقمي ليس مطابقًا لتحليلات الموارد البشرية، إلا أن الدراسة تدعم فكرة أن التقنيات الإدارية لا تؤثر في نية المغادرة إلا من خلال تجربة الموظف وارتباطه.</w:t>
      </w:r>
    </w:p>
    <w:p w14:paraId="45037D2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الدراسات المتعلقة بالتنبؤ بنية ترك العمل باستخدام البيانات، فتبرز فيها دراسة Lazzari وزملائه (2022) التي استخدمت نماذج تعلم آلي وتفسيرية لفهم نية ترك العمل. وتفيد هذه الدراسة في بيان أن البيانات يمكن أن تكشف أنماطًا مهمة، لكنها لا تلغي الحاجة إلى إطار نظري يشرح لماذا ترتبط بعض العوامل بالنية.</w:t>
      </w:r>
    </w:p>
    <w:p w14:paraId="31E4B33C"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عند تحليل هذه الدراسات مجتمعة يظهر أن الأدبيات وفرت معرفة جيدة حول كل متغير على حدة، لكنها أقل وضوحًا في اختبار نموذج يجمع استخدام تحليلات الموارد البشرية والارتباط الوظيفي ونية ترك العمل داخل سياق مهني هندسي في المملكة. كما أن معظم دراسات التحليلات ركزت على الأداء أو التبني، بينما ركزت دراسات نية المغادرة على عوامل نفسية أو قيادية تقليدية، مما يفتح مجالًا للدراسة الحالية.</w:t>
      </w:r>
    </w:p>
    <w:p w14:paraId="2DBCC084" w14:textId="77777777" w:rsidR="00E61049" w:rsidRPr="00A21B0C" w:rsidRDefault="00BB6015" w:rsidP="00CA377D">
      <w:pPr>
        <w:pStyle w:val="Heading2"/>
        <w:jc w:val="left"/>
        <w:rPr>
          <w:rFonts w:asciiTheme="majorBidi" w:hAnsiTheme="majorBidi"/>
          <w:color w:val="auto"/>
          <w:sz w:val="22"/>
          <w:szCs w:val="22"/>
        </w:rPr>
      </w:pPr>
      <w:bookmarkStart w:id="20" w:name="_Toc236950055"/>
      <w:r w:rsidRPr="00A21B0C">
        <w:rPr>
          <w:rFonts w:asciiTheme="majorBidi" w:eastAsia="Traditional Arabic" w:hAnsiTheme="majorBidi"/>
          <w:color w:val="auto"/>
          <w:sz w:val="22"/>
          <w:szCs w:val="22"/>
          <w:rtl/>
        </w:rPr>
        <w:t>الفجوة البحثية</w:t>
      </w:r>
      <w:bookmarkEnd w:id="20"/>
    </w:p>
    <w:p w14:paraId="3D3258E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تتمثل الفجوة الأولى في ندرة الدراسات التي تختبر أثر استخدام تحليلات الموارد البشرية على نية ترك العمل بوصفها مخرجًا سلوكيًا على مستوى العاملين. فكثير من أدبيات التحليلات ركزت على الأداء التنظيمي، أو تبني التقنية، أو بناء القدرات التحليلية، بينما بقيت مخرجات الاستبقاء والنية السلوكية أقل حضورًا في النماذج التجريبية.</w:t>
      </w:r>
    </w:p>
    <w:p w14:paraId="4F8869C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وتتمثل الفجوة الثانية في محدودية الدراسات التي تفسر آلية انتقال أثر التحليلات إلى نية ترك العمل. فوجود علاقة مباشرة بين التحليلات والاستبقاء لا يوضح بالضرورة كيف يحدث الأثر. وتقترح الدراسة الحالية أن الارتباط الوظيفي قد يكون آلية وسيطة؛ لأن العامل لا يستجيب للتحليلات ذاتها، بل يستجيب لما تحدثه من تحسين في الموارد والعدالة والدعم وتجربة العمل.</w:t>
      </w:r>
    </w:p>
    <w:p w14:paraId="3F4FFB4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الفجوة الثالثة فتتعلق بالسياق. فالدراسات المتاحة في السعودية تناولت الارتباط أو نية ترك العمل في قطاعات مثل الصحة أو السياحة أو القطاع الخاص العام، لكنها لم تركز بصورة كافية على شركات الاستشارات الهندسية. وهذا القطاع له خصوصية واضحة من حيث الاعتماد على المعرفة، والعمل بالمشاريع، وضغط المواعيد، والتنافس على الكفاءات الفنية.</w:t>
      </w:r>
    </w:p>
    <w:p w14:paraId="7A67746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وتتعلق الفجوة الرابعة باللغة والمعرفة العربية في مجال تحليلات الموارد البشرية. فالمصطلح لا يزال حديثًا في الأدبيات العربية، وغالبًا ما يطرح بصورة وصفية أو تدريبية. ومن ثم فإن دراسة عربية أكاديمية تربط التحليلات بنموذج سلوكي قابل للاختبار يمكن أن تضيف إلى تراكم المعرفة المحلية.</w:t>
      </w:r>
    </w:p>
    <w:p w14:paraId="6DEAB58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كما توجد فجوة عملية في كيفية توجيه إدارات الموارد البشرية لاستخدام البيانات في الاستبقاء. فبعض الشركات قد تقيس الدوران بعد وقوعه، وبعضها قد ينتج تقارير دورية لا تتحول إلى قرارات. وتساعد الدراسة الحالية على تحويل النقاش من السؤال: كم تركوا العمل؟ إلى السؤال: كيف يمكن للبيانات أن تعزز ارتباط العاملين وتخفض نيتهم بالمغادرة؟</w:t>
      </w:r>
    </w:p>
    <w:p w14:paraId="60427812" w14:textId="77777777" w:rsidR="00E61049" w:rsidRPr="00A21B0C" w:rsidRDefault="00BB6015" w:rsidP="00CA377D">
      <w:pPr>
        <w:pStyle w:val="Heading2"/>
        <w:jc w:val="left"/>
        <w:rPr>
          <w:rFonts w:asciiTheme="majorBidi" w:hAnsiTheme="majorBidi"/>
          <w:color w:val="auto"/>
          <w:sz w:val="22"/>
          <w:szCs w:val="22"/>
        </w:rPr>
      </w:pPr>
      <w:bookmarkStart w:id="21" w:name="_Toc236950056"/>
      <w:r w:rsidRPr="00A21B0C">
        <w:rPr>
          <w:rFonts w:asciiTheme="majorBidi" w:eastAsia="Traditional Arabic" w:hAnsiTheme="majorBidi"/>
          <w:color w:val="auto"/>
          <w:sz w:val="22"/>
          <w:szCs w:val="22"/>
          <w:rtl/>
        </w:rPr>
        <w:t>الإطار المفاهيمي</w:t>
      </w:r>
      <w:bookmarkEnd w:id="21"/>
    </w:p>
    <w:p w14:paraId="710532C3"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يقترح الإطار المفاهيمي للدراسة أن استخدام تحليلات الموارد البشرية يمثل المتغير المستقل، وأن نية ترك العمل تمثل المتغير التابع، بينما يمثل الارتباط الوظيفي المتغير الوسيط. ويتوقع النموذج أن يؤدي ارتفاع استخدام التحليلات إلى ارتفاع الارتباط الوظيفي، وأن يؤدي ارتفاع الارتباط إلى انخفاض نية ترك العمل، مع احتمال وجود أثر مباشر سلبي للتحليلات على النية.</w:t>
      </w:r>
    </w:p>
    <w:p w14:paraId="6F79561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يعكس هذا الإطار منطقًا إداريًا ونفسيًا في الوقت نفسه. فمنطق الإدارة يقول إن البيانات تساعد على تحسين القرار، ومنطق السلوك التنظيمي يقول إن القرارات والممارسات تؤثر في إدراك العاملين وارتباطهم، ثم ينعكس هذا الإدراك على نيتهم في البقاء أو المغادرة. وبذلك يجمع النموذج بين القدرة التحليلية والتجربة الوظيفية والنتيجة السلوكية.</w:t>
      </w:r>
    </w:p>
    <w:p w14:paraId="1CE82532"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في التطبيق الميداني، يمكن قياس استخدام تحليلات الموارد البشرية من خلال أبعاد مثل استخدام البيانات في التخطيط، وتحليل الأداء، وتحديد احتياجات التدريب، ومتابعة مؤشرات الارتباط والدوران، وتصميم سياسات استبقاء. ويمكن قياس الارتباط الوظيفي من خلال الحيوية والتفاني والاندماج. أما نية ترك العمل فيمكن قياسها من خلال التفكير في المغادرة والبحث عن بدائل واحتمال ترك المنظمة.</w:t>
      </w:r>
    </w:p>
    <w:p w14:paraId="10E7A03F"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يتوقع النموذج أن يكون الارتباط وسيطًا جزئيًا لا كليًا بالضرورة. فقد تؤثر التحليلات مباشرة في نية ترك العمل عبر سياسات استبقاء أو تعديلات في الأجور أو المسارات المهنية، وقد تؤثر بصورة غير مباشرة عبر زيادة الارتباط. وهذا التصور يتيح اختبارًا أكثر مرونة من افتراض مسار واحد مغلق.</w:t>
      </w:r>
    </w:p>
    <w:p w14:paraId="20FB436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ويمكن تمثيل الإطار المفاهيمي نصيًا على النحو الآتي: استخدام تحليلات الموارد البشرية يؤدي إلى تعزيز الارتباط الوظيفي، والارتباط الوظيفي يؤدي إلى خفض نية ترك العمل، كما أن استخدام تحليلات الموارد البشرية قد يؤدي مباشرة إلى خفض نية ترك العمل. وسيجري اختبار هذه العلاقات في الفصل الميداني باستخدام أسلوب إحصائي مناسب لنموذج الوساطة.</w:t>
      </w:r>
    </w:p>
    <w:p w14:paraId="62551723" w14:textId="77777777" w:rsidR="00E61049" w:rsidRPr="00A21B0C" w:rsidRDefault="00BB6015" w:rsidP="00CA377D">
      <w:pPr>
        <w:pStyle w:val="CaptionArabic"/>
        <w:jc w:val="left"/>
        <w:rPr>
          <w:rFonts w:asciiTheme="majorBidi" w:hAnsiTheme="majorBidi" w:cstheme="majorBidi"/>
          <w:color w:val="auto"/>
          <w:sz w:val="22"/>
        </w:rPr>
      </w:pPr>
      <w:r w:rsidRPr="00A21B0C">
        <w:rPr>
          <w:rFonts w:asciiTheme="majorBidi" w:hAnsiTheme="majorBidi" w:cstheme="majorBidi"/>
          <w:color w:val="auto"/>
          <w:sz w:val="22"/>
          <w:rtl/>
        </w:rPr>
        <w:t xml:space="preserve">شكل </w:t>
      </w:r>
      <w:r w:rsidRPr="00A21B0C">
        <w:rPr>
          <w:rFonts w:asciiTheme="majorBidi" w:hAnsiTheme="majorBidi" w:cstheme="majorBidi"/>
          <w:color w:val="auto"/>
          <w:sz w:val="22"/>
          <w:rtl/>
        </w:rPr>
        <w:fldChar w:fldCharType="begin"/>
      </w:r>
      <w:r w:rsidRPr="00A21B0C">
        <w:rPr>
          <w:rFonts w:asciiTheme="majorBidi" w:hAnsiTheme="majorBidi" w:cstheme="majorBidi"/>
          <w:color w:val="auto"/>
          <w:sz w:val="22"/>
          <w:rtl/>
        </w:rPr>
        <w:instrText xml:space="preserve"> SEQ Figure \* ARABIC </w:instrText>
      </w:r>
      <w:r w:rsidRPr="00A21B0C">
        <w:rPr>
          <w:rFonts w:asciiTheme="majorBidi" w:hAnsiTheme="majorBidi" w:cstheme="majorBidi"/>
          <w:color w:val="auto"/>
          <w:sz w:val="22"/>
          <w:rtl/>
        </w:rPr>
        <w:fldChar w:fldCharType="separate"/>
      </w:r>
      <w:r w:rsidR="00CA377D" w:rsidRPr="00A21B0C">
        <w:rPr>
          <w:rFonts w:asciiTheme="majorBidi" w:hAnsiTheme="majorBidi" w:cstheme="majorBidi"/>
          <w:noProof/>
          <w:color w:val="auto"/>
          <w:sz w:val="22"/>
          <w:rtl/>
        </w:rPr>
        <w:t>1</w:t>
      </w:r>
      <w:r w:rsidRPr="00A21B0C">
        <w:rPr>
          <w:rFonts w:asciiTheme="majorBidi" w:hAnsiTheme="majorBidi" w:cstheme="majorBidi"/>
          <w:color w:val="auto"/>
          <w:sz w:val="22"/>
          <w:rtl/>
        </w:rPr>
        <w:fldChar w:fldCharType="end"/>
      </w:r>
      <w:r w:rsidRPr="00A21B0C">
        <w:rPr>
          <w:rFonts w:asciiTheme="majorBidi" w:hAnsiTheme="majorBidi" w:cstheme="majorBidi"/>
          <w:color w:val="auto"/>
          <w:sz w:val="22"/>
          <w:rtl/>
        </w:rPr>
        <w:t>. الإطار المفاهيمي المقترح للدراسة</w:t>
      </w:r>
    </w:p>
    <w:p w14:paraId="7565825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b/>
          <w:color w:val="auto"/>
          <w:sz w:val="22"/>
          <w:rtl/>
        </w:rPr>
        <w:t>استخدام تحليلات الموارد البشرية  -&gt;  الارتباط الوظيفي  -&gt;  نية ترك العمل</w:t>
      </w:r>
    </w:p>
    <w:p w14:paraId="524526C8" w14:textId="77777777" w:rsidR="00E61049" w:rsidRPr="00A21B0C" w:rsidRDefault="00BB6015" w:rsidP="00CA377D">
      <w:pPr>
        <w:pStyle w:val="CaptionArabic"/>
        <w:jc w:val="left"/>
        <w:rPr>
          <w:rFonts w:asciiTheme="majorBidi" w:hAnsiTheme="majorBidi" w:cstheme="majorBidi"/>
          <w:color w:val="auto"/>
          <w:sz w:val="22"/>
        </w:rPr>
      </w:pPr>
      <w:r w:rsidRPr="00A21B0C">
        <w:rPr>
          <w:rFonts w:asciiTheme="majorBidi" w:hAnsiTheme="majorBidi" w:cstheme="majorBidi"/>
          <w:color w:val="auto"/>
          <w:sz w:val="22"/>
          <w:rtl/>
        </w:rPr>
        <w:t xml:space="preserve">جدول </w:t>
      </w:r>
      <w:r w:rsidRPr="00A21B0C">
        <w:rPr>
          <w:rFonts w:asciiTheme="majorBidi" w:hAnsiTheme="majorBidi" w:cstheme="majorBidi"/>
          <w:color w:val="auto"/>
          <w:sz w:val="22"/>
          <w:rtl/>
        </w:rPr>
        <w:fldChar w:fldCharType="begin"/>
      </w:r>
      <w:r w:rsidRPr="00A21B0C">
        <w:rPr>
          <w:rFonts w:asciiTheme="majorBidi" w:hAnsiTheme="majorBidi" w:cstheme="majorBidi"/>
          <w:color w:val="auto"/>
          <w:sz w:val="22"/>
          <w:rtl/>
        </w:rPr>
        <w:instrText xml:space="preserve"> SEQ Table \* ARABIC </w:instrText>
      </w:r>
      <w:r w:rsidRPr="00A21B0C">
        <w:rPr>
          <w:rFonts w:asciiTheme="majorBidi" w:hAnsiTheme="majorBidi" w:cstheme="majorBidi"/>
          <w:color w:val="auto"/>
          <w:sz w:val="22"/>
          <w:rtl/>
        </w:rPr>
        <w:fldChar w:fldCharType="separate"/>
      </w:r>
      <w:r w:rsidR="00CA377D" w:rsidRPr="00A21B0C">
        <w:rPr>
          <w:rFonts w:asciiTheme="majorBidi" w:hAnsiTheme="majorBidi" w:cstheme="majorBidi"/>
          <w:noProof/>
          <w:color w:val="auto"/>
          <w:sz w:val="22"/>
          <w:rtl/>
        </w:rPr>
        <w:t>2</w:t>
      </w:r>
      <w:r w:rsidRPr="00A21B0C">
        <w:rPr>
          <w:rFonts w:asciiTheme="majorBidi" w:hAnsiTheme="majorBidi" w:cstheme="majorBidi"/>
          <w:color w:val="auto"/>
          <w:sz w:val="22"/>
          <w:rtl/>
        </w:rPr>
        <w:fldChar w:fldCharType="end"/>
      </w:r>
      <w:r w:rsidRPr="00A21B0C">
        <w:rPr>
          <w:rFonts w:asciiTheme="majorBidi" w:hAnsiTheme="majorBidi" w:cstheme="majorBidi"/>
          <w:color w:val="auto"/>
          <w:sz w:val="22"/>
          <w:rtl/>
        </w:rPr>
        <w:t>. ملخص العلاقات المقترحة في الإطار المفاهيمي</w:t>
      </w:r>
    </w:p>
    <w:tbl>
      <w:tblPr>
        <w:tblW w:w="9360"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100" w:type="dxa"/>
          <w:left w:w="140" w:type="dxa"/>
          <w:bottom w:w="100" w:type="dxa"/>
          <w:right w:w="140" w:type="dxa"/>
        </w:tblCellMar>
        <w:tblLook w:val="04A0" w:firstRow="1" w:lastRow="0" w:firstColumn="1" w:lastColumn="0" w:noHBand="0" w:noVBand="1"/>
      </w:tblPr>
      <w:tblGrid>
        <w:gridCol w:w="3000"/>
        <w:gridCol w:w="1800"/>
        <w:gridCol w:w="4560"/>
      </w:tblGrid>
      <w:tr w:rsidR="00E61049" w:rsidRPr="00A21B0C" w14:paraId="5FA6043C" w14:textId="77777777">
        <w:trPr>
          <w:jc w:val="right"/>
        </w:trPr>
        <w:tc>
          <w:tcPr>
            <w:tcW w:w="3000" w:type="dxa"/>
            <w:shd w:val="clear" w:color="auto" w:fill="F2F4F7"/>
            <w:vAlign w:val="center"/>
          </w:tcPr>
          <w:p w14:paraId="41ED99E7"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b/>
                <w:color w:val="auto"/>
                <w:sz w:val="22"/>
                <w:rtl/>
              </w:rPr>
              <w:t>المسار</w:t>
            </w:r>
          </w:p>
        </w:tc>
        <w:tc>
          <w:tcPr>
            <w:tcW w:w="1800" w:type="dxa"/>
            <w:shd w:val="clear" w:color="auto" w:fill="F2F4F7"/>
            <w:vAlign w:val="center"/>
          </w:tcPr>
          <w:p w14:paraId="53360530"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b/>
                <w:color w:val="auto"/>
                <w:sz w:val="22"/>
                <w:rtl/>
              </w:rPr>
              <w:t>الاتجاه المتوقع</w:t>
            </w:r>
          </w:p>
        </w:tc>
        <w:tc>
          <w:tcPr>
            <w:tcW w:w="4560" w:type="dxa"/>
            <w:shd w:val="clear" w:color="auto" w:fill="F2F4F7"/>
            <w:vAlign w:val="center"/>
          </w:tcPr>
          <w:p w14:paraId="5A71ED36"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b/>
                <w:color w:val="auto"/>
                <w:sz w:val="22"/>
                <w:rtl/>
              </w:rPr>
              <w:t>التفسير النظري</w:t>
            </w:r>
          </w:p>
        </w:tc>
      </w:tr>
      <w:tr w:rsidR="00E61049" w:rsidRPr="00A21B0C" w14:paraId="6017D755" w14:textId="77777777">
        <w:trPr>
          <w:jc w:val="right"/>
        </w:trPr>
        <w:tc>
          <w:tcPr>
            <w:tcW w:w="3000" w:type="dxa"/>
            <w:vAlign w:val="center"/>
          </w:tcPr>
          <w:p w14:paraId="7EFD66E8"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تحليلات الموارد البشرية -&gt; الارتباط الوظيفي</w:t>
            </w:r>
          </w:p>
        </w:tc>
        <w:tc>
          <w:tcPr>
            <w:tcW w:w="1800" w:type="dxa"/>
            <w:vAlign w:val="center"/>
          </w:tcPr>
          <w:p w14:paraId="5A61CED0"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إيجابي</w:t>
            </w:r>
          </w:p>
        </w:tc>
        <w:tc>
          <w:tcPr>
            <w:tcW w:w="4560" w:type="dxa"/>
            <w:vAlign w:val="center"/>
          </w:tcPr>
          <w:p w14:paraId="7547D734"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التحليلات تحسن فهم الاحتياجات وتوجيه الموارد الوظيفية.</w:t>
            </w:r>
          </w:p>
        </w:tc>
      </w:tr>
      <w:tr w:rsidR="00E61049" w:rsidRPr="00A21B0C" w14:paraId="2D3DB502" w14:textId="77777777">
        <w:trPr>
          <w:jc w:val="right"/>
        </w:trPr>
        <w:tc>
          <w:tcPr>
            <w:tcW w:w="3000" w:type="dxa"/>
            <w:vAlign w:val="center"/>
          </w:tcPr>
          <w:p w14:paraId="0DACB205"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تحليلات الموارد البشرية -&gt; نية ترك العمل</w:t>
            </w:r>
          </w:p>
        </w:tc>
        <w:tc>
          <w:tcPr>
            <w:tcW w:w="1800" w:type="dxa"/>
            <w:vAlign w:val="center"/>
          </w:tcPr>
          <w:p w14:paraId="35363100"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سلبي</w:t>
            </w:r>
          </w:p>
        </w:tc>
        <w:tc>
          <w:tcPr>
            <w:tcW w:w="4560" w:type="dxa"/>
            <w:vAlign w:val="center"/>
          </w:tcPr>
          <w:p w14:paraId="7B0295E7"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التحليلات تساعد على التدخل المبكر ومعالجة عوامل الدوران.</w:t>
            </w:r>
          </w:p>
        </w:tc>
      </w:tr>
      <w:tr w:rsidR="00E61049" w:rsidRPr="00A21B0C" w14:paraId="44313D44" w14:textId="77777777">
        <w:trPr>
          <w:jc w:val="right"/>
        </w:trPr>
        <w:tc>
          <w:tcPr>
            <w:tcW w:w="3000" w:type="dxa"/>
            <w:vAlign w:val="center"/>
          </w:tcPr>
          <w:p w14:paraId="3355CB65"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الارتباط الوظيفي -&gt; نية ترك العمل</w:t>
            </w:r>
          </w:p>
        </w:tc>
        <w:tc>
          <w:tcPr>
            <w:tcW w:w="1800" w:type="dxa"/>
            <w:vAlign w:val="center"/>
          </w:tcPr>
          <w:p w14:paraId="7D68A7F9"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سلبي</w:t>
            </w:r>
          </w:p>
        </w:tc>
        <w:tc>
          <w:tcPr>
            <w:tcW w:w="4560" w:type="dxa"/>
            <w:vAlign w:val="center"/>
          </w:tcPr>
          <w:p w14:paraId="3300E3D5"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الارتباط يزيد المعنى والطاقة والرغبة في الاستمرار.</w:t>
            </w:r>
          </w:p>
        </w:tc>
      </w:tr>
      <w:tr w:rsidR="00E61049" w:rsidRPr="00A21B0C" w14:paraId="5B8CC795" w14:textId="77777777">
        <w:trPr>
          <w:jc w:val="right"/>
        </w:trPr>
        <w:tc>
          <w:tcPr>
            <w:tcW w:w="3000" w:type="dxa"/>
            <w:vAlign w:val="center"/>
          </w:tcPr>
          <w:p w14:paraId="30084035"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تحليلات الموارد البشرية -&gt; الارتباط الوظيفي -&gt; نية ترك العمل</w:t>
            </w:r>
          </w:p>
        </w:tc>
        <w:tc>
          <w:tcPr>
            <w:tcW w:w="1800" w:type="dxa"/>
            <w:vAlign w:val="center"/>
          </w:tcPr>
          <w:p w14:paraId="4793F750"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وساطة</w:t>
            </w:r>
          </w:p>
        </w:tc>
        <w:tc>
          <w:tcPr>
            <w:tcW w:w="4560" w:type="dxa"/>
            <w:vAlign w:val="center"/>
          </w:tcPr>
          <w:p w14:paraId="12838B89" w14:textId="77777777" w:rsidR="00E61049" w:rsidRPr="00A21B0C" w:rsidRDefault="00BB6015" w:rsidP="00CA377D">
            <w:pPr>
              <w:pStyle w:val="TableTextArabic"/>
              <w:jc w:val="left"/>
              <w:rPr>
                <w:rFonts w:asciiTheme="majorBidi" w:hAnsiTheme="majorBidi" w:cstheme="majorBidi"/>
                <w:color w:val="auto"/>
                <w:sz w:val="22"/>
              </w:rPr>
            </w:pPr>
            <w:r w:rsidRPr="00A21B0C">
              <w:rPr>
                <w:rFonts w:asciiTheme="majorBidi" w:hAnsiTheme="majorBidi" w:cstheme="majorBidi"/>
                <w:color w:val="auto"/>
                <w:sz w:val="22"/>
                <w:rtl/>
              </w:rPr>
              <w:t>الارتباط ينقل أثر التحليلات إلى نية المغادرة.</w:t>
            </w:r>
          </w:p>
        </w:tc>
      </w:tr>
    </w:tbl>
    <w:p w14:paraId="42D17D8A" w14:textId="77777777" w:rsidR="00E61049" w:rsidRPr="00A21B0C" w:rsidRDefault="00BB6015" w:rsidP="00CA377D">
      <w:pPr>
        <w:pStyle w:val="Heading2"/>
        <w:jc w:val="left"/>
        <w:rPr>
          <w:rFonts w:asciiTheme="majorBidi" w:hAnsiTheme="majorBidi"/>
          <w:color w:val="auto"/>
          <w:sz w:val="22"/>
          <w:szCs w:val="22"/>
        </w:rPr>
      </w:pPr>
      <w:bookmarkStart w:id="22" w:name="_Toc236950057"/>
      <w:r w:rsidRPr="00A21B0C">
        <w:rPr>
          <w:rFonts w:asciiTheme="majorBidi" w:eastAsia="Traditional Arabic" w:hAnsiTheme="majorBidi"/>
          <w:color w:val="auto"/>
          <w:sz w:val="22"/>
          <w:szCs w:val="22"/>
          <w:rtl/>
        </w:rPr>
        <w:t>تطوير الفرضيات</w:t>
      </w:r>
      <w:bookmarkEnd w:id="22"/>
    </w:p>
    <w:p w14:paraId="79C9EBE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تنطلق الفرضية الأولى من أن استخدام تحليلات الموارد البشرية يرتبط إيجابيًا بالارتباط الوظيفي. فالتحليلات تساعد المنظمة على فهم حاجات العاملين وتوجيه الموارد بطريقة أدق، وهو ما قد يزيد شعورهم بالدعم والعدالة ووضوح القرار. وتنسجم هذه الفرضية مع نظرية مطالب وموارد العمل التي تؤكد أن الموارد التنظيمية تعزز الارتباط (Bakker &amp; Demerouti, 2017).</w:t>
      </w:r>
    </w:p>
    <w:p w14:paraId="526ADAEC"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lastRenderedPageBreak/>
        <w:t>وتنص الفرضية الثانية على أن استخدام تحليلات الموارد البشرية يرتبط سلبيًا بنية ترك العمل. ويستند ذلك إلى أن التحليلات توفر إنذارًا مبكرًا حول عوامل الدوران وتساعد على تصميم تدخلات استبقاء، مثل تحسين المسار المهني أو تعديل عبء العمل أو دعم الفئات الأكثر عرضة للمغادرة. وتدعم دراسات التنبؤ بالدوران أهمية البيانات في فهم النية السلوكية (Lazzari et al. , 2022).</w:t>
      </w:r>
    </w:p>
    <w:p w14:paraId="685D74F6"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وتنص الفرضية الثالثة على أن الارتباط الوظيفي يرتبط سلبيًا بنية ترك العمل. فالعاملون الأكثر ارتباطًا يميلون إلى رؤية قيمة أكبر في عملهم وإلى استثمار طاقة أعلى في أدوارهم، مما يقلل احتمالية التفكير في المغادرة. وقد دعمت أدبيات الارتباط هذا المسار في أكثر من سياق تنظيمي (Saks, 2006; Zhou et al. , 2022).</w:t>
      </w:r>
    </w:p>
    <w:p w14:paraId="645CEA6A"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أما الفرضية الرابعة فتتعلق بالدور الوسيط للارتباط الوظيفي. فإذا كان استخدام التحليلات يحسن إدراك العاملين للموارد والدعم والعدالة، فإن ذلك يرفع ارتباطهم، ومن ثم يخفض نية ترك العمل. وبذلك لا يكون الارتباط مجرد متغير إضافي، بل آلية تفسيرية تربط بين ممارسة إدارية قائمة على البيانات ونتيجة سلوكية ذات أهمية استراتيجية.</w:t>
      </w:r>
    </w:p>
    <w:p w14:paraId="5B99D7AC"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تساعد هذه الفرضيات على تحويل الإطار النظري إلى نموذج قابل للاختبار. كما أنها تسمح بمناقشة النتائج لاحقًا بطريقة تربط بين الأدبيات الحديثة والواقع العملي في شركات الاستشارات الهندسية، بدل الاكتفاء بوصف مستويات المتغيرات.</w:t>
      </w:r>
    </w:p>
    <w:p w14:paraId="37F3C24B" w14:textId="77777777" w:rsidR="00E61049" w:rsidRPr="00A21B0C" w:rsidRDefault="00BB6015" w:rsidP="00CA377D">
      <w:pPr>
        <w:pStyle w:val="Heading2"/>
        <w:jc w:val="left"/>
        <w:rPr>
          <w:rFonts w:asciiTheme="majorBidi" w:hAnsiTheme="majorBidi"/>
          <w:color w:val="auto"/>
          <w:sz w:val="22"/>
          <w:szCs w:val="22"/>
        </w:rPr>
      </w:pPr>
      <w:bookmarkStart w:id="23" w:name="_Toc236950058"/>
      <w:r w:rsidRPr="00A21B0C">
        <w:rPr>
          <w:rFonts w:asciiTheme="majorBidi" w:eastAsia="Traditional Arabic" w:hAnsiTheme="majorBidi"/>
          <w:color w:val="auto"/>
          <w:sz w:val="22"/>
          <w:szCs w:val="22"/>
          <w:rtl/>
        </w:rPr>
        <w:t>ملخص الفصل</w:t>
      </w:r>
      <w:bookmarkEnd w:id="23"/>
    </w:p>
    <w:p w14:paraId="1D7184CD"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عرض هذا الفصل الإطار النظري والدراسات السابقة المرتبطة بمتغيرات الدراسة. وقد بين أن تحليلات الموارد البشرية تمثل ممارسة تنظيمية قائمة على البيانات، لكنها لا تحقق قيمتها إلا عندما ترتبط بالقرار والسياق والثقة والأخلاق. كما أوضح أن الارتباط الوظيفي يمثل حالة نفسية نشطة تتكون من الحيوية والتفاني والاندماج، وأن نية ترك العمل تعد مؤشرًا سابقًا مهمًا للدوران الفعلي.</w:t>
      </w:r>
    </w:p>
    <w:p w14:paraId="27005FE0"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كما ناقش الفصل الأسس النظرية التي تفسر العلاقة بين المتغيرات، وعلى رأسها نظرية مطالب وموارد العمل، ونظرية التبادل الاجتماعي، ومنظور الإدارة القائمة على الأدلة، ونموذج الدوران الوظيفي. وتوضح هذه النظريات أن التحليلات يمكن أن تؤثر في بيئة العمل ومواردها، وأن العاملين يستجيبون لهذه الموارد من خلال ارتباط أعلى ونية أقل للمغادرة.</w:t>
      </w:r>
    </w:p>
    <w:p w14:paraId="546ADF14"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أظهرت مراجعة الدراسات السابقة أن الأدبيات الحديثة قدمت معرفة واسعة حول تحليلات الموارد البشرية والارتباط ونية ترك العمل، لكنها لا تزال بحاجة إلى نماذج تطبيقية تختبر العلاقة بين هذه المتغيرات في قطاعات مهنية محددة. وتبرز هنا فجوة الدراسة الحالية في تركيزها على شركات الاستشارات الهندسية في المملكة العربية السعودية وعلى الدور الوسيط للارتباط الوظيفي.</w:t>
      </w:r>
    </w:p>
    <w:p w14:paraId="22FCDFC7" w14:textId="77777777" w:rsidR="00E61049" w:rsidRPr="00A21B0C" w:rsidRDefault="00BB6015" w:rsidP="00CA377D">
      <w:pPr>
        <w:pStyle w:val="BodyTextArabic"/>
        <w:jc w:val="left"/>
        <w:rPr>
          <w:rFonts w:asciiTheme="majorBidi" w:hAnsiTheme="majorBidi" w:cstheme="majorBidi"/>
          <w:color w:val="auto"/>
          <w:sz w:val="22"/>
        </w:rPr>
      </w:pPr>
      <w:r w:rsidRPr="00A21B0C">
        <w:rPr>
          <w:rFonts w:asciiTheme="majorBidi" w:hAnsiTheme="majorBidi" w:cstheme="majorBidi"/>
          <w:color w:val="auto"/>
          <w:sz w:val="22"/>
          <w:rtl/>
        </w:rPr>
        <w:t>وبناء على ما سبق، انتهى الفصل إلى إطار مفاهيمي يفترض أن استخدام تحليلات الموارد البشرية يؤثر في نية ترك العمل مباشرة وبصورة غير مباشرة من خلال الارتباط الوظيفي. وسيجري في الفصل الثالث تحويل هذا الإطار إلى تصميم منهجي يحدد المجتمع والعينة والأداة والإجراءات والأساليب الإحصائية المناسبة لاختبار الفرضيات.</w:t>
      </w:r>
    </w:p>
    <w:p w14:paraId="5A21A324" w14:textId="77777777" w:rsidR="00E61049" w:rsidRPr="00A21B0C" w:rsidRDefault="00E61049">
      <w:pPr>
        <w:rPr>
          <w:rFonts w:asciiTheme="majorBidi" w:hAnsiTheme="majorBidi" w:cstheme="majorBidi"/>
          <w:color w:val="auto"/>
          <w:sz w:val="22"/>
        </w:rPr>
        <w:sectPr w:rsidR="00E61049" w:rsidRPr="00A21B0C" w:rsidSect="008D6FE0">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p>
    <w:p w14:paraId="577C91B7" w14:textId="77777777" w:rsidR="00E61049" w:rsidRPr="00A21B0C" w:rsidRDefault="00BB6015" w:rsidP="00CA377D">
      <w:pPr>
        <w:pStyle w:val="Heading1"/>
        <w:rPr>
          <w:rFonts w:asciiTheme="majorBidi" w:hAnsiTheme="majorBidi"/>
          <w:color w:val="auto"/>
          <w:sz w:val="22"/>
          <w:szCs w:val="22"/>
        </w:rPr>
      </w:pPr>
      <w:bookmarkStart w:id="24" w:name="_Toc236950059"/>
      <w:r w:rsidRPr="00A21B0C">
        <w:rPr>
          <w:rFonts w:asciiTheme="majorBidi" w:eastAsia="Traditional Arabic" w:hAnsiTheme="majorBidi"/>
          <w:color w:val="auto"/>
          <w:sz w:val="22"/>
          <w:szCs w:val="22"/>
          <w:rtl/>
        </w:rPr>
        <w:lastRenderedPageBreak/>
        <w:t>المراجع</w:t>
      </w:r>
      <w:bookmarkEnd w:id="24"/>
    </w:p>
    <w:p w14:paraId="60EEFA10"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Alilyyani, B. (2022). The influence of authentic leadership on nurses' turnover intentions and satisfaction with quality of care in Saudi Arabia: A structural equation modelling study. Journal of Nursing Management. https: //doi. org/10. 1111/jonm. 13895</w:t>
      </w:r>
    </w:p>
    <w:p w14:paraId="4AFC16D2"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Ali, M. </w:t>
      </w:r>
      <w:proofErr w:type="gramStart"/>
      <w:r w:rsidRPr="00A21B0C">
        <w:rPr>
          <w:rFonts w:asciiTheme="majorBidi" w:hAnsiTheme="majorBidi" w:cstheme="majorBidi"/>
          <w:color w:val="auto"/>
          <w:sz w:val="22"/>
        </w:rPr>
        <w:t>A. ,</w:t>
      </w:r>
      <w:proofErr w:type="gramEnd"/>
      <w:r w:rsidRPr="00A21B0C">
        <w:rPr>
          <w:rFonts w:asciiTheme="majorBidi" w:hAnsiTheme="majorBidi" w:cstheme="majorBidi"/>
          <w:color w:val="auto"/>
          <w:sz w:val="22"/>
        </w:rPr>
        <w:t xml:space="preserve"> Alarifi, </w:t>
      </w:r>
      <w:proofErr w:type="gramStart"/>
      <w:r w:rsidRPr="00A21B0C">
        <w:rPr>
          <w:rFonts w:asciiTheme="majorBidi" w:hAnsiTheme="majorBidi" w:cstheme="majorBidi"/>
          <w:color w:val="auto"/>
          <w:sz w:val="22"/>
        </w:rPr>
        <w:t>G. ,</w:t>
      </w:r>
      <w:proofErr w:type="gramEnd"/>
      <w:r w:rsidRPr="00A21B0C">
        <w:rPr>
          <w:rFonts w:asciiTheme="majorBidi" w:hAnsiTheme="majorBidi" w:cstheme="majorBidi"/>
          <w:color w:val="auto"/>
          <w:sz w:val="22"/>
        </w:rPr>
        <w:t xml:space="preserve"> &amp; Yehia, E. F. (2022). Towards sustainable careers for Saudi employees in tourism and hospitality sector: The impact of career competencies on turnover intention. Academic Journal of Interdisciplinary Studies, 11(3), 134. https: //doi. org/10. 36941/ajis-2022-0073</w:t>
      </w:r>
    </w:p>
    <w:p w14:paraId="44045C6B"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Bakker, A. </w:t>
      </w:r>
      <w:proofErr w:type="gramStart"/>
      <w:r w:rsidRPr="00A21B0C">
        <w:rPr>
          <w:rFonts w:asciiTheme="majorBidi" w:hAnsiTheme="majorBidi" w:cstheme="majorBidi"/>
          <w:color w:val="auto"/>
          <w:sz w:val="22"/>
        </w:rPr>
        <w:t>B. ,</w:t>
      </w:r>
      <w:proofErr w:type="gramEnd"/>
      <w:r w:rsidRPr="00A21B0C">
        <w:rPr>
          <w:rFonts w:asciiTheme="majorBidi" w:hAnsiTheme="majorBidi" w:cstheme="majorBidi"/>
          <w:color w:val="auto"/>
          <w:sz w:val="22"/>
        </w:rPr>
        <w:t xml:space="preserve"> &amp; Demerouti, E. (2017). Job demands-resources theory: Taking stock and looking forward. Journal of Occupational Health Psychology, 22(3), 273-285. https: //doi. org/10. 1037/ocp0000056</w:t>
      </w:r>
    </w:p>
    <w:p w14:paraId="765A3E73"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Blau, P. M. (1964). Exchange and power in social life. Wiley.</w:t>
      </w:r>
    </w:p>
    <w:p w14:paraId="7F1AA9D9"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Caesens, </w:t>
      </w:r>
      <w:proofErr w:type="gramStart"/>
      <w:r w:rsidRPr="00A21B0C">
        <w:rPr>
          <w:rFonts w:asciiTheme="majorBidi" w:hAnsiTheme="majorBidi" w:cstheme="majorBidi"/>
          <w:color w:val="auto"/>
          <w:sz w:val="22"/>
        </w:rPr>
        <w:t>G. ,</w:t>
      </w:r>
      <w:proofErr w:type="gramEnd"/>
      <w:r w:rsidRPr="00A21B0C">
        <w:rPr>
          <w:rFonts w:asciiTheme="majorBidi" w:hAnsiTheme="majorBidi" w:cstheme="majorBidi"/>
          <w:color w:val="auto"/>
          <w:sz w:val="22"/>
        </w:rPr>
        <w:t xml:space="preserve"> Stinglhamber, </w:t>
      </w:r>
      <w:proofErr w:type="gramStart"/>
      <w:r w:rsidRPr="00A21B0C">
        <w:rPr>
          <w:rFonts w:asciiTheme="majorBidi" w:hAnsiTheme="majorBidi" w:cstheme="majorBidi"/>
          <w:color w:val="auto"/>
          <w:sz w:val="22"/>
        </w:rPr>
        <w:t>F. ,</w:t>
      </w:r>
      <w:proofErr w:type="gramEnd"/>
      <w:r w:rsidRPr="00A21B0C">
        <w:rPr>
          <w:rFonts w:asciiTheme="majorBidi" w:hAnsiTheme="majorBidi" w:cstheme="majorBidi"/>
          <w:color w:val="auto"/>
          <w:sz w:val="22"/>
        </w:rPr>
        <w:t xml:space="preserve"> &amp; Marmier, V. (2016). The curvilinear effect of work engagement on employees' turnover intentions. International Journal of Psychology, 51(2), 150-155. https: //doi. org/10. 1002/ijop. 12131</w:t>
      </w:r>
    </w:p>
    <w:p w14:paraId="3CF2F593"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Chhetri, S. </w:t>
      </w:r>
      <w:proofErr w:type="gramStart"/>
      <w:r w:rsidRPr="00A21B0C">
        <w:rPr>
          <w:rFonts w:asciiTheme="majorBidi" w:hAnsiTheme="majorBidi" w:cstheme="majorBidi"/>
          <w:color w:val="auto"/>
          <w:sz w:val="22"/>
        </w:rPr>
        <w:t>D. ,</w:t>
      </w:r>
      <w:proofErr w:type="gramEnd"/>
      <w:r w:rsidRPr="00A21B0C">
        <w:rPr>
          <w:rFonts w:asciiTheme="majorBidi" w:hAnsiTheme="majorBidi" w:cstheme="majorBidi"/>
          <w:color w:val="auto"/>
          <w:sz w:val="22"/>
        </w:rPr>
        <w:t xml:space="preserve"> Kumar, </w:t>
      </w:r>
      <w:proofErr w:type="gramStart"/>
      <w:r w:rsidRPr="00A21B0C">
        <w:rPr>
          <w:rFonts w:asciiTheme="majorBidi" w:hAnsiTheme="majorBidi" w:cstheme="majorBidi"/>
          <w:color w:val="auto"/>
          <w:sz w:val="22"/>
        </w:rPr>
        <w:t>D. ,</w:t>
      </w:r>
      <w:proofErr w:type="gramEnd"/>
      <w:r w:rsidRPr="00A21B0C">
        <w:rPr>
          <w:rFonts w:asciiTheme="majorBidi" w:hAnsiTheme="majorBidi" w:cstheme="majorBidi"/>
          <w:color w:val="auto"/>
          <w:sz w:val="22"/>
        </w:rPr>
        <w:t xml:space="preserve"> &amp; Ranabhat, D. (2024). Investigating research in human resource analytics through the lens of systematic literature review. Human Systems Management, 43(5). https: //doi. org/10. 3233/HSM-230004</w:t>
      </w:r>
    </w:p>
    <w:p w14:paraId="4FC3D919"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Dukhaykh, </w:t>
      </w:r>
      <w:proofErr w:type="gramStart"/>
      <w:r w:rsidRPr="00A21B0C">
        <w:rPr>
          <w:rFonts w:asciiTheme="majorBidi" w:hAnsiTheme="majorBidi" w:cstheme="majorBidi"/>
          <w:color w:val="auto"/>
          <w:sz w:val="22"/>
        </w:rPr>
        <w:t>S. ,</w:t>
      </w:r>
      <w:proofErr w:type="gramEnd"/>
      <w:r w:rsidRPr="00A21B0C">
        <w:rPr>
          <w:rFonts w:asciiTheme="majorBidi" w:hAnsiTheme="majorBidi" w:cstheme="majorBidi"/>
          <w:color w:val="auto"/>
          <w:sz w:val="22"/>
        </w:rPr>
        <w:t xml:space="preserve"> Al-Humaid, </w:t>
      </w:r>
      <w:proofErr w:type="gramStart"/>
      <w:r w:rsidRPr="00A21B0C">
        <w:rPr>
          <w:rFonts w:asciiTheme="majorBidi" w:hAnsiTheme="majorBidi" w:cstheme="majorBidi"/>
          <w:color w:val="auto"/>
          <w:sz w:val="22"/>
        </w:rPr>
        <w:t>N. ,</w:t>
      </w:r>
      <w:proofErr w:type="gramEnd"/>
      <w:r w:rsidRPr="00A21B0C">
        <w:rPr>
          <w:rFonts w:asciiTheme="majorBidi" w:hAnsiTheme="majorBidi" w:cstheme="majorBidi"/>
          <w:color w:val="auto"/>
          <w:sz w:val="22"/>
        </w:rPr>
        <w:t xml:space="preserve"> &amp; Al-Ajlan, N. (2026). The impact of digital transformation on turnover intention: The mediating role of employee engagement. Sustainability, 18(12), 6243. https: //doi. org/10. 3390/su18126243</w:t>
      </w:r>
    </w:p>
    <w:p w14:paraId="276C85FA"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Edwards, M. </w:t>
      </w:r>
      <w:proofErr w:type="gramStart"/>
      <w:r w:rsidRPr="00A21B0C">
        <w:rPr>
          <w:rFonts w:asciiTheme="majorBidi" w:hAnsiTheme="majorBidi" w:cstheme="majorBidi"/>
          <w:color w:val="auto"/>
          <w:sz w:val="22"/>
        </w:rPr>
        <w:t>R. ,</w:t>
      </w:r>
      <w:proofErr w:type="gramEnd"/>
      <w:r w:rsidRPr="00A21B0C">
        <w:rPr>
          <w:rFonts w:asciiTheme="majorBidi" w:hAnsiTheme="majorBidi" w:cstheme="majorBidi"/>
          <w:color w:val="auto"/>
          <w:sz w:val="22"/>
        </w:rPr>
        <w:t xml:space="preserve"> Charlwood, </w:t>
      </w:r>
      <w:proofErr w:type="gramStart"/>
      <w:r w:rsidRPr="00A21B0C">
        <w:rPr>
          <w:rFonts w:asciiTheme="majorBidi" w:hAnsiTheme="majorBidi" w:cstheme="majorBidi"/>
          <w:color w:val="auto"/>
          <w:sz w:val="22"/>
        </w:rPr>
        <w:t>A. ,</w:t>
      </w:r>
      <w:proofErr w:type="gramEnd"/>
      <w:r w:rsidRPr="00A21B0C">
        <w:rPr>
          <w:rFonts w:asciiTheme="majorBidi" w:hAnsiTheme="majorBidi" w:cstheme="majorBidi"/>
          <w:color w:val="auto"/>
          <w:sz w:val="22"/>
        </w:rPr>
        <w:t xml:space="preserve"> Guenole, </w:t>
      </w:r>
      <w:proofErr w:type="gramStart"/>
      <w:r w:rsidRPr="00A21B0C">
        <w:rPr>
          <w:rFonts w:asciiTheme="majorBidi" w:hAnsiTheme="majorBidi" w:cstheme="majorBidi"/>
          <w:color w:val="auto"/>
          <w:sz w:val="22"/>
        </w:rPr>
        <w:t>N. ,</w:t>
      </w:r>
      <w:proofErr w:type="gramEnd"/>
      <w:r w:rsidRPr="00A21B0C">
        <w:rPr>
          <w:rFonts w:asciiTheme="majorBidi" w:hAnsiTheme="majorBidi" w:cstheme="majorBidi"/>
          <w:color w:val="auto"/>
          <w:sz w:val="22"/>
        </w:rPr>
        <w:t xml:space="preserve"> &amp; Marler, J. (2024). HR analytics: An emerging field finding its place in the world alongside simmering ethical challenges. Human Resource Management Journal, 34(2), 326-336. https: //doi. org/10. 1111/1748-8583. 12435</w:t>
      </w:r>
    </w:p>
    <w:p w14:paraId="095C7EE5"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lastRenderedPageBreak/>
        <w:t xml:space="preserve">Fernandez, </w:t>
      </w:r>
      <w:proofErr w:type="gramStart"/>
      <w:r w:rsidRPr="00A21B0C">
        <w:rPr>
          <w:rFonts w:asciiTheme="majorBidi" w:hAnsiTheme="majorBidi" w:cstheme="majorBidi"/>
          <w:color w:val="auto"/>
          <w:sz w:val="22"/>
        </w:rPr>
        <w:t>V. ,</w:t>
      </w:r>
      <w:proofErr w:type="gramEnd"/>
      <w:r w:rsidRPr="00A21B0C">
        <w:rPr>
          <w:rFonts w:asciiTheme="majorBidi" w:hAnsiTheme="majorBidi" w:cstheme="majorBidi"/>
          <w:color w:val="auto"/>
          <w:sz w:val="22"/>
        </w:rPr>
        <w:t xml:space="preserve"> &amp; Gallardo-Gallardo, E. (2021). Tackling the HR digitalization challenge: Key factors and barriers to HR analytics adoption. Competitiveness Review: An International Business Journal, 31(1), 162-187. https: //doi. org/10. 1108/CR-12-2019-0163</w:t>
      </w:r>
    </w:p>
    <w:p w14:paraId="3C7CDE13"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Kahn, W. A. (1990). Psychological conditions of personal engagement and disengagement at work. Academy of Management Journal, 33(4), 692-724. https: //doi. org/10. 2307/256287</w:t>
      </w:r>
    </w:p>
    <w:p w14:paraId="1D60524D"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Kalvakolanu, </w:t>
      </w:r>
      <w:proofErr w:type="gramStart"/>
      <w:r w:rsidRPr="00A21B0C">
        <w:rPr>
          <w:rFonts w:asciiTheme="majorBidi" w:hAnsiTheme="majorBidi" w:cstheme="majorBidi"/>
          <w:color w:val="auto"/>
          <w:sz w:val="22"/>
        </w:rPr>
        <w:t>S. ,</w:t>
      </w:r>
      <w:proofErr w:type="gramEnd"/>
      <w:r w:rsidRPr="00A21B0C">
        <w:rPr>
          <w:rFonts w:asciiTheme="majorBidi" w:hAnsiTheme="majorBidi" w:cstheme="majorBidi"/>
          <w:color w:val="auto"/>
          <w:sz w:val="22"/>
        </w:rPr>
        <w:t xml:space="preserve"> Chendragiri, </w:t>
      </w:r>
      <w:proofErr w:type="gramStart"/>
      <w:r w:rsidRPr="00A21B0C">
        <w:rPr>
          <w:rFonts w:asciiTheme="majorBidi" w:hAnsiTheme="majorBidi" w:cstheme="majorBidi"/>
          <w:color w:val="auto"/>
          <w:sz w:val="22"/>
        </w:rPr>
        <w:t>M. ,</w:t>
      </w:r>
      <w:proofErr w:type="gramEnd"/>
      <w:r w:rsidRPr="00A21B0C">
        <w:rPr>
          <w:rFonts w:asciiTheme="majorBidi" w:hAnsiTheme="majorBidi" w:cstheme="majorBidi"/>
          <w:color w:val="auto"/>
          <w:sz w:val="22"/>
        </w:rPr>
        <w:t xml:space="preserve"> &amp; Shaik, K. (2023). Exploring the adoption of human resource analytics among human resource professionals. International Journal of Organizational Leadership, 12(4), 425-441. https: //doi. org/10. 33844/ijol. 2023. 60387</w:t>
      </w:r>
    </w:p>
    <w:p w14:paraId="13420DD2"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Lazzari, </w:t>
      </w:r>
      <w:proofErr w:type="gramStart"/>
      <w:r w:rsidRPr="00A21B0C">
        <w:rPr>
          <w:rFonts w:asciiTheme="majorBidi" w:hAnsiTheme="majorBidi" w:cstheme="majorBidi"/>
          <w:color w:val="auto"/>
          <w:sz w:val="22"/>
        </w:rPr>
        <w:t>M. ,</w:t>
      </w:r>
      <w:proofErr w:type="gramEnd"/>
      <w:r w:rsidRPr="00A21B0C">
        <w:rPr>
          <w:rFonts w:asciiTheme="majorBidi" w:hAnsiTheme="majorBidi" w:cstheme="majorBidi"/>
          <w:color w:val="auto"/>
          <w:sz w:val="22"/>
        </w:rPr>
        <w:t xml:space="preserve"> Alvarez, J. </w:t>
      </w:r>
      <w:proofErr w:type="gramStart"/>
      <w:r w:rsidRPr="00A21B0C">
        <w:rPr>
          <w:rFonts w:asciiTheme="majorBidi" w:hAnsiTheme="majorBidi" w:cstheme="majorBidi"/>
          <w:color w:val="auto"/>
          <w:sz w:val="22"/>
        </w:rPr>
        <w:t>M. ,</w:t>
      </w:r>
      <w:proofErr w:type="gramEnd"/>
      <w:r w:rsidRPr="00A21B0C">
        <w:rPr>
          <w:rFonts w:asciiTheme="majorBidi" w:hAnsiTheme="majorBidi" w:cstheme="majorBidi"/>
          <w:color w:val="auto"/>
          <w:sz w:val="22"/>
        </w:rPr>
        <w:t xml:space="preserve"> &amp; Ruggieri, S. (2022). Predicting and explaining employee turnover intention. International Journal of Data Science and Analytics, 14, 279-292. https: //doi. org/10. 1007/s41060-022-00329-w</w:t>
      </w:r>
    </w:p>
    <w:p w14:paraId="6818ED74"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Madhani, P. M. (2023). Human resources analytics: Leveraging human resources for enhancing business performance. Compensation &amp; Benefits Review, 55(1). https: //doi. org/10. 1177/08863687221131730</w:t>
      </w:r>
    </w:p>
    <w:p w14:paraId="1F5A75E0"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Margherita, A. (2022). Human resources analytics: A systematization of research topics and directions for future research. Human Resource Management Review, 32(2), Article 100795. https: //doi. org/10. 1016/j. hrmr. 2020. 100795</w:t>
      </w:r>
    </w:p>
    <w:p w14:paraId="6C68DA14"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McCartney, </w:t>
      </w:r>
      <w:proofErr w:type="gramStart"/>
      <w:r w:rsidRPr="00A21B0C">
        <w:rPr>
          <w:rFonts w:asciiTheme="majorBidi" w:hAnsiTheme="majorBidi" w:cstheme="majorBidi"/>
          <w:color w:val="auto"/>
          <w:sz w:val="22"/>
        </w:rPr>
        <w:t>S. ,</w:t>
      </w:r>
      <w:proofErr w:type="gramEnd"/>
      <w:r w:rsidRPr="00A21B0C">
        <w:rPr>
          <w:rFonts w:asciiTheme="majorBidi" w:hAnsiTheme="majorBidi" w:cstheme="majorBidi"/>
          <w:color w:val="auto"/>
          <w:sz w:val="22"/>
        </w:rPr>
        <w:t xml:space="preserve"> &amp; Fu, N. (2022). Bridging the gap: Why, how and when HR analytics can impact organizational performance. Management Decision, 60(13), 25-47. https: //doi. org/10. 1108/MD-12-2020-1581</w:t>
      </w:r>
    </w:p>
    <w:p w14:paraId="0D832AF4"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Minbaeva, D. (2018). Building credible human capital analytics for organizational competitive advantage. Human Resource Management, 57(3), 701-713. https: //doi. org/10. 1002/hrm. 21848</w:t>
      </w:r>
    </w:p>
    <w:p w14:paraId="7C138583"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Mobley, W. </w:t>
      </w:r>
      <w:proofErr w:type="gramStart"/>
      <w:r w:rsidRPr="00A21B0C">
        <w:rPr>
          <w:rFonts w:asciiTheme="majorBidi" w:hAnsiTheme="majorBidi" w:cstheme="majorBidi"/>
          <w:color w:val="auto"/>
          <w:sz w:val="22"/>
        </w:rPr>
        <w:t>H. ,</w:t>
      </w:r>
      <w:proofErr w:type="gramEnd"/>
      <w:r w:rsidRPr="00A21B0C">
        <w:rPr>
          <w:rFonts w:asciiTheme="majorBidi" w:hAnsiTheme="majorBidi" w:cstheme="majorBidi"/>
          <w:color w:val="auto"/>
          <w:sz w:val="22"/>
        </w:rPr>
        <w:t xml:space="preserve"> Griffeth, R. </w:t>
      </w:r>
      <w:proofErr w:type="gramStart"/>
      <w:r w:rsidRPr="00A21B0C">
        <w:rPr>
          <w:rFonts w:asciiTheme="majorBidi" w:hAnsiTheme="majorBidi" w:cstheme="majorBidi"/>
          <w:color w:val="auto"/>
          <w:sz w:val="22"/>
        </w:rPr>
        <w:t>W. ,</w:t>
      </w:r>
      <w:proofErr w:type="gramEnd"/>
      <w:r w:rsidRPr="00A21B0C">
        <w:rPr>
          <w:rFonts w:asciiTheme="majorBidi" w:hAnsiTheme="majorBidi" w:cstheme="majorBidi"/>
          <w:color w:val="auto"/>
          <w:sz w:val="22"/>
        </w:rPr>
        <w:t xml:space="preserve"> Hand, H. </w:t>
      </w:r>
      <w:proofErr w:type="gramStart"/>
      <w:r w:rsidRPr="00A21B0C">
        <w:rPr>
          <w:rFonts w:asciiTheme="majorBidi" w:hAnsiTheme="majorBidi" w:cstheme="majorBidi"/>
          <w:color w:val="auto"/>
          <w:sz w:val="22"/>
        </w:rPr>
        <w:t>H. ,</w:t>
      </w:r>
      <w:proofErr w:type="gramEnd"/>
      <w:r w:rsidRPr="00A21B0C">
        <w:rPr>
          <w:rFonts w:asciiTheme="majorBidi" w:hAnsiTheme="majorBidi" w:cstheme="majorBidi"/>
          <w:color w:val="auto"/>
          <w:sz w:val="22"/>
        </w:rPr>
        <w:t xml:space="preserve"> &amp; Meglino, B. M. (1979). Review and conceptual analysis of the employee turnover process. Psychological Bulletin, 86(3), 493-522. https: //doi. org/10. 1037/0033-2909. 86. 3. 493</w:t>
      </w:r>
    </w:p>
    <w:p w14:paraId="13F5FF9C"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lastRenderedPageBreak/>
        <w:t xml:space="preserve">Nassani, A. </w:t>
      </w:r>
      <w:proofErr w:type="gramStart"/>
      <w:r w:rsidRPr="00A21B0C">
        <w:rPr>
          <w:rFonts w:asciiTheme="majorBidi" w:hAnsiTheme="majorBidi" w:cstheme="majorBidi"/>
          <w:color w:val="auto"/>
          <w:sz w:val="22"/>
        </w:rPr>
        <w:t>A. ,</w:t>
      </w:r>
      <w:proofErr w:type="gramEnd"/>
      <w:r w:rsidRPr="00A21B0C">
        <w:rPr>
          <w:rFonts w:asciiTheme="majorBidi" w:hAnsiTheme="majorBidi" w:cstheme="majorBidi"/>
          <w:color w:val="auto"/>
          <w:sz w:val="22"/>
        </w:rPr>
        <w:t xml:space="preserve"> Alqabbani, A. </w:t>
      </w:r>
      <w:proofErr w:type="gramStart"/>
      <w:r w:rsidRPr="00A21B0C">
        <w:rPr>
          <w:rFonts w:asciiTheme="majorBidi" w:hAnsiTheme="majorBidi" w:cstheme="majorBidi"/>
          <w:color w:val="auto"/>
          <w:sz w:val="22"/>
        </w:rPr>
        <w:t>A. ,</w:t>
      </w:r>
      <w:proofErr w:type="gramEnd"/>
      <w:r w:rsidRPr="00A21B0C">
        <w:rPr>
          <w:rFonts w:asciiTheme="majorBidi" w:hAnsiTheme="majorBidi" w:cstheme="majorBidi"/>
          <w:color w:val="auto"/>
          <w:sz w:val="22"/>
        </w:rPr>
        <w:t xml:space="preserve"> Alarifi, F. </w:t>
      </w:r>
      <w:proofErr w:type="gramStart"/>
      <w:r w:rsidRPr="00A21B0C">
        <w:rPr>
          <w:rFonts w:asciiTheme="majorBidi" w:hAnsiTheme="majorBidi" w:cstheme="majorBidi"/>
          <w:color w:val="auto"/>
          <w:sz w:val="22"/>
        </w:rPr>
        <w:t>A. ,</w:t>
      </w:r>
      <w:proofErr w:type="gramEnd"/>
      <w:r w:rsidRPr="00A21B0C">
        <w:rPr>
          <w:rFonts w:asciiTheme="majorBidi" w:hAnsiTheme="majorBidi" w:cstheme="majorBidi"/>
          <w:color w:val="auto"/>
          <w:sz w:val="22"/>
        </w:rPr>
        <w:t xml:space="preserve"> &amp; Almojeiwl, M. A. (2021). Investigating the influence of job satisfaction, job burnout and job engagement on turnover intention among private sector employees in Saudi Arabia. European Journal of Business and Management, 13(10), 111-119. https: //doi. org/10. 7176/EJBM/13-10-13</w:t>
      </w:r>
    </w:p>
    <w:p w14:paraId="5F5BB174"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Rasmussen, </w:t>
      </w:r>
      <w:proofErr w:type="gramStart"/>
      <w:r w:rsidRPr="00A21B0C">
        <w:rPr>
          <w:rFonts w:asciiTheme="majorBidi" w:hAnsiTheme="majorBidi" w:cstheme="majorBidi"/>
          <w:color w:val="auto"/>
          <w:sz w:val="22"/>
        </w:rPr>
        <w:t>T. ,</w:t>
      </w:r>
      <w:proofErr w:type="gramEnd"/>
      <w:r w:rsidRPr="00A21B0C">
        <w:rPr>
          <w:rFonts w:asciiTheme="majorBidi" w:hAnsiTheme="majorBidi" w:cstheme="majorBidi"/>
          <w:color w:val="auto"/>
          <w:sz w:val="22"/>
        </w:rPr>
        <w:t xml:space="preserve"> &amp; Ulrich, D. (2015). Learning from practice: How HR analytics avoids being a management fad. Organizational Dynamics, 44(3), 236-242. https: //doi. org/10. 1016/j. orgdyn. 2015. 05. 008</w:t>
      </w:r>
    </w:p>
    <w:p w14:paraId="5BB3884E"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Saks, A. M. (2006). Antecedents and consequences of employee engagement. Journal of Managerial Psychology, 21(7), 600-619. https: //doi. org/10. 1108/02683940610690169</w:t>
      </w:r>
    </w:p>
    <w:p w14:paraId="1180F806"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Schaufeli, W. </w:t>
      </w:r>
      <w:proofErr w:type="gramStart"/>
      <w:r w:rsidRPr="00A21B0C">
        <w:rPr>
          <w:rFonts w:asciiTheme="majorBidi" w:hAnsiTheme="majorBidi" w:cstheme="majorBidi"/>
          <w:color w:val="auto"/>
          <w:sz w:val="22"/>
        </w:rPr>
        <w:t>B. ,</w:t>
      </w:r>
      <w:proofErr w:type="gramEnd"/>
      <w:r w:rsidRPr="00A21B0C">
        <w:rPr>
          <w:rFonts w:asciiTheme="majorBidi" w:hAnsiTheme="majorBidi" w:cstheme="majorBidi"/>
          <w:color w:val="auto"/>
          <w:sz w:val="22"/>
        </w:rPr>
        <w:t xml:space="preserve"> Salanova, </w:t>
      </w:r>
      <w:proofErr w:type="gramStart"/>
      <w:r w:rsidRPr="00A21B0C">
        <w:rPr>
          <w:rFonts w:asciiTheme="majorBidi" w:hAnsiTheme="majorBidi" w:cstheme="majorBidi"/>
          <w:color w:val="auto"/>
          <w:sz w:val="22"/>
        </w:rPr>
        <w:t>M. ,</w:t>
      </w:r>
      <w:proofErr w:type="gramEnd"/>
      <w:r w:rsidRPr="00A21B0C">
        <w:rPr>
          <w:rFonts w:asciiTheme="majorBidi" w:hAnsiTheme="majorBidi" w:cstheme="majorBidi"/>
          <w:color w:val="auto"/>
          <w:sz w:val="22"/>
        </w:rPr>
        <w:t xml:space="preserve"> Gonzalez-Roma, </w:t>
      </w:r>
      <w:proofErr w:type="gramStart"/>
      <w:r w:rsidRPr="00A21B0C">
        <w:rPr>
          <w:rFonts w:asciiTheme="majorBidi" w:hAnsiTheme="majorBidi" w:cstheme="majorBidi"/>
          <w:color w:val="auto"/>
          <w:sz w:val="22"/>
        </w:rPr>
        <w:t>V. ,</w:t>
      </w:r>
      <w:proofErr w:type="gramEnd"/>
      <w:r w:rsidRPr="00A21B0C">
        <w:rPr>
          <w:rFonts w:asciiTheme="majorBidi" w:hAnsiTheme="majorBidi" w:cstheme="majorBidi"/>
          <w:color w:val="auto"/>
          <w:sz w:val="22"/>
        </w:rPr>
        <w:t xml:space="preserve"> &amp; Bakker, A. B. (2002). The measurement of engagement and burnout: A </w:t>
      </w:r>
      <w:proofErr w:type="gramStart"/>
      <w:r w:rsidRPr="00A21B0C">
        <w:rPr>
          <w:rFonts w:asciiTheme="majorBidi" w:hAnsiTheme="majorBidi" w:cstheme="majorBidi"/>
          <w:color w:val="auto"/>
          <w:sz w:val="22"/>
        </w:rPr>
        <w:t>two sample</w:t>
      </w:r>
      <w:proofErr w:type="gramEnd"/>
      <w:r w:rsidRPr="00A21B0C">
        <w:rPr>
          <w:rFonts w:asciiTheme="majorBidi" w:hAnsiTheme="majorBidi" w:cstheme="majorBidi"/>
          <w:color w:val="auto"/>
          <w:sz w:val="22"/>
        </w:rPr>
        <w:t xml:space="preserve"> confirmatory factor analytic approach. Journal of Happiness Studies, 3, 71-92. https: //doi. org/10. 1023/A: 1015630930326</w:t>
      </w:r>
    </w:p>
    <w:p w14:paraId="1BB7AFEF"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Qamar, </w:t>
      </w:r>
      <w:proofErr w:type="gramStart"/>
      <w:r w:rsidRPr="00A21B0C">
        <w:rPr>
          <w:rFonts w:asciiTheme="majorBidi" w:hAnsiTheme="majorBidi" w:cstheme="majorBidi"/>
          <w:color w:val="auto"/>
          <w:sz w:val="22"/>
        </w:rPr>
        <w:t>Y. ,</w:t>
      </w:r>
      <w:proofErr w:type="gramEnd"/>
      <w:r w:rsidRPr="00A21B0C">
        <w:rPr>
          <w:rFonts w:asciiTheme="majorBidi" w:hAnsiTheme="majorBidi" w:cstheme="majorBidi"/>
          <w:color w:val="auto"/>
          <w:sz w:val="22"/>
        </w:rPr>
        <w:t xml:space="preserve"> &amp; Samad, T. A. (2022). Human resource analytics: A review and bibliometric analysis. Personnel Review, 51(1), 251-283. https: //doi. org/10. 1108/PR-04-2020-0247</w:t>
      </w:r>
    </w:p>
    <w:p w14:paraId="70E52EAD"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Soares, V. </w:t>
      </w:r>
      <w:proofErr w:type="gramStart"/>
      <w:r w:rsidRPr="00A21B0C">
        <w:rPr>
          <w:rFonts w:asciiTheme="majorBidi" w:hAnsiTheme="majorBidi" w:cstheme="majorBidi"/>
          <w:color w:val="auto"/>
          <w:sz w:val="22"/>
        </w:rPr>
        <w:t>G. ,</w:t>
      </w:r>
      <w:proofErr w:type="gramEnd"/>
      <w:r w:rsidRPr="00A21B0C">
        <w:rPr>
          <w:rFonts w:asciiTheme="majorBidi" w:hAnsiTheme="majorBidi" w:cstheme="majorBidi"/>
          <w:color w:val="auto"/>
          <w:sz w:val="22"/>
        </w:rPr>
        <w:t xml:space="preserve"> Alcazar, J. J. </w:t>
      </w:r>
      <w:proofErr w:type="gramStart"/>
      <w:r w:rsidRPr="00A21B0C">
        <w:rPr>
          <w:rFonts w:asciiTheme="majorBidi" w:hAnsiTheme="majorBidi" w:cstheme="majorBidi"/>
          <w:color w:val="auto"/>
          <w:sz w:val="22"/>
        </w:rPr>
        <w:t>P. ,</w:t>
      </w:r>
      <w:proofErr w:type="gramEnd"/>
      <w:r w:rsidRPr="00A21B0C">
        <w:rPr>
          <w:rFonts w:asciiTheme="majorBidi" w:hAnsiTheme="majorBidi" w:cstheme="majorBidi"/>
          <w:color w:val="auto"/>
          <w:sz w:val="22"/>
        </w:rPr>
        <w:t xml:space="preserve"> &amp; Ludena, M. E. (2022). Analytical approaches in human resources: A systematic review. Journal of Information Systems and Technology Management, 19, Article e202219014. https: //doi. org/10. 4301/S1807-1775202219014</w:t>
      </w:r>
    </w:p>
    <w:p w14:paraId="233C8E4C" w14:textId="77777777" w:rsidR="00E61049" w:rsidRPr="00A21B0C" w:rsidRDefault="00BB6015" w:rsidP="00CA377D">
      <w:pPr>
        <w:pStyle w:val="ReferencesEnglish"/>
        <w:rPr>
          <w:rFonts w:asciiTheme="majorBidi" w:hAnsiTheme="majorBidi" w:cstheme="majorBidi"/>
          <w:color w:val="auto"/>
          <w:sz w:val="22"/>
        </w:rPr>
      </w:pPr>
      <w:r w:rsidRPr="00A21B0C">
        <w:rPr>
          <w:rFonts w:asciiTheme="majorBidi" w:hAnsiTheme="majorBidi" w:cstheme="majorBidi"/>
          <w:color w:val="auto"/>
          <w:sz w:val="22"/>
        </w:rPr>
        <w:t xml:space="preserve">Tursunbayeva, </w:t>
      </w:r>
      <w:proofErr w:type="gramStart"/>
      <w:r w:rsidRPr="00A21B0C">
        <w:rPr>
          <w:rFonts w:asciiTheme="majorBidi" w:hAnsiTheme="majorBidi" w:cstheme="majorBidi"/>
          <w:color w:val="auto"/>
          <w:sz w:val="22"/>
        </w:rPr>
        <w:t>A. ,</w:t>
      </w:r>
      <w:proofErr w:type="gramEnd"/>
      <w:r w:rsidRPr="00A21B0C">
        <w:rPr>
          <w:rFonts w:asciiTheme="majorBidi" w:hAnsiTheme="majorBidi" w:cstheme="majorBidi"/>
          <w:color w:val="auto"/>
          <w:sz w:val="22"/>
        </w:rPr>
        <w:t xml:space="preserve"> Di Lauro, </w:t>
      </w:r>
      <w:proofErr w:type="gramStart"/>
      <w:r w:rsidRPr="00A21B0C">
        <w:rPr>
          <w:rFonts w:asciiTheme="majorBidi" w:hAnsiTheme="majorBidi" w:cstheme="majorBidi"/>
          <w:color w:val="auto"/>
          <w:sz w:val="22"/>
        </w:rPr>
        <w:t>S. ,</w:t>
      </w:r>
      <w:proofErr w:type="gramEnd"/>
      <w:r w:rsidRPr="00A21B0C">
        <w:rPr>
          <w:rFonts w:asciiTheme="majorBidi" w:hAnsiTheme="majorBidi" w:cstheme="majorBidi"/>
          <w:color w:val="auto"/>
          <w:sz w:val="22"/>
        </w:rPr>
        <w:t xml:space="preserve"> &amp; Pagliari, C. (2018). People analytics: A scoping review of conceptual boundaries and value propositions. International Journal of Information Management, 43, 224-247. https: //doi. org/10. 1016/j. ijinfomgt. 2018. 08. 002</w:t>
      </w:r>
    </w:p>
    <w:p w14:paraId="652BBF5E" w14:textId="77777777" w:rsidR="00E61049" w:rsidRPr="00CA377D" w:rsidRDefault="00BB6015" w:rsidP="00CA377D">
      <w:pPr>
        <w:pStyle w:val="ReferencesEnglish"/>
        <w:rPr>
          <w:rFonts w:asciiTheme="majorBidi" w:hAnsiTheme="majorBidi" w:cstheme="majorBidi"/>
          <w:sz w:val="22"/>
        </w:rPr>
      </w:pPr>
      <w:r w:rsidRPr="00A21B0C">
        <w:rPr>
          <w:rFonts w:asciiTheme="majorBidi" w:hAnsiTheme="majorBidi" w:cstheme="majorBidi"/>
          <w:color w:val="auto"/>
          <w:sz w:val="22"/>
        </w:rPr>
        <w:t xml:space="preserve">Zhou, </w:t>
      </w:r>
      <w:proofErr w:type="gramStart"/>
      <w:r w:rsidRPr="00A21B0C">
        <w:rPr>
          <w:rFonts w:asciiTheme="majorBidi" w:hAnsiTheme="majorBidi" w:cstheme="majorBidi"/>
          <w:color w:val="auto"/>
          <w:sz w:val="22"/>
        </w:rPr>
        <w:t>L. ,</w:t>
      </w:r>
      <w:proofErr w:type="gramEnd"/>
      <w:r w:rsidRPr="00A21B0C">
        <w:rPr>
          <w:rFonts w:asciiTheme="majorBidi" w:hAnsiTheme="majorBidi" w:cstheme="majorBidi"/>
          <w:color w:val="auto"/>
          <w:sz w:val="22"/>
        </w:rPr>
        <w:t xml:space="preserve"> Kachie, A. D. </w:t>
      </w:r>
      <w:proofErr w:type="gramStart"/>
      <w:r w:rsidRPr="00A21B0C">
        <w:rPr>
          <w:rFonts w:asciiTheme="majorBidi" w:hAnsiTheme="majorBidi" w:cstheme="majorBidi"/>
          <w:color w:val="auto"/>
          <w:sz w:val="22"/>
        </w:rPr>
        <w:t>T. ,</w:t>
      </w:r>
      <w:proofErr w:type="gramEnd"/>
      <w:r w:rsidRPr="00A21B0C">
        <w:rPr>
          <w:rFonts w:asciiTheme="majorBidi" w:hAnsiTheme="majorBidi" w:cstheme="majorBidi"/>
          <w:color w:val="auto"/>
          <w:sz w:val="22"/>
        </w:rPr>
        <w:t xml:space="preserve"> Xu, </w:t>
      </w:r>
      <w:proofErr w:type="gramStart"/>
      <w:r w:rsidRPr="00A21B0C">
        <w:rPr>
          <w:rFonts w:asciiTheme="majorBidi" w:hAnsiTheme="majorBidi" w:cstheme="majorBidi"/>
          <w:color w:val="auto"/>
          <w:sz w:val="22"/>
        </w:rPr>
        <w:t>X. ,</w:t>
      </w:r>
      <w:proofErr w:type="gramEnd"/>
      <w:r w:rsidRPr="00A21B0C">
        <w:rPr>
          <w:rFonts w:asciiTheme="majorBidi" w:hAnsiTheme="majorBidi" w:cstheme="majorBidi"/>
          <w:color w:val="auto"/>
          <w:sz w:val="22"/>
        </w:rPr>
        <w:t xml:space="preserve"> Quansah, P. </w:t>
      </w:r>
      <w:proofErr w:type="gramStart"/>
      <w:r w:rsidRPr="00A21B0C">
        <w:rPr>
          <w:rFonts w:asciiTheme="majorBidi" w:hAnsiTheme="majorBidi" w:cstheme="majorBidi"/>
          <w:color w:val="auto"/>
          <w:sz w:val="22"/>
        </w:rPr>
        <w:t>E. ,</w:t>
      </w:r>
      <w:proofErr w:type="gramEnd"/>
      <w:r w:rsidRPr="00A21B0C">
        <w:rPr>
          <w:rFonts w:asciiTheme="majorBidi" w:hAnsiTheme="majorBidi" w:cstheme="majorBidi"/>
          <w:color w:val="auto"/>
          <w:sz w:val="22"/>
        </w:rPr>
        <w:t xml:space="preserve"> Epalle, T. </w:t>
      </w:r>
      <w:proofErr w:type="gramStart"/>
      <w:r w:rsidRPr="00A21B0C">
        <w:rPr>
          <w:rFonts w:asciiTheme="majorBidi" w:hAnsiTheme="majorBidi" w:cstheme="majorBidi"/>
          <w:color w:val="auto"/>
          <w:sz w:val="22"/>
        </w:rPr>
        <w:t>M. ,</w:t>
      </w:r>
      <w:proofErr w:type="gramEnd"/>
      <w:r w:rsidRPr="00A21B0C">
        <w:rPr>
          <w:rFonts w:asciiTheme="majorBidi" w:hAnsiTheme="majorBidi" w:cstheme="majorBidi"/>
          <w:color w:val="auto"/>
          <w:sz w:val="22"/>
        </w:rPr>
        <w:t xml:space="preserve"> Ampon-Wireko, </w:t>
      </w:r>
      <w:proofErr w:type="gramStart"/>
      <w:r w:rsidRPr="00A21B0C">
        <w:rPr>
          <w:rFonts w:asciiTheme="majorBidi" w:hAnsiTheme="majorBidi" w:cstheme="majorBidi"/>
          <w:color w:val="auto"/>
          <w:sz w:val="22"/>
        </w:rPr>
        <w:t>S. ,</w:t>
      </w:r>
      <w:proofErr w:type="gramEnd"/>
      <w:r w:rsidRPr="00A21B0C">
        <w:rPr>
          <w:rFonts w:asciiTheme="majorBidi" w:hAnsiTheme="majorBidi" w:cstheme="majorBidi"/>
          <w:color w:val="auto"/>
          <w:sz w:val="22"/>
        </w:rPr>
        <w:t xml:space="preserve"> &amp; Nkrumah, E. N. K. (2022). COVID-19: The effects of perceived organizational justice, job engagement, and perceived job alternatives on turnover intention among frontline nurses. Frontiers in Psychology, 13, Article 920274. https: //</w:t>
      </w:r>
      <w:r w:rsidRPr="00CA377D">
        <w:rPr>
          <w:rFonts w:asciiTheme="majorBidi" w:hAnsiTheme="majorBidi" w:cstheme="majorBidi"/>
          <w:sz w:val="22"/>
        </w:rPr>
        <w:t>doi. org/10. 3389/fpsyg. 2022. 920274</w:t>
      </w:r>
    </w:p>
    <w:sectPr w:rsidR="00E61049" w:rsidRPr="00CA377D" w:rsidSect="008D6FE0">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44276" w14:textId="77777777" w:rsidR="003A78D5" w:rsidRDefault="003A78D5">
      <w:pPr>
        <w:spacing w:line="240" w:lineRule="auto"/>
      </w:pPr>
      <w:r>
        <w:separator/>
      </w:r>
    </w:p>
  </w:endnote>
  <w:endnote w:type="continuationSeparator" w:id="0">
    <w:p w14:paraId="48051F03" w14:textId="77777777" w:rsidR="003A78D5" w:rsidRDefault="003A78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A0083" w14:textId="77777777" w:rsidR="00E61049" w:rsidRDefault="00BB6015">
    <w:pPr>
      <w:pStyle w:val="Footer"/>
      <w:jc w:val="center"/>
    </w:pPr>
    <w:proofErr w:type="spellStart"/>
    <w:r>
      <w:rPr>
        <w:color w:val="595959"/>
        <w:sz w:val="20"/>
        <w:rtl/>
      </w:rPr>
      <w:t>Midocean</w:t>
    </w:r>
    <w:proofErr w:type="spellEnd"/>
    <w:r>
      <w:rPr>
        <w:color w:val="595959"/>
        <w:sz w:val="20"/>
        <w:rtl/>
      </w:rPr>
      <w:t xml:space="preserve"> </w:t>
    </w:r>
    <w:proofErr w:type="spellStart"/>
    <w:r>
      <w:rPr>
        <w:color w:val="595959"/>
        <w:sz w:val="20"/>
        <w:rtl/>
      </w:rPr>
      <w:t>University</w:t>
    </w:r>
    <w:proofErr w:type="spellEnd"/>
    <w:r>
      <w:rPr>
        <w:color w:val="595959"/>
        <w:sz w:val="20"/>
        <w:rtl/>
      </w:rPr>
      <w:t xml:space="preserve"> - صفحة </w:t>
    </w:r>
    <w:r>
      <w:fldChar w:fldCharType="begin"/>
    </w:r>
    <w:r>
      <w:instrText xml:space="preserve"> PAGE  \* ARABIC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5AD62" w14:textId="77777777" w:rsidR="003A78D5" w:rsidRDefault="003A78D5">
      <w:pPr>
        <w:spacing w:line="240" w:lineRule="auto"/>
      </w:pPr>
      <w:r>
        <w:separator/>
      </w:r>
    </w:p>
  </w:footnote>
  <w:footnote w:type="continuationSeparator" w:id="0">
    <w:p w14:paraId="593ACED3" w14:textId="77777777" w:rsidR="003A78D5" w:rsidRDefault="003A78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23642092">
    <w:abstractNumId w:val="8"/>
  </w:num>
  <w:num w:numId="2" w16cid:durableId="1257639314">
    <w:abstractNumId w:val="6"/>
  </w:num>
  <w:num w:numId="3" w16cid:durableId="513542004">
    <w:abstractNumId w:val="5"/>
  </w:num>
  <w:num w:numId="4" w16cid:durableId="2045978744">
    <w:abstractNumId w:val="4"/>
  </w:num>
  <w:num w:numId="5" w16cid:durableId="137306364">
    <w:abstractNumId w:val="7"/>
  </w:num>
  <w:num w:numId="6" w16cid:durableId="1115439364">
    <w:abstractNumId w:val="3"/>
  </w:num>
  <w:num w:numId="7" w16cid:durableId="1916352060">
    <w:abstractNumId w:val="2"/>
  </w:num>
  <w:num w:numId="8" w16cid:durableId="274561431">
    <w:abstractNumId w:val="1"/>
  </w:num>
  <w:num w:numId="9" w16cid:durableId="967589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D66D4"/>
    <w:rsid w:val="00326F90"/>
    <w:rsid w:val="003A78D5"/>
    <w:rsid w:val="007A6886"/>
    <w:rsid w:val="008D6FE0"/>
    <w:rsid w:val="008E1E95"/>
    <w:rsid w:val="009C39E8"/>
    <w:rsid w:val="00A21B0C"/>
    <w:rsid w:val="00AA1D8D"/>
    <w:rsid w:val="00B47730"/>
    <w:rsid w:val="00BB6015"/>
    <w:rsid w:val="00BF0170"/>
    <w:rsid w:val="00CA377D"/>
    <w:rsid w:val="00CB0664"/>
    <w:rsid w:val="00E6104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9CAC24"/>
  <w14:defaultImageDpi w14:val="300"/>
  <w15:docId w15:val="{A37228E9-E184-433A-9885-7FD7B9F0C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bidi/>
      <w:spacing w:after="0" w:line="480" w:lineRule="auto"/>
      <w:jc w:val="right"/>
    </w:pPr>
    <w:rPr>
      <w:rFonts w:ascii="Traditional Arabic" w:eastAsia="Traditional Arabic" w:hAnsi="Traditional Arabic" w:cs="Traditional Arabic"/>
      <w:color w:val="000000"/>
      <w:sz w:val="32"/>
    </w:rPr>
  </w:style>
  <w:style w:type="paragraph" w:styleId="Heading1">
    <w:name w:val="heading 1"/>
    <w:basedOn w:val="Normal"/>
    <w:next w:val="Normal"/>
    <w:link w:val="Heading1Char"/>
    <w:uiPriority w:val="9"/>
    <w:qFormat/>
    <w:rsid w:val="00FC693F"/>
    <w:pPr>
      <w:keepNext/>
      <w:keepLines/>
      <w:spacing w:before="240" w:after="120" w:line="360" w:lineRule="auto"/>
      <w:outlineLvl w:val="0"/>
    </w:pPr>
    <w:rPr>
      <w:rFonts w:asciiTheme="majorHAnsi" w:eastAsiaTheme="majorEastAsia" w:hAnsiTheme="majorHAnsi" w:cstheme="majorBidi"/>
      <w:b/>
      <w:bCs/>
      <w:color w:val="1F4E79"/>
      <w:sz w:val="36"/>
      <w:szCs w:val="28"/>
    </w:rPr>
  </w:style>
  <w:style w:type="paragraph" w:styleId="Heading2">
    <w:name w:val="heading 2"/>
    <w:basedOn w:val="Normal"/>
    <w:next w:val="Normal"/>
    <w:link w:val="Heading2Char"/>
    <w:uiPriority w:val="9"/>
    <w:unhideWhenUsed/>
    <w:qFormat/>
    <w:rsid w:val="00FC693F"/>
    <w:pPr>
      <w:keepNext/>
      <w:keepLines/>
      <w:spacing w:before="160" w:after="120" w:line="360" w:lineRule="auto"/>
      <w:outlineLvl w:val="1"/>
    </w:pPr>
    <w:rPr>
      <w:rFonts w:asciiTheme="majorHAnsi" w:eastAsiaTheme="majorEastAsia" w:hAnsiTheme="majorHAnsi" w:cstheme="majorBidi"/>
      <w:b/>
      <w:bCs/>
      <w:color w:val="1F4E79"/>
      <w:szCs w:val="26"/>
    </w:rPr>
  </w:style>
  <w:style w:type="paragraph" w:styleId="Heading3">
    <w:name w:val="heading 3"/>
    <w:basedOn w:val="Normal"/>
    <w:next w:val="Normal"/>
    <w:link w:val="Heading3Char"/>
    <w:uiPriority w:val="9"/>
    <w:unhideWhenUsed/>
    <w:qFormat/>
    <w:rsid w:val="00FC693F"/>
    <w:pPr>
      <w:keepNext/>
      <w:keepLines/>
      <w:spacing w:before="160" w:after="120" w:line="360" w:lineRule="auto"/>
      <w:outlineLvl w:val="2"/>
    </w:pPr>
    <w:rPr>
      <w:rFonts w:asciiTheme="majorHAnsi" w:eastAsiaTheme="majorEastAsia" w:hAnsiTheme="majorHAnsi" w:cstheme="majorBidi"/>
      <w:b/>
      <w:bCs/>
      <w:sz w:val="3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odyTextArabic">
    <w:name w:val="Body Text Arabic"/>
    <w:pPr>
      <w:bidi/>
      <w:spacing w:after="0" w:line="480" w:lineRule="auto"/>
      <w:jc w:val="right"/>
    </w:pPr>
    <w:rPr>
      <w:rFonts w:ascii="Traditional Arabic" w:eastAsia="Traditional Arabic" w:hAnsi="Traditional Arabic" w:cs="Traditional Arabic"/>
      <w:color w:val="000000"/>
      <w:sz w:val="32"/>
    </w:rPr>
  </w:style>
  <w:style w:type="paragraph" w:customStyle="1" w:styleId="ThesisTitleArabic">
    <w:name w:val="Thesis Title Arabic"/>
    <w:pPr>
      <w:bidi/>
      <w:spacing w:after="160" w:line="324" w:lineRule="auto"/>
      <w:jc w:val="right"/>
    </w:pPr>
    <w:rPr>
      <w:rFonts w:ascii="Traditional Arabic" w:eastAsia="Traditional Arabic" w:hAnsi="Traditional Arabic" w:cs="Traditional Arabic"/>
      <w:b/>
      <w:color w:val="000000"/>
      <w:sz w:val="40"/>
    </w:rPr>
  </w:style>
  <w:style w:type="paragraph" w:customStyle="1" w:styleId="ReferencesArabic">
    <w:name w:val="References Arabic"/>
    <w:pPr>
      <w:bidi/>
      <w:spacing w:after="0" w:line="480" w:lineRule="auto"/>
      <w:jc w:val="right"/>
    </w:pPr>
    <w:rPr>
      <w:rFonts w:ascii="Traditional Arabic" w:eastAsia="Traditional Arabic" w:hAnsi="Traditional Arabic" w:cs="Traditional Arabic"/>
      <w:color w:val="000000"/>
      <w:sz w:val="32"/>
    </w:rPr>
  </w:style>
  <w:style w:type="paragraph" w:customStyle="1" w:styleId="ReferencesEnglish">
    <w:name w:val="References English"/>
    <w:pPr>
      <w:spacing w:after="0" w:line="480" w:lineRule="auto"/>
      <w:ind w:left="720" w:hanging="720"/>
    </w:pPr>
    <w:rPr>
      <w:rFonts w:ascii="Times New Roman" w:eastAsia="Times New Roman" w:hAnsi="Times New Roman" w:cs="Times New Roman"/>
      <w:color w:val="000000"/>
      <w:sz w:val="24"/>
    </w:rPr>
  </w:style>
  <w:style w:type="paragraph" w:customStyle="1" w:styleId="CaptionArabic">
    <w:name w:val="Caption Arabic"/>
    <w:pPr>
      <w:bidi/>
      <w:spacing w:after="120"/>
      <w:jc w:val="right"/>
    </w:pPr>
    <w:rPr>
      <w:rFonts w:ascii="Traditional Arabic" w:eastAsia="Traditional Arabic" w:hAnsi="Traditional Arabic" w:cs="Traditional Arabic"/>
      <w:b/>
      <w:color w:val="000000"/>
      <w:sz w:val="28"/>
    </w:rPr>
  </w:style>
  <w:style w:type="paragraph" w:customStyle="1" w:styleId="TableTextArabic">
    <w:name w:val="Table Text Arabic"/>
    <w:pPr>
      <w:bidi/>
      <w:spacing w:after="0" w:line="288" w:lineRule="auto"/>
      <w:jc w:val="right"/>
    </w:pPr>
    <w:rPr>
      <w:rFonts w:ascii="Traditional Arabic" w:eastAsia="Traditional Arabic" w:hAnsi="Traditional Arabic" w:cs="Traditional Arabic"/>
      <w:color w:val="000000"/>
      <w:sz w:val="26"/>
    </w:rPr>
  </w:style>
  <w:style w:type="paragraph" w:styleId="TOC1">
    <w:name w:val="toc 1"/>
    <w:basedOn w:val="Normal"/>
    <w:next w:val="Normal"/>
    <w:autoRedefine/>
    <w:uiPriority w:val="39"/>
    <w:unhideWhenUsed/>
    <w:rsid w:val="00CA377D"/>
    <w:pPr>
      <w:spacing w:after="100"/>
    </w:pPr>
  </w:style>
  <w:style w:type="paragraph" w:styleId="TOC2">
    <w:name w:val="toc 2"/>
    <w:basedOn w:val="Normal"/>
    <w:next w:val="Normal"/>
    <w:autoRedefine/>
    <w:uiPriority w:val="39"/>
    <w:unhideWhenUsed/>
    <w:rsid w:val="00CA377D"/>
    <w:pPr>
      <w:spacing w:after="100"/>
      <w:ind w:left="320"/>
    </w:pPr>
  </w:style>
  <w:style w:type="character" w:styleId="Hyperlink">
    <w:name w:val="Hyperlink"/>
    <w:basedOn w:val="DefaultParagraphFont"/>
    <w:uiPriority w:val="99"/>
    <w:unhideWhenUsed/>
    <w:rsid w:val="00CA37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8160</Words>
  <Characters>46517</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54568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yahya alamar</cp:lastModifiedBy>
  <cp:revision>7</cp:revision>
  <dcterms:created xsi:type="dcterms:W3CDTF">2013-12-23T23:15:00Z</dcterms:created>
  <dcterms:modified xsi:type="dcterms:W3CDTF">2026-08-06T20:22:00Z</dcterms:modified>
  <cp:category/>
</cp:coreProperties>
</file>