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737AF" w:rsidRDefault="009125CE">
      <w:pPr>
        <w:rPr>
          <w:rFonts w:asciiTheme="majorBidi" w:hAnsiTheme="majorBidi" w:cstheme="majorBidi"/>
          <w:b/>
          <w:bCs/>
          <w:sz w:val="28"/>
          <w:szCs w:val="28"/>
          <w:lang w:bidi="ar-EG"/>
        </w:rPr>
      </w:pPr>
      <w:r w:rsidRPr="009737AF">
        <w:rPr>
          <w:rFonts w:asciiTheme="majorBidi" w:hAnsiTheme="majorBidi" w:cstheme="majorBidi"/>
          <w:b/>
          <w:bCs/>
          <w:sz w:val="28"/>
          <w:szCs w:val="28"/>
          <w:rtl/>
          <w:lang w:bidi="ar-EG"/>
        </w:rPr>
        <w:t xml:space="preserve">جامعة ميدأوشن </w:t>
      </w:r>
    </w:p>
    <w:p w14:paraId="1E957002" w14:textId="04B27A9D" w:rsidR="00F546CE" w:rsidRPr="009737AF" w:rsidRDefault="009125CE">
      <w:pPr>
        <w:rPr>
          <w:rFonts w:asciiTheme="majorBidi" w:hAnsiTheme="majorBidi" w:cstheme="majorBidi"/>
          <w:b/>
          <w:bCs/>
          <w:sz w:val="28"/>
          <w:szCs w:val="28"/>
          <w:rtl/>
          <w:lang w:bidi="ar-EG"/>
        </w:rPr>
      </w:pPr>
      <w:r w:rsidRPr="009737AF">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737AF">
        <w:rPr>
          <w:rFonts w:asciiTheme="majorBidi" w:hAnsiTheme="majorBidi" w:cstheme="majorBidi"/>
          <w:b/>
          <w:bCs/>
          <w:sz w:val="28"/>
          <w:szCs w:val="28"/>
          <w:lang w:bidi="ar-EG"/>
        </w:rPr>
        <w:t xml:space="preserve">    </w:t>
      </w:r>
      <w:r w:rsidRPr="009737AF">
        <w:rPr>
          <w:rFonts w:asciiTheme="majorBidi" w:hAnsiTheme="majorBidi" w:cstheme="majorBidi"/>
          <w:b/>
          <w:bCs/>
          <w:sz w:val="28"/>
          <w:szCs w:val="28"/>
          <w:rtl/>
          <w:lang w:bidi="ar-EG"/>
        </w:rPr>
        <w:t xml:space="preserve">كلية الإدارة </w:t>
      </w:r>
    </w:p>
    <w:p w14:paraId="0217C513" w14:textId="2953BA83" w:rsidR="009125CE" w:rsidRPr="009737AF" w:rsidRDefault="009125CE">
      <w:pPr>
        <w:rPr>
          <w:rFonts w:asciiTheme="majorBidi" w:hAnsiTheme="majorBidi" w:cstheme="majorBidi"/>
          <w:sz w:val="28"/>
          <w:szCs w:val="28"/>
          <w:rtl/>
        </w:rPr>
      </w:pPr>
      <w:r w:rsidRPr="009737AF">
        <w:rPr>
          <w:rFonts w:asciiTheme="majorBidi" w:hAnsiTheme="majorBidi" w:cstheme="majorBidi"/>
          <w:b/>
          <w:bCs/>
          <w:sz w:val="28"/>
          <w:szCs w:val="28"/>
          <w:rtl/>
          <w:lang w:bidi="ar-EG"/>
        </w:rPr>
        <w:t>قسم / تخصص</w:t>
      </w:r>
      <w:r w:rsidR="009C289F" w:rsidRPr="009737AF">
        <w:rPr>
          <w:rFonts w:asciiTheme="majorBidi" w:hAnsiTheme="majorBidi" w:cstheme="majorBidi"/>
          <w:b/>
          <w:bCs/>
          <w:sz w:val="28"/>
          <w:szCs w:val="28"/>
          <w:lang w:bidi="ar-EG"/>
        </w:rPr>
        <w:t xml:space="preserve"> </w:t>
      </w:r>
      <w:r w:rsidR="009C289F" w:rsidRPr="009737AF">
        <w:rPr>
          <w:rFonts w:asciiTheme="majorBidi" w:hAnsiTheme="majorBidi" w:cstheme="majorBidi"/>
          <w:b/>
          <w:bCs/>
          <w:sz w:val="28"/>
          <w:szCs w:val="28"/>
          <w:rtl/>
        </w:rPr>
        <w:t xml:space="preserve">ادارة المخاطر </w:t>
      </w:r>
    </w:p>
    <w:p w14:paraId="11A91486" w14:textId="77777777" w:rsidR="009125CE" w:rsidRPr="009737AF" w:rsidRDefault="009125CE">
      <w:pPr>
        <w:rPr>
          <w:rFonts w:asciiTheme="majorBidi" w:hAnsiTheme="majorBidi" w:cstheme="majorBidi"/>
          <w:sz w:val="28"/>
          <w:szCs w:val="28"/>
          <w:rtl/>
          <w:lang w:bidi="ar-EG"/>
        </w:rPr>
      </w:pPr>
    </w:p>
    <w:p w14:paraId="3A7BF367" w14:textId="77777777" w:rsidR="009125CE" w:rsidRPr="009737AF" w:rsidRDefault="009125CE" w:rsidP="009125CE">
      <w:pPr>
        <w:rPr>
          <w:rFonts w:asciiTheme="majorBidi" w:hAnsiTheme="majorBidi" w:cstheme="majorBidi"/>
          <w:sz w:val="28"/>
          <w:szCs w:val="28"/>
          <w:rtl/>
          <w:lang w:bidi="ar-EG"/>
        </w:rPr>
      </w:pPr>
    </w:p>
    <w:p w14:paraId="5F6542BF" w14:textId="77777777" w:rsidR="009125CE" w:rsidRPr="009737AF" w:rsidRDefault="009125CE" w:rsidP="009125CE">
      <w:pPr>
        <w:rPr>
          <w:rFonts w:asciiTheme="majorBidi" w:hAnsiTheme="majorBidi" w:cstheme="majorBidi"/>
          <w:sz w:val="28"/>
          <w:szCs w:val="28"/>
          <w:rtl/>
          <w:lang w:bidi="ar-EG"/>
        </w:rPr>
      </w:pPr>
    </w:p>
    <w:p w14:paraId="08401F45" w14:textId="36810A0A" w:rsidR="009125CE" w:rsidRPr="009737AF" w:rsidRDefault="009125CE"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 xml:space="preserve">العنوان باللغة العربية </w:t>
      </w:r>
    </w:p>
    <w:p w14:paraId="15C28831" w14:textId="77777777" w:rsidR="009125CE" w:rsidRPr="009737AF" w:rsidRDefault="009125CE" w:rsidP="009125CE">
      <w:pPr>
        <w:jc w:val="center"/>
        <w:rPr>
          <w:rFonts w:asciiTheme="majorBidi" w:hAnsiTheme="majorBidi" w:cstheme="majorBidi"/>
          <w:sz w:val="28"/>
          <w:szCs w:val="28"/>
          <w:rtl/>
          <w:lang w:bidi="ar-EG"/>
        </w:rPr>
      </w:pPr>
    </w:p>
    <w:p w14:paraId="3024630C" w14:textId="0BA3A369" w:rsidR="009125CE" w:rsidRPr="009737AF" w:rsidRDefault="004654FE" w:rsidP="00122267">
      <w:pPr>
        <w:jc w:val="center"/>
        <w:rPr>
          <w:rFonts w:asciiTheme="majorBidi" w:hAnsiTheme="majorBidi" w:cstheme="majorBidi"/>
          <w:sz w:val="28"/>
          <w:szCs w:val="28"/>
          <w:rtl/>
          <w:lang w:bidi="ar-EG"/>
        </w:rPr>
      </w:pPr>
      <w:r w:rsidRPr="009737AF">
        <w:rPr>
          <w:rFonts w:asciiTheme="majorBidi" w:hAnsiTheme="majorBidi" w:cstheme="majorBidi"/>
          <w:sz w:val="28"/>
          <w:szCs w:val="28"/>
          <w:rtl/>
          <w:lang w:bidi="ar-EG"/>
        </w:rPr>
        <w:t xml:space="preserve">تحديد </w:t>
      </w:r>
      <w:r w:rsidR="00790632" w:rsidRPr="009737AF">
        <w:rPr>
          <w:rFonts w:asciiTheme="majorBidi" w:hAnsiTheme="majorBidi" w:cstheme="majorBidi"/>
          <w:sz w:val="28"/>
          <w:szCs w:val="28"/>
          <w:rtl/>
          <w:lang w:bidi="ar-EG"/>
        </w:rPr>
        <w:t xml:space="preserve">الكفاءات </w:t>
      </w:r>
      <w:r w:rsidR="00D205C6" w:rsidRPr="009737AF">
        <w:rPr>
          <w:rFonts w:asciiTheme="majorBidi" w:hAnsiTheme="majorBidi" w:cstheme="majorBidi"/>
          <w:sz w:val="28"/>
          <w:szCs w:val="28"/>
          <w:rtl/>
          <w:lang w:bidi="ar-EG"/>
        </w:rPr>
        <w:t>الاستراتيجية و التشغيلية المطلوبة ل</w:t>
      </w:r>
      <w:r w:rsidR="00122267" w:rsidRPr="009737AF">
        <w:rPr>
          <w:rFonts w:asciiTheme="majorBidi" w:hAnsiTheme="majorBidi" w:cstheme="majorBidi"/>
          <w:sz w:val="28"/>
          <w:szCs w:val="28"/>
          <w:rtl/>
          <w:lang w:bidi="ar-EG"/>
        </w:rPr>
        <w:t xml:space="preserve">ادارة تنمية الايرادات </w:t>
      </w:r>
      <w:r w:rsidR="00F023C9" w:rsidRPr="009737AF">
        <w:rPr>
          <w:rFonts w:asciiTheme="majorBidi" w:hAnsiTheme="majorBidi" w:cstheme="majorBidi"/>
          <w:sz w:val="28"/>
          <w:szCs w:val="28"/>
          <w:rtl/>
          <w:lang w:bidi="ar-EG"/>
        </w:rPr>
        <w:t xml:space="preserve">المركزية و دورها في تخفيف المخاطر المالية و تعزيز الاداء بالتجمع الصحي </w:t>
      </w:r>
    </w:p>
    <w:p w14:paraId="232F19A4" w14:textId="77777777" w:rsidR="009125CE" w:rsidRPr="009737AF" w:rsidRDefault="009125CE" w:rsidP="009125CE">
      <w:pPr>
        <w:jc w:val="center"/>
        <w:rPr>
          <w:rFonts w:asciiTheme="majorBidi" w:hAnsiTheme="majorBidi" w:cstheme="majorBidi"/>
          <w:sz w:val="28"/>
          <w:szCs w:val="28"/>
          <w:rtl/>
          <w:lang w:bidi="ar-EG"/>
        </w:rPr>
      </w:pPr>
    </w:p>
    <w:p w14:paraId="0EB57E30" w14:textId="77777777" w:rsidR="009125CE" w:rsidRPr="009737AF" w:rsidRDefault="009125CE" w:rsidP="009125CE">
      <w:pPr>
        <w:jc w:val="center"/>
        <w:rPr>
          <w:rFonts w:asciiTheme="majorBidi" w:hAnsiTheme="majorBidi" w:cstheme="majorBidi"/>
          <w:b/>
          <w:bCs/>
          <w:sz w:val="28"/>
          <w:szCs w:val="28"/>
          <w:rtl/>
          <w:lang w:bidi="ar-EG"/>
        </w:rPr>
      </w:pPr>
    </w:p>
    <w:p w14:paraId="751A7E65" w14:textId="12CBA048" w:rsidR="009125CE" w:rsidRPr="009737AF" w:rsidRDefault="009125CE"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إعداد الطالب/</w:t>
      </w:r>
      <w:r w:rsidR="00F023C9" w:rsidRPr="009737AF">
        <w:rPr>
          <w:rFonts w:asciiTheme="majorBidi" w:hAnsiTheme="majorBidi" w:cstheme="majorBidi"/>
          <w:b/>
          <w:bCs/>
          <w:sz w:val="28"/>
          <w:szCs w:val="28"/>
          <w:rtl/>
          <w:lang w:bidi="ar-EG"/>
        </w:rPr>
        <w:t xml:space="preserve"> مشاعل حاسن العدواني </w:t>
      </w:r>
    </w:p>
    <w:p w14:paraId="76AA45C9" w14:textId="77777777" w:rsidR="009125CE" w:rsidRPr="009737AF" w:rsidRDefault="009125CE" w:rsidP="009125CE">
      <w:pPr>
        <w:jc w:val="center"/>
        <w:rPr>
          <w:rFonts w:asciiTheme="majorBidi" w:hAnsiTheme="majorBidi" w:cstheme="majorBidi"/>
          <w:b/>
          <w:bCs/>
          <w:sz w:val="28"/>
          <w:szCs w:val="28"/>
          <w:rtl/>
          <w:lang w:bidi="ar-EG"/>
        </w:rPr>
      </w:pPr>
    </w:p>
    <w:p w14:paraId="3D3CBDF8" w14:textId="77777777" w:rsidR="009125CE" w:rsidRPr="009737AF" w:rsidRDefault="009125CE" w:rsidP="009125CE">
      <w:pPr>
        <w:jc w:val="center"/>
        <w:rPr>
          <w:rFonts w:asciiTheme="majorBidi" w:hAnsiTheme="majorBidi" w:cstheme="majorBidi"/>
          <w:b/>
          <w:bCs/>
          <w:sz w:val="28"/>
          <w:szCs w:val="28"/>
          <w:rtl/>
          <w:lang w:bidi="ar-EG"/>
        </w:rPr>
      </w:pPr>
    </w:p>
    <w:p w14:paraId="58D6152F" w14:textId="77777777" w:rsidR="009125CE" w:rsidRPr="009737AF" w:rsidRDefault="009125CE" w:rsidP="009125CE">
      <w:pPr>
        <w:jc w:val="center"/>
        <w:rPr>
          <w:rFonts w:asciiTheme="majorBidi" w:hAnsiTheme="majorBidi" w:cstheme="majorBidi"/>
          <w:b/>
          <w:bCs/>
          <w:sz w:val="28"/>
          <w:szCs w:val="28"/>
          <w:rtl/>
          <w:lang w:bidi="ar-EG"/>
        </w:rPr>
      </w:pPr>
    </w:p>
    <w:p w14:paraId="5F4EE2DE" w14:textId="1A92484F" w:rsidR="009125CE" w:rsidRPr="009737AF" w:rsidRDefault="009125CE"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إشراف/</w:t>
      </w:r>
    </w:p>
    <w:p w14:paraId="2EFA31CD" w14:textId="63FDA1D0" w:rsidR="009125CE" w:rsidRPr="009737AF" w:rsidRDefault="00D04F62"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د.الفيصل عبد الحميد</w:t>
      </w:r>
      <w:r w:rsidRPr="009737AF">
        <w:rPr>
          <w:rFonts w:asciiTheme="majorBidi" w:hAnsiTheme="majorBidi" w:cstheme="majorBidi"/>
          <w:b/>
          <w:bCs/>
          <w:sz w:val="28"/>
          <w:szCs w:val="28"/>
          <w:rtl/>
          <w:lang w:bidi="ar-EG"/>
        </w:rPr>
        <w:br/>
        <w:t>د.فايز جراد</w:t>
      </w:r>
    </w:p>
    <w:p w14:paraId="16CF2D6A" w14:textId="77777777" w:rsidR="009125CE" w:rsidRPr="009737AF" w:rsidRDefault="009125CE" w:rsidP="009125CE">
      <w:pPr>
        <w:jc w:val="center"/>
        <w:rPr>
          <w:rFonts w:asciiTheme="majorBidi" w:hAnsiTheme="majorBidi" w:cstheme="majorBidi"/>
          <w:b/>
          <w:bCs/>
          <w:sz w:val="28"/>
          <w:szCs w:val="28"/>
          <w:rtl/>
          <w:lang w:bidi="ar-EG"/>
        </w:rPr>
      </w:pPr>
    </w:p>
    <w:p w14:paraId="22738CC6" w14:textId="77777777" w:rsidR="009125CE" w:rsidRPr="009737AF" w:rsidRDefault="009125CE" w:rsidP="009125CE">
      <w:pPr>
        <w:jc w:val="center"/>
        <w:rPr>
          <w:rFonts w:asciiTheme="majorBidi" w:hAnsiTheme="majorBidi" w:cstheme="majorBidi"/>
          <w:b/>
          <w:bCs/>
          <w:sz w:val="28"/>
          <w:szCs w:val="28"/>
          <w:rtl/>
          <w:lang w:bidi="ar-EG"/>
        </w:rPr>
      </w:pPr>
    </w:p>
    <w:p w14:paraId="14480418" w14:textId="78A6C3AC" w:rsidR="009125CE" w:rsidRPr="009737AF" w:rsidRDefault="009125CE"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العام الدراسي:</w:t>
      </w:r>
    </w:p>
    <w:p w14:paraId="0ECF42F7" w14:textId="651CAE74" w:rsidR="009125CE" w:rsidRPr="009737AF" w:rsidRDefault="009125CE" w:rsidP="009125CE">
      <w:pPr>
        <w:jc w:val="center"/>
        <w:rPr>
          <w:rFonts w:asciiTheme="majorBidi" w:hAnsiTheme="majorBidi" w:cstheme="majorBidi"/>
          <w:b/>
          <w:bCs/>
          <w:sz w:val="28"/>
          <w:szCs w:val="28"/>
          <w:rtl/>
          <w:lang w:bidi="ar-EG"/>
        </w:rPr>
      </w:pPr>
      <w:r w:rsidRPr="009737AF">
        <w:rPr>
          <w:rFonts w:asciiTheme="majorBidi" w:hAnsiTheme="majorBidi" w:cstheme="majorBidi"/>
          <w:b/>
          <w:bCs/>
          <w:sz w:val="28"/>
          <w:szCs w:val="28"/>
          <w:rtl/>
          <w:lang w:bidi="ar-EG"/>
        </w:rPr>
        <w:t>202</w:t>
      </w:r>
      <w:r w:rsidR="00F023C9" w:rsidRPr="009737AF">
        <w:rPr>
          <w:rFonts w:asciiTheme="majorBidi" w:hAnsiTheme="majorBidi" w:cstheme="majorBidi"/>
          <w:b/>
          <w:bCs/>
          <w:sz w:val="28"/>
          <w:szCs w:val="28"/>
          <w:rtl/>
          <w:lang w:bidi="ar-EG"/>
        </w:rPr>
        <w:t>5</w:t>
      </w:r>
    </w:p>
    <w:p w14:paraId="5DBA947E" w14:textId="77777777" w:rsidR="009125CE" w:rsidRPr="009737AF" w:rsidRDefault="009125CE" w:rsidP="009125CE">
      <w:pPr>
        <w:jc w:val="center"/>
        <w:rPr>
          <w:rFonts w:asciiTheme="majorBidi" w:hAnsiTheme="majorBidi" w:cstheme="majorBidi"/>
          <w:b/>
          <w:bCs/>
          <w:sz w:val="28"/>
          <w:szCs w:val="28"/>
          <w:rtl/>
          <w:lang w:bidi="ar-EG"/>
        </w:rPr>
      </w:pPr>
    </w:p>
    <w:p w14:paraId="71099ADB" w14:textId="77777777" w:rsidR="009125CE" w:rsidRDefault="009125CE" w:rsidP="009125CE">
      <w:pPr>
        <w:jc w:val="center"/>
        <w:rPr>
          <w:rFonts w:asciiTheme="majorBidi" w:hAnsiTheme="majorBidi" w:cstheme="majorBidi"/>
          <w:b/>
          <w:bCs/>
          <w:sz w:val="28"/>
          <w:szCs w:val="28"/>
          <w:lang w:bidi="ar-EG"/>
        </w:rPr>
      </w:pPr>
    </w:p>
    <w:p w14:paraId="456DA433" w14:textId="77777777" w:rsidR="00074FF9" w:rsidRDefault="00074FF9" w:rsidP="009125CE">
      <w:pPr>
        <w:jc w:val="center"/>
        <w:rPr>
          <w:rFonts w:asciiTheme="majorBidi" w:hAnsiTheme="majorBidi" w:cstheme="majorBidi"/>
          <w:b/>
          <w:bCs/>
          <w:sz w:val="28"/>
          <w:szCs w:val="28"/>
          <w:lang w:bidi="ar-EG"/>
        </w:rPr>
      </w:pPr>
    </w:p>
    <w:p w14:paraId="4F479C5A" w14:textId="77777777" w:rsidR="00074FF9" w:rsidRDefault="00074FF9" w:rsidP="009125CE">
      <w:pPr>
        <w:jc w:val="center"/>
        <w:rPr>
          <w:rFonts w:asciiTheme="majorBidi" w:hAnsiTheme="majorBidi" w:cstheme="majorBidi"/>
          <w:b/>
          <w:bCs/>
          <w:sz w:val="28"/>
          <w:szCs w:val="28"/>
          <w:lang w:bidi="ar-EG"/>
        </w:rPr>
      </w:pPr>
    </w:p>
    <w:p w14:paraId="5EC20918" w14:textId="77777777" w:rsidR="00074FF9" w:rsidRPr="00074FF9" w:rsidRDefault="00074FF9" w:rsidP="009125CE">
      <w:pPr>
        <w:jc w:val="center"/>
        <w:rPr>
          <w:rFonts w:asciiTheme="majorBidi" w:hAnsiTheme="majorBidi" w:cstheme="majorBidi"/>
          <w:b/>
          <w:bCs/>
          <w:sz w:val="28"/>
          <w:szCs w:val="28"/>
          <w:rtl/>
          <w:lang w:bidi="ar-EG"/>
        </w:rPr>
      </w:pPr>
    </w:p>
    <w:p w14:paraId="21B1282E" w14:textId="77777777" w:rsidR="009125CE" w:rsidRPr="009737AF" w:rsidRDefault="009125CE" w:rsidP="009125CE">
      <w:pPr>
        <w:rPr>
          <w:rFonts w:asciiTheme="majorBidi" w:hAnsiTheme="majorBidi" w:cstheme="majorBidi"/>
          <w:sz w:val="28"/>
          <w:szCs w:val="28"/>
          <w:u w:val="single"/>
        </w:rPr>
      </w:pPr>
    </w:p>
    <w:p w14:paraId="710C527B" w14:textId="77777777" w:rsidR="009125CE" w:rsidRPr="009737AF" w:rsidRDefault="009125CE" w:rsidP="009125CE">
      <w:pPr>
        <w:rPr>
          <w:rFonts w:asciiTheme="majorBidi" w:hAnsiTheme="majorBidi" w:cstheme="majorBidi"/>
          <w:sz w:val="28"/>
          <w:szCs w:val="28"/>
          <w:u w:val="single"/>
        </w:rPr>
      </w:pPr>
    </w:p>
    <w:p w14:paraId="25C5D503" w14:textId="77777777" w:rsidR="009125CE" w:rsidRPr="009737AF" w:rsidRDefault="009125CE" w:rsidP="009125CE">
      <w:pPr>
        <w:rPr>
          <w:rFonts w:asciiTheme="majorBidi" w:hAnsiTheme="majorBidi" w:cstheme="majorBidi"/>
          <w:sz w:val="28"/>
          <w:szCs w:val="28"/>
          <w:u w:val="single"/>
        </w:rPr>
      </w:pPr>
    </w:p>
    <w:p w14:paraId="066A289A" w14:textId="77777777" w:rsidR="009125CE" w:rsidRDefault="009125CE" w:rsidP="009125CE">
      <w:pPr>
        <w:rPr>
          <w:rFonts w:asciiTheme="majorBidi" w:hAnsiTheme="majorBidi" w:cstheme="majorBidi"/>
          <w:sz w:val="28"/>
          <w:szCs w:val="28"/>
          <w:u w:val="single"/>
          <w:rtl/>
        </w:rPr>
      </w:pPr>
    </w:p>
    <w:p w14:paraId="311A85AF" w14:textId="77777777" w:rsidR="00520054" w:rsidRDefault="00520054" w:rsidP="009125CE">
      <w:pPr>
        <w:rPr>
          <w:rFonts w:asciiTheme="majorBidi" w:hAnsiTheme="majorBidi" w:cstheme="majorBidi"/>
          <w:sz w:val="28"/>
          <w:szCs w:val="28"/>
          <w:u w:val="single"/>
          <w:rtl/>
        </w:rPr>
      </w:pPr>
    </w:p>
    <w:p w14:paraId="2032BE8E" w14:textId="77777777" w:rsidR="00520054" w:rsidRDefault="00520054" w:rsidP="009125CE">
      <w:pPr>
        <w:rPr>
          <w:rFonts w:asciiTheme="majorBidi" w:hAnsiTheme="majorBidi" w:cstheme="majorBidi"/>
          <w:sz w:val="28"/>
          <w:szCs w:val="28"/>
          <w:u w:val="single"/>
          <w:rtl/>
        </w:rPr>
      </w:pPr>
    </w:p>
    <w:p w14:paraId="0510CE99" w14:textId="77777777" w:rsidR="00520054" w:rsidRDefault="00520054" w:rsidP="009125CE">
      <w:pPr>
        <w:rPr>
          <w:rFonts w:asciiTheme="majorBidi" w:hAnsiTheme="majorBidi" w:cstheme="majorBidi"/>
          <w:sz w:val="28"/>
          <w:szCs w:val="28"/>
          <w:u w:val="single"/>
          <w:rtl/>
        </w:rPr>
      </w:pPr>
    </w:p>
    <w:p w14:paraId="52628C53" w14:textId="77777777" w:rsidR="00520054" w:rsidRDefault="00520054" w:rsidP="009125CE">
      <w:pPr>
        <w:rPr>
          <w:rFonts w:asciiTheme="majorBidi" w:hAnsiTheme="majorBidi" w:cstheme="majorBidi"/>
          <w:sz w:val="28"/>
          <w:szCs w:val="28"/>
          <w:u w:val="single"/>
          <w:rtl/>
        </w:rPr>
      </w:pPr>
    </w:p>
    <w:p w14:paraId="17732447" w14:textId="77777777" w:rsidR="00520054" w:rsidRPr="009737AF" w:rsidRDefault="00520054" w:rsidP="009125CE">
      <w:pPr>
        <w:rPr>
          <w:rFonts w:asciiTheme="majorBidi" w:hAnsiTheme="majorBidi" w:cstheme="majorBidi"/>
          <w:sz w:val="28"/>
          <w:szCs w:val="28"/>
          <w:u w:val="single"/>
        </w:rPr>
      </w:pPr>
    </w:p>
    <w:p w14:paraId="050540D1" w14:textId="77777777" w:rsidR="009125CE" w:rsidRPr="009737AF" w:rsidRDefault="009125CE" w:rsidP="009125CE">
      <w:pPr>
        <w:rPr>
          <w:rFonts w:asciiTheme="majorBidi" w:hAnsiTheme="majorBidi" w:cstheme="majorBidi"/>
          <w:sz w:val="28"/>
          <w:szCs w:val="28"/>
          <w:u w:val="single"/>
        </w:rPr>
      </w:pPr>
    </w:p>
    <w:p w14:paraId="11532365" w14:textId="77777777" w:rsidR="009125CE" w:rsidRPr="009737AF" w:rsidRDefault="009125CE" w:rsidP="009125CE">
      <w:pPr>
        <w:rPr>
          <w:rFonts w:asciiTheme="majorBidi" w:hAnsiTheme="majorBidi" w:cstheme="majorBidi"/>
          <w:sz w:val="28"/>
          <w:szCs w:val="28"/>
          <w:u w:val="single"/>
        </w:rPr>
      </w:pPr>
    </w:p>
    <w:p w14:paraId="4CCA5733" w14:textId="77777777" w:rsidR="00694D9B" w:rsidRPr="009737AF" w:rsidRDefault="00694D9B" w:rsidP="009125CE">
      <w:pPr>
        <w:rPr>
          <w:rFonts w:asciiTheme="majorBidi" w:hAnsiTheme="majorBidi" w:cstheme="majorBidi"/>
          <w:sz w:val="28"/>
          <w:szCs w:val="28"/>
          <w:u w:val="single"/>
          <w:rtl/>
        </w:rPr>
      </w:pPr>
    </w:p>
    <w:p w14:paraId="231E38BB" w14:textId="30C15DF6" w:rsidR="009125CE" w:rsidRDefault="00621541" w:rsidP="00621541">
      <w:pPr>
        <w:jc w:val="center"/>
        <w:rPr>
          <w:rFonts w:asciiTheme="majorBidi" w:hAnsiTheme="majorBidi" w:cstheme="majorBidi"/>
          <w:b/>
          <w:bCs/>
          <w:sz w:val="48"/>
          <w:szCs w:val="48"/>
          <w:u w:val="single"/>
        </w:rPr>
      </w:pPr>
      <w:r w:rsidRPr="009737AF">
        <w:rPr>
          <w:rFonts w:asciiTheme="majorBidi" w:hAnsiTheme="majorBidi" w:cstheme="majorBidi"/>
          <w:b/>
          <w:bCs/>
          <w:sz w:val="48"/>
          <w:szCs w:val="48"/>
          <w:u w:val="single"/>
        </w:rPr>
        <w:t>Chapter One</w:t>
      </w:r>
    </w:p>
    <w:p w14:paraId="32CDDAA2" w14:textId="2C5B4AAD" w:rsidR="009125CE" w:rsidRPr="009737AF" w:rsidRDefault="00694D9B" w:rsidP="00520054">
      <w:pPr>
        <w:jc w:val="center"/>
        <w:rPr>
          <w:rFonts w:asciiTheme="majorBidi" w:hAnsiTheme="majorBidi" w:cstheme="majorBidi"/>
          <w:sz w:val="28"/>
          <w:szCs w:val="28"/>
          <w:u w:val="single"/>
          <w:rtl/>
        </w:rPr>
      </w:pPr>
      <w:r>
        <w:rPr>
          <w:rFonts w:asciiTheme="majorBidi" w:hAnsiTheme="majorBidi" w:cstheme="majorBidi"/>
          <w:b/>
          <w:bCs/>
          <w:sz w:val="48"/>
          <w:szCs w:val="48"/>
          <w:u w:val="single"/>
        </w:rPr>
        <w:t xml:space="preserve"> Introduction </w:t>
      </w:r>
    </w:p>
    <w:p w14:paraId="7983D52F" w14:textId="77777777" w:rsidR="009125CE" w:rsidRDefault="009125CE" w:rsidP="009125CE">
      <w:pPr>
        <w:rPr>
          <w:rFonts w:asciiTheme="majorBidi" w:hAnsiTheme="majorBidi" w:cstheme="majorBidi"/>
          <w:sz w:val="28"/>
          <w:szCs w:val="28"/>
          <w:u w:val="single"/>
          <w:rtl/>
        </w:rPr>
      </w:pPr>
    </w:p>
    <w:p w14:paraId="5FF58F31" w14:textId="77777777" w:rsidR="00520054" w:rsidRDefault="00520054" w:rsidP="009125CE">
      <w:pPr>
        <w:rPr>
          <w:rFonts w:asciiTheme="majorBidi" w:hAnsiTheme="majorBidi" w:cstheme="majorBidi"/>
          <w:sz w:val="28"/>
          <w:szCs w:val="28"/>
          <w:u w:val="single"/>
          <w:rtl/>
        </w:rPr>
      </w:pPr>
    </w:p>
    <w:p w14:paraId="44D3B13B" w14:textId="77777777" w:rsidR="00520054" w:rsidRDefault="00520054" w:rsidP="009125CE">
      <w:pPr>
        <w:rPr>
          <w:rFonts w:asciiTheme="majorBidi" w:hAnsiTheme="majorBidi" w:cstheme="majorBidi"/>
          <w:sz w:val="28"/>
          <w:szCs w:val="28"/>
          <w:u w:val="single"/>
          <w:rtl/>
        </w:rPr>
      </w:pPr>
    </w:p>
    <w:p w14:paraId="0F047F61" w14:textId="77777777" w:rsidR="00520054" w:rsidRDefault="00520054" w:rsidP="009125CE">
      <w:pPr>
        <w:rPr>
          <w:rFonts w:asciiTheme="majorBidi" w:hAnsiTheme="majorBidi" w:cstheme="majorBidi"/>
          <w:sz w:val="28"/>
          <w:szCs w:val="28"/>
          <w:u w:val="single"/>
          <w:rtl/>
        </w:rPr>
      </w:pPr>
    </w:p>
    <w:p w14:paraId="5BE98508" w14:textId="77777777" w:rsidR="00520054" w:rsidRDefault="00520054" w:rsidP="009125CE">
      <w:pPr>
        <w:rPr>
          <w:rFonts w:asciiTheme="majorBidi" w:hAnsiTheme="majorBidi" w:cstheme="majorBidi"/>
          <w:sz w:val="28"/>
          <w:szCs w:val="28"/>
          <w:u w:val="single"/>
          <w:rtl/>
        </w:rPr>
      </w:pPr>
    </w:p>
    <w:p w14:paraId="52CCAC17" w14:textId="77777777" w:rsidR="00520054" w:rsidRDefault="00520054" w:rsidP="009125CE">
      <w:pPr>
        <w:rPr>
          <w:rFonts w:asciiTheme="majorBidi" w:hAnsiTheme="majorBidi" w:cstheme="majorBidi"/>
          <w:sz w:val="28"/>
          <w:szCs w:val="28"/>
          <w:u w:val="single"/>
          <w:rtl/>
        </w:rPr>
      </w:pPr>
    </w:p>
    <w:p w14:paraId="4F301E3B" w14:textId="77777777" w:rsidR="00520054" w:rsidRDefault="00520054" w:rsidP="009125CE">
      <w:pPr>
        <w:rPr>
          <w:rFonts w:asciiTheme="majorBidi" w:hAnsiTheme="majorBidi" w:cstheme="majorBidi"/>
          <w:sz w:val="28"/>
          <w:szCs w:val="28"/>
          <w:u w:val="single"/>
          <w:rtl/>
        </w:rPr>
      </w:pPr>
    </w:p>
    <w:p w14:paraId="3D8E3CBA" w14:textId="77777777" w:rsidR="00520054" w:rsidRDefault="00520054" w:rsidP="009125CE">
      <w:pPr>
        <w:rPr>
          <w:rFonts w:asciiTheme="majorBidi" w:hAnsiTheme="majorBidi" w:cstheme="majorBidi"/>
          <w:sz w:val="28"/>
          <w:szCs w:val="28"/>
          <w:u w:val="single"/>
          <w:rtl/>
        </w:rPr>
      </w:pPr>
    </w:p>
    <w:p w14:paraId="1C37C2C5" w14:textId="77777777" w:rsidR="00520054" w:rsidRDefault="00520054" w:rsidP="009125CE">
      <w:pPr>
        <w:rPr>
          <w:rFonts w:asciiTheme="majorBidi" w:hAnsiTheme="majorBidi" w:cstheme="majorBidi"/>
          <w:sz w:val="28"/>
          <w:szCs w:val="28"/>
          <w:u w:val="single"/>
          <w:rtl/>
        </w:rPr>
      </w:pPr>
    </w:p>
    <w:p w14:paraId="52C1C648" w14:textId="77777777" w:rsidR="00520054" w:rsidRDefault="00520054" w:rsidP="009125CE">
      <w:pPr>
        <w:rPr>
          <w:rFonts w:asciiTheme="majorBidi" w:hAnsiTheme="majorBidi" w:cstheme="majorBidi"/>
          <w:sz w:val="28"/>
          <w:szCs w:val="28"/>
          <w:u w:val="single"/>
          <w:rtl/>
        </w:rPr>
      </w:pPr>
    </w:p>
    <w:p w14:paraId="392DEB39" w14:textId="77777777" w:rsidR="00520054" w:rsidRDefault="00520054" w:rsidP="009125CE">
      <w:pPr>
        <w:rPr>
          <w:rFonts w:asciiTheme="majorBidi" w:hAnsiTheme="majorBidi" w:cstheme="majorBidi"/>
          <w:sz w:val="28"/>
          <w:szCs w:val="28"/>
          <w:u w:val="single"/>
          <w:rtl/>
        </w:rPr>
      </w:pPr>
    </w:p>
    <w:p w14:paraId="3D0CBD66" w14:textId="77777777" w:rsidR="00520054" w:rsidRDefault="00520054" w:rsidP="009125CE">
      <w:pPr>
        <w:rPr>
          <w:rFonts w:asciiTheme="majorBidi" w:hAnsiTheme="majorBidi" w:cstheme="majorBidi"/>
          <w:sz w:val="28"/>
          <w:szCs w:val="28"/>
          <w:u w:val="single"/>
          <w:rtl/>
        </w:rPr>
      </w:pPr>
    </w:p>
    <w:p w14:paraId="6AD4B6DB" w14:textId="77777777" w:rsidR="00520054" w:rsidRDefault="00520054" w:rsidP="009125CE">
      <w:pPr>
        <w:rPr>
          <w:rFonts w:asciiTheme="majorBidi" w:hAnsiTheme="majorBidi" w:cstheme="majorBidi"/>
          <w:sz w:val="28"/>
          <w:szCs w:val="28"/>
          <w:u w:val="single"/>
          <w:rtl/>
        </w:rPr>
      </w:pPr>
    </w:p>
    <w:p w14:paraId="794D8A97" w14:textId="77777777" w:rsidR="00520054" w:rsidRPr="009737AF" w:rsidRDefault="00520054" w:rsidP="009125CE">
      <w:pPr>
        <w:rPr>
          <w:rFonts w:asciiTheme="majorBidi" w:hAnsiTheme="majorBidi" w:cstheme="majorBidi"/>
          <w:sz w:val="28"/>
          <w:szCs w:val="28"/>
          <w:u w:val="single"/>
          <w:rtl/>
        </w:rPr>
      </w:pPr>
    </w:p>
    <w:p w14:paraId="44DB923D" w14:textId="7375D503" w:rsidR="009125CE" w:rsidRPr="009737AF" w:rsidRDefault="00F023C9" w:rsidP="009B5830">
      <w:pPr>
        <w:jc w:val="right"/>
        <w:rPr>
          <w:rFonts w:asciiTheme="majorBidi" w:hAnsiTheme="majorBidi" w:cstheme="majorBidi"/>
          <w:b/>
          <w:bCs/>
          <w:sz w:val="28"/>
          <w:szCs w:val="28"/>
          <w:rtl/>
        </w:rPr>
      </w:pPr>
      <w:r w:rsidRPr="009737AF">
        <w:rPr>
          <w:rFonts w:asciiTheme="majorBidi" w:hAnsiTheme="majorBidi" w:cstheme="majorBidi"/>
          <w:b/>
          <w:bCs/>
          <w:sz w:val="28"/>
          <w:szCs w:val="28"/>
        </w:rPr>
        <w:t xml:space="preserve"> </w:t>
      </w:r>
      <w:r w:rsidR="00DF1FD2" w:rsidRPr="009737AF">
        <w:rPr>
          <w:rFonts w:asciiTheme="majorBidi" w:hAnsiTheme="majorBidi" w:cstheme="majorBidi"/>
          <w:b/>
          <w:bCs/>
          <w:sz w:val="28"/>
          <w:szCs w:val="28"/>
        </w:rPr>
        <w:t xml:space="preserve"> </w:t>
      </w:r>
      <w:r w:rsidR="009B5830" w:rsidRPr="009737AF">
        <w:rPr>
          <w:rFonts w:asciiTheme="majorBidi" w:hAnsiTheme="majorBidi" w:cstheme="majorBidi"/>
          <w:b/>
          <w:bCs/>
          <w:sz w:val="28"/>
          <w:szCs w:val="28"/>
        </w:rPr>
        <w:t xml:space="preserve">  </w:t>
      </w:r>
      <w:r w:rsidR="00DF1FD2" w:rsidRPr="009737AF">
        <w:rPr>
          <w:rFonts w:asciiTheme="majorBidi" w:hAnsiTheme="majorBidi" w:cstheme="majorBidi"/>
          <w:b/>
          <w:bCs/>
          <w:sz w:val="28"/>
          <w:szCs w:val="28"/>
        </w:rPr>
        <w:t xml:space="preserve">                       </w:t>
      </w:r>
      <w:r w:rsidR="00621541" w:rsidRPr="009737AF">
        <w:rPr>
          <w:rFonts w:asciiTheme="majorBidi" w:hAnsiTheme="majorBidi" w:cstheme="majorBidi"/>
          <w:b/>
          <w:bCs/>
          <w:sz w:val="28"/>
          <w:szCs w:val="28"/>
          <w:u w:val="single"/>
          <w:rtl/>
        </w:rPr>
        <w:t xml:space="preserve">: </w:t>
      </w:r>
      <w:r w:rsidR="002D2954" w:rsidRPr="009737AF">
        <w:rPr>
          <w:rFonts w:asciiTheme="majorBidi" w:hAnsiTheme="majorBidi" w:cstheme="majorBidi"/>
          <w:b/>
          <w:bCs/>
          <w:sz w:val="28"/>
          <w:szCs w:val="28"/>
          <w:u w:val="single"/>
        </w:rPr>
        <w:t>1</w:t>
      </w:r>
      <w:r w:rsidR="009B5830" w:rsidRPr="009737AF">
        <w:rPr>
          <w:rFonts w:asciiTheme="majorBidi" w:hAnsiTheme="majorBidi" w:cstheme="majorBidi"/>
          <w:b/>
          <w:bCs/>
          <w:sz w:val="28"/>
          <w:szCs w:val="28"/>
          <w:u w:val="single"/>
        </w:rPr>
        <w:t>- Introduction</w:t>
      </w:r>
    </w:p>
    <w:p w14:paraId="4F2CF6D3" w14:textId="6723E50D" w:rsidR="009125CE" w:rsidRPr="009737AF" w:rsidRDefault="00067042" w:rsidP="00067042">
      <w:pPr>
        <w:jc w:val="right"/>
        <w:rPr>
          <w:rFonts w:asciiTheme="majorBidi" w:hAnsiTheme="majorBidi" w:cstheme="majorBidi"/>
          <w:b/>
          <w:bCs/>
          <w:sz w:val="28"/>
          <w:szCs w:val="28"/>
        </w:rPr>
      </w:pPr>
      <w:r w:rsidRPr="009737AF">
        <w:rPr>
          <w:rFonts w:asciiTheme="majorBidi" w:hAnsiTheme="majorBidi" w:cstheme="majorBidi"/>
          <w:sz w:val="28"/>
          <w:szCs w:val="28"/>
        </w:rPr>
        <w:t xml:space="preserve"> </w:t>
      </w:r>
      <w:r w:rsidRPr="009737AF">
        <w:rPr>
          <w:rFonts w:asciiTheme="majorBidi" w:hAnsiTheme="majorBidi" w:cstheme="majorBidi"/>
          <w:b/>
          <w:bCs/>
          <w:sz w:val="28"/>
          <w:szCs w:val="28"/>
        </w:rPr>
        <w:t>1.</w:t>
      </w:r>
      <w:r w:rsidR="001D6845" w:rsidRPr="009737AF">
        <w:rPr>
          <w:rFonts w:asciiTheme="majorBidi" w:hAnsiTheme="majorBidi" w:cstheme="majorBidi"/>
          <w:b/>
          <w:bCs/>
          <w:sz w:val="28"/>
          <w:szCs w:val="28"/>
        </w:rPr>
        <w:t>1. Contextual</w:t>
      </w:r>
      <w:r w:rsidRPr="009737AF">
        <w:rPr>
          <w:rFonts w:asciiTheme="majorBidi" w:hAnsiTheme="majorBidi" w:cstheme="majorBidi"/>
          <w:b/>
          <w:bCs/>
          <w:sz w:val="28"/>
          <w:szCs w:val="28"/>
        </w:rPr>
        <w:t xml:space="preserve"> Ba</w:t>
      </w:r>
      <w:r w:rsidR="001D6845" w:rsidRPr="009737AF">
        <w:rPr>
          <w:rFonts w:asciiTheme="majorBidi" w:hAnsiTheme="majorBidi" w:cstheme="majorBidi"/>
          <w:b/>
          <w:bCs/>
          <w:sz w:val="28"/>
          <w:szCs w:val="28"/>
        </w:rPr>
        <w:t>ckground</w:t>
      </w:r>
    </w:p>
    <w:p w14:paraId="7F4BF5DE" w14:textId="524BF681" w:rsidR="006F0B99" w:rsidRPr="00EF1610" w:rsidRDefault="00BA40BD" w:rsidP="00EF1610">
      <w:pPr>
        <w:pStyle w:val="NormalWeb"/>
        <w:bidi w:val="0"/>
        <w:rPr>
          <w:rFonts w:eastAsia="Times New Roman"/>
          <w:kern w:val="0"/>
          <w14:ligatures w14:val="none"/>
        </w:rPr>
      </w:pPr>
      <w:r w:rsidRPr="009737AF">
        <w:rPr>
          <w:rFonts w:asciiTheme="majorBidi" w:hAnsiTheme="majorBidi" w:cstheme="majorBidi"/>
          <w:sz w:val="28"/>
          <w:szCs w:val="28"/>
          <w:lang w:val="en-GB"/>
        </w:rPr>
        <w:t xml:space="preserve">        </w:t>
      </w:r>
      <w:r w:rsidR="006F0B99" w:rsidRPr="006F0B99">
        <w:rPr>
          <w:rFonts w:asciiTheme="majorBidi" w:hAnsiTheme="majorBidi" w:cstheme="majorBidi"/>
          <w:sz w:val="28"/>
          <w:szCs w:val="28"/>
          <w:lang w:val="en-GB"/>
        </w:rPr>
        <w:t xml:space="preserve">Saudi Vision 2030, a change and globalised concept for advancement by the Saudi Arabian government, features advancement </w:t>
      </w:r>
      <w:proofErr w:type="gramStart"/>
      <w:r w:rsidR="006F0B99" w:rsidRPr="006F0B99">
        <w:rPr>
          <w:rFonts w:asciiTheme="majorBidi" w:hAnsiTheme="majorBidi" w:cstheme="majorBidi"/>
          <w:sz w:val="28"/>
          <w:szCs w:val="28"/>
          <w:lang w:val="en-GB"/>
        </w:rPr>
        <w:t>in the area of</w:t>
      </w:r>
      <w:proofErr w:type="gramEnd"/>
      <w:r w:rsidR="006F0B99" w:rsidRPr="006F0B99">
        <w:rPr>
          <w:rFonts w:asciiTheme="majorBidi" w:hAnsiTheme="majorBidi" w:cstheme="majorBidi"/>
          <w:sz w:val="28"/>
          <w:szCs w:val="28"/>
          <w:lang w:val="en-GB"/>
        </w:rPr>
        <w:t xml:space="preserve"> financial sustainability, operational effectiveness, and risk management, particularly in the healthcare sector </w:t>
      </w:r>
      <w:r w:rsidR="00EF1610" w:rsidRPr="00EF1610">
        <w:rPr>
          <w:rFonts w:asciiTheme="majorBidi" w:hAnsiTheme="majorBidi" w:cstheme="majorBidi"/>
          <w:sz w:val="28"/>
          <w:szCs w:val="28"/>
        </w:rPr>
        <w:t>(Rahman &amp; Al-Borie, 2021)</w:t>
      </w:r>
      <w:r w:rsidR="006F0B99" w:rsidRPr="006F0B99">
        <w:rPr>
          <w:rFonts w:asciiTheme="majorBidi" w:hAnsiTheme="majorBidi" w:cstheme="majorBidi"/>
          <w:sz w:val="28"/>
          <w:szCs w:val="28"/>
          <w:lang w:val="en-GB"/>
        </w:rPr>
        <w:t>. Healthcare spending in the country is an example, which stood at about USD 50.4 billion in 2023, or about 17 per cent of the entire government expenditure</w:t>
      </w:r>
      <w:r w:rsidR="00EF1610" w:rsidRPr="00EF1610">
        <w:rPr>
          <w:rFonts w:eastAsia="Times New Roman"/>
          <w:kern w:val="0"/>
          <w14:ligatures w14:val="none"/>
        </w:rPr>
        <w:t xml:space="preserve"> </w:t>
      </w:r>
      <w:r w:rsidR="00EF1610" w:rsidRPr="00EF1610">
        <w:rPr>
          <w:rFonts w:asciiTheme="majorBidi" w:hAnsiTheme="majorBidi" w:cstheme="majorBidi"/>
          <w:sz w:val="28"/>
          <w:szCs w:val="28"/>
        </w:rPr>
        <w:t>(Al Omari, 2024)</w:t>
      </w:r>
      <w:r w:rsidR="006F0B99" w:rsidRPr="006F0B99">
        <w:rPr>
          <w:rFonts w:asciiTheme="majorBidi" w:hAnsiTheme="majorBidi" w:cstheme="majorBidi"/>
          <w:sz w:val="28"/>
          <w:szCs w:val="28"/>
          <w:lang w:val="en-GB"/>
        </w:rPr>
        <w:t xml:space="preserve">. Mean and while, the most </w:t>
      </w:r>
      <w:proofErr w:type="gramStart"/>
      <w:r w:rsidR="006F0B99" w:rsidRPr="006F0B99">
        <w:rPr>
          <w:rFonts w:asciiTheme="majorBidi" w:hAnsiTheme="majorBidi" w:cstheme="majorBidi"/>
          <w:sz w:val="28"/>
          <w:szCs w:val="28"/>
          <w:lang w:val="en-GB"/>
        </w:rPr>
        <w:t>rapidly-developing</w:t>
      </w:r>
      <w:proofErr w:type="gramEnd"/>
      <w:r w:rsidR="006F0B99" w:rsidRPr="006F0B99">
        <w:rPr>
          <w:rFonts w:asciiTheme="majorBidi" w:hAnsiTheme="majorBidi" w:cstheme="majorBidi"/>
          <w:sz w:val="28"/>
          <w:szCs w:val="28"/>
          <w:lang w:val="en-GB"/>
        </w:rPr>
        <w:t xml:space="preserve"> arm of healthcare IT is now revenue cycle management (RCM): the Saudi Arabia Healthcare Information System Market was estimated to be USD 364.25 Million in 2024, and is even projected to become USD 517.89 Million by 2030, with RCM being identified as the largest application area </w:t>
      </w:r>
      <w:r w:rsidR="00EF1610" w:rsidRPr="00EF1610">
        <w:rPr>
          <w:rFonts w:asciiTheme="majorBidi" w:hAnsiTheme="majorBidi" w:cstheme="majorBidi"/>
          <w:sz w:val="28"/>
          <w:szCs w:val="28"/>
          <w:lang w:val="en-GB"/>
        </w:rPr>
        <w:t>(Verma, 2020)</w:t>
      </w:r>
      <w:r w:rsidR="006F0B99" w:rsidRPr="006F0B99">
        <w:rPr>
          <w:rFonts w:asciiTheme="majorBidi" w:hAnsiTheme="majorBidi" w:cstheme="majorBidi"/>
          <w:sz w:val="28"/>
          <w:szCs w:val="28"/>
          <w:lang w:val="en-GB"/>
        </w:rPr>
        <w:t>.</w:t>
      </w:r>
    </w:p>
    <w:p w14:paraId="5E2DE722" w14:textId="661413DD" w:rsidR="00EF1610" w:rsidRPr="00EF1610" w:rsidRDefault="00BA40BD" w:rsidP="00EF1610">
      <w:pPr>
        <w:jc w:val="right"/>
        <w:rPr>
          <w:rFonts w:asciiTheme="majorBidi" w:hAnsiTheme="majorBidi" w:cstheme="majorBidi"/>
          <w:sz w:val="28"/>
          <w:szCs w:val="28"/>
        </w:rPr>
      </w:pPr>
      <w:r w:rsidRPr="009737AF">
        <w:rPr>
          <w:rFonts w:asciiTheme="majorBidi" w:hAnsiTheme="majorBidi" w:cstheme="majorBidi"/>
          <w:sz w:val="28"/>
          <w:szCs w:val="28"/>
          <w:lang w:val="en-GB"/>
        </w:rPr>
        <w:t xml:space="preserve">           </w:t>
      </w:r>
      <w:r w:rsidR="009F0E92" w:rsidRPr="009737AF">
        <w:rPr>
          <w:rFonts w:asciiTheme="majorBidi" w:hAnsiTheme="majorBidi" w:cstheme="majorBidi"/>
          <w:sz w:val="28"/>
          <w:szCs w:val="28"/>
          <w:lang w:val="en-GB"/>
        </w:rPr>
        <w:t xml:space="preserve">    </w:t>
      </w:r>
      <w:r w:rsidRPr="009737AF">
        <w:rPr>
          <w:rFonts w:asciiTheme="majorBidi" w:hAnsiTheme="majorBidi" w:cstheme="majorBidi"/>
          <w:sz w:val="28"/>
          <w:szCs w:val="28"/>
          <w:lang w:val="en-GB"/>
        </w:rPr>
        <w:t xml:space="preserve"> </w:t>
      </w:r>
      <w:r w:rsidRPr="00BA40BD">
        <w:rPr>
          <w:rFonts w:asciiTheme="majorBidi" w:hAnsiTheme="majorBidi" w:cstheme="majorBidi"/>
          <w:sz w:val="28"/>
          <w:szCs w:val="28"/>
          <w:lang w:val="en-GB"/>
        </w:rPr>
        <w:t>In this respect, and especially within the jurisdiction of the Makkah Health Cluster</w:t>
      </w:r>
      <w:r w:rsidR="00694D9B">
        <w:rPr>
          <w:rFonts w:asciiTheme="majorBidi" w:hAnsiTheme="majorBidi" w:cstheme="majorBidi"/>
          <w:sz w:val="28"/>
          <w:szCs w:val="28"/>
          <w:lang w:val="en-GB"/>
        </w:rPr>
        <w:t xml:space="preserve"> (MHC</w:t>
      </w:r>
      <w:proofErr w:type="gramStart"/>
      <w:r w:rsidR="00694D9B">
        <w:rPr>
          <w:rFonts w:asciiTheme="majorBidi" w:hAnsiTheme="majorBidi" w:cstheme="majorBidi"/>
          <w:sz w:val="28"/>
          <w:szCs w:val="28"/>
          <w:lang w:val="en-GB"/>
        </w:rPr>
        <w:t xml:space="preserve">) </w:t>
      </w:r>
      <w:r w:rsidRPr="00BA40BD">
        <w:rPr>
          <w:rFonts w:asciiTheme="majorBidi" w:hAnsiTheme="majorBidi" w:cstheme="majorBidi"/>
          <w:sz w:val="28"/>
          <w:szCs w:val="28"/>
          <w:lang w:val="en-GB"/>
        </w:rPr>
        <w:t>,</w:t>
      </w:r>
      <w:proofErr w:type="gramEnd"/>
      <w:r w:rsidRPr="00BA40BD">
        <w:rPr>
          <w:rFonts w:asciiTheme="majorBidi" w:hAnsiTheme="majorBidi" w:cstheme="majorBidi"/>
          <w:sz w:val="28"/>
          <w:szCs w:val="28"/>
          <w:lang w:val="en-GB"/>
        </w:rPr>
        <w:t xml:space="preserve"> setting up a centralised revenue-development department (CRDD) can be seen as a strategic lever. Saudi Arabia is transforming its healthcare clusters into integrated networks to improve accountability and financial resilience operationally </w:t>
      </w:r>
      <w:r w:rsidR="00EF1610" w:rsidRPr="00EF1610">
        <w:rPr>
          <w:rFonts w:asciiTheme="majorBidi" w:hAnsiTheme="majorBidi" w:cstheme="majorBidi"/>
          <w:sz w:val="28"/>
          <w:szCs w:val="28"/>
        </w:rPr>
        <w:t>(PwC, 2025)</w:t>
      </w:r>
      <w:r w:rsidRPr="00BA40BD">
        <w:rPr>
          <w:rFonts w:asciiTheme="majorBidi" w:hAnsiTheme="majorBidi" w:cstheme="majorBidi"/>
          <w:sz w:val="28"/>
          <w:szCs w:val="28"/>
          <w:lang w:val="en-GB"/>
        </w:rPr>
        <w:t xml:space="preserve">. The concept of CRDD is in line with this move, which centralises the competencies of claims management and denial-prevention, accounts receivable oversight and revenue integrity. These are essential in an area where hospitals </w:t>
      </w:r>
      <w:proofErr w:type="gramStart"/>
      <w:r w:rsidRPr="00BA40BD">
        <w:rPr>
          <w:rFonts w:asciiTheme="majorBidi" w:hAnsiTheme="majorBidi" w:cstheme="majorBidi"/>
          <w:sz w:val="28"/>
          <w:szCs w:val="28"/>
          <w:lang w:val="en-GB"/>
        </w:rPr>
        <w:t>have to</w:t>
      </w:r>
      <w:proofErr w:type="gramEnd"/>
      <w:r w:rsidRPr="00BA40BD">
        <w:rPr>
          <w:rFonts w:asciiTheme="majorBidi" w:hAnsiTheme="majorBidi" w:cstheme="majorBidi"/>
          <w:sz w:val="28"/>
          <w:szCs w:val="28"/>
          <w:lang w:val="en-GB"/>
        </w:rPr>
        <w:t xml:space="preserve"> negotiate between the volume-based block finances and value-based risk-adjusted reimbursement designs, a transition that has been approximated to open normalised savings of SAR 40-65 billion annually by 2035 </w:t>
      </w:r>
      <w:r w:rsidR="00EF1610" w:rsidRPr="00EF1610">
        <w:rPr>
          <w:rFonts w:asciiTheme="majorBidi" w:hAnsiTheme="majorBidi" w:cstheme="majorBidi"/>
          <w:sz w:val="28"/>
          <w:szCs w:val="28"/>
        </w:rPr>
        <w:t>(Schmitz-Hubsch et al., 2025).</w:t>
      </w:r>
    </w:p>
    <w:p w14:paraId="2E5658E5" w14:textId="1CB815E9" w:rsidR="00EF1610" w:rsidRPr="00EF1610" w:rsidRDefault="004E5374" w:rsidP="00EF1610">
      <w:pPr>
        <w:jc w:val="right"/>
        <w:rPr>
          <w:rFonts w:asciiTheme="majorBidi" w:hAnsiTheme="majorBidi" w:cstheme="majorBidi"/>
          <w:sz w:val="28"/>
          <w:szCs w:val="28"/>
        </w:rPr>
      </w:pPr>
      <w:r w:rsidRPr="009737AF">
        <w:rPr>
          <w:rFonts w:asciiTheme="majorBidi" w:hAnsiTheme="majorBidi" w:cstheme="majorBidi"/>
          <w:sz w:val="28"/>
          <w:szCs w:val="28"/>
          <w:lang w:val="en-GB"/>
        </w:rPr>
        <w:t xml:space="preserve">               </w:t>
      </w:r>
      <w:r w:rsidR="00BA40BD" w:rsidRPr="009737AF">
        <w:rPr>
          <w:rFonts w:asciiTheme="majorBidi" w:hAnsiTheme="majorBidi" w:cstheme="majorBidi"/>
          <w:sz w:val="28"/>
          <w:szCs w:val="28"/>
          <w:lang w:val="en-GB"/>
        </w:rPr>
        <w:t xml:space="preserve">   </w:t>
      </w:r>
      <w:r w:rsidRPr="009737AF">
        <w:rPr>
          <w:rFonts w:asciiTheme="majorBidi" w:hAnsiTheme="majorBidi" w:cstheme="majorBidi"/>
          <w:sz w:val="28"/>
          <w:szCs w:val="28"/>
          <w:lang w:val="en-GB"/>
        </w:rPr>
        <w:t xml:space="preserve">More importantly, strategic and operational competencies of the CRDD should be developed and refined effectively </w:t>
      </w:r>
      <w:proofErr w:type="gramStart"/>
      <w:r w:rsidRPr="009737AF">
        <w:rPr>
          <w:rFonts w:asciiTheme="majorBidi" w:hAnsiTheme="majorBidi" w:cstheme="majorBidi"/>
          <w:sz w:val="28"/>
          <w:szCs w:val="28"/>
          <w:lang w:val="en-GB"/>
        </w:rPr>
        <w:t>in order to</w:t>
      </w:r>
      <w:proofErr w:type="gramEnd"/>
      <w:r w:rsidRPr="009737AF">
        <w:rPr>
          <w:rFonts w:asciiTheme="majorBidi" w:hAnsiTheme="majorBidi" w:cstheme="majorBidi"/>
          <w:sz w:val="28"/>
          <w:szCs w:val="28"/>
          <w:lang w:val="en-GB"/>
        </w:rPr>
        <w:t xml:space="preserve"> work. Strategic capabilities can be applied, such as leadership skills of risk forecasting, financial analytic skills, regulatory and insurance-payer interface knowledge, and change-management skills in a high-complexity cluster </w:t>
      </w:r>
      <w:r w:rsidR="00694D9B">
        <w:rPr>
          <w:rFonts w:asciiTheme="majorBidi" w:hAnsiTheme="majorBidi" w:cstheme="majorBidi"/>
          <w:sz w:val="28"/>
          <w:szCs w:val="28"/>
        </w:rPr>
        <w:t>(O</w:t>
      </w:r>
      <w:r w:rsidR="00EF1610" w:rsidRPr="00EF1610">
        <w:rPr>
          <w:rFonts w:asciiTheme="majorBidi" w:hAnsiTheme="majorBidi" w:cstheme="majorBidi"/>
          <w:sz w:val="28"/>
          <w:szCs w:val="28"/>
        </w:rPr>
        <w:t>'Brien &amp; Robertson, 2009)</w:t>
      </w:r>
      <w:r w:rsidRPr="009737AF">
        <w:rPr>
          <w:rFonts w:asciiTheme="majorBidi" w:hAnsiTheme="majorBidi" w:cstheme="majorBidi"/>
          <w:sz w:val="28"/>
          <w:szCs w:val="28"/>
          <w:lang w:val="en-GB"/>
        </w:rPr>
        <w:t xml:space="preserve">. Operational competencies may include comprehensive process expertise of revenue cycle processes, denial management, accuracy in coding, workflow efficiency, and highly skilled use of RCM IT systems. Since the Saudi Arabia-based RCM market is already experiencing the highest level of penetration into the segment, this highlights the awareness of the revenue </w:t>
      </w:r>
      <w:r w:rsidRPr="009737AF">
        <w:rPr>
          <w:rFonts w:asciiTheme="majorBidi" w:hAnsiTheme="majorBidi" w:cstheme="majorBidi"/>
          <w:sz w:val="28"/>
          <w:szCs w:val="28"/>
          <w:lang w:val="en-GB"/>
        </w:rPr>
        <w:lastRenderedPageBreak/>
        <w:t xml:space="preserve">cycle as a mission-critical competency in the sector </w:t>
      </w:r>
      <w:r w:rsidR="00EF1610" w:rsidRPr="00EF1610">
        <w:rPr>
          <w:rFonts w:asciiTheme="majorBidi" w:hAnsiTheme="majorBidi" w:cstheme="majorBidi"/>
          <w:sz w:val="28"/>
          <w:szCs w:val="28"/>
        </w:rPr>
        <w:t>(Mani &amp; Goniewicz, 2024).</w:t>
      </w:r>
    </w:p>
    <w:p w14:paraId="274AB2A1" w14:textId="6D93DEC4" w:rsidR="00EF1610" w:rsidRPr="00EF1610" w:rsidRDefault="000C377C" w:rsidP="00EF1610">
      <w:pPr>
        <w:jc w:val="right"/>
        <w:rPr>
          <w:rFonts w:asciiTheme="majorBidi" w:hAnsiTheme="majorBidi" w:cstheme="majorBidi"/>
          <w:sz w:val="28"/>
          <w:szCs w:val="28"/>
        </w:rPr>
      </w:pPr>
      <w:r w:rsidRPr="009737AF">
        <w:rPr>
          <w:rFonts w:asciiTheme="majorBidi" w:hAnsiTheme="majorBidi" w:cstheme="majorBidi"/>
          <w:sz w:val="28"/>
          <w:szCs w:val="28"/>
        </w:rPr>
        <w:t xml:space="preserve">            </w:t>
      </w:r>
      <w:r w:rsidRPr="009737AF">
        <w:rPr>
          <w:rFonts w:asciiTheme="majorBidi" w:hAnsiTheme="majorBidi" w:cstheme="majorBidi"/>
          <w:sz w:val="28"/>
          <w:szCs w:val="28"/>
          <w:lang w:val="en-GB"/>
        </w:rPr>
        <w:t xml:space="preserve">Financially, empirically, there are lapses in the maturity of these competencies that pose material financial risk. Indicatively, inpatient services are cost-intensive: in 2023, health providers with an average ratio of SAR 6,472 per inpatient day show that delays in revenue capture, high denial rates, or long accounts receivable days are important risk factors </w:t>
      </w:r>
      <w:r w:rsidR="00EF1610" w:rsidRPr="00EF1610">
        <w:rPr>
          <w:rFonts w:asciiTheme="majorBidi" w:hAnsiTheme="majorBidi" w:cstheme="majorBidi"/>
          <w:sz w:val="28"/>
          <w:szCs w:val="28"/>
        </w:rPr>
        <w:t>(Al-Anezi, 2025)</w:t>
      </w:r>
      <w:r w:rsidRPr="009737AF">
        <w:rPr>
          <w:rFonts w:asciiTheme="majorBidi" w:hAnsiTheme="majorBidi" w:cstheme="majorBidi"/>
          <w:sz w:val="28"/>
          <w:szCs w:val="28"/>
          <w:lang w:val="en-GB"/>
        </w:rPr>
        <w:t xml:space="preserve">. Additionally, the move to value-based reimbursement implies that the inability to incorporate strategic financial risk-mitigation capabilities can cripple the performance of providers and cluster viability </w:t>
      </w:r>
      <w:r w:rsidR="00EF1610" w:rsidRPr="00EF1610">
        <w:rPr>
          <w:rFonts w:asciiTheme="majorBidi" w:hAnsiTheme="majorBidi" w:cstheme="majorBidi"/>
          <w:sz w:val="28"/>
          <w:szCs w:val="28"/>
        </w:rPr>
        <w:t>(Arbaein et al., 2024</w:t>
      </w:r>
      <w:r w:rsidR="00EF1610">
        <w:rPr>
          <w:rFonts w:asciiTheme="majorBidi" w:hAnsiTheme="majorBidi" w:cstheme="majorBidi"/>
          <w:sz w:val="28"/>
          <w:szCs w:val="28"/>
        </w:rPr>
        <w:t>)</w:t>
      </w:r>
    </w:p>
    <w:p w14:paraId="2778D0B8" w14:textId="7D2E2A45" w:rsidR="000C377C" w:rsidRDefault="000C377C" w:rsidP="00EF1610">
      <w:pPr>
        <w:bidi w:val="0"/>
        <w:rPr>
          <w:rFonts w:asciiTheme="majorBidi" w:hAnsiTheme="majorBidi" w:cstheme="majorBidi"/>
          <w:sz w:val="28"/>
          <w:szCs w:val="28"/>
          <w:rtl/>
          <w:lang w:val="en-GB"/>
        </w:rPr>
      </w:pPr>
      <w:r w:rsidRPr="000C377C">
        <w:rPr>
          <w:rFonts w:asciiTheme="majorBidi" w:hAnsiTheme="majorBidi" w:cstheme="majorBidi"/>
          <w:sz w:val="28"/>
          <w:szCs w:val="28"/>
          <w:lang w:val="en-GB"/>
        </w:rPr>
        <w:tab/>
      </w:r>
      <w:r w:rsidRPr="009737AF">
        <w:rPr>
          <w:rFonts w:asciiTheme="majorBidi" w:hAnsiTheme="majorBidi" w:cstheme="majorBidi"/>
          <w:sz w:val="28"/>
          <w:szCs w:val="28"/>
          <w:lang w:val="en-GB"/>
        </w:rPr>
        <w:t xml:space="preserve">  </w:t>
      </w:r>
      <w:r w:rsidRPr="000C377C">
        <w:rPr>
          <w:rFonts w:asciiTheme="majorBidi" w:hAnsiTheme="majorBidi" w:cstheme="majorBidi"/>
          <w:sz w:val="28"/>
          <w:szCs w:val="28"/>
          <w:lang w:val="en-GB"/>
        </w:rPr>
        <w:t>Overall, the contextual background of your study confirms the fact that the creation of a CRDD in the Makkah Health Cluster is timely, but it has its share of opportunities and risks. It is analytically critical to define and measure the key strategic and operational competencies required by the CRDD since only under the conditions of the competencies' availability and physical development, the department will be able to curb financial risk effectively, optimise the revenue cycle, and, thereby, the overall performance of the cluster-related hospitals.</w:t>
      </w:r>
    </w:p>
    <w:p w14:paraId="5473EA45" w14:textId="77777777" w:rsidR="00EF1610" w:rsidRDefault="00EF1610" w:rsidP="000C377C">
      <w:pPr>
        <w:jc w:val="right"/>
        <w:rPr>
          <w:rFonts w:asciiTheme="majorBidi" w:hAnsiTheme="majorBidi" w:cstheme="majorBidi"/>
          <w:sz w:val="28"/>
          <w:szCs w:val="28"/>
          <w:rtl/>
          <w:lang w:val="en-GB"/>
        </w:rPr>
      </w:pPr>
    </w:p>
    <w:p w14:paraId="60A2905C" w14:textId="77777777" w:rsidR="00EF1610" w:rsidRPr="00EF1610" w:rsidRDefault="00EF1610" w:rsidP="000C377C">
      <w:pPr>
        <w:jc w:val="right"/>
        <w:rPr>
          <w:rFonts w:asciiTheme="majorBidi" w:hAnsiTheme="majorBidi" w:cstheme="majorBidi"/>
          <w:sz w:val="28"/>
          <w:szCs w:val="28"/>
        </w:rPr>
      </w:pPr>
    </w:p>
    <w:p w14:paraId="3385EBC3" w14:textId="0DF814C8" w:rsidR="004A3B23" w:rsidRPr="009737AF" w:rsidRDefault="004A3B23" w:rsidP="000C377C">
      <w:pPr>
        <w:jc w:val="right"/>
        <w:rPr>
          <w:rFonts w:asciiTheme="majorBidi" w:hAnsiTheme="majorBidi" w:cstheme="majorBidi"/>
          <w:b/>
          <w:bCs/>
          <w:sz w:val="28"/>
          <w:szCs w:val="28"/>
          <w:lang w:val="en-GB"/>
        </w:rPr>
      </w:pPr>
      <w:r w:rsidRPr="009737AF">
        <w:rPr>
          <w:rFonts w:asciiTheme="majorBidi" w:hAnsiTheme="majorBidi" w:cstheme="majorBidi"/>
          <w:b/>
          <w:bCs/>
          <w:sz w:val="28"/>
          <w:szCs w:val="28"/>
          <w:lang w:val="en-GB"/>
        </w:rPr>
        <w:t>1.</w:t>
      </w:r>
      <w:proofErr w:type="gramStart"/>
      <w:r w:rsidRPr="009737AF">
        <w:rPr>
          <w:rFonts w:asciiTheme="majorBidi" w:hAnsiTheme="majorBidi" w:cstheme="majorBidi"/>
          <w:b/>
          <w:bCs/>
          <w:sz w:val="28"/>
          <w:szCs w:val="28"/>
          <w:lang w:val="en-GB"/>
        </w:rPr>
        <w:t>2.Problem</w:t>
      </w:r>
      <w:proofErr w:type="gramEnd"/>
      <w:r w:rsidRPr="009737AF">
        <w:rPr>
          <w:rFonts w:asciiTheme="majorBidi" w:hAnsiTheme="majorBidi" w:cstheme="majorBidi"/>
          <w:b/>
          <w:bCs/>
          <w:sz w:val="28"/>
          <w:szCs w:val="28"/>
          <w:lang w:val="en-GB"/>
        </w:rPr>
        <w:t xml:space="preserve"> Statement </w:t>
      </w:r>
    </w:p>
    <w:p w14:paraId="0161A590" w14:textId="732E0BB7" w:rsidR="004F321C" w:rsidRPr="00EF1610" w:rsidRDefault="004F321C" w:rsidP="00EF1610">
      <w:pPr>
        <w:bidi w:val="0"/>
        <w:jc w:val="both"/>
        <w:rPr>
          <w:rFonts w:asciiTheme="majorBidi" w:hAnsiTheme="majorBidi" w:cstheme="majorBidi"/>
          <w:sz w:val="28"/>
          <w:szCs w:val="28"/>
        </w:rPr>
      </w:pPr>
      <w:r w:rsidRPr="009737AF">
        <w:rPr>
          <w:rFonts w:asciiTheme="majorBidi" w:hAnsiTheme="majorBidi" w:cstheme="majorBidi"/>
          <w:b/>
          <w:bCs/>
          <w:sz w:val="28"/>
          <w:szCs w:val="28"/>
          <w:lang w:val="en-GB"/>
        </w:rPr>
        <w:t xml:space="preserve">   </w:t>
      </w:r>
      <w:r w:rsidRPr="009737AF">
        <w:rPr>
          <w:rFonts w:asciiTheme="majorBidi" w:hAnsiTheme="majorBidi" w:cstheme="majorBidi"/>
          <w:sz w:val="28"/>
          <w:szCs w:val="28"/>
          <w:lang w:val="en-GB"/>
        </w:rPr>
        <w:t xml:space="preserve">           </w:t>
      </w:r>
      <w:r w:rsidRPr="004F321C">
        <w:rPr>
          <w:rFonts w:asciiTheme="majorBidi" w:hAnsiTheme="majorBidi" w:cstheme="majorBidi"/>
          <w:sz w:val="28"/>
          <w:szCs w:val="28"/>
          <w:lang w:val="en-GB"/>
        </w:rPr>
        <w:t xml:space="preserve">Saudi Arabia is experiencing a very rapid change in the healthcare environment, led by Saudi Vision 2030 and the restructuring of service delivery networks into clusters, including the Makkah Health Cluster (MHC). However, even under this strategic change, there remain several governmental hospitals that have been known to record major vulnerabilities in their revenue cycle management (RCM) systems that consequently put them at financial risk. As an illustration, recent studies within Saudi governmental hospitals indicate that the RCM processes are disrupted, the maturity level is not consistent, and no </w:t>
      </w:r>
      <w:proofErr w:type="gramStart"/>
      <w:r w:rsidRPr="004F321C">
        <w:rPr>
          <w:rFonts w:asciiTheme="majorBidi" w:hAnsiTheme="majorBidi" w:cstheme="majorBidi"/>
          <w:sz w:val="28"/>
          <w:szCs w:val="28"/>
          <w:lang w:val="en-GB"/>
        </w:rPr>
        <w:t>nationally-consistent</w:t>
      </w:r>
      <w:proofErr w:type="gramEnd"/>
      <w:r w:rsidRPr="004F321C">
        <w:rPr>
          <w:rFonts w:asciiTheme="majorBidi" w:hAnsiTheme="majorBidi" w:cstheme="majorBidi"/>
          <w:sz w:val="28"/>
          <w:szCs w:val="28"/>
          <w:lang w:val="en-GB"/>
        </w:rPr>
        <w:t xml:space="preserve"> framework is used to determine the best practice</w:t>
      </w:r>
      <w:r w:rsidR="00EF1610">
        <w:rPr>
          <w:rFonts w:asciiTheme="majorBidi" w:hAnsiTheme="majorBidi" w:cstheme="majorBidi"/>
          <w:sz w:val="28"/>
          <w:szCs w:val="28"/>
          <w:lang w:val="en-GB"/>
        </w:rPr>
        <w:t xml:space="preserve"> </w:t>
      </w:r>
      <w:r w:rsidR="00EF1610" w:rsidRPr="00EF1610">
        <w:rPr>
          <w:rFonts w:asciiTheme="majorBidi" w:hAnsiTheme="majorBidi" w:cstheme="majorBidi"/>
          <w:sz w:val="28"/>
          <w:szCs w:val="28"/>
        </w:rPr>
        <w:t>(Alradhi &amp; Alanazi, 2023)</w:t>
      </w:r>
      <w:r w:rsidRPr="004F321C">
        <w:rPr>
          <w:rFonts w:asciiTheme="majorBidi" w:hAnsiTheme="majorBidi" w:cstheme="majorBidi"/>
          <w:sz w:val="28"/>
          <w:szCs w:val="28"/>
          <w:lang w:val="en-GB"/>
        </w:rPr>
        <w:t xml:space="preserve">. In addition, providers worldwide and nationally are confronted by augmented external stressors, such as increasing fatigue of claim denials (such as initial claim denials of up to 15 per cent in certain systems) and augmented administrative requirements in billing and payer engagement </w:t>
      </w:r>
      <w:r w:rsidR="00EF1610" w:rsidRPr="00EF1610">
        <w:rPr>
          <w:rFonts w:asciiTheme="majorBidi" w:hAnsiTheme="majorBidi" w:cstheme="majorBidi"/>
          <w:sz w:val="28"/>
          <w:szCs w:val="28"/>
        </w:rPr>
        <w:t>(Peterson et al., 2024)</w:t>
      </w:r>
      <w:r w:rsidRPr="004F321C">
        <w:rPr>
          <w:rFonts w:asciiTheme="majorBidi" w:hAnsiTheme="majorBidi" w:cstheme="majorBidi"/>
          <w:sz w:val="28"/>
          <w:szCs w:val="28"/>
          <w:lang w:val="en-GB"/>
        </w:rPr>
        <w:t xml:space="preserve">. These issues explain how poor strategic leadership competencies, operational processes and combined financial-risk management </w:t>
      </w:r>
      <w:r w:rsidRPr="004F321C">
        <w:rPr>
          <w:rFonts w:asciiTheme="majorBidi" w:hAnsiTheme="majorBidi" w:cstheme="majorBidi"/>
          <w:sz w:val="28"/>
          <w:szCs w:val="28"/>
          <w:lang w:val="en-GB"/>
        </w:rPr>
        <w:lastRenderedPageBreak/>
        <w:t>competencies may result in the revenue leakage, increase in accounts receivable cycle and poor cash flows.</w:t>
      </w:r>
    </w:p>
    <w:p w14:paraId="1A192BC1" w14:textId="7C27EDBC" w:rsidR="004F321C" w:rsidRPr="00EF1610" w:rsidRDefault="004F321C" w:rsidP="00EF1610">
      <w:pPr>
        <w:jc w:val="right"/>
        <w:rPr>
          <w:rFonts w:asciiTheme="majorBidi" w:hAnsiTheme="majorBidi" w:cstheme="majorBidi"/>
          <w:sz w:val="28"/>
          <w:szCs w:val="28"/>
        </w:rPr>
      </w:pPr>
      <w:r w:rsidRPr="004F321C">
        <w:rPr>
          <w:rFonts w:asciiTheme="majorBidi" w:hAnsiTheme="majorBidi" w:cstheme="majorBidi"/>
          <w:sz w:val="28"/>
          <w:szCs w:val="28"/>
          <w:lang w:val="en-GB"/>
        </w:rPr>
        <w:tab/>
      </w:r>
      <w:r w:rsidRPr="009737AF">
        <w:rPr>
          <w:rFonts w:asciiTheme="majorBidi" w:hAnsiTheme="majorBidi" w:cstheme="majorBidi"/>
          <w:sz w:val="28"/>
          <w:szCs w:val="28"/>
          <w:lang w:val="en-GB"/>
        </w:rPr>
        <w:t xml:space="preserve">                  </w:t>
      </w:r>
      <w:r w:rsidRPr="004F321C">
        <w:rPr>
          <w:rFonts w:asciiTheme="majorBidi" w:hAnsiTheme="majorBidi" w:cstheme="majorBidi"/>
          <w:sz w:val="28"/>
          <w:szCs w:val="28"/>
          <w:lang w:val="en-GB"/>
        </w:rPr>
        <w:t>Considering the MHC, CRDD is suggested to centralise and strengthen the functions of the RCM of the affiliated hospitals. Nevertheless, when this CRDD does not have clear strategic and operational competencies, the ability to reduce financial risk and maximise performance can be severely reduced. According to the research literature, simply implementing the centralised structures without correspondingly matching the workforce competencies, particularly in terms of leadership, analytics, expertise in claims and process standardisation, tends to produce sub-optimal outcomes</w:t>
      </w:r>
      <w:r w:rsidR="00EF1610">
        <w:rPr>
          <w:rFonts w:asciiTheme="majorBidi" w:hAnsiTheme="majorBidi" w:cstheme="majorBidi"/>
          <w:sz w:val="28"/>
          <w:szCs w:val="28"/>
          <w:lang w:val="en-GB"/>
        </w:rPr>
        <w:t xml:space="preserve"> </w:t>
      </w:r>
      <w:r w:rsidR="00EF1610" w:rsidRPr="00EF1610">
        <w:rPr>
          <w:rFonts w:asciiTheme="majorBidi" w:hAnsiTheme="majorBidi" w:cstheme="majorBidi"/>
          <w:sz w:val="28"/>
          <w:szCs w:val="28"/>
        </w:rPr>
        <w:t>(Alsari et al., 2024)</w:t>
      </w:r>
      <w:r w:rsidRPr="004F321C">
        <w:rPr>
          <w:rFonts w:asciiTheme="majorBidi" w:hAnsiTheme="majorBidi" w:cstheme="majorBidi"/>
          <w:sz w:val="28"/>
          <w:szCs w:val="28"/>
          <w:lang w:val="en-GB"/>
        </w:rPr>
        <w:t xml:space="preserve">. Therefore, the limitations of the core issue that the research solves are two-fold: first, the lack of a clear competency model of the CRDD risks the capacity to manage the revenue and financial risk effectively; </w:t>
      </w:r>
      <w:r w:rsidR="00F515B1" w:rsidRPr="009737AF">
        <w:rPr>
          <w:rFonts w:asciiTheme="majorBidi" w:hAnsiTheme="majorBidi" w:cstheme="majorBidi"/>
          <w:sz w:val="28"/>
          <w:szCs w:val="28"/>
        </w:rPr>
        <w:t>Second, the unquantified development of competencies and the performance levels of the associated hospitals before and after creates a gap in evidence when assessing the actual value of the CRDD</w:t>
      </w:r>
      <w:r w:rsidRPr="004F321C">
        <w:rPr>
          <w:rFonts w:asciiTheme="majorBidi" w:hAnsiTheme="majorBidi" w:cstheme="majorBidi"/>
          <w:sz w:val="28"/>
          <w:szCs w:val="28"/>
          <w:lang w:val="en-GB"/>
        </w:rPr>
        <w:t>. These gaps persist, and without action to close them, MHC will still be facing the same financial inefficiencies irrespective of the structural change, which defeats the strategic goal to deliver quality, high-performance healthcare</w:t>
      </w:r>
      <w:r w:rsidRPr="004F321C">
        <w:rPr>
          <w:rFonts w:asciiTheme="majorBidi" w:hAnsiTheme="majorBidi" w:cstheme="majorBidi"/>
          <w:b/>
          <w:bCs/>
          <w:sz w:val="28"/>
          <w:szCs w:val="28"/>
          <w:lang w:val="en-GB"/>
        </w:rPr>
        <w:t>.</w:t>
      </w:r>
    </w:p>
    <w:p w14:paraId="7680718D" w14:textId="06FFF2D9" w:rsidR="00C35972" w:rsidRPr="009737AF" w:rsidRDefault="007B7682" w:rsidP="00F515B1">
      <w:pPr>
        <w:jc w:val="right"/>
        <w:rPr>
          <w:rFonts w:asciiTheme="majorBidi" w:hAnsiTheme="majorBidi" w:cstheme="majorBidi"/>
          <w:b/>
          <w:bCs/>
          <w:sz w:val="28"/>
          <w:szCs w:val="28"/>
          <w:lang w:val="en-GB"/>
        </w:rPr>
      </w:pPr>
      <w:r w:rsidRPr="009737AF">
        <w:rPr>
          <w:rFonts w:asciiTheme="majorBidi" w:hAnsiTheme="majorBidi" w:cstheme="majorBidi"/>
          <w:b/>
          <w:bCs/>
          <w:sz w:val="28"/>
          <w:szCs w:val="28"/>
          <w:lang w:val="en-GB"/>
        </w:rPr>
        <w:t xml:space="preserve"> </w:t>
      </w:r>
      <w:r w:rsidR="00170D9B" w:rsidRPr="009737AF">
        <w:rPr>
          <w:rFonts w:asciiTheme="majorBidi" w:hAnsiTheme="majorBidi" w:cstheme="majorBidi"/>
          <w:b/>
          <w:bCs/>
          <w:sz w:val="28"/>
          <w:szCs w:val="28"/>
          <w:lang w:val="en-GB"/>
        </w:rPr>
        <w:t>1.3. Signif</w:t>
      </w:r>
      <w:r w:rsidR="007D7278" w:rsidRPr="009737AF">
        <w:rPr>
          <w:rFonts w:asciiTheme="majorBidi" w:hAnsiTheme="majorBidi" w:cstheme="majorBidi"/>
          <w:b/>
          <w:bCs/>
          <w:sz w:val="28"/>
          <w:szCs w:val="28"/>
          <w:lang w:val="en-GB"/>
        </w:rPr>
        <w:t xml:space="preserve">icance of the Study </w:t>
      </w:r>
    </w:p>
    <w:p w14:paraId="31727986" w14:textId="2F57CAEB" w:rsidR="007D7278" w:rsidRPr="009737AF" w:rsidRDefault="007D7278" w:rsidP="00734664">
      <w:pPr>
        <w:jc w:val="right"/>
        <w:rPr>
          <w:rFonts w:asciiTheme="majorBidi" w:hAnsiTheme="majorBidi" w:cstheme="majorBidi"/>
          <w:sz w:val="28"/>
          <w:szCs w:val="28"/>
          <w:lang w:val="en-GB"/>
        </w:rPr>
      </w:pPr>
      <w:r w:rsidRPr="009737AF">
        <w:rPr>
          <w:rFonts w:asciiTheme="majorBidi" w:hAnsiTheme="majorBidi" w:cstheme="majorBidi"/>
          <w:b/>
          <w:bCs/>
          <w:sz w:val="28"/>
          <w:szCs w:val="28"/>
          <w:lang w:val="en-GB"/>
        </w:rPr>
        <w:t xml:space="preserve">           </w:t>
      </w:r>
      <w:r w:rsidR="00734664" w:rsidRPr="009737AF">
        <w:rPr>
          <w:rFonts w:asciiTheme="majorBidi" w:hAnsiTheme="majorBidi" w:cstheme="majorBidi"/>
          <w:b/>
          <w:bCs/>
          <w:sz w:val="28"/>
          <w:szCs w:val="28"/>
          <w:lang w:val="en-GB"/>
        </w:rPr>
        <w:t xml:space="preserve"> </w:t>
      </w:r>
      <w:r w:rsidR="00734664" w:rsidRPr="009737AF">
        <w:rPr>
          <w:rFonts w:asciiTheme="majorBidi" w:hAnsiTheme="majorBidi" w:cstheme="majorBidi"/>
          <w:sz w:val="28"/>
          <w:szCs w:val="28"/>
          <w:lang w:val="en-GB"/>
        </w:rPr>
        <w:t xml:space="preserve">The analyses are important because this research offers empirically and strategically grounded data on the possible role of CRDD in promoting financial sustainability and operational efficiency through the Makkah Health Cluster (MHC). The research could be useful to both theory and practice in healthcare financial governance because it defines and evaluates the key strategic and operational competencies needed to manage the revenue cycle (RCM). The results will be useful in making evidence-based choices for the Saudi health cluster leadership, in accordance with the Vision 2030 objectives of fiscal efficiency and value-based care. Moreover, the study bridges an important knowledge gap concerning the quantitative effects of centralisation efforts on key performance indicators, including claims rejection rates, increase in revenues, and days to accounts receivable, due to its quantitative assessment of the impact of the CRDD on key performance indicators. On the theoretical side, it develops competency-based paradigms of organisational performance, and on the practical side, it provides a framework that other regional health clusters can replicate </w:t>
      </w:r>
      <w:proofErr w:type="gramStart"/>
      <w:r w:rsidR="00734664" w:rsidRPr="009737AF">
        <w:rPr>
          <w:rFonts w:asciiTheme="majorBidi" w:hAnsiTheme="majorBidi" w:cstheme="majorBidi"/>
          <w:sz w:val="28"/>
          <w:szCs w:val="28"/>
          <w:lang w:val="en-GB"/>
        </w:rPr>
        <w:t>in order to</w:t>
      </w:r>
      <w:proofErr w:type="gramEnd"/>
      <w:r w:rsidR="00734664" w:rsidRPr="009737AF">
        <w:rPr>
          <w:rFonts w:asciiTheme="majorBidi" w:hAnsiTheme="majorBidi" w:cstheme="majorBidi"/>
          <w:sz w:val="28"/>
          <w:szCs w:val="28"/>
          <w:lang w:val="en-GB"/>
        </w:rPr>
        <w:t xml:space="preserve"> make themselves better equipped in terms of financial strength and strategic responsiveness.</w:t>
      </w:r>
    </w:p>
    <w:p w14:paraId="5065AD2F" w14:textId="21631294" w:rsidR="00734664" w:rsidRPr="009737AF" w:rsidRDefault="00C07215" w:rsidP="00734664">
      <w:pPr>
        <w:jc w:val="right"/>
        <w:rPr>
          <w:rFonts w:asciiTheme="majorBidi" w:hAnsiTheme="majorBidi" w:cstheme="majorBidi"/>
          <w:b/>
          <w:bCs/>
          <w:sz w:val="28"/>
          <w:szCs w:val="28"/>
          <w:lang w:val="en-GB"/>
        </w:rPr>
      </w:pPr>
      <w:r w:rsidRPr="009737AF">
        <w:rPr>
          <w:rFonts w:asciiTheme="majorBidi" w:hAnsiTheme="majorBidi" w:cstheme="majorBidi"/>
          <w:b/>
          <w:bCs/>
          <w:sz w:val="28"/>
          <w:szCs w:val="28"/>
          <w:lang w:val="en-GB"/>
        </w:rPr>
        <w:t xml:space="preserve">1.4. </w:t>
      </w:r>
      <w:r w:rsidR="00534F5E" w:rsidRPr="009737AF">
        <w:rPr>
          <w:rFonts w:asciiTheme="majorBidi" w:hAnsiTheme="majorBidi" w:cstheme="majorBidi"/>
          <w:b/>
          <w:bCs/>
          <w:sz w:val="28"/>
          <w:szCs w:val="28"/>
          <w:lang w:val="en-GB"/>
        </w:rPr>
        <w:t>Research Aim and Objectives:</w:t>
      </w:r>
    </w:p>
    <w:p w14:paraId="04BC62E9" w14:textId="5C4C4F9F" w:rsidR="00C43FDD" w:rsidRPr="009737AF" w:rsidRDefault="007765A1" w:rsidP="00C43FDD">
      <w:pPr>
        <w:bidi w:val="0"/>
        <w:rPr>
          <w:rFonts w:asciiTheme="majorBidi" w:hAnsiTheme="majorBidi" w:cstheme="majorBidi"/>
          <w:sz w:val="28"/>
          <w:szCs w:val="28"/>
          <w:lang w:val="en-GB"/>
        </w:rPr>
      </w:pPr>
      <w:r w:rsidRPr="009737AF">
        <w:rPr>
          <w:rFonts w:asciiTheme="majorBidi" w:hAnsiTheme="majorBidi" w:cstheme="majorBidi"/>
          <w:b/>
          <w:bCs/>
          <w:sz w:val="28"/>
          <w:szCs w:val="28"/>
          <w:lang w:val="en-GB"/>
        </w:rPr>
        <w:lastRenderedPageBreak/>
        <w:t xml:space="preserve">         </w:t>
      </w:r>
      <w:r w:rsidR="00237A94" w:rsidRPr="009737AF">
        <w:rPr>
          <w:rFonts w:asciiTheme="majorBidi" w:hAnsiTheme="majorBidi" w:cstheme="majorBidi"/>
          <w:b/>
          <w:bCs/>
          <w:sz w:val="28"/>
          <w:szCs w:val="28"/>
          <w:lang w:val="en-GB"/>
        </w:rPr>
        <w:t xml:space="preserve">  </w:t>
      </w:r>
      <w:r w:rsidR="00C43FDD" w:rsidRPr="009737AF">
        <w:rPr>
          <w:rFonts w:asciiTheme="majorBidi" w:hAnsiTheme="majorBidi" w:cstheme="majorBidi"/>
          <w:sz w:val="28"/>
          <w:szCs w:val="28"/>
          <w:lang w:val="en-GB"/>
        </w:rPr>
        <w:t>To define the essential strategic and operational competencies required for the CRDD and to assess the role of this centralised department in mitigating financial risks and enhancing RCM performance within the Makkah Health Cluster, during 2024 and till the end of October 2025.</w:t>
      </w:r>
    </w:p>
    <w:p w14:paraId="4A2B3CC4" w14:textId="77777777" w:rsidR="00C43FDD" w:rsidRPr="00C43FDD" w:rsidRDefault="00C43FDD" w:rsidP="00C43FDD">
      <w:pPr>
        <w:bidi w:val="0"/>
        <w:rPr>
          <w:rFonts w:asciiTheme="majorBidi" w:hAnsiTheme="majorBidi" w:cstheme="majorBidi"/>
          <w:sz w:val="28"/>
          <w:szCs w:val="28"/>
          <w:lang w:val="en-GB"/>
        </w:rPr>
      </w:pPr>
      <w:r w:rsidRPr="00C43FDD">
        <w:rPr>
          <w:rFonts w:asciiTheme="majorBidi" w:hAnsiTheme="majorBidi" w:cstheme="majorBidi"/>
          <w:sz w:val="28"/>
          <w:szCs w:val="28"/>
          <w:lang w:val="en-GB"/>
        </w:rPr>
        <w:t>Objectives:</w:t>
      </w:r>
    </w:p>
    <w:p w14:paraId="4AB27741" w14:textId="77777777" w:rsidR="00237A94" w:rsidRPr="009737AF" w:rsidRDefault="00237A94" w:rsidP="00237A94">
      <w:pPr>
        <w:tabs>
          <w:tab w:val="left" w:pos="851"/>
        </w:tabs>
        <w:bidi w:val="0"/>
        <w:ind w:left="567"/>
        <w:rPr>
          <w:rFonts w:asciiTheme="majorBidi" w:hAnsiTheme="majorBidi" w:cstheme="majorBidi"/>
          <w:sz w:val="28"/>
          <w:szCs w:val="28"/>
          <w:lang w:val="en-GB"/>
        </w:rPr>
      </w:pPr>
      <w:r w:rsidRPr="009737AF">
        <w:rPr>
          <w:rFonts w:asciiTheme="majorBidi" w:hAnsiTheme="majorBidi" w:cstheme="majorBidi"/>
          <w:sz w:val="28"/>
          <w:szCs w:val="28"/>
          <w:lang w:val="en-GB"/>
        </w:rPr>
        <w:t>1</w:t>
      </w:r>
      <w:r w:rsidRPr="009737AF">
        <w:rPr>
          <w:rFonts w:asciiTheme="majorBidi" w:hAnsiTheme="majorBidi" w:cstheme="majorBidi"/>
          <w:sz w:val="28"/>
          <w:szCs w:val="28"/>
          <w:rtl/>
          <w:lang w:val="en-GB"/>
        </w:rPr>
        <w:t>.</w:t>
      </w:r>
      <w:r w:rsidRPr="009737AF">
        <w:rPr>
          <w:rFonts w:asciiTheme="majorBidi" w:hAnsiTheme="majorBidi" w:cstheme="majorBidi"/>
          <w:sz w:val="28"/>
          <w:szCs w:val="28"/>
          <w:rtl/>
          <w:lang w:val="en-GB"/>
        </w:rPr>
        <w:tab/>
      </w:r>
      <w:r w:rsidRPr="009737AF">
        <w:rPr>
          <w:rFonts w:asciiTheme="majorBidi" w:hAnsiTheme="majorBidi" w:cstheme="majorBidi"/>
          <w:sz w:val="28"/>
          <w:szCs w:val="28"/>
          <w:lang w:val="en-GB"/>
        </w:rPr>
        <w:t>To analyse the current perceived availability and maturity level of these required competencies within the MHC workforce</w:t>
      </w:r>
      <w:r w:rsidRPr="009737AF">
        <w:rPr>
          <w:rFonts w:asciiTheme="majorBidi" w:hAnsiTheme="majorBidi" w:cstheme="majorBidi"/>
          <w:sz w:val="28"/>
          <w:szCs w:val="28"/>
          <w:rtl/>
          <w:lang w:val="en-GB"/>
        </w:rPr>
        <w:t>.</w:t>
      </w:r>
    </w:p>
    <w:p w14:paraId="3B95CB09" w14:textId="77777777" w:rsidR="00237A94" w:rsidRPr="009737AF" w:rsidRDefault="00237A94" w:rsidP="00237A94">
      <w:pPr>
        <w:tabs>
          <w:tab w:val="left" w:pos="851"/>
        </w:tabs>
        <w:bidi w:val="0"/>
        <w:ind w:left="567"/>
        <w:rPr>
          <w:rFonts w:asciiTheme="majorBidi" w:hAnsiTheme="majorBidi" w:cstheme="majorBidi"/>
          <w:sz w:val="28"/>
          <w:szCs w:val="28"/>
          <w:lang w:val="en-GB"/>
        </w:rPr>
      </w:pPr>
      <w:r w:rsidRPr="009737AF">
        <w:rPr>
          <w:rFonts w:asciiTheme="majorBidi" w:hAnsiTheme="majorBidi" w:cstheme="majorBidi"/>
          <w:sz w:val="28"/>
          <w:szCs w:val="28"/>
          <w:lang w:val="en-GB"/>
        </w:rPr>
        <w:t>2</w:t>
      </w:r>
      <w:r w:rsidRPr="009737AF">
        <w:rPr>
          <w:rFonts w:asciiTheme="majorBidi" w:hAnsiTheme="majorBidi" w:cstheme="majorBidi"/>
          <w:sz w:val="28"/>
          <w:szCs w:val="28"/>
          <w:rtl/>
          <w:lang w:val="en-GB"/>
        </w:rPr>
        <w:t>.</w:t>
      </w:r>
      <w:r w:rsidRPr="009737AF">
        <w:rPr>
          <w:rFonts w:asciiTheme="majorBidi" w:hAnsiTheme="majorBidi" w:cstheme="majorBidi"/>
          <w:sz w:val="28"/>
          <w:szCs w:val="28"/>
          <w:rtl/>
          <w:lang w:val="en-GB"/>
        </w:rPr>
        <w:tab/>
      </w:r>
      <w:r w:rsidRPr="009737AF">
        <w:rPr>
          <w:rFonts w:asciiTheme="majorBidi" w:hAnsiTheme="majorBidi" w:cstheme="majorBidi"/>
          <w:sz w:val="28"/>
          <w:szCs w:val="28"/>
          <w:lang w:val="en-GB"/>
        </w:rPr>
        <w:t>To quantitatively measure and compare key RCM Financial Performance Indicators (KPIs) of affiliated hospitals before and after the CRDD’s activation</w:t>
      </w:r>
      <w:r w:rsidRPr="009737AF">
        <w:rPr>
          <w:rFonts w:asciiTheme="majorBidi" w:hAnsiTheme="majorBidi" w:cstheme="majorBidi"/>
          <w:sz w:val="28"/>
          <w:szCs w:val="28"/>
          <w:rtl/>
          <w:lang w:val="en-GB"/>
        </w:rPr>
        <w:t>.</w:t>
      </w:r>
    </w:p>
    <w:p w14:paraId="7A1F2409" w14:textId="7C9AEA9D" w:rsidR="007765A1" w:rsidRPr="004F321C" w:rsidRDefault="00237A94" w:rsidP="00237A94">
      <w:pPr>
        <w:tabs>
          <w:tab w:val="left" w:pos="851"/>
        </w:tabs>
        <w:bidi w:val="0"/>
        <w:ind w:left="567"/>
        <w:rPr>
          <w:rFonts w:asciiTheme="majorBidi" w:hAnsiTheme="majorBidi" w:cstheme="majorBidi"/>
          <w:sz w:val="28"/>
          <w:szCs w:val="28"/>
        </w:rPr>
      </w:pPr>
      <w:r w:rsidRPr="009737AF">
        <w:rPr>
          <w:rFonts w:asciiTheme="majorBidi" w:hAnsiTheme="majorBidi" w:cstheme="majorBidi"/>
          <w:sz w:val="28"/>
          <w:szCs w:val="28"/>
          <w:lang w:val="en-GB"/>
        </w:rPr>
        <w:t>3</w:t>
      </w:r>
      <w:r w:rsidRPr="009737AF">
        <w:rPr>
          <w:rFonts w:asciiTheme="majorBidi" w:hAnsiTheme="majorBidi" w:cstheme="majorBidi"/>
          <w:sz w:val="28"/>
          <w:szCs w:val="28"/>
          <w:rtl/>
          <w:lang w:val="en-GB"/>
        </w:rPr>
        <w:t>.</w:t>
      </w:r>
      <w:r w:rsidRPr="009737AF">
        <w:rPr>
          <w:rFonts w:asciiTheme="majorBidi" w:hAnsiTheme="majorBidi" w:cstheme="majorBidi"/>
          <w:sz w:val="28"/>
          <w:szCs w:val="28"/>
          <w:rtl/>
          <w:lang w:val="en-GB"/>
        </w:rPr>
        <w:tab/>
      </w:r>
      <w:r w:rsidRPr="009737AF">
        <w:rPr>
          <w:rFonts w:asciiTheme="majorBidi" w:hAnsiTheme="majorBidi" w:cstheme="majorBidi"/>
          <w:sz w:val="28"/>
          <w:szCs w:val="28"/>
          <w:lang w:val="en-GB"/>
        </w:rPr>
        <w:t>To analyse the relationship between the perceived competencies within the CRDD and the quality of its strategic decisions for risk mitigation</w:t>
      </w:r>
      <w:r w:rsidRPr="009737AF">
        <w:rPr>
          <w:rFonts w:asciiTheme="majorBidi" w:hAnsiTheme="majorBidi" w:cstheme="majorBidi"/>
          <w:sz w:val="28"/>
          <w:szCs w:val="28"/>
          <w:rtl/>
          <w:lang w:val="en-GB"/>
        </w:rPr>
        <w:t>.</w:t>
      </w:r>
    </w:p>
    <w:p w14:paraId="1E0B26A5" w14:textId="43C7BF85" w:rsidR="006868D8" w:rsidRPr="009737AF" w:rsidRDefault="00C4538C" w:rsidP="000C377C">
      <w:pPr>
        <w:jc w:val="right"/>
        <w:rPr>
          <w:rFonts w:asciiTheme="majorBidi" w:hAnsiTheme="majorBidi" w:cstheme="majorBidi"/>
          <w:b/>
          <w:bCs/>
          <w:sz w:val="28"/>
          <w:szCs w:val="28"/>
          <w:lang w:val="en-GB"/>
        </w:rPr>
      </w:pPr>
      <w:r w:rsidRPr="009737AF">
        <w:rPr>
          <w:rFonts w:asciiTheme="majorBidi" w:hAnsiTheme="majorBidi" w:cstheme="majorBidi"/>
          <w:b/>
          <w:bCs/>
          <w:sz w:val="28"/>
          <w:szCs w:val="28"/>
          <w:lang w:val="en-GB"/>
        </w:rPr>
        <w:t>1.5. Research Questions:</w:t>
      </w:r>
    </w:p>
    <w:p w14:paraId="04EAEA8D" w14:textId="4ECEABE8" w:rsidR="00C4538C" w:rsidRPr="000C377C" w:rsidRDefault="00C4538C" w:rsidP="0085660F">
      <w:pPr>
        <w:jc w:val="right"/>
        <w:rPr>
          <w:rFonts w:asciiTheme="majorBidi" w:hAnsiTheme="majorBidi" w:cstheme="majorBidi"/>
          <w:sz w:val="28"/>
          <w:szCs w:val="28"/>
          <w:lang w:val="en-GB"/>
        </w:rPr>
      </w:pPr>
      <w:r w:rsidRPr="009737AF">
        <w:rPr>
          <w:rFonts w:asciiTheme="majorBidi" w:hAnsiTheme="majorBidi" w:cstheme="majorBidi"/>
          <w:b/>
          <w:bCs/>
          <w:sz w:val="28"/>
          <w:szCs w:val="28"/>
          <w:lang w:val="en-GB"/>
        </w:rPr>
        <w:t xml:space="preserve">             </w:t>
      </w:r>
      <w:r w:rsidR="0085660F" w:rsidRPr="009737AF">
        <w:rPr>
          <w:rFonts w:asciiTheme="majorBidi" w:hAnsiTheme="majorBidi" w:cstheme="majorBidi"/>
          <w:b/>
          <w:bCs/>
          <w:sz w:val="28"/>
          <w:szCs w:val="28"/>
          <w:lang w:val="en-GB"/>
        </w:rPr>
        <w:t xml:space="preserve"> </w:t>
      </w:r>
      <w:r w:rsidR="0085660F" w:rsidRPr="009737AF">
        <w:rPr>
          <w:rFonts w:asciiTheme="majorBidi" w:hAnsiTheme="majorBidi" w:cstheme="majorBidi"/>
          <w:sz w:val="28"/>
          <w:szCs w:val="28"/>
          <w:lang w:val="en-GB"/>
        </w:rPr>
        <w:t xml:space="preserve">   What is the impact of the CRDD’s establishment on affiliated hospitals' key financial performance indicators of claim denial rate, increasing the revenue and decreasing the accounts receivable days, and how do CRDD leadership competencies influence the quality of risk-related strategic decision-making within the organisation?</w:t>
      </w:r>
    </w:p>
    <w:p w14:paraId="60FB57B8" w14:textId="3D602E22" w:rsidR="00BA40BD" w:rsidRPr="009737AF" w:rsidRDefault="00980DE8" w:rsidP="00BA40BD">
      <w:pPr>
        <w:jc w:val="right"/>
        <w:rPr>
          <w:rFonts w:asciiTheme="majorBidi" w:hAnsiTheme="majorBidi" w:cstheme="majorBidi"/>
          <w:b/>
          <w:bCs/>
          <w:sz w:val="28"/>
          <w:szCs w:val="28"/>
        </w:rPr>
      </w:pPr>
      <w:r w:rsidRPr="009737AF">
        <w:rPr>
          <w:rFonts w:asciiTheme="majorBidi" w:hAnsiTheme="majorBidi" w:cstheme="majorBidi"/>
          <w:b/>
          <w:bCs/>
          <w:sz w:val="28"/>
          <w:szCs w:val="28"/>
        </w:rPr>
        <w:t xml:space="preserve">1.6. Research Hypothesis: </w:t>
      </w:r>
    </w:p>
    <w:p w14:paraId="60BB83F2" w14:textId="77777777" w:rsidR="00FE2241" w:rsidRPr="00FE2241" w:rsidRDefault="00FE2241" w:rsidP="00FE2241">
      <w:pPr>
        <w:jc w:val="right"/>
        <w:rPr>
          <w:rFonts w:asciiTheme="majorBidi" w:hAnsiTheme="majorBidi" w:cstheme="majorBidi"/>
          <w:sz w:val="28"/>
          <w:szCs w:val="28"/>
          <w:lang w:val="en-GB"/>
        </w:rPr>
      </w:pPr>
      <w:r w:rsidRPr="00FE2241">
        <w:rPr>
          <w:rFonts w:asciiTheme="majorBidi" w:hAnsiTheme="majorBidi" w:cstheme="majorBidi"/>
          <w:sz w:val="28"/>
          <w:szCs w:val="28"/>
          <w:lang w:val="en-GB"/>
        </w:rPr>
        <w:t>H₁: The establishment of the Centralized Revenue Development Department (CRDD) within the Makkah Health Cluster (MHC) significantly enhances revenue cycle performance and mitigates financial risks through the development and application of defined strategic and operational competencies.</w:t>
      </w:r>
    </w:p>
    <w:p w14:paraId="14C1C77D" w14:textId="77777777" w:rsidR="00FE2241" w:rsidRPr="00FE2241" w:rsidRDefault="00FE2241" w:rsidP="00FE2241">
      <w:pPr>
        <w:jc w:val="right"/>
        <w:rPr>
          <w:rFonts w:asciiTheme="majorBidi" w:hAnsiTheme="majorBidi" w:cstheme="majorBidi"/>
          <w:sz w:val="28"/>
          <w:szCs w:val="28"/>
          <w:lang w:val="en-GB"/>
        </w:rPr>
      </w:pPr>
      <w:r w:rsidRPr="00FE2241">
        <w:rPr>
          <w:rFonts w:asciiTheme="majorBidi" w:hAnsiTheme="majorBidi" w:cstheme="majorBidi"/>
          <w:sz w:val="28"/>
          <w:szCs w:val="28"/>
          <w:lang w:val="en-GB"/>
        </w:rPr>
        <w:t xml:space="preserve">Sub-Hypotheses: </w:t>
      </w:r>
    </w:p>
    <w:p w14:paraId="690EC174" w14:textId="3F38C671" w:rsidR="00FE2241" w:rsidRPr="009737AF" w:rsidRDefault="005D7570" w:rsidP="005D7570">
      <w:pPr>
        <w:pStyle w:val="ListParagraph"/>
        <w:numPr>
          <w:ilvl w:val="0"/>
          <w:numId w:val="9"/>
        </w:numPr>
        <w:bidi w:val="0"/>
        <w:rPr>
          <w:rFonts w:asciiTheme="majorBidi" w:hAnsiTheme="majorBidi" w:cstheme="majorBidi"/>
          <w:sz w:val="28"/>
          <w:szCs w:val="28"/>
          <w:lang w:val="en-GB"/>
        </w:rPr>
      </w:pPr>
      <w:r w:rsidRPr="009737AF">
        <w:rPr>
          <w:rFonts w:asciiTheme="majorBidi" w:hAnsiTheme="majorBidi" w:cstheme="majorBidi"/>
          <w:sz w:val="28"/>
          <w:szCs w:val="28"/>
          <w:lang w:val="en-GB"/>
        </w:rPr>
        <w:t xml:space="preserve">   </w:t>
      </w:r>
      <w:r w:rsidR="00FE2241" w:rsidRPr="009737AF">
        <w:rPr>
          <w:rFonts w:asciiTheme="majorBidi" w:hAnsiTheme="majorBidi" w:cstheme="majorBidi"/>
          <w:sz w:val="28"/>
          <w:szCs w:val="28"/>
          <w:lang w:val="en-GB"/>
        </w:rPr>
        <w:t>H₁a (Competency Availability): There is a statistically significant gap between the required and currently available strategic and operational competencies within the MHC workforce that affects CRDD performance outcomes.</w:t>
      </w:r>
    </w:p>
    <w:p w14:paraId="76205E12" w14:textId="77777777" w:rsidR="00FE2241" w:rsidRPr="00FE2241" w:rsidRDefault="00FE2241" w:rsidP="005D7570">
      <w:pPr>
        <w:numPr>
          <w:ilvl w:val="0"/>
          <w:numId w:val="9"/>
        </w:numPr>
        <w:bidi w:val="0"/>
        <w:rPr>
          <w:rFonts w:asciiTheme="majorBidi" w:hAnsiTheme="majorBidi" w:cstheme="majorBidi"/>
          <w:sz w:val="28"/>
          <w:szCs w:val="28"/>
          <w:lang w:val="en-GB"/>
        </w:rPr>
      </w:pPr>
      <w:r w:rsidRPr="00FE2241">
        <w:rPr>
          <w:rFonts w:asciiTheme="majorBidi" w:hAnsiTheme="majorBidi" w:cstheme="majorBidi"/>
          <w:sz w:val="28"/>
          <w:szCs w:val="28"/>
          <w:lang w:val="en-GB"/>
        </w:rPr>
        <w:t>H₁b (Performance Improvement): Activation of the CRDD leads to a statistically significant improvement in key RCM financial performance indicators, including reduced claim denial rates, increased total revenue, and decreased accounts receivable (A/R) days, compared to pre-activation levels.</w:t>
      </w:r>
    </w:p>
    <w:p w14:paraId="52C5DE0F" w14:textId="77777777" w:rsidR="00FE2241" w:rsidRPr="00FE2241" w:rsidRDefault="00FE2241" w:rsidP="005D7570">
      <w:pPr>
        <w:numPr>
          <w:ilvl w:val="0"/>
          <w:numId w:val="9"/>
        </w:numPr>
        <w:bidi w:val="0"/>
        <w:rPr>
          <w:rFonts w:asciiTheme="majorBidi" w:hAnsiTheme="majorBidi" w:cstheme="majorBidi"/>
          <w:sz w:val="28"/>
          <w:szCs w:val="28"/>
          <w:lang w:val="en-GB"/>
        </w:rPr>
      </w:pPr>
      <w:r w:rsidRPr="00FE2241">
        <w:rPr>
          <w:rFonts w:asciiTheme="majorBidi" w:hAnsiTheme="majorBidi" w:cstheme="majorBidi"/>
          <w:sz w:val="28"/>
          <w:szCs w:val="28"/>
          <w:lang w:val="en-GB"/>
        </w:rPr>
        <w:lastRenderedPageBreak/>
        <w:t>H₁c (Competency–Decision Quality Relationship): Higher perceived maturity levels of CRDD leadership and operational competencies are positively correlated with the quality of strategic financial risk mitigation decisions.</w:t>
      </w:r>
    </w:p>
    <w:p w14:paraId="0BE4D9AB" w14:textId="77777777" w:rsidR="00FE2241" w:rsidRPr="00FE2241" w:rsidRDefault="00FE2241" w:rsidP="005D7570">
      <w:pPr>
        <w:numPr>
          <w:ilvl w:val="0"/>
          <w:numId w:val="9"/>
        </w:numPr>
        <w:bidi w:val="0"/>
        <w:rPr>
          <w:rFonts w:asciiTheme="majorBidi" w:hAnsiTheme="majorBidi" w:cstheme="majorBidi"/>
          <w:sz w:val="28"/>
          <w:szCs w:val="28"/>
          <w:lang w:val="en-GB"/>
        </w:rPr>
      </w:pPr>
      <w:r w:rsidRPr="00FE2241">
        <w:rPr>
          <w:rFonts w:asciiTheme="majorBidi" w:hAnsiTheme="majorBidi" w:cstheme="majorBidi"/>
          <w:sz w:val="28"/>
          <w:szCs w:val="28"/>
          <w:lang w:val="en-GB"/>
        </w:rPr>
        <w:t>H₁d (Integrated Impact Model): The combined influence of strategic and operational competency maturity significantly predicts improvements in hospital-level financial KPIs, controlling for hospital size, case mix, and baseline performance.</w:t>
      </w:r>
    </w:p>
    <w:p w14:paraId="657F1E08" w14:textId="77777777" w:rsidR="00FE2241" w:rsidRPr="00FE2241" w:rsidRDefault="00FE2241" w:rsidP="00FE2241">
      <w:pPr>
        <w:jc w:val="right"/>
        <w:rPr>
          <w:rFonts w:asciiTheme="majorBidi" w:hAnsiTheme="majorBidi" w:cstheme="majorBidi"/>
          <w:b/>
          <w:bCs/>
          <w:sz w:val="28"/>
          <w:szCs w:val="28"/>
          <w:lang w:val="en-GB"/>
        </w:rPr>
      </w:pPr>
      <w:r w:rsidRPr="00FE2241">
        <w:rPr>
          <w:rFonts w:asciiTheme="majorBidi" w:hAnsiTheme="majorBidi" w:cstheme="majorBidi"/>
          <w:b/>
          <w:bCs/>
          <w:sz w:val="28"/>
          <w:szCs w:val="28"/>
          <w:lang w:val="en-GB"/>
        </w:rPr>
        <w:t>Null Hypotheses (H₀)</w:t>
      </w:r>
    </w:p>
    <w:p w14:paraId="58AFF97D" w14:textId="77777777" w:rsidR="00FE2241" w:rsidRPr="00FE2241" w:rsidRDefault="00FE2241" w:rsidP="00FE2241">
      <w:pPr>
        <w:jc w:val="right"/>
        <w:rPr>
          <w:rFonts w:asciiTheme="majorBidi" w:hAnsiTheme="majorBidi" w:cstheme="majorBidi"/>
          <w:sz w:val="28"/>
          <w:szCs w:val="28"/>
          <w:lang w:val="en-GB"/>
        </w:rPr>
      </w:pPr>
      <w:r w:rsidRPr="00FE2241">
        <w:rPr>
          <w:rFonts w:asciiTheme="majorBidi" w:hAnsiTheme="majorBidi" w:cstheme="majorBidi"/>
          <w:sz w:val="28"/>
          <w:szCs w:val="28"/>
          <w:lang w:val="en-GB"/>
        </w:rPr>
        <w:t xml:space="preserve">For each of the above: </w:t>
      </w:r>
    </w:p>
    <w:p w14:paraId="5C1BA7DD" w14:textId="1B94F841" w:rsidR="00F925D0" w:rsidRPr="009737AF" w:rsidRDefault="00FE2241" w:rsidP="004D5916">
      <w:pPr>
        <w:jc w:val="right"/>
        <w:rPr>
          <w:rFonts w:asciiTheme="majorBidi" w:hAnsiTheme="majorBidi" w:cstheme="majorBidi"/>
          <w:sz w:val="28"/>
          <w:szCs w:val="28"/>
          <w:lang w:val="en-GB"/>
        </w:rPr>
      </w:pPr>
      <w:r w:rsidRPr="00FE2241">
        <w:rPr>
          <w:rFonts w:asciiTheme="majorBidi" w:hAnsiTheme="majorBidi" w:cstheme="majorBidi"/>
          <w:sz w:val="28"/>
          <w:szCs w:val="28"/>
          <w:lang w:val="en-GB"/>
        </w:rPr>
        <w:t>H₀: There is no significant relationship or difference between CRDD competency maturity, financial performance indicators, or quality of financial risk mitigation decisions.</w:t>
      </w:r>
    </w:p>
    <w:p w14:paraId="71BE6C84" w14:textId="22115707" w:rsidR="004D5916" w:rsidRPr="009737AF" w:rsidRDefault="004D5916" w:rsidP="004D5916">
      <w:pPr>
        <w:jc w:val="right"/>
        <w:rPr>
          <w:rFonts w:asciiTheme="majorBidi" w:hAnsiTheme="majorBidi" w:cstheme="majorBidi"/>
          <w:b/>
          <w:bCs/>
          <w:sz w:val="28"/>
          <w:szCs w:val="28"/>
          <w:lang w:val="en-GB"/>
        </w:rPr>
      </w:pPr>
      <w:r w:rsidRPr="009737AF">
        <w:rPr>
          <w:rFonts w:asciiTheme="majorBidi" w:hAnsiTheme="majorBidi" w:cstheme="majorBidi"/>
          <w:b/>
          <w:bCs/>
          <w:sz w:val="28"/>
          <w:szCs w:val="28"/>
          <w:lang w:val="en-GB"/>
        </w:rPr>
        <w:t>1.7. Scientific The</w:t>
      </w:r>
      <w:r w:rsidR="00E6418E" w:rsidRPr="009737AF">
        <w:rPr>
          <w:rFonts w:asciiTheme="majorBidi" w:hAnsiTheme="majorBidi" w:cstheme="majorBidi"/>
          <w:b/>
          <w:bCs/>
          <w:sz w:val="28"/>
          <w:szCs w:val="28"/>
          <w:lang w:val="en-GB"/>
        </w:rPr>
        <w:t>ory Adopted for the Research:</w:t>
      </w:r>
    </w:p>
    <w:p w14:paraId="4282B154" w14:textId="1365EDB3" w:rsidR="00700FF3" w:rsidRPr="00694D9B" w:rsidRDefault="00700FF3" w:rsidP="00694D9B">
      <w:pPr>
        <w:jc w:val="right"/>
        <w:rPr>
          <w:rFonts w:asciiTheme="majorBidi" w:hAnsiTheme="majorBidi" w:cstheme="majorBidi"/>
          <w:sz w:val="28"/>
          <w:szCs w:val="28"/>
        </w:rPr>
      </w:pPr>
      <w:r w:rsidRPr="009737AF">
        <w:rPr>
          <w:rFonts w:asciiTheme="majorBidi" w:hAnsiTheme="majorBidi" w:cstheme="majorBidi"/>
          <w:b/>
          <w:bCs/>
          <w:sz w:val="28"/>
          <w:szCs w:val="28"/>
          <w:lang w:val="en-GB"/>
        </w:rPr>
        <w:t xml:space="preserve">          </w:t>
      </w:r>
      <w:r w:rsidRPr="009737AF">
        <w:rPr>
          <w:rFonts w:asciiTheme="majorBidi" w:hAnsiTheme="majorBidi" w:cstheme="majorBidi"/>
          <w:sz w:val="28"/>
          <w:szCs w:val="28"/>
          <w:lang w:val="en-GB"/>
        </w:rPr>
        <w:t xml:space="preserve"> The theoretical basis of the research is the Resource-Based View (RBV) theory and the Dynamic Capabilities Theory, which offers the frameworks of understanding the role of organisational competencies in facilitating performance and reducing risks in a complex healthcare system. The Resource-Based View supports the concept of sustainable competitive advantage development in a situation whereby the organisation has valuable, rare, inimitable, non-substitutable (VRIN) resources</w:t>
      </w:r>
      <w:r w:rsidR="00694D9B">
        <w:rPr>
          <w:rFonts w:asciiTheme="majorBidi" w:hAnsiTheme="majorBidi" w:cstheme="majorBidi"/>
          <w:sz w:val="28"/>
          <w:szCs w:val="28"/>
          <w:lang w:val="en-GB"/>
        </w:rPr>
        <w:t xml:space="preserve"> </w:t>
      </w:r>
      <w:r w:rsidR="00694D9B" w:rsidRPr="00694D9B">
        <w:rPr>
          <w:rFonts w:asciiTheme="majorBidi" w:hAnsiTheme="majorBidi" w:cstheme="majorBidi"/>
          <w:sz w:val="28"/>
          <w:szCs w:val="28"/>
        </w:rPr>
        <w:t>(Barney, 1991</w:t>
      </w:r>
      <w:r w:rsidR="00694D9B">
        <w:rPr>
          <w:rFonts w:asciiTheme="majorBidi" w:hAnsiTheme="majorBidi" w:cstheme="majorBidi"/>
          <w:sz w:val="28"/>
          <w:szCs w:val="28"/>
        </w:rPr>
        <w:t>)</w:t>
      </w:r>
      <w:r w:rsidRPr="009737AF">
        <w:rPr>
          <w:rFonts w:asciiTheme="majorBidi" w:hAnsiTheme="majorBidi" w:cstheme="majorBidi"/>
          <w:sz w:val="28"/>
          <w:szCs w:val="28"/>
          <w:lang w:val="en-GB"/>
        </w:rPr>
        <w:t>. At Makkah Health Cluster (MHC), these resources can be considered in the form of strategic and operational competencies, including financial analytics skills, claims management skills, leadership decision-making, and technological skills in revenue cycle management (RCM). When these competencies are mobilised the right way, they become internal strengths that result in a higher financial performance and reduced operational risk.</w:t>
      </w:r>
    </w:p>
    <w:p w14:paraId="2AD9C287" w14:textId="7B0895C0" w:rsidR="00700FF3" w:rsidRPr="00694D9B" w:rsidRDefault="00700FF3" w:rsidP="00694D9B">
      <w:pPr>
        <w:jc w:val="right"/>
        <w:rPr>
          <w:rFonts w:asciiTheme="majorBidi" w:hAnsiTheme="majorBidi" w:cstheme="majorBidi"/>
          <w:sz w:val="28"/>
          <w:szCs w:val="28"/>
        </w:rPr>
      </w:pPr>
      <w:r w:rsidRPr="00700FF3">
        <w:rPr>
          <w:rFonts w:asciiTheme="majorBidi" w:hAnsiTheme="majorBidi" w:cstheme="majorBidi"/>
          <w:sz w:val="28"/>
          <w:szCs w:val="28"/>
          <w:lang w:val="en-GB"/>
        </w:rPr>
        <w:tab/>
      </w:r>
      <w:r w:rsidRPr="009737AF">
        <w:rPr>
          <w:rFonts w:asciiTheme="majorBidi" w:hAnsiTheme="majorBidi" w:cstheme="majorBidi"/>
          <w:sz w:val="28"/>
          <w:szCs w:val="28"/>
          <w:lang w:val="en-GB"/>
        </w:rPr>
        <w:t xml:space="preserve">            </w:t>
      </w:r>
      <w:r w:rsidRPr="00700FF3">
        <w:rPr>
          <w:rFonts w:asciiTheme="majorBidi" w:hAnsiTheme="majorBidi" w:cstheme="majorBidi"/>
          <w:sz w:val="28"/>
          <w:szCs w:val="28"/>
          <w:lang w:val="en-GB"/>
        </w:rPr>
        <w:t xml:space="preserve">To supplement RBV, the Dynamic Capabilities Theory (Teece, Pisano and Shuen, 1997) focuses on the capability of an organisation to integrate, develop, and redesign its internal as well as external capabilities as an organisation adjusts to environmental changes </w:t>
      </w:r>
      <w:r w:rsidR="00694D9B" w:rsidRPr="00694D9B">
        <w:rPr>
          <w:rFonts w:asciiTheme="majorBidi" w:hAnsiTheme="majorBidi" w:cstheme="majorBidi"/>
          <w:sz w:val="28"/>
          <w:szCs w:val="28"/>
        </w:rPr>
        <w:t>(Teece et al., 1997)</w:t>
      </w:r>
      <w:r w:rsidRPr="00700FF3">
        <w:rPr>
          <w:rFonts w:asciiTheme="majorBidi" w:hAnsiTheme="majorBidi" w:cstheme="majorBidi"/>
          <w:sz w:val="28"/>
          <w:szCs w:val="28"/>
          <w:lang w:val="en-GB"/>
        </w:rPr>
        <w:t xml:space="preserve">. The success of the CRDD in Saudi Arabia is contingent on its ability to evolve in response to changing financial and regulatory environments and integrate the RCM strategies, streamline operations, and decision-making with the current health sector change. A combination of these theories clarifies the way the CRDD can be used to convert the personal abilities of individuals into </w:t>
      </w:r>
      <w:r w:rsidRPr="00700FF3">
        <w:rPr>
          <w:rFonts w:asciiTheme="majorBidi" w:hAnsiTheme="majorBidi" w:cstheme="majorBidi"/>
          <w:sz w:val="28"/>
          <w:szCs w:val="28"/>
          <w:lang w:val="en-GB"/>
        </w:rPr>
        <w:lastRenderedPageBreak/>
        <w:t>organisational competencies that achieve financial stability, fewer claim refusals, and enhanced cash flow. The model assumes that the maturity of the competency in the form of strategic leadership, technological adjustment, and process innovation would have a direct correlation on the degree of effect of risk reduction and revenue growth in the affiliated hospitals of the MHC.</w:t>
      </w:r>
    </w:p>
    <w:p w14:paraId="479E9292" w14:textId="7F0874CE" w:rsidR="00E6418E" w:rsidRPr="009737AF" w:rsidRDefault="00E6418E" w:rsidP="004D5916">
      <w:pPr>
        <w:jc w:val="right"/>
        <w:rPr>
          <w:rFonts w:asciiTheme="majorBidi" w:hAnsiTheme="majorBidi" w:cstheme="majorBidi"/>
          <w:b/>
          <w:bCs/>
          <w:sz w:val="28"/>
          <w:szCs w:val="28"/>
          <w:rtl/>
        </w:rPr>
      </w:pPr>
    </w:p>
    <w:p w14:paraId="7ABCAB64" w14:textId="77777777" w:rsidR="00166E2F" w:rsidRPr="009737AF" w:rsidRDefault="00166E2F" w:rsidP="00166E2F">
      <w:pPr>
        <w:jc w:val="right"/>
        <w:rPr>
          <w:rFonts w:asciiTheme="majorBidi" w:hAnsiTheme="majorBidi" w:cstheme="majorBidi"/>
          <w:sz w:val="28"/>
          <w:szCs w:val="28"/>
          <w:u w:val="single"/>
          <w:rtl/>
        </w:rPr>
      </w:pPr>
    </w:p>
    <w:p w14:paraId="2AAD8009" w14:textId="77777777" w:rsidR="00F925D0" w:rsidRPr="009737AF" w:rsidRDefault="00F925D0" w:rsidP="00D22171">
      <w:pPr>
        <w:rPr>
          <w:rFonts w:asciiTheme="majorBidi" w:hAnsiTheme="majorBidi" w:cstheme="majorBidi"/>
          <w:sz w:val="28"/>
          <w:szCs w:val="28"/>
          <w:u w:val="single"/>
          <w:rtl/>
        </w:rPr>
      </w:pPr>
    </w:p>
    <w:p w14:paraId="216E8E69" w14:textId="77777777" w:rsidR="00F925D0" w:rsidRPr="009737AF" w:rsidRDefault="00F925D0" w:rsidP="00D22171">
      <w:pPr>
        <w:rPr>
          <w:rFonts w:asciiTheme="majorBidi" w:hAnsiTheme="majorBidi" w:cstheme="majorBidi"/>
          <w:sz w:val="28"/>
          <w:szCs w:val="28"/>
          <w:u w:val="single"/>
          <w:rtl/>
        </w:rPr>
      </w:pPr>
    </w:p>
    <w:p w14:paraId="00A17364" w14:textId="77777777" w:rsidR="00F925D0" w:rsidRDefault="00F925D0" w:rsidP="00D22171">
      <w:pPr>
        <w:rPr>
          <w:rFonts w:asciiTheme="majorBidi" w:hAnsiTheme="majorBidi" w:cstheme="majorBidi"/>
          <w:sz w:val="28"/>
          <w:szCs w:val="28"/>
          <w:u w:val="single"/>
        </w:rPr>
      </w:pPr>
    </w:p>
    <w:p w14:paraId="7CB9F61C" w14:textId="77777777" w:rsidR="00694D9B" w:rsidRDefault="00694D9B" w:rsidP="00D22171">
      <w:pPr>
        <w:rPr>
          <w:rFonts w:asciiTheme="majorBidi" w:hAnsiTheme="majorBidi" w:cstheme="majorBidi"/>
          <w:sz w:val="28"/>
          <w:szCs w:val="28"/>
          <w:u w:val="single"/>
        </w:rPr>
      </w:pPr>
    </w:p>
    <w:p w14:paraId="3DDFC1CC" w14:textId="77777777" w:rsidR="00694D9B" w:rsidRDefault="00694D9B" w:rsidP="00D22171">
      <w:pPr>
        <w:rPr>
          <w:rFonts w:asciiTheme="majorBidi" w:hAnsiTheme="majorBidi" w:cstheme="majorBidi"/>
          <w:sz w:val="28"/>
          <w:szCs w:val="28"/>
          <w:u w:val="single"/>
        </w:rPr>
      </w:pPr>
    </w:p>
    <w:p w14:paraId="2E4463A3" w14:textId="77777777" w:rsidR="00694D9B" w:rsidRDefault="00694D9B" w:rsidP="00D22171">
      <w:pPr>
        <w:rPr>
          <w:rFonts w:asciiTheme="majorBidi" w:hAnsiTheme="majorBidi" w:cstheme="majorBidi"/>
          <w:sz w:val="28"/>
          <w:szCs w:val="28"/>
          <w:u w:val="single"/>
        </w:rPr>
      </w:pPr>
    </w:p>
    <w:p w14:paraId="29EFFEAC" w14:textId="77777777" w:rsidR="00694D9B" w:rsidRDefault="00694D9B" w:rsidP="00D22171">
      <w:pPr>
        <w:rPr>
          <w:rFonts w:asciiTheme="majorBidi" w:hAnsiTheme="majorBidi" w:cstheme="majorBidi"/>
          <w:sz w:val="28"/>
          <w:szCs w:val="28"/>
          <w:u w:val="single"/>
        </w:rPr>
      </w:pPr>
    </w:p>
    <w:p w14:paraId="4CCB29E4" w14:textId="77777777" w:rsidR="00694D9B" w:rsidRDefault="00694D9B" w:rsidP="00D22171">
      <w:pPr>
        <w:rPr>
          <w:rFonts w:asciiTheme="majorBidi" w:hAnsiTheme="majorBidi" w:cstheme="majorBidi"/>
          <w:sz w:val="28"/>
          <w:szCs w:val="28"/>
          <w:u w:val="single"/>
        </w:rPr>
      </w:pPr>
    </w:p>
    <w:p w14:paraId="56E2C80C" w14:textId="77777777" w:rsidR="00694D9B" w:rsidRDefault="00694D9B" w:rsidP="00D22171">
      <w:pPr>
        <w:rPr>
          <w:rFonts w:asciiTheme="majorBidi" w:hAnsiTheme="majorBidi" w:cstheme="majorBidi"/>
          <w:sz w:val="28"/>
          <w:szCs w:val="28"/>
          <w:u w:val="single"/>
        </w:rPr>
      </w:pPr>
    </w:p>
    <w:p w14:paraId="7E061B0D" w14:textId="77777777" w:rsidR="00694D9B" w:rsidRDefault="00694D9B" w:rsidP="00D22171">
      <w:pPr>
        <w:rPr>
          <w:rFonts w:asciiTheme="majorBidi" w:hAnsiTheme="majorBidi" w:cstheme="majorBidi"/>
          <w:sz w:val="28"/>
          <w:szCs w:val="28"/>
          <w:u w:val="single"/>
        </w:rPr>
      </w:pPr>
    </w:p>
    <w:p w14:paraId="423BA7B9" w14:textId="77777777" w:rsidR="00694D9B" w:rsidRDefault="00694D9B" w:rsidP="00D22171">
      <w:pPr>
        <w:rPr>
          <w:rFonts w:asciiTheme="majorBidi" w:hAnsiTheme="majorBidi" w:cstheme="majorBidi"/>
          <w:sz w:val="28"/>
          <w:szCs w:val="28"/>
          <w:u w:val="single"/>
        </w:rPr>
      </w:pPr>
    </w:p>
    <w:p w14:paraId="225A888F" w14:textId="77777777" w:rsidR="00694D9B" w:rsidRDefault="00694D9B" w:rsidP="00D22171">
      <w:pPr>
        <w:rPr>
          <w:rFonts w:asciiTheme="majorBidi" w:hAnsiTheme="majorBidi" w:cstheme="majorBidi"/>
          <w:sz w:val="28"/>
          <w:szCs w:val="28"/>
          <w:u w:val="single"/>
        </w:rPr>
      </w:pPr>
    </w:p>
    <w:p w14:paraId="5332DABD" w14:textId="77777777" w:rsidR="00694D9B" w:rsidRDefault="00694D9B" w:rsidP="00D22171">
      <w:pPr>
        <w:rPr>
          <w:rFonts w:asciiTheme="majorBidi" w:hAnsiTheme="majorBidi" w:cstheme="majorBidi"/>
          <w:sz w:val="28"/>
          <w:szCs w:val="28"/>
          <w:u w:val="single"/>
        </w:rPr>
      </w:pPr>
    </w:p>
    <w:p w14:paraId="18991064" w14:textId="77777777" w:rsidR="00694D9B" w:rsidRDefault="00694D9B" w:rsidP="00D22171">
      <w:pPr>
        <w:rPr>
          <w:rFonts w:asciiTheme="majorBidi" w:hAnsiTheme="majorBidi" w:cstheme="majorBidi"/>
          <w:sz w:val="28"/>
          <w:szCs w:val="28"/>
          <w:u w:val="single"/>
        </w:rPr>
      </w:pPr>
    </w:p>
    <w:p w14:paraId="53EC5415" w14:textId="77777777" w:rsidR="00694D9B" w:rsidRDefault="00694D9B" w:rsidP="00D22171">
      <w:pPr>
        <w:rPr>
          <w:rFonts w:asciiTheme="majorBidi" w:hAnsiTheme="majorBidi" w:cstheme="majorBidi"/>
          <w:sz w:val="28"/>
          <w:szCs w:val="28"/>
          <w:u w:val="single"/>
        </w:rPr>
      </w:pPr>
    </w:p>
    <w:p w14:paraId="59B0CBE5" w14:textId="77777777" w:rsidR="00694D9B" w:rsidRDefault="00694D9B" w:rsidP="00D22171">
      <w:pPr>
        <w:rPr>
          <w:rFonts w:asciiTheme="majorBidi" w:hAnsiTheme="majorBidi" w:cstheme="majorBidi"/>
          <w:sz w:val="28"/>
          <w:szCs w:val="28"/>
          <w:u w:val="single"/>
        </w:rPr>
      </w:pPr>
    </w:p>
    <w:p w14:paraId="642110FB" w14:textId="77777777" w:rsidR="00694D9B" w:rsidRDefault="00694D9B" w:rsidP="00D22171">
      <w:pPr>
        <w:rPr>
          <w:rFonts w:asciiTheme="majorBidi" w:hAnsiTheme="majorBidi" w:cstheme="majorBidi"/>
          <w:sz w:val="28"/>
          <w:szCs w:val="28"/>
          <w:u w:val="single"/>
        </w:rPr>
      </w:pPr>
    </w:p>
    <w:p w14:paraId="711D3F7D" w14:textId="77777777" w:rsidR="00694D9B" w:rsidRDefault="00694D9B" w:rsidP="00D22171">
      <w:pPr>
        <w:rPr>
          <w:rFonts w:asciiTheme="majorBidi" w:hAnsiTheme="majorBidi" w:cstheme="majorBidi"/>
          <w:sz w:val="28"/>
          <w:szCs w:val="28"/>
          <w:u w:val="single"/>
        </w:rPr>
      </w:pPr>
    </w:p>
    <w:p w14:paraId="0F467411" w14:textId="77777777" w:rsidR="00694D9B" w:rsidRDefault="00694D9B" w:rsidP="00D22171">
      <w:pPr>
        <w:rPr>
          <w:rFonts w:asciiTheme="majorBidi" w:hAnsiTheme="majorBidi" w:cstheme="majorBidi"/>
          <w:sz w:val="28"/>
          <w:szCs w:val="28"/>
          <w:u w:val="single"/>
        </w:rPr>
      </w:pPr>
    </w:p>
    <w:p w14:paraId="43745304" w14:textId="77777777" w:rsidR="00694D9B" w:rsidRDefault="00694D9B" w:rsidP="00D22171">
      <w:pPr>
        <w:rPr>
          <w:rFonts w:asciiTheme="majorBidi" w:hAnsiTheme="majorBidi" w:cstheme="majorBidi"/>
          <w:sz w:val="28"/>
          <w:szCs w:val="28"/>
          <w:u w:val="single"/>
        </w:rPr>
      </w:pPr>
    </w:p>
    <w:p w14:paraId="35524245" w14:textId="77777777" w:rsidR="00694D9B" w:rsidRDefault="00694D9B" w:rsidP="00D22171">
      <w:pPr>
        <w:rPr>
          <w:rFonts w:asciiTheme="majorBidi" w:hAnsiTheme="majorBidi" w:cstheme="majorBidi"/>
          <w:sz w:val="28"/>
          <w:szCs w:val="28"/>
          <w:u w:val="single"/>
        </w:rPr>
      </w:pPr>
    </w:p>
    <w:p w14:paraId="3757171F" w14:textId="77777777" w:rsidR="00694D9B" w:rsidRDefault="00694D9B" w:rsidP="00D22171">
      <w:pPr>
        <w:rPr>
          <w:rFonts w:asciiTheme="majorBidi" w:hAnsiTheme="majorBidi" w:cstheme="majorBidi"/>
          <w:sz w:val="28"/>
          <w:szCs w:val="28"/>
          <w:u w:val="single"/>
        </w:rPr>
      </w:pPr>
    </w:p>
    <w:p w14:paraId="70ECD143" w14:textId="77777777" w:rsidR="00694D9B" w:rsidRDefault="00694D9B" w:rsidP="00D22171">
      <w:pPr>
        <w:rPr>
          <w:rFonts w:asciiTheme="majorBidi" w:hAnsiTheme="majorBidi" w:cstheme="majorBidi"/>
          <w:sz w:val="28"/>
          <w:szCs w:val="28"/>
          <w:u w:val="single"/>
        </w:rPr>
      </w:pPr>
    </w:p>
    <w:p w14:paraId="4BD2117C" w14:textId="77777777" w:rsidR="00694D9B" w:rsidRDefault="00694D9B" w:rsidP="00D22171">
      <w:pPr>
        <w:rPr>
          <w:rFonts w:asciiTheme="majorBidi" w:hAnsiTheme="majorBidi" w:cstheme="majorBidi"/>
          <w:sz w:val="28"/>
          <w:szCs w:val="28"/>
          <w:u w:val="single"/>
        </w:rPr>
      </w:pPr>
    </w:p>
    <w:p w14:paraId="6C2553C0" w14:textId="77777777" w:rsidR="00694D9B" w:rsidRDefault="00694D9B" w:rsidP="00D22171">
      <w:pPr>
        <w:rPr>
          <w:rFonts w:asciiTheme="majorBidi" w:hAnsiTheme="majorBidi" w:cstheme="majorBidi"/>
          <w:sz w:val="28"/>
          <w:szCs w:val="28"/>
          <w:u w:val="single"/>
        </w:rPr>
      </w:pPr>
    </w:p>
    <w:p w14:paraId="0C2C3820" w14:textId="77777777" w:rsidR="00694D9B" w:rsidRDefault="00694D9B" w:rsidP="00D22171">
      <w:pPr>
        <w:rPr>
          <w:rFonts w:asciiTheme="majorBidi" w:hAnsiTheme="majorBidi" w:cstheme="majorBidi"/>
          <w:sz w:val="28"/>
          <w:szCs w:val="28"/>
          <w:u w:val="single"/>
        </w:rPr>
      </w:pPr>
    </w:p>
    <w:p w14:paraId="0561519B" w14:textId="77777777" w:rsidR="00694D9B" w:rsidRDefault="00694D9B" w:rsidP="00D22171">
      <w:pPr>
        <w:rPr>
          <w:rFonts w:asciiTheme="majorBidi" w:hAnsiTheme="majorBidi" w:cstheme="majorBidi"/>
          <w:sz w:val="28"/>
          <w:szCs w:val="28"/>
          <w:u w:val="single"/>
        </w:rPr>
      </w:pPr>
    </w:p>
    <w:p w14:paraId="4B11FFEB" w14:textId="77777777" w:rsidR="00694D9B" w:rsidRDefault="00694D9B" w:rsidP="00D22171">
      <w:pPr>
        <w:rPr>
          <w:rFonts w:asciiTheme="majorBidi" w:hAnsiTheme="majorBidi" w:cstheme="majorBidi"/>
          <w:sz w:val="28"/>
          <w:szCs w:val="28"/>
          <w:u w:val="single"/>
        </w:rPr>
      </w:pPr>
    </w:p>
    <w:p w14:paraId="1AFC472B" w14:textId="77777777" w:rsidR="00694D9B" w:rsidRDefault="00694D9B" w:rsidP="00D22171">
      <w:pPr>
        <w:rPr>
          <w:rFonts w:asciiTheme="majorBidi" w:hAnsiTheme="majorBidi" w:cstheme="majorBidi"/>
          <w:sz w:val="28"/>
          <w:szCs w:val="28"/>
          <w:u w:val="single"/>
        </w:rPr>
      </w:pPr>
    </w:p>
    <w:p w14:paraId="32FBD581" w14:textId="77777777" w:rsidR="00694D9B" w:rsidRDefault="00694D9B" w:rsidP="00D22171">
      <w:pPr>
        <w:rPr>
          <w:rFonts w:asciiTheme="majorBidi" w:hAnsiTheme="majorBidi" w:cstheme="majorBidi"/>
          <w:sz w:val="28"/>
          <w:szCs w:val="28"/>
          <w:u w:val="single"/>
        </w:rPr>
      </w:pPr>
    </w:p>
    <w:p w14:paraId="1999B5BB" w14:textId="77777777" w:rsidR="00694D9B" w:rsidRPr="009737AF" w:rsidRDefault="00694D9B" w:rsidP="00D22171">
      <w:pPr>
        <w:rPr>
          <w:rFonts w:asciiTheme="majorBidi" w:hAnsiTheme="majorBidi" w:cstheme="majorBidi"/>
          <w:sz w:val="28"/>
          <w:szCs w:val="28"/>
          <w:u w:val="single"/>
          <w:rtl/>
        </w:rPr>
      </w:pPr>
    </w:p>
    <w:p w14:paraId="5CA70A4D" w14:textId="77777777" w:rsidR="004641DD" w:rsidRPr="009737AF" w:rsidRDefault="004641DD" w:rsidP="00F925D0">
      <w:pPr>
        <w:jc w:val="center"/>
        <w:rPr>
          <w:rFonts w:asciiTheme="majorBidi" w:hAnsiTheme="majorBidi" w:cstheme="majorBidi"/>
          <w:b/>
          <w:bCs/>
          <w:sz w:val="48"/>
          <w:szCs w:val="48"/>
          <w:u w:val="single"/>
          <w:rtl/>
        </w:rPr>
      </w:pPr>
    </w:p>
    <w:p w14:paraId="34FD5DA3" w14:textId="28683328" w:rsidR="00F925D0" w:rsidRPr="009737AF" w:rsidRDefault="004F0085" w:rsidP="004F0085">
      <w:pPr>
        <w:jc w:val="center"/>
        <w:rPr>
          <w:rFonts w:asciiTheme="majorBidi" w:hAnsiTheme="majorBidi" w:cstheme="majorBidi"/>
          <w:b/>
          <w:bCs/>
          <w:sz w:val="48"/>
          <w:szCs w:val="48"/>
          <w:u w:val="single"/>
          <w:rtl/>
        </w:rPr>
      </w:pPr>
      <w:r w:rsidRPr="009737AF">
        <w:rPr>
          <w:rFonts w:asciiTheme="majorBidi" w:hAnsiTheme="majorBidi" w:cstheme="majorBidi"/>
          <w:b/>
          <w:bCs/>
          <w:sz w:val="48"/>
          <w:szCs w:val="48"/>
          <w:u w:val="single"/>
        </w:rPr>
        <w:t>Chapter Two</w:t>
      </w:r>
    </w:p>
    <w:p w14:paraId="34548D0B" w14:textId="3E4BF3F3" w:rsidR="00F925D0" w:rsidRPr="009737AF" w:rsidRDefault="007115A5" w:rsidP="007115A5">
      <w:pPr>
        <w:jc w:val="center"/>
        <w:rPr>
          <w:rFonts w:asciiTheme="majorBidi" w:hAnsiTheme="majorBidi" w:cstheme="majorBidi"/>
          <w:sz w:val="28"/>
          <w:szCs w:val="28"/>
          <w:u w:val="single"/>
          <w:rtl/>
        </w:rPr>
      </w:pPr>
      <w:r w:rsidRPr="009737AF">
        <w:rPr>
          <w:rFonts w:asciiTheme="majorBidi" w:hAnsiTheme="majorBidi" w:cstheme="majorBidi"/>
          <w:b/>
          <w:bCs/>
          <w:sz w:val="48"/>
          <w:szCs w:val="48"/>
          <w:u w:val="single"/>
        </w:rPr>
        <w:t>Literature Review</w:t>
      </w:r>
    </w:p>
    <w:p w14:paraId="036D7235" w14:textId="77777777" w:rsidR="00F925D0" w:rsidRPr="009737AF" w:rsidRDefault="00F925D0" w:rsidP="00D22171">
      <w:pPr>
        <w:rPr>
          <w:rFonts w:asciiTheme="majorBidi" w:hAnsiTheme="majorBidi" w:cstheme="majorBidi"/>
          <w:sz w:val="28"/>
          <w:szCs w:val="28"/>
          <w:u w:val="single"/>
          <w:rtl/>
        </w:rPr>
      </w:pPr>
    </w:p>
    <w:p w14:paraId="10C7EEB3" w14:textId="77777777" w:rsidR="00F925D0" w:rsidRPr="009737AF" w:rsidRDefault="00F925D0" w:rsidP="00D22171">
      <w:pPr>
        <w:rPr>
          <w:rFonts w:asciiTheme="majorBidi" w:hAnsiTheme="majorBidi" w:cstheme="majorBidi"/>
          <w:sz w:val="28"/>
          <w:szCs w:val="28"/>
          <w:u w:val="single"/>
          <w:rtl/>
        </w:rPr>
      </w:pPr>
    </w:p>
    <w:p w14:paraId="31DE7DB7" w14:textId="77777777" w:rsidR="00F925D0" w:rsidRPr="009737AF" w:rsidRDefault="00F925D0" w:rsidP="00D22171">
      <w:pPr>
        <w:rPr>
          <w:rFonts w:asciiTheme="majorBidi" w:hAnsiTheme="majorBidi" w:cstheme="majorBidi"/>
          <w:sz w:val="28"/>
          <w:szCs w:val="28"/>
          <w:u w:val="single"/>
          <w:rtl/>
        </w:rPr>
      </w:pPr>
    </w:p>
    <w:p w14:paraId="1E5462C4" w14:textId="77777777" w:rsidR="00F925D0" w:rsidRPr="009737AF" w:rsidRDefault="00F925D0" w:rsidP="00D22171">
      <w:pPr>
        <w:rPr>
          <w:rFonts w:asciiTheme="majorBidi" w:hAnsiTheme="majorBidi" w:cstheme="majorBidi"/>
          <w:sz w:val="28"/>
          <w:szCs w:val="28"/>
          <w:u w:val="single"/>
          <w:rtl/>
        </w:rPr>
      </w:pPr>
    </w:p>
    <w:p w14:paraId="779E885D" w14:textId="77777777" w:rsidR="00F925D0" w:rsidRPr="009737AF" w:rsidRDefault="00F925D0" w:rsidP="00D22171">
      <w:pPr>
        <w:rPr>
          <w:rFonts w:asciiTheme="majorBidi" w:hAnsiTheme="majorBidi" w:cstheme="majorBidi"/>
          <w:sz w:val="28"/>
          <w:szCs w:val="28"/>
          <w:u w:val="single"/>
          <w:rtl/>
        </w:rPr>
      </w:pPr>
    </w:p>
    <w:p w14:paraId="619873C1" w14:textId="77777777" w:rsidR="00F925D0" w:rsidRPr="009737AF" w:rsidRDefault="00F925D0" w:rsidP="00D22171">
      <w:pPr>
        <w:rPr>
          <w:rFonts w:asciiTheme="majorBidi" w:hAnsiTheme="majorBidi" w:cstheme="majorBidi"/>
          <w:sz w:val="28"/>
          <w:szCs w:val="28"/>
          <w:u w:val="single"/>
          <w:rtl/>
        </w:rPr>
      </w:pPr>
    </w:p>
    <w:p w14:paraId="3FF9ADBE" w14:textId="77777777" w:rsidR="00F925D0" w:rsidRPr="009737AF" w:rsidRDefault="00F925D0" w:rsidP="00D22171">
      <w:pPr>
        <w:rPr>
          <w:rFonts w:asciiTheme="majorBidi" w:hAnsiTheme="majorBidi" w:cstheme="majorBidi"/>
          <w:sz w:val="28"/>
          <w:szCs w:val="28"/>
          <w:u w:val="single"/>
          <w:rtl/>
        </w:rPr>
      </w:pPr>
    </w:p>
    <w:p w14:paraId="2112A7FC" w14:textId="77777777" w:rsidR="00F925D0" w:rsidRPr="009737AF" w:rsidRDefault="00F925D0" w:rsidP="00D22171">
      <w:pPr>
        <w:rPr>
          <w:rFonts w:asciiTheme="majorBidi" w:hAnsiTheme="majorBidi" w:cstheme="majorBidi"/>
          <w:sz w:val="28"/>
          <w:szCs w:val="28"/>
          <w:u w:val="single"/>
          <w:rtl/>
        </w:rPr>
      </w:pPr>
    </w:p>
    <w:p w14:paraId="3C752219" w14:textId="77777777" w:rsidR="00F925D0" w:rsidRPr="009737AF" w:rsidRDefault="00F925D0" w:rsidP="00D22171">
      <w:pPr>
        <w:rPr>
          <w:rFonts w:asciiTheme="majorBidi" w:hAnsiTheme="majorBidi" w:cstheme="majorBidi"/>
          <w:sz w:val="28"/>
          <w:szCs w:val="28"/>
          <w:u w:val="single"/>
          <w:rtl/>
        </w:rPr>
      </w:pPr>
    </w:p>
    <w:p w14:paraId="51CEBCE6" w14:textId="77777777" w:rsidR="00F925D0" w:rsidRPr="009737AF" w:rsidRDefault="00F925D0" w:rsidP="00D22171">
      <w:pPr>
        <w:rPr>
          <w:rFonts w:asciiTheme="majorBidi" w:hAnsiTheme="majorBidi" w:cstheme="majorBidi"/>
          <w:sz w:val="28"/>
          <w:szCs w:val="28"/>
          <w:u w:val="single"/>
          <w:rtl/>
        </w:rPr>
      </w:pPr>
    </w:p>
    <w:p w14:paraId="24CE5691" w14:textId="77777777" w:rsidR="00F925D0" w:rsidRPr="009737AF" w:rsidRDefault="00F925D0" w:rsidP="00D22171">
      <w:pPr>
        <w:rPr>
          <w:rFonts w:asciiTheme="majorBidi" w:hAnsiTheme="majorBidi" w:cstheme="majorBidi"/>
          <w:sz w:val="28"/>
          <w:szCs w:val="28"/>
          <w:u w:val="single"/>
          <w:rtl/>
        </w:rPr>
      </w:pPr>
    </w:p>
    <w:p w14:paraId="10CF1E2C" w14:textId="77777777" w:rsidR="00074FF9" w:rsidRDefault="00074FF9" w:rsidP="00D22171">
      <w:pPr>
        <w:rPr>
          <w:rFonts w:asciiTheme="majorBidi" w:hAnsiTheme="majorBidi" w:cstheme="majorBidi"/>
          <w:sz w:val="28"/>
          <w:szCs w:val="28"/>
          <w:u w:val="single"/>
        </w:rPr>
      </w:pPr>
    </w:p>
    <w:p w14:paraId="0813C7C4" w14:textId="77777777" w:rsidR="00074FF9" w:rsidRDefault="00074FF9" w:rsidP="00D22171">
      <w:pPr>
        <w:rPr>
          <w:rFonts w:asciiTheme="majorBidi" w:hAnsiTheme="majorBidi" w:cstheme="majorBidi"/>
          <w:sz w:val="28"/>
          <w:szCs w:val="28"/>
          <w:u w:val="single"/>
        </w:rPr>
      </w:pPr>
    </w:p>
    <w:p w14:paraId="057BF2A9" w14:textId="77777777" w:rsidR="004641DD" w:rsidRDefault="004641DD" w:rsidP="00D22171">
      <w:pPr>
        <w:rPr>
          <w:rFonts w:asciiTheme="majorBidi" w:hAnsiTheme="majorBidi" w:cstheme="majorBidi"/>
          <w:sz w:val="28"/>
          <w:szCs w:val="28"/>
          <w:u w:val="single"/>
        </w:rPr>
      </w:pPr>
    </w:p>
    <w:p w14:paraId="27656C04" w14:textId="77777777" w:rsidR="00694D9B" w:rsidRPr="009737AF" w:rsidRDefault="00694D9B" w:rsidP="00D22171">
      <w:pPr>
        <w:rPr>
          <w:rFonts w:asciiTheme="majorBidi" w:hAnsiTheme="majorBidi" w:cstheme="majorBidi"/>
          <w:sz w:val="28"/>
          <w:szCs w:val="28"/>
          <w:u w:val="single"/>
          <w:rtl/>
        </w:rPr>
      </w:pPr>
    </w:p>
    <w:p w14:paraId="77CE3C05" w14:textId="53A6C058" w:rsidR="00F925D0" w:rsidRPr="009737AF" w:rsidRDefault="004641DD" w:rsidP="007115A5">
      <w:pPr>
        <w:jc w:val="right"/>
        <w:rPr>
          <w:rFonts w:asciiTheme="majorBidi" w:hAnsiTheme="majorBidi" w:cstheme="majorBidi"/>
          <w:b/>
          <w:bCs/>
          <w:sz w:val="28"/>
          <w:szCs w:val="28"/>
        </w:rPr>
      </w:pPr>
      <w:r w:rsidRPr="009737AF">
        <w:rPr>
          <w:rFonts w:asciiTheme="majorBidi" w:hAnsiTheme="majorBidi" w:cstheme="majorBidi"/>
          <w:b/>
          <w:bCs/>
          <w:sz w:val="28"/>
          <w:szCs w:val="28"/>
        </w:rPr>
        <w:t>2.1. Introduction</w:t>
      </w:r>
    </w:p>
    <w:p w14:paraId="24E3AD92" w14:textId="77777777" w:rsidR="00D962D7" w:rsidRPr="009737AF" w:rsidRDefault="00D962D7" w:rsidP="00D962D7">
      <w:pPr>
        <w:jc w:val="right"/>
        <w:rPr>
          <w:rFonts w:asciiTheme="majorBidi" w:hAnsiTheme="majorBidi" w:cstheme="majorBidi"/>
          <w:sz w:val="28"/>
          <w:szCs w:val="28"/>
          <w:lang w:val="en-GB"/>
        </w:rPr>
      </w:pPr>
      <w:r w:rsidRPr="009737AF">
        <w:rPr>
          <w:rFonts w:asciiTheme="majorBidi" w:hAnsiTheme="majorBidi" w:cstheme="majorBidi"/>
          <w:sz w:val="28"/>
          <w:szCs w:val="28"/>
        </w:rPr>
        <w:t xml:space="preserve">                </w:t>
      </w:r>
      <w:r w:rsidRPr="009737AF">
        <w:rPr>
          <w:rFonts w:asciiTheme="majorBidi" w:hAnsiTheme="majorBidi" w:cstheme="majorBidi"/>
          <w:sz w:val="28"/>
          <w:szCs w:val="28"/>
          <w:lang w:val="en-GB"/>
        </w:rPr>
        <w:t>The Health Sector Transformation Program (SHTP) in Saudi Vision 2030 creates a transition of volume-to-value-based healthcare, necessitating financial independence of regional Health Clusters such as the Makkah Health Cluster (MHC). Decentralized Revenue Cycle Management (RCM) has been the cause of inefficiencies, denial rates and revenues leakages. Centralized Revenue Development Department (CRDD), which was formed in 2024, will focus on standardizing the processes and reducing risks. Regarding the contribution of the CRDD, this review presents a synthesis of published literature around the world and its impacts on Saudi context on RCM strategic role, competencies required, risk mitigation, and impacts on performance. Peer-reviewed studies, industry reports and policy documents will be considered sources in 1964-2025.</w:t>
      </w:r>
    </w:p>
    <w:p w14:paraId="500EB6FB" w14:textId="6FCD89B3" w:rsidR="008A47FB" w:rsidRPr="009737AF" w:rsidRDefault="00B6793F" w:rsidP="008A47FB">
      <w:pPr>
        <w:jc w:val="right"/>
        <w:rPr>
          <w:rFonts w:asciiTheme="majorBidi" w:hAnsiTheme="majorBidi" w:cstheme="majorBidi"/>
          <w:b/>
          <w:bCs/>
          <w:sz w:val="28"/>
          <w:szCs w:val="28"/>
          <w:lang w:val="en-GB"/>
        </w:rPr>
      </w:pPr>
      <w:r w:rsidRPr="009737AF">
        <w:rPr>
          <w:rFonts w:asciiTheme="majorBidi" w:hAnsiTheme="majorBidi" w:cstheme="majorBidi"/>
          <w:b/>
          <w:bCs/>
          <w:sz w:val="28"/>
          <w:szCs w:val="28"/>
        </w:rPr>
        <w:t>2.1</w:t>
      </w:r>
      <w:r w:rsidR="008A47FB" w:rsidRPr="009737AF">
        <w:rPr>
          <w:rFonts w:asciiTheme="majorBidi" w:hAnsiTheme="majorBidi" w:cstheme="majorBidi"/>
          <w:b/>
          <w:bCs/>
          <w:sz w:val="28"/>
          <w:szCs w:val="28"/>
        </w:rPr>
        <w:t>.</w:t>
      </w:r>
      <w:r w:rsidR="008A47FB" w:rsidRPr="009737AF">
        <w:rPr>
          <w:rFonts w:asciiTheme="majorBidi" w:hAnsiTheme="majorBidi" w:cstheme="majorBidi"/>
          <w:b/>
          <w:bCs/>
          <w:color w:val="000000" w:themeColor="text1"/>
          <w:kern w:val="0"/>
          <w:sz w:val="24"/>
          <w:szCs w:val="24"/>
          <w:lang w:val="en-GB"/>
        </w:rPr>
        <w:t xml:space="preserve"> </w:t>
      </w:r>
      <w:r w:rsidR="008A47FB" w:rsidRPr="009737AF">
        <w:rPr>
          <w:rFonts w:asciiTheme="majorBidi" w:hAnsiTheme="majorBidi" w:cstheme="majorBidi"/>
          <w:b/>
          <w:bCs/>
          <w:sz w:val="28"/>
          <w:szCs w:val="28"/>
          <w:lang w:val="en-GB"/>
        </w:rPr>
        <w:t>The Strategic Significance of Revenue Cycle Management.</w:t>
      </w:r>
    </w:p>
    <w:p w14:paraId="33A4ECD9" w14:textId="77777777" w:rsidR="00395A0E" w:rsidRPr="009737AF" w:rsidRDefault="00475C65" w:rsidP="00395A0E">
      <w:pPr>
        <w:jc w:val="right"/>
        <w:rPr>
          <w:rFonts w:asciiTheme="majorBidi" w:hAnsiTheme="majorBidi" w:cstheme="majorBidi"/>
          <w:sz w:val="28"/>
          <w:szCs w:val="28"/>
          <w:lang w:val="en-GB"/>
        </w:rPr>
      </w:pPr>
      <w:r w:rsidRPr="009737AF">
        <w:rPr>
          <w:rFonts w:asciiTheme="majorBidi" w:hAnsiTheme="majorBidi" w:cstheme="majorBidi"/>
          <w:b/>
          <w:bCs/>
          <w:sz w:val="28"/>
          <w:szCs w:val="28"/>
          <w:lang w:val="en-GB"/>
        </w:rPr>
        <w:t xml:space="preserve">       </w:t>
      </w:r>
      <w:r w:rsidR="00395A0E" w:rsidRPr="009737AF">
        <w:rPr>
          <w:rFonts w:asciiTheme="majorBidi" w:hAnsiTheme="majorBidi" w:cstheme="majorBidi"/>
          <w:b/>
          <w:bCs/>
          <w:sz w:val="28"/>
          <w:szCs w:val="28"/>
          <w:lang w:val="en-GB"/>
        </w:rPr>
        <w:t xml:space="preserve">        </w:t>
      </w:r>
      <w:r w:rsidR="00395A0E" w:rsidRPr="009737AF">
        <w:rPr>
          <w:rFonts w:asciiTheme="majorBidi" w:hAnsiTheme="majorBidi" w:cstheme="majorBidi"/>
          <w:sz w:val="28"/>
          <w:szCs w:val="28"/>
          <w:lang w:val="en-GB"/>
        </w:rPr>
        <w:t>Revenue Cycle Management (RCM) combines clinical and financial operations to facilitate the management of patient revenue between the times of scheduling up to the final payment. Previously viewed as a back-office operation, it is now a strategic requirement since reimbursements are reducing, payer contracts are becoming complex, and regulatory requirements are increasing (Chandawarkar et al., 2024). The revenue cycle is associated with complex transactions with third-party payers, the fluctuating claims needs of which create delays, underpayments, and yearly reduction of reimbursements. Liquidity crisis and impediments to investments in care quality are caused by the misconceptions that include the idea that payments are automatic after billing and the denials being inevitable. The denial rates of claims in the world increased by 15% in 2023, compared to 9% in 2016, and cost American hospitals billions of dollars per year (Peterson, Baxi, and Holloway, 2024). As a response to this, high-performing systems respond with proactive revenue integrity-oriented RCM, denial prevention, and data analytics, which allow reinvesting in technology and improved patient outcomes.</w:t>
      </w:r>
    </w:p>
    <w:p w14:paraId="4B3C38AC" w14:textId="77777777" w:rsidR="007B1D88" w:rsidRPr="009737AF" w:rsidRDefault="007F015C" w:rsidP="007B1D88">
      <w:pPr>
        <w:jc w:val="right"/>
        <w:rPr>
          <w:rFonts w:asciiTheme="majorBidi" w:hAnsiTheme="majorBidi" w:cstheme="majorBidi"/>
          <w:sz w:val="28"/>
          <w:szCs w:val="28"/>
          <w:lang w:val="en-GB"/>
        </w:rPr>
      </w:pPr>
      <w:r w:rsidRPr="009737AF">
        <w:rPr>
          <w:rFonts w:asciiTheme="majorBidi" w:hAnsiTheme="majorBidi" w:cstheme="majorBidi"/>
          <w:sz w:val="28"/>
          <w:szCs w:val="28"/>
          <w:lang w:val="en-GB"/>
        </w:rPr>
        <w:t xml:space="preserve">                 </w:t>
      </w:r>
      <w:r w:rsidR="007B1D88" w:rsidRPr="009737AF">
        <w:rPr>
          <w:rFonts w:asciiTheme="majorBidi" w:hAnsiTheme="majorBidi" w:cstheme="majorBidi"/>
          <w:sz w:val="28"/>
          <w:szCs w:val="28"/>
          <w:lang w:val="en-GB"/>
        </w:rPr>
        <w:t xml:space="preserve"> In Saudi Arabia, the adoption of RCM is low even with the insistence of privatization and prioritization of insurance as part and parcel of Vision 2030 (Islam et al., 2025). Fragmented billing, manual coding and inconsistent payer management were observed in public and private providers in a study by Al-Jahdali et al. (2024) leading to accounts receivable (&gt;90 days), non-compliance, and revenue leakage. RCM optimization is identified by the </w:t>
      </w:r>
      <w:r w:rsidR="007B1D88" w:rsidRPr="009737AF">
        <w:rPr>
          <w:rFonts w:asciiTheme="majorBidi" w:hAnsiTheme="majorBidi" w:cstheme="majorBidi"/>
          <w:sz w:val="28"/>
          <w:szCs w:val="28"/>
          <w:lang w:val="en-GB"/>
        </w:rPr>
        <w:lastRenderedPageBreak/>
        <w:t>Ministry of Health (2018) as the key part of the Health Sector Transformation Program (SHTP) particularly with the requirement of NPHIES to use electronic claims and verify them in real time. Nair et al. (2024) emphasize the transition to the bundled payment, DRGs, and value-based models that demand the accurate capture of charges. Al-Hanawi et al. (2022) record pre-transformation inefficiencies such as unbilled services. HFMA (2021) suggests that centralized RCM can be used to standardize the work of all facilities - this is vital in cluster areas such as MHC that experience surges in volumes during Hajj and have difficulty with multilingual documentation (Al-Ghamdi, 2024).</w:t>
      </w:r>
    </w:p>
    <w:p w14:paraId="6056ECEF" w14:textId="2EF5C0CE" w:rsidR="007B1D88" w:rsidRPr="009737AF" w:rsidRDefault="007B1D88" w:rsidP="00D22CAE">
      <w:pPr>
        <w:jc w:val="right"/>
        <w:rPr>
          <w:rFonts w:asciiTheme="majorBidi" w:hAnsiTheme="majorBidi" w:cstheme="majorBidi"/>
          <w:sz w:val="28"/>
          <w:szCs w:val="28"/>
          <w:lang w:val="en-GB"/>
        </w:rPr>
      </w:pPr>
      <w:r w:rsidRPr="007B1D88">
        <w:rPr>
          <w:rFonts w:asciiTheme="majorBidi" w:hAnsiTheme="majorBidi" w:cstheme="majorBidi"/>
          <w:sz w:val="28"/>
          <w:szCs w:val="28"/>
          <w:lang w:val="en-GB"/>
        </w:rPr>
        <w:tab/>
      </w:r>
      <w:r w:rsidRPr="009737AF">
        <w:rPr>
          <w:rFonts w:asciiTheme="majorBidi" w:hAnsiTheme="majorBidi" w:cstheme="majorBidi"/>
          <w:sz w:val="28"/>
          <w:szCs w:val="28"/>
          <w:lang w:val="en-GB"/>
        </w:rPr>
        <w:t xml:space="preserve">       </w:t>
      </w:r>
      <w:r w:rsidRPr="007B1D88">
        <w:rPr>
          <w:rFonts w:asciiTheme="majorBidi" w:hAnsiTheme="majorBidi" w:cstheme="majorBidi"/>
          <w:sz w:val="28"/>
          <w:szCs w:val="28"/>
          <w:lang w:val="en-GB"/>
        </w:rPr>
        <w:t>According to Chandawarkar et al. (2024), the RevCycle model (preregistration to reporting) consists of eight steps with mistakes such as incorrect demographics leading to a quarter of rejections. The U.S. standards indicate that the first-pass resolution is above 95%; the average of Saudi pilots is below 80% (Al-Jahdali et al., 2024). Centralized RCM brings about 20% to 30% collection returns in 18 months (HFMA, 2021).</w:t>
      </w:r>
    </w:p>
    <w:p w14:paraId="646E2EB4" w14:textId="77777777" w:rsidR="005F75D0" w:rsidRPr="009737AF" w:rsidRDefault="005F75D0" w:rsidP="005F75D0">
      <w:pPr>
        <w:pStyle w:val="Caption"/>
        <w:keepNext/>
        <w:spacing w:before="240" w:line="360" w:lineRule="auto"/>
        <w:jc w:val="center"/>
        <w:rPr>
          <w:rFonts w:asciiTheme="majorBidi" w:hAnsiTheme="majorBidi" w:cstheme="majorBidi"/>
          <w:color w:val="000000" w:themeColor="text1"/>
          <w:sz w:val="24"/>
          <w:szCs w:val="24"/>
        </w:rPr>
      </w:pPr>
      <w:r w:rsidRPr="009737AF">
        <w:rPr>
          <w:rFonts w:asciiTheme="majorBidi" w:hAnsiTheme="majorBidi" w:cstheme="majorBidi"/>
          <w:color w:val="000000" w:themeColor="text1"/>
          <w:sz w:val="24"/>
          <w:szCs w:val="24"/>
        </w:rPr>
        <w:t>Table 2.1: Comparison of Traditional vs. Strategic RCM Paradigms</w:t>
      </w:r>
    </w:p>
    <w:p w14:paraId="72029BBC" w14:textId="77777777" w:rsidR="005F75D0" w:rsidRPr="009737AF" w:rsidRDefault="005F75D0" w:rsidP="005F75D0">
      <w:pPr>
        <w:pStyle w:val="Caption"/>
        <w:keepNext/>
        <w:spacing w:before="240" w:line="360" w:lineRule="auto"/>
        <w:jc w:val="center"/>
        <w:rPr>
          <w:rFonts w:asciiTheme="majorBidi" w:hAnsiTheme="majorBidi" w:cstheme="majorBidi"/>
          <w:color w:val="000000" w:themeColor="text1"/>
          <w:sz w:val="24"/>
          <w:szCs w:val="24"/>
        </w:rPr>
      </w:pPr>
      <w:r w:rsidRPr="009737AF">
        <w:rPr>
          <w:rFonts w:asciiTheme="majorBidi" w:hAnsiTheme="majorBidi" w:cstheme="majorBidi"/>
          <w:color w:val="000000" w:themeColor="text1"/>
          <w:sz w:val="24"/>
          <w:szCs w:val="24"/>
        </w:rPr>
        <w:t>Source: (Chandawarkar et al., 2024; HFMA, 2021)</w:t>
      </w:r>
    </w:p>
    <w:p w14:paraId="6023E74F" w14:textId="77777777" w:rsidR="007B1D88" w:rsidRPr="007B1D88" w:rsidRDefault="007B1D88" w:rsidP="007B1D88">
      <w:pPr>
        <w:jc w:val="right"/>
        <w:rPr>
          <w:rFonts w:asciiTheme="majorBidi" w:hAnsiTheme="majorBidi" w:cstheme="majorBidi"/>
          <w:sz w:val="28"/>
          <w:szCs w:val="28"/>
        </w:rPr>
      </w:pPr>
    </w:p>
    <w:tbl>
      <w:tblPr>
        <w:tblStyle w:val="GridTable6Colorful"/>
        <w:tblW w:w="10490" w:type="dxa"/>
        <w:tblInd w:w="-998" w:type="dxa"/>
        <w:tblLook w:val="04A0" w:firstRow="1" w:lastRow="0" w:firstColumn="1" w:lastColumn="0" w:noHBand="0" w:noVBand="1"/>
      </w:tblPr>
      <w:tblGrid>
        <w:gridCol w:w="2836"/>
        <w:gridCol w:w="3401"/>
        <w:gridCol w:w="4253"/>
      </w:tblGrid>
      <w:tr w:rsidR="00F04AC9" w:rsidRPr="009737AF" w14:paraId="7B978A81" w14:textId="77777777" w:rsidTr="005D681D">
        <w:trPr>
          <w:cnfStyle w:val="100000000000" w:firstRow="1" w:lastRow="0" w:firstColumn="0" w:lastColumn="0" w:oddVBand="0" w:evenVBand="0" w:oddHBand="0"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2836" w:type="dxa"/>
            <w:vAlign w:val="center"/>
            <w:hideMark/>
          </w:tcPr>
          <w:p w14:paraId="235455E3" w14:textId="77777777" w:rsidR="00F04AC9" w:rsidRPr="00F04AC9" w:rsidRDefault="00F04AC9" w:rsidP="00F04AC9">
            <w:pPr>
              <w:spacing w:line="259" w:lineRule="auto"/>
              <w:jc w:val="center"/>
              <w:rPr>
                <w:rFonts w:asciiTheme="majorBidi" w:hAnsiTheme="majorBidi" w:cstheme="majorBidi"/>
                <w:sz w:val="24"/>
                <w:szCs w:val="24"/>
                <w:lang w:val="en-GB"/>
              </w:rPr>
            </w:pPr>
            <w:r w:rsidRPr="00F04AC9">
              <w:rPr>
                <w:rFonts w:asciiTheme="majorBidi" w:hAnsiTheme="majorBidi" w:cstheme="majorBidi"/>
                <w:sz w:val="24"/>
                <w:szCs w:val="24"/>
                <w:lang w:val="en-GB"/>
              </w:rPr>
              <w:t>Aspect</w:t>
            </w:r>
          </w:p>
        </w:tc>
        <w:tc>
          <w:tcPr>
            <w:tcW w:w="3401" w:type="dxa"/>
            <w:vAlign w:val="center"/>
            <w:hideMark/>
          </w:tcPr>
          <w:p w14:paraId="756FB21D" w14:textId="77777777" w:rsidR="00F04AC9" w:rsidRPr="00F04AC9" w:rsidRDefault="00F04AC9" w:rsidP="00F04AC9">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Traditional RCM</w:t>
            </w:r>
          </w:p>
        </w:tc>
        <w:tc>
          <w:tcPr>
            <w:tcW w:w="4253" w:type="dxa"/>
            <w:vAlign w:val="center"/>
            <w:hideMark/>
          </w:tcPr>
          <w:p w14:paraId="5910FBC5" w14:textId="77777777" w:rsidR="00F04AC9" w:rsidRPr="00F04AC9" w:rsidRDefault="00F04AC9" w:rsidP="00F04AC9">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Strategic RCM</w:t>
            </w:r>
          </w:p>
        </w:tc>
      </w:tr>
      <w:tr w:rsidR="00F04AC9" w:rsidRPr="005D681D" w14:paraId="463F5E11" w14:textId="77777777" w:rsidTr="005D681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2836" w:type="dxa"/>
            <w:hideMark/>
          </w:tcPr>
          <w:p w14:paraId="7FA9842D" w14:textId="77777777" w:rsidR="00F04AC9" w:rsidRPr="00F04AC9" w:rsidRDefault="00F04AC9" w:rsidP="00F04AC9">
            <w:pPr>
              <w:spacing w:line="259" w:lineRule="auto"/>
              <w:jc w:val="right"/>
              <w:rPr>
                <w:rFonts w:asciiTheme="majorBidi" w:hAnsiTheme="majorBidi" w:cstheme="majorBidi"/>
                <w:sz w:val="24"/>
                <w:szCs w:val="24"/>
                <w:lang w:val="en-GB"/>
              </w:rPr>
            </w:pPr>
            <w:r w:rsidRPr="00F04AC9">
              <w:rPr>
                <w:rFonts w:asciiTheme="majorBidi" w:hAnsiTheme="majorBidi" w:cstheme="majorBidi"/>
                <w:sz w:val="24"/>
                <w:szCs w:val="24"/>
                <w:lang w:val="en-GB"/>
              </w:rPr>
              <w:t>Primary Focus</w:t>
            </w:r>
          </w:p>
        </w:tc>
        <w:tc>
          <w:tcPr>
            <w:tcW w:w="3401" w:type="dxa"/>
            <w:hideMark/>
          </w:tcPr>
          <w:p w14:paraId="2540A25E"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Billing accuracy and payment collection</w:t>
            </w:r>
          </w:p>
        </w:tc>
        <w:tc>
          <w:tcPr>
            <w:tcW w:w="4253" w:type="dxa"/>
            <w:hideMark/>
          </w:tcPr>
          <w:p w14:paraId="3BA1B8E8"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Revenue integrity and financial sustainability</w:t>
            </w:r>
          </w:p>
        </w:tc>
      </w:tr>
      <w:tr w:rsidR="00F04AC9" w:rsidRPr="005D681D" w14:paraId="6E5C298E" w14:textId="77777777" w:rsidTr="005D681D">
        <w:trPr>
          <w:trHeight w:val="403"/>
        </w:trPr>
        <w:tc>
          <w:tcPr>
            <w:cnfStyle w:val="001000000000" w:firstRow="0" w:lastRow="0" w:firstColumn="1" w:lastColumn="0" w:oddVBand="0" w:evenVBand="0" w:oddHBand="0" w:evenHBand="0" w:firstRowFirstColumn="0" w:firstRowLastColumn="0" w:lastRowFirstColumn="0" w:lastRowLastColumn="0"/>
            <w:tcW w:w="2836" w:type="dxa"/>
            <w:hideMark/>
          </w:tcPr>
          <w:p w14:paraId="08089E73" w14:textId="77777777" w:rsidR="00F04AC9" w:rsidRPr="00F04AC9" w:rsidRDefault="00F04AC9" w:rsidP="00F04AC9">
            <w:pPr>
              <w:spacing w:line="259" w:lineRule="auto"/>
              <w:jc w:val="right"/>
              <w:rPr>
                <w:rFonts w:asciiTheme="majorBidi" w:hAnsiTheme="majorBidi" w:cstheme="majorBidi"/>
                <w:sz w:val="24"/>
                <w:szCs w:val="24"/>
                <w:lang w:val="en-GB"/>
              </w:rPr>
            </w:pPr>
            <w:r w:rsidRPr="00F04AC9">
              <w:rPr>
                <w:rFonts w:asciiTheme="majorBidi" w:hAnsiTheme="majorBidi" w:cstheme="majorBidi"/>
                <w:sz w:val="24"/>
                <w:szCs w:val="24"/>
                <w:lang w:val="en-GB"/>
              </w:rPr>
              <w:t>Operational Approach</w:t>
            </w:r>
          </w:p>
        </w:tc>
        <w:tc>
          <w:tcPr>
            <w:tcW w:w="3401" w:type="dxa"/>
            <w:hideMark/>
          </w:tcPr>
          <w:p w14:paraId="4DB3674F" w14:textId="77777777" w:rsidR="00F04AC9" w:rsidRPr="00F04AC9" w:rsidRDefault="00F04AC9" w:rsidP="00F04AC9">
            <w:pPr>
              <w:spacing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Reactive and facility-siloed</w:t>
            </w:r>
          </w:p>
        </w:tc>
        <w:tc>
          <w:tcPr>
            <w:tcW w:w="4253" w:type="dxa"/>
            <w:hideMark/>
          </w:tcPr>
          <w:p w14:paraId="768F311D" w14:textId="77777777" w:rsidR="00F04AC9" w:rsidRPr="00F04AC9" w:rsidRDefault="00F04AC9" w:rsidP="00F04AC9">
            <w:pPr>
              <w:spacing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Proactive and cluster-integrated</w:t>
            </w:r>
          </w:p>
        </w:tc>
      </w:tr>
      <w:tr w:rsidR="00F04AC9" w:rsidRPr="005D681D" w14:paraId="61C81B1D" w14:textId="77777777" w:rsidTr="005D681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2836" w:type="dxa"/>
            <w:hideMark/>
          </w:tcPr>
          <w:p w14:paraId="60B32EE2" w14:textId="77777777" w:rsidR="00F04AC9" w:rsidRPr="00F04AC9" w:rsidRDefault="00F04AC9" w:rsidP="00F04AC9">
            <w:pPr>
              <w:spacing w:line="259" w:lineRule="auto"/>
              <w:jc w:val="right"/>
              <w:rPr>
                <w:rFonts w:asciiTheme="majorBidi" w:hAnsiTheme="majorBidi" w:cstheme="majorBidi"/>
                <w:sz w:val="24"/>
                <w:szCs w:val="24"/>
                <w:lang w:val="en-GB"/>
              </w:rPr>
            </w:pPr>
            <w:r w:rsidRPr="00F04AC9">
              <w:rPr>
                <w:rFonts w:asciiTheme="majorBidi" w:hAnsiTheme="majorBidi" w:cstheme="majorBidi"/>
                <w:sz w:val="24"/>
                <w:szCs w:val="24"/>
                <w:lang w:val="en-GB"/>
              </w:rPr>
              <w:t>Technology Integration</w:t>
            </w:r>
          </w:p>
        </w:tc>
        <w:tc>
          <w:tcPr>
            <w:tcW w:w="3401" w:type="dxa"/>
            <w:hideMark/>
          </w:tcPr>
          <w:p w14:paraId="551A8F82"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Limited automation</w:t>
            </w:r>
          </w:p>
        </w:tc>
        <w:tc>
          <w:tcPr>
            <w:tcW w:w="4253" w:type="dxa"/>
            <w:hideMark/>
          </w:tcPr>
          <w:p w14:paraId="77004E48"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AI, predictive analytics, EHR interoperability</w:t>
            </w:r>
          </w:p>
        </w:tc>
      </w:tr>
      <w:tr w:rsidR="00F04AC9" w:rsidRPr="005D681D" w14:paraId="068D2A2F" w14:textId="77777777" w:rsidTr="005D681D">
        <w:trPr>
          <w:trHeight w:val="227"/>
        </w:trPr>
        <w:tc>
          <w:tcPr>
            <w:cnfStyle w:val="001000000000" w:firstRow="0" w:lastRow="0" w:firstColumn="1" w:lastColumn="0" w:oddVBand="0" w:evenVBand="0" w:oddHBand="0" w:evenHBand="0" w:firstRowFirstColumn="0" w:firstRowLastColumn="0" w:lastRowFirstColumn="0" w:lastRowLastColumn="0"/>
            <w:tcW w:w="2836" w:type="dxa"/>
            <w:hideMark/>
          </w:tcPr>
          <w:p w14:paraId="54C50438" w14:textId="77777777" w:rsidR="00F04AC9" w:rsidRPr="00F04AC9" w:rsidRDefault="00F04AC9" w:rsidP="00F04AC9">
            <w:pPr>
              <w:spacing w:line="259" w:lineRule="auto"/>
              <w:jc w:val="right"/>
              <w:rPr>
                <w:rFonts w:asciiTheme="majorBidi" w:hAnsiTheme="majorBidi" w:cstheme="majorBidi"/>
                <w:sz w:val="24"/>
                <w:szCs w:val="24"/>
                <w:lang w:val="en-GB"/>
              </w:rPr>
            </w:pPr>
            <w:r w:rsidRPr="00F04AC9">
              <w:rPr>
                <w:rFonts w:asciiTheme="majorBidi" w:hAnsiTheme="majorBidi" w:cstheme="majorBidi"/>
                <w:sz w:val="24"/>
                <w:szCs w:val="24"/>
                <w:lang w:val="en-GB"/>
              </w:rPr>
              <w:t>Key Performance Metrics</w:t>
            </w:r>
          </w:p>
        </w:tc>
        <w:tc>
          <w:tcPr>
            <w:tcW w:w="3401" w:type="dxa"/>
            <w:hideMark/>
          </w:tcPr>
          <w:p w14:paraId="253FCCA2" w14:textId="77777777" w:rsidR="00F04AC9" w:rsidRPr="00F04AC9" w:rsidRDefault="00F04AC9" w:rsidP="00F04AC9">
            <w:pPr>
              <w:spacing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Payment receipt timeliness</w:t>
            </w:r>
          </w:p>
        </w:tc>
        <w:tc>
          <w:tcPr>
            <w:tcW w:w="4253" w:type="dxa"/>
            <w:hideMark/>
          </w:tcPr>
          <w:p w14:paraId="1B9A3919" w14:textId="77777777" w:rsidR="00F04AC9" w:rsidRPr="00F04AC9" w:rsidRDefault="00F04AC9" w:rsidP="00F04AC9">
            <w:pPr>
              <w:spacing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First-pass rate &gt;95%, DAR &lt;30 days, denial &lt;5%</w:t>
            </w:r>
          </w:p>
        </w:tc>
      </w:tr>
      <w:tr w:rsidR="00F04AC9" w:rsidRPr="005D681D" w14:paraId="4DD9955C" w14:textId="77777777" w:rsidTr="005D681D">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836" w:type="dxa"/>
            <w:hideMark/>
          </w:tcPr>
          <w:p w14:paraId="70980618" w14:textId="77777777" w:rsidR="00F04AC9" w:rsidRPr="00F04AC9" w:rsidRDefault="00F04AC9" w:rsidP="00F04AC9">
            <w:pPr>
              <w:spacing w:line="259" w:lineRule="auto"/>
              <w:jc w:val="right"/>
              <w:rPr>
                <w:rFonts w:asciiTheme="majorBidi" w:hAnsiTheme="majorBidi" w:cstheme="majorBidi"/>
                <w:sz w:val="24"/>
                <w:szCs w:val="24"/>
                <w:lang w:val="en-GB"/>
              </w:rPr>
            </w:pPr>
            <w:r w:rsidRPr="00F04AC9">
              <w:rPr>
                <w:rFonts w:asciiTheme="majorBidi" w:hAnsiTheme="majorBidi" w:cstheme="majorBidi"/>
                <w:sz w:val="24"/>
                <w:szCs w:val="24"/>
                <w:lang w:val="en-GB"/>
              </w:rPr>
              <w:t>Organizational Role</w:t>
            </w:r>
          </w:p>
        </w:tc>
        <w:tc>
          <w:tcPr>
            <w:tcW w:w="3401" w:type="dxa"/>
            <w:hideMark/>
          </w:tcPr>
          <w:p w14:paraId="132EA954"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Cost center</w:t>
            </w:r>
          </w:p>
        </w:tc>
        <w:tc>
          <w:tcPr>
            <w:tcW w:w="4253" w:type="dxa"/>
            <w:hideMark/>
          </w:tcPr>
          <w:p w14:paraId="0022B07F" w14:textId="77777777" w:rsidR="00F04AC9" w:rsidRPr="00F04AC9" w:rsidRDefault="00F04AC9" w:rsidP="00F04AC9">
            <w:pPr>
              <w:spacing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04AC9">
              <w:rPr>
                <w:rFonts w:asciiTheme="majorBidi" w:hAnsiTheme="majorBidi" w:cstheme="majorBidi"/>
                <w:sz w:val="24"/>
                <w:szCs w:val="24"/>
                <w:lang w:val="en-GB"/>
              </w:rPr>
              <w:t>Strategic enabler of care quality and growth</w:t>
            </w:r>
          </w:p>
        </w:tc>
      </w:tr>
    </w:tbl>
    <w:p w14:paraId="54627462" w14:textId="77777777" w:rsidR="00F925D0" w:rsidRPr="005D681D" w:rsidRDefault="00F925D0" w:rsidP="00D22171">
      <w:pPr>
        <w:rPr>
          <w:rFonts w:asciiTheme="majorBidi" w:hAnsiTheme="majorBidi" w:cstheme="majorBidi"/>
          <w:sz w:val="24"/>
          <w:szCs w:val="24"/>
          <w:lang w:val="en-GB"/>
        </w:rPr>
      </w:pPr>
    </w:p>
    <w:p w14:paraId="2B342DF7" w14:textId="3AB1C909" w:rsidR="004748F4" w:rsidRPr="008A531F" w:rsidRDefault="004748F4" w:rsidP="004748F4">
      <w:pPr>
        <w:jc w:val="right"/>
        <w:rPr>
          <w:rFonts w:asciiTheme="majorBidi" w:hAnsiTheme="majorBidi" w:cstheme="majorBidi"/>
          <w:b/>
          <w:bCs/>
          <w:color w:val="000000" w:themeColor="text1"/>
          <w:sz w:val="24"/>
          <w:szCs w:val="24"/>
        </w:rPr>
      </w:pPr>
      <w:r w:rsidRPr="009737AF">
        <w:rPr>
          <w:rFonts w:asciiTheme="majorBidi" w:hAnsiTheme="majorBidi" w:cstheme="majorBidi"/>
          <w:sz w:val="28"/>
          <w:szCs w:val="28"/>
        </w:rPr>
        <w:t>2</w:t>
      </w:r>
      <w:r w:rsidRPr="008A531F">
        <w:rPr>
          <w:rFonts w:asciiTheme="majorBidi" w:hAnsiTheme="majorBidi" w:cstheme="majorBidi"/>
          <w:b/>
          <w:bCs/>
          <w:sz w:val="28"/>
          <w:szCs w:val="28"/>
        </w:rPr>
        <w:t>.3.</w:t>
      </w:r>
      <w:r w:rsidR="003D32C7" w:rsidRPr="008A531F">
        <w:rPr>
          <w:rFonts w:asciiTheme="majorBidi" w:hAnsiTheme="majorBidi" w:cstheme="majorBidi"/>
          <w:b/>
          <w:bCs/>
          <w:sz w:val="28"/>
          <w:szCs w:val="28"/>
        </w:rPr>
        <w:t xml:space="preserve"> Core Competencies for a </w:t>
      </w:r>
      <w:r w:rsidR="008C448C" w:rsidRPr="008A531F">
        <w:rPr>
          <w:rFonts w:asciiTheme="majorBidi" w:hAnsiTheme="majorBidi" w:cstheme="majorBidi"/>
          <w:b/>
          <w:bCs/>
          <w:color w:val="000000" w:themeColor="text1"/>
          <w:sz w:val="24"/>
          <w:szCs w:val="24"/>
        </w:rPr>
        <w:t>Centralized Revenue Development Department</w:t>
      </w:r>
      <w:r w:rsidR="0078049A" w:rsidRPr="008A531F">
        <w:rPr>
          <w:rFonts w:asciiTheme="majorBidi" w:hAnsiTheme="majorBidi" w:cstheme="majorBidi"/>
          <w:b/>
          <w:bCs/>
          <w:color w:val="000000" w:themeColor="text1"/>
          <w:sz w:val="24"/>
          <w:szCs w:val="24"/>
        </w:rPr>
        <w:t>:</w:t>
      </w:r>
    </w:p>
    <w:p w14:paraId="1A642373" w14:textId="77777777" w:rsidR="009737AF" w:rsidRDefault="0078049A" w:rsidP="009737AF">
      <w:pPr>
        <w:spacing w:line="276" w:lineRule="auto"/>
        <w:jc w:val="right"/>
        <w:rPr>
          <w:rFonts w:asciiTheme="majorBidi" w:hAnsiTheme="majorBidi" w:cstheme="majorBidi"/>
          <w:color w:val="000000" w:themeColor="text1"/>
          <w:sz w:val="24"/>
          <w:szCs w:val="24"/>
          <w:lang w:val="en-GB"/>
        </w:rPr>
      </w:pPr>
      <w:r w:rsidRPr="009737AF">
        <w:rPr>
          <w:rFonts w:asciiTheme="majorBidi" w:hAnsiTheme="majorBidi" w:cstheme="majorBidi"/>
          <w:color w:val="000000" w:themeColor="text1"/>
          <w:sz w:val="24"/>
          <w:szCs w:val="24"/>
        </w:rPr>
        <w:t xml:space="preserve">           </w:t>
      </w:r>
      <w:r w:rsidR="009737AF" w:rsidRPr="00760B79">
        <w:rPr>
          <w:rFonts w:asciiTheme="majorBidi" w:hAnsiTheme="majorBidi" w:cstheme="majorBidi"/>
          <w:sz w:val="28"/>
          <w:szCs w:val="28"/>
          <w:lang w:val="en-GB"/>
        </w:rPr>
        <w:t xml:space="preserve">The success of a Centralized Revenue Development Department lies on the level and range of competencies of the management and employees. The core competency checklist provided by Hastings (2025) includes the full set of RCM professional core competencies, but it is important to consider that technical skills are not enough, as they are supplemented by strategic and </w:t>
      </w:r>
      <w:r w:rsidR="009737AF" w:rsidRPr="00760B79">
        <w:rPr>
          <w:rFonts w:asciiTheme="majorBidi" w:hAnsiTheme="majorBidi" w:cstheme="majorBidi"/>
          <w:sz w:val="28"/>
          <w:szCs w:val="28"/>
          <w:lang w:val="en-GB"/>
        </w:rPr>
        <w:lastRenderedPageBreak/>
        <w:t>analytical and interpersonal skills. Lattner and Brown (2018) extend the human capital theory developed by Becker (1964) to establish their competency-based model of revenue cycle management and, by way of empirical research, show that an organization that invests in the targeted development of skills attains a better financial performance.</w:t>
      </w:r>
    </w:p>
    <w:p w14:paraId="0110C0B9" w14:textId="77777777" w:rsidR="002A7F3C" w:rsidRPr="00760B79" w:rsidRDefault="009737AF" w:rsidP="002A7F3C">
      <w:pPr>
        <w:spacing w:line="276" w:lineRule="auto"/>
        <w:jc w:val="right"/>
        <w:rPr>
          <w:rFonts w:asciiTheme="majorBidi" w:hAnsiTheme="majorBidi" w:cstheme="majorBidi"/>
          <w:sz w:val="28"/>
          <w:szCs w:val="28"/>
          <w:lang w:val="en-GB"/>
        </w:rPr>
      </w:pPr>
      <w:r>
        <w:rPr>
          <w:rFonts w:asciiTheme="majorBidi" w:hAnsiTheme="majorBidi" w:cstheme="majorBidi"/>
          <w:color w:val="000000" w:themeColor="text1"/>
          <w:sz w:val="24"/>
          <w:szCs w:val="24"/>
          <w:lang w:val="en-GB"/>
        </w:rPr>
        <w:t xml:space="preserve">         </w:t>
      </w:r>
      <w:r w:rsidR="002A7F3C" w:rsidRPr="00760B79">
        <w:rPr>
          <w:rFonts w:asciiTheme="majorBidi" w:hAnsiTheme="majorBidi" w:cstheme="majorBidi"/>
          <w:sz w:val="28"/>
          <w:szCs w:val="28"/>
          <w:lang w:val="en-GB"/>
        </w:rPr>
        <w:t>The RCM proficiency is established based on regulatory and compliance expertise. Within the U.S. context, this would involve the mastery of HIPAA privacy regulations, HITECH security regulations and CMS billing regulations. In the case of Saudi Arabia, the knowledge base that is equivalent would entail Ministry of Health directives, Council of Cooperative Health Insurance (CCHI) regulations, and the NPHIS technical requirements (Alnajjar, 2024). According to Hastings (2025), regulatory understanding is the matter of the highest priority since failure to comply with minor issues can lead to denial of claims, audits, or financial punishment. In centralized departments, this area is the best because it will have a dedicated compliance department that will keep a track of changes in regulations and informs the entire cluster about it, which minimizes interpretation errors at the facility level.</w:t>
      </w:r>
    </w:p>
    <w:p w14:paraId="3576E5BA" w14:textId="77777777" w:rsidR="001D7329" w:rsidRPr="00760B79" w:rsidRDefault="002A7F3C" w:rsidP="001D7329">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w:t>
      </w:r>
      <w:r w:rsidR="001D7329" w:rsidRPr="00760B79">
        <w:rPr>
          <w:rFonts w:asciiTheme="majorBidi" w:hAnsiTheme="majorBidi" w:cstheme="majorBidi"/>
          <w:sz w:val="28"/>
          <w:szCs w:val="28"/>
          <w:lang w:val="en-GB"/>
        </w:rPr>
        <w:t xml:space="preserve">   The other essential area of competence is the technical expertise of RCM systems and processes. The current revenue cycles are closely based on a platform of integrated technology, such as electronic health records (EHRs), practice management systems, and dedicated RCM software. According to Al-Jahdali et al. (2024), a pilot study revealed that RCM automation was not completely implemented in only 35% of public hospitals, which demonstrates a massive gap in the capability. The personnel should be well trained in end-to-end workflows, the processes include patient preregistration and insurance eligibility checks, charge entry, claim scrubbing, and processing electronic remittance advice. McKinsey (Peterson et al., 2024) highlights the low use of artificial intelligence in high-value segment of prior authorization and denial prediction, where automation would help save up to 70% of manual work.</w:t>
      </w:r>
    </w:p>
    <w:p w14:paraId="2D61F779" w14:textId="77777777" w:rsidR="00886717" w:rsidRPr="00760B79" w:rsidRDefault="001D7329" w:rsidP="00886717">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w:t>
      </w:r>
      <w:r w:rsidR="00886717" w:rsidRPr="00760B79">
        <w:rPr>
          <w:rFonts w:asciiTheme="majorBidi" w:hAnsiTheme="majorBidi" w:cstheme="majorBidi"/>
          <w:sz w:val="28"/>
          <w:szCs w:val="28"/>
          <w:lang w:val="en-GB"/>
        </w:rPr>
        <w:t xml:space="preserve">      The key to revenue integrity is still medical coding and billing expertise. Correct coding of ICD-10-CM diagnosis codes, CPT procedure codes and Saudi specific modifiers are the direct determinants of acceptance of claims. The second reason for denials, as identified by Chandawarkar et al. (2024), is coding errors that account for about 30% of claims denied. According to HFMA (2021) standards, centralized coding teams are found to be more accurate (usually more than 97%) than decentralized ones (85%). In </w:t>
      </w:r>
      <w:r w:rsidR="00886717" w:rsidRPr="00760B79">
        <w:rPr>
          <w:rFonts w:asciiTheme="majorBidi" w:hAnsiTheme="majorBidi" w:cstheme="majorBidi"/>
          <w:sz w:val="28"/>
          <w:szCs w:val="28"/>
          <w:lang w:val="en-GB"/>
        </w:rPr>
        <w:lastRenderedPageBreak/>
        <w:t xml:space="preserve">addition to a code assignment, the staff should be skilled and knowledgeable in the payer-specific billing regulations, use of modifiers and how to appeal against the improper denial </w:t>
      </w:r>
      <w:proofErr w:type="gramStart"/>
      <w:r w:rsidR="00886717" w:rsidRPr="00760B79">
        <w:rPr>
          <w:rFonts w:asciiTheme="majorBidi" w:hAnsiTheme="majorBidi" w:cstheme="majorBidi"/>
          <w:sz w:val="28"/>
          <w:szCs w:val="28"/>
          <w:lang w:val="en-GB"/>
        </w:rPr>
        <w:t>in order to</w:t>
      </w:r>
      <w:proofErr w:type="gramEnd"/>
      <w:r w:rsidR="00886717" w:rsidRPr="00760B79">
        <w:rPr>
          <w:rFonts w:asciiTheme="majorBidi" w:hAnsiTheme="majorBidi" w:cstheme="majorBidi"/>
          <w:sz w:val="28"/>
          <w:szCs w:val="28"/>
          <w:lang w:val="en-GB"/>
        </w:rPr>
        <w:t xml:space="preserve"> be effective.</w:t>
      </w:r>
    </w:p>
    <w:p w14:paraId="12399CA2" w14:textId="77777777" w:rsidR="007F0B88" w:rsidRPr="00760B79" w:rsidRDefault="00886717" w:rsidP="007F0B88">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w:t>
      </w:r>
      <w:r w:rsidR="007F0B88" w:rsidRPr="00760B79">
        <w:rPr>
          <w:rFonts w:asciiTheme="majorBidi" w:hAnsiTheme="majorBidi" w:cstheme="majorBidi"/>
          <w:sz w:val="28"/>
          <w:szCs w:val="28"/>
          <w:lang w:val="en-GB"/>
        </w:rPr>
        <w:t xml:space="preserve"> Financial intelligence and analytical aptitude allow RCM professionals to move to the stage of strategic participants instead of transactional participants. This will involve learning various reimbursement models, such as conventional fee-for-service and developing models of DRG-based and value-based care that are common under the Vision 2030. Key performance indicators that the staff should decipher include clean claim ratio (goal should exceed 95%), denial rate (goal should be less than 5%), days in accounts receivable (goal should be less than 30 days), and net collection rate (goal should be over 98%). Chandawarkar et al. (2024) classify the RCM metrics into data accuracy, revenue reconciliation, and cost/cash flow measures and give dashboards on which they can be proactively monitored.</w:t>
      </w:r>
    </w:p>
    <w:p w14:paraId="7F77D53D" w14:textId="77777777" w:rsidR="00F72CF8" w:rsidRPr="00760B79" w:rsidRDefault="007F0B88" w:rsidP="00F72CF8">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w:t>
      </w:r>
      <w:r w:rsidR="00F72CF8" w:rsidRPr="00760B79">
        <w:rPr>
          <w:rFonts w:asciiTheme="majorBidi" w:hAnsiTheme="majorBidi" w:cstheme="majorBidi"/>
          <w:sz w:val="28"/>
          <w:szCs w:val="28"/>
          <w:lang w:val="en-GB"/>
        </w:rPr>
        <w:t xml:space="preserve">   The leadership competencies can be used to set the difference between CRDD staff and technical personnel. The implementation of cluster-wide standardization requires strategic thinking, change management, and alignment of stakeholders. Hastings (2025) suggests creating a competency matrix that combines both technical and soft skills and suggests certification programs such as HFMA Certified Revenue Cycle Representative (CRCR) as a way of continuing to learn and grow. The leaders are required to overcome cultural resistance to centralization and encourage both the clinical and financial departments to operate together in the MHC context.</w:t>
      </w:r>
    </w:p>
    <w:p w14:paraId="7C61AFF9" w14:textId="7C65D5C7" w:rsidR="00A35514" w:rsidRDefault="00A35514" w:rsidP="00A35514">
      <w:pPr>
        <w:spacing w:line="276" w:lineRule="auto"/>
        <w:jc w:val="right"/>
        <w:rPr>
          <w:rFonts w:asciiTheme="majorBidi" w:hAnsiTheme="majorBidi" w:cstheme="majorBidi"/>
          <w:b/>
          <w:bCs/>
          <w:color w:val="000000" w:themeColor="text1"/>
          <w:sz w:val="24"/>
          <w:szCs w:val="24"/>
          <w:lang w:val="en-GB"/>
        </w:rPr>
      </w:pPr>
      <w:r w:rsidRPr="00A35514">
        <w:rPr>
          <w:rFonts w:asciiTheme="majorBidi" w:hAnsiTheme="majorBidi" w:cstheme="majorBidi"/>
          <w:b/>
          <w:bCs/>
          <w:color w:val="000000" w:themeColor="text1"/>
          <w:sz w:val="24"/>
          <w:szCs w:val="24"/>
          <w:lang w:val="en-GB"/>
        </w:rPr>
        <w:t>2.4 The Role of Centralization in Mitigating Financial Risks</w:t>
      </w:r>
    </w:p>
    <w:p w14:paraId="168F35D6" w14:textId="16371FAA" w:rsidR="00A35514" w:rsidRPr="00760B79" w:rsidRDefault="00A35514" w:rsidP="00A35514">
      <w:pPr>
        <w:spacing w:line="276" w:lineRule="auto"/>
        <w:jc w:val="right"/>
        <w:rPr>
          <w:rFonts w:asciiTheme="majorBidi" w:hAnsiTheme="majorBidi" w:cstheme="majorBidi"/>
          <w:sz w:val="28"/>
          <w:szCs w:val="28"/>
          <w:lang w:val="en-GB"/>
        </w:rPr>
      </w:pPr>
      <w:r>
        <w:rPr>
          <w:rFonts w:asciiTheme="majorBidi" w:hAnsiTheme="majorBidi" w:cstheme="majorBidi"/>
          <w:b/>
          <w:bCs/>
          <w:color w:val="000000" w:themeColor="text1"/>
          <w:sz w:val="24"/>
          <w:szCs w:val="24"/>
          <w:lang w:val="en-GB"/>
        </w:rPr>
        <w:t xml:space="preserve">               </w:t>
      </w:r>
      <w:r w:rsidRPr="00760B79">
        <w:rPr>
          <w:rFonts w:asciiTheme="majorBidi" w:hAnsiTheme="majorBidi" w:cstheme="majorBidi"/>
          <w:sz w:val="28"/>
          <w:szCs w:val="28"/>
          <w:lang w:val="en-GB"/>
        </w:rPr>
        <w:t>The centralization of revenue cycle operations overcomes systemic vulnerabilities in the decentralized models, especially when it comes to large health clusters running more than one facility. According to the documents provided by the Healthcare Financial Management Association (HFMA, 2021), ineffective fragmented RCM processes result in inconsistent coding, redundant activities, and revenue losses - problems that were acutely experienced in Makkah Health Cluster before CRDD was implemented. Centralization converts RCM to a proactive risk management function by gathering expert resources and standardizing operations, which makes RCM responsive to cost instead of proactive (Gomaa, 2025).</w:t>
      </w:r>
    </w:p>
    <w:p w14:paraId="73381E54" w14:textId="7445EA2D" w:rsidR="00A35514" w:rsidRPr="00760B79" w:rsidRDefault="00A35514" w:rsidP="00A35514">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lastRenderedPageBreak/>
        <w:t xml:space="preserve">           The main advantages of centralization are standardization and reduction of compliance risks. Decentralised environments are also characterised by different interpretation of billing rules across the hospitals and therefore lead to gaps in compliance and vulnerability to audit. According to Hastings (2025), the minimization of audit failure by around 50% through centralized oversight </w:t>
      </w:r>
      <w:proofErr w:type="gramStart"/>
      <w:r w:rsidRPr="00760B79">
        <w:rPr>
          <w:rFonts w:asciiTheme="majorBidi" w:hAnsiTheme="majorBidi" w:cstheme="majorBidi"/>
          <w:sz w:val="28"/>
          <w:szCs w:val="28"/>
          <w:lang w:val="en-GB"/>
        </w:rPr>
        <w:t>by the use of</w:t>
      </w:r>
      <w:proofErr w:type="gramEnd"/>
      <w:r w:rsidRPr="00760B79">
        <w:rPr>
          <w:rFonts w:asciiTheme="majorBidi" w:hAnsiTheme="majorBidi" w:cstheme="majorBidi"/>
          <w:sz w:val="28"/>
          <w:szCs w:val="28"/>
          <w:lang w:val="en-GB"/>
        </w:rPr>
        <w:t xml:space="preserve"> uniform policy application and monitoring is possible. A Saudi pilot implementation examined by Al-Jahdali et al. (2024) reduced the number of non-compliance penalties by 35% in the first year, which is a quick payback period. CRDD updates the regulatory information and thus ensures that all the affiliated facilities follow the latest directives issued by MOH, CCHI, and NPHI specifications (Alquier, 2021). Such a single methodology reduces the chances of systemic mistakes that may lead to financial sanctions affecting the whole cluster.</w:t>
      </w:r>
    </w:p>
    <w:p w14:paraId="4F4281A0" w14:textId="77777777" w:rsidR="00A35514" w:rsidRPr="00760B79" w:rsidRDefault="00A35514" w:rsidP="00A35514">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Furthermore, the improved denial control becomes one of the pillars of centralized risk prevention. Denial of claims constitute one of the biggest financial burdens to healthcare institutions usually occupying 1%-2% of net patient revenue every year. According to Chandawarkar et al. (2024), 5%-10% denial rates are relatively standard in the industry, and most organizations do not file appeals but write off denied claims. This is countered by centralized departments having specialized denial management teams that have root-cause analysis tools and standardized workflows of appealing. The systematic follow-up and documentation improvement of such teams results in 60%-80% recoveries of previously rejected claims. According to the McKinsey report (Peterson et al., 2024), a decrease in denial volume by 30% is reached in organizations utilizing AI-enhanced denial forecasting by responding to problems and preventing their occurrence when submitting claims. This is particularly useful to MHC since the handling of claims through various payer mixes such as government insurance, private carriers and international pilgrims is very complex.</w:t>
      </w:r>
    </w:p>
    <w:p w14:paraId="6495E136" w14:textId="77777777" w:rsidR="00726CAD" w:rsidRPr="00760B79" w:rsidRDefault="00726CAD" w:rsidP="00726CAD">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Centralization pays specific attention to data integrity and prevention of revenue leakage. Approximately, 15% of all rejected claims are associated with eligibility denials, which are usually related to inaccurate patient demographics or insurance checks at registration. According to the HFMA (2021) standards, centralized RCM reduces demographic errors from 12% to 2% through electronic eligibility checks that are also combined with NPHI. Cluster wide charge capture audits identify missing services and revenue </w:t>
      </w:r>
      <w:r w:rsidRPr="00760B79">
        <w:rPr>
          <w:rFonts w:asciiTheme="majorBidi" w:hAnsiTheme="majorBidi" w:cstheme="majorBidi"/>
          <w:sz w:val="28"/>
          <w:szCs w:val="28"/>
          <w:lang w:val="en-GB"/>
        </w:rPr>
        <w:lastRenderedPageBreak/>
        <w:t>leakage that is estimated to cost 3% to 7% of total billings in fragmented systems is prevented. Al-Jahdali et al. (2024) report on individual areas of leakage in Saudi general hospitals, such as unbilled laboratory tests, medication, and consultation charges - problems that are defended systemically by controlling the centralized management.</w:t>
      </w:r>
    </w:p>
    <w:p w14:paraId="54F035F5" w14:textId="77777777" w:rsidR="0065450D" w:rsidRPr="00760B79" w:rsidRDefault="0065450D" w:rsidP="0065450D">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The risk mitigation framework is finished by the contract and payer risk management. Decentralized negotiation results in poor contract terms and non-uniform rates of reimbursement between facilities. The negotiating of the master agreements with large payers is performed by a centralized department which ensures the advantageous rates and simplified submission conditions. Al-Amoudi and Al-Borie (2024) simulate the financial effect of streamlined payer contracts estimating the 10-15% increase in revenue due to better rate constructions and decreased administration load. Consistent audit on contract performance will maintain the service-level agreements, and prompt settlement of payment disputes.</w:t>
      </w:r>
    </w:p>
    <w:p w14:paraId="542D1DD9" w14:textId="381A0C2C" w:rsidR="0065450D" w:rsidRPr="0065450D" w:rsidRDefault="0065450D" w:rsidP="0065450D">
      <w:pPr>
        <w:spacing w:line="276" w:lineRule="auto"/>
        <w:jc w:val="right"/>
        <w:rPr>
          <w:rFonts w:asciiTheme="majorBidi" w:hAnsiTheme="majorBidi" w:cstheme="majorBidi"/>
          <w:b/>
          <w:bCs/>
          <w:color w:val="000000" w:themeColor="text1"/>
          <w:sz w:val="24"/>
          <w:szCs w:val="24"/>
          <w:lang w:val="en-GB"/>
        </w:rPr>
      </w:pPr>
      <w:r w:rsidRPr="0065450D">
        <w:rPr>
          <w:rFonts w:asciiTheme="majorBidi" w:hAnsiTheme="majorBidi" w:cstheme="majorBidi"/>
          <w:b/>
          <w:bCs/>
          <w:color w:val="000000" w:themeColor="text1"/>
          <w:sz w:val="24"/>
          <w:szCs w:val="24"/>
          <w:lang w:val="en-GB"/>
        </w:rPr>
        <w:t>2.5 E</w:t>
      </w:r>
      <w:r w:rsidRPr="0065450D">
        <w:rPr>
          <w:rFonts w:asciiTheme="majorBidi" w:hAnsiTheme="majorBidi"/>
          <w:b/>
          <w:bCs/>
          <w:color w:val="000000" w:themeColor="text1"/>
          <w:sz w:val="24"/>
          <w:szCs w:val="24"/>
        </w:rPr>
        <w:t>enhancing Performance through Centralized RCM</w:t>
      </w:r>
    </w:p>
    <w:p w14:paraId="3BE7A3B9" w14:textId="77777777" w:rsidR="0065450D" w:rsidRPr="00760B79" w:rsidRDefault="0065450D" w:rsidP="0065450D">
      <w:pPr>
        <w:spacing w:line="276" w:lineRule="auto"/>
        <w:jc w:val="right"/>
        <w:rPr>
          <w:rFonts w:asciiTheme="majorBidi" w:hAnsiTheme="majorBidi" w:cstheme="majorBidi"/>
          <w:sz w:val="28"/>
          <w:szCs w:val="28"/>
          <w:lang w:val="en-GB"/>
        </w:rPr>
      </w:pPr>
      <w:r>
        <w:rPr>
          <w:rFonts w:asciiTheme="majorBidi" w:hAnsiTheme="majorBidi" w:cstheme="majorBidi"/>
          <w:color w:val="000000" w:themeColor="text1"/>
          <w:sz w:val="24"/>
          <w:szCs w:val="24"/>
        </w:rPr>
        <w:t xml:space="preserve">               </w:t>
      </w:r>
      <w:r w:rsidRPr="00760B79">
        <w:rPr>
          <w:rFonts w:asciiTheme="majorBidi" w:hAnsiTheme="majorBidi" w:cstheme="majorBidi"/>
          <w:sz w:val="28"/>
          <w:szCs w:val="28"/>
          <w:lang w:val="en-GB"/>
        </w:rPr>
        <w:t xml:space="preserve">Centralized Revenue Cycle Management leads to quantifiable performance gains in the most important financial indicators that transform operational efficiency and revenue recovery. According to the HFMA (2021), there are comprehensive case studies that show that organizations that have adopted centralized RCM models realize 15% to 25% net collections in a 24-month timeframe and the gains are maintained through continuous process improvement. In the case of Makkah Health Cluster, these performance improvements are necessary to finance the infrastructure modernization and development of the specialized service delivery without using government subsidies. The most common liquidity measure is days in accounts receivable (DAR), where centralized systems have a consistent lower DAR than 30 days than 90+ days in decentralized systems. The cause of such acceleration is standardized time frame of claim submission, processing of electronic remittance and proactive follow up on aging account. According to Chandawarkar et al. (2024), every day of decreased DAR is millions of working </w:t>
      </w:r>
      <w:proofErr w:type="gramStart"/>
      <w:r w:rsidRPr="00760B79">
        <w:rPr>
          <w:rFonts w:asciiTheme="majorBidi" w:hAnsiTheme="majorBidi" w:cstheme="majorBidi"/>
          <w:sz w:val="28"/>
          <w:szCs w:val="28"/>
          <w:lang w:val="en-GB"/>
        </w:rPr>
        <w:t>capital</w:t>
      </w:r>
      <w:proofErr w:type="gramEnd"/>
      <w:r w:rsidRPr="00760B79">
        <w:rPr>
          <w:rFonts w:asciiTheme="majorBidi" w:hAnsiTheme="majorBidi" w:cstheme="majorBidi"/>
          <w:sz w:val="28"/>
          <w:szCs w:val="28"/>
          <w:lang w:val="en-GB"/>
        </w:rPr>
        <w:t xml:space="preserve"> freed, permitting paying the vendors in time and investing in patient care initiatives.</w:t>
      </w:r>
    </w:p>
    <w:p w14:paraId="10D083E7" w14:textId="77777777" w:rsidR="0065450D" w:rsidRPr="00760B79" w:rsidRDefault="0065450D" w:rsidP="0065450D">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With centralization, clean claim ratios will increase by a factor of four, regularly reaching levels of over 95% because of scrubber technology and code savvy avoiding mistakes in submissions. The first-pass resolution rate- claims </w:t>
      </w:r>
      <w:r w:rsidRPr="00760B79">
        <w:rPr>
          <w:rFonts w:asciiTheme="majorBidi" w:hAnsiTheme="majorBidi" w:cstheme="majorBidi"/>
          <w:sz w:val="28"/>
          <w:szCs w:val="28"/>
          <w:lang w:val="en-GB"/>
        </w:rPr>
        <w:lastRenderedPageBreak/>
        <w:t>that are paid without any rework appears to have a direct relationship with lower administrative expenses and quicker cash turnover rate. According to McKinsey (Peterson et al., 2024), the highest quintile performers have above 92% first-pass rates, which compared to industry rates of below 80%. This enhancement of MHC facilities is caused by centralized coding review boards and pre-submission validation protocols.</w:t>
      </w:r>
    </w:p>
    <w:p w14:paraId="30778F6C" w14:textId="77777777" w:rsidR="00EA1AFD" w:rsidRPr="00760B79" w:rsidRDefault="00EA1AFD" w:rsidP="00EA1AFD">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Net collection rates, which are used to determine how much revenue is </w:t>
      </w:r>
      <w:proofErr w:type="gramStart"/>
      <w:r w:rsidRPr="00760B79">
        <w:rPr>
          <w:rFonts w:asciiTheme="majorBidi" w:hAnsiTheme="majorBidi" w:cstheme="majorBidi"/>
          <w:sz w:val="28"/>
          <w:szCs w:val="28"/>
          <w:lang w:val="en-GB"/>
        </w:rPr>
        <w:t>actually collected</w:t>
      </w:r>
      <w:proofErr w:type="gramEnd"/>
      <w:r w:rsidRPr="00760B79">
        <w:rPr>
          <w:rFonts w:asciiTheme="majorBidi" w:hAnsiTheme="majorBidi" w:cstheme="majorBidi"/>
          <w:sz w:val="28"/>
          <w:szCs w:val="28"/>
          <w:lang w:val="en-GB"/>
        </w:rPr>
        <w:t xml:space="preserve"> compared to the amount that should be collected, are 98%-99% in developed centralized models. This indicator is a measure of denial appeals success, adherence to the contracts, and underpayment recovery. Pre-RCM base net collection rates of 85% to 90% in Saudi public hospitals reported by Al-Jahdali et al. (2024) suggest there is much to be gained. The centralized payer relations teams are the ones that negotiate the recovery of chronic underpayments and contractual adherence of rates in all facilities. The ratio of cost to collect is decreasing since the centralization process eliminates the redundancy and capitalizes on the economies of scale. Centralized RCM operations have HFMA (2021) benchmarks of cost-to-collect of less than 2% (compared to 4%-6%) of net revenue in a decentralized structure. Efficiencies come in the staffing level where there are specialized positions such as coder, denial specialist, analysts, and not generalists who do multiple roles but to different levels.</w:t>
      </w:r>
    </w:p>
    <w:p w14:paraId="4761C987" w14:textId="6C322418" w:rsidR="00EA1AFD" w:rsidRPr="00890351" w:rsidRDefault="00EA1AFD" w:rsidP="0065450D">
      <w:pPr>
        <w:spacing w:line="276" w:lineRule="auto"/>
        <w:jc w:val="right"/>
        <w:rPr>
          <w:rFonts w:asciiTheme="majorBidi" w:hAnsiTheme="majorBidi"/>
          <w:b/>
          <w:bCs/>
          <w:color w:val="000000" w:themeColor="text1"/>
          <w:sz w:val="24"/>
          <w:szCs w:val="24"/>
        </w:rPr>
      </w:pPr>
      <w:r w:rsidRPr="00890351">
        <w:rPr>
          <w:rFonts w:asciiTheme="majorBidi" w:hAnsiTheme="majorBidi" w:cstheme="majorBidi"/>
          <w:b/>
          <w:bCs/>
          <w:color w:val="000000" w:themeColor="text1"/>
          <w:sz w:val="24"/>
          <w:szCs w:val="24"/>
        </w:rPr>
        <w:t>2.6</w:t>
      </w:r>
      <w:r w:rsidR="002D5CD0" w:rsidRPr="00890351">
        <w:rPr>
          <w:rFonts w:asciiTheme="majorBidi" w:hAnsiTheme="majorBidi" w:cstheme="majorBidi"/>
          <w:b/>
          <w:bCs/>
          <w:color w:val="000000" w:themeColor="text1"/>
          <w:sz w:val="24"/>
          <w:szCs w:val="24"/>
        </w:rPr>
        <w:t xml:space="preserve"> </w:t>
      </w:r>
      <w:r w:rsidR="002D5CD0" w:rsidRPr="00890351">
        <w:rPr>
          <w:rFonts w:asciiTheme="majorBidi" w:hAnsiTheme="majorBidi"/>
          <w:b/>
          <w:bCs/>
          <w:color w:val="000000" w:themeColor="text1"/>
          <w:sz w:val="24"/>
          <w:szCs w:val="24"/>
        </w:rPr>
        <w:t>Research Gap</w:t>
      </w:r>
    </w:p>
    <w:p w14:paraId="0A3D9DB4" w14:textId="757F9548" w:rsidR="002D5CD0" w:rsidRPr="00760B79" w:rsidRDefault="002D5CD0" w:rsidP="002D5CD0">
      <w:pPr>
        <w:spacing w:line="276" w:lineRule="auto"/>
        <w:jc w:val="right"/>
        <w:rPr>
          <w:rFonts w:asciiTheme="majorBidi" w:hAnsiTheme="majorBidi" w:cstheme="majorBidi"/>
          <w:sz w:val="28"/>
          <w:szCs w:val="28"/>
          <w:lang w:val="en-GB"/>
        </w:rPr>
      </w:pPr>
      <w:r>
        <w:rPr>
          <w:rFonts w:asciiTheme="majorBidi" w:hAnsiTheme="majorBidi"/>
          <w:color w:val="000000" w:themeColor="text1"/>
          <w:sz w:val="24"/>
          <w:szCs w:val="24"/>
        </w:rPr>
        <w:t xml:space="preserve">               </w:t>
      </w:r>
      <w:r w:rsidRPr="00760B79">
        <w:rPr>
          <w:rFonts w:asciiTheme="majorBidi" w:hAnsiTheme="majorBidi" w:cstheme="majorBidi"/>
          <w:sz w:val="28"/>
          <w:szCs w:val="28"/>
          <w:lang w:val="en-GB"/>
        </w:rPr>
        <w:t>Although there is significant literature about the best practices of RCM and the advantages of centralization, there is a critical gap of assessing the combined effects of competency mapping and RCM centralization on financial risk reduction in Saudi Health Clusters. Hastings (2025), Chandawarkar et al. (2024), and HFMA (2021) each give competency development and operational centralization robust frameworks, but none of them adapts to the unique regulatory environment of the Vision 2030, such as the requirement to integrate NPHIES, cluster autonomy, and the shift to insurance-based financing. Al-Jahdali et al. (2024) and Nair et al. (2024) present Saudi-specific research on the issues of RCM adoption and the evolution of financing without going beyond the analysis of the evolving concepts of specific CRDD competencies associated with the quantifiable reduction of risks and performance outcomes.</w:t>
      </w:r>
    </w:p>
    <w:p w14:paraId="1888F2EE" w14:textId="039FAB72" w:rsidR="002D5CD0" w:rsidRPr="00760B79" w:rsidRDefault="002D5CD0" w:rsidP="002D5CD0">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There are no published studies that pre- and post-KPI comparisons are carried out after the implementation of CRDD or studies that use mixed </w:t>
      </w:r>
      <w:r w:rsidRPr="00760B79">
        <w:rPr>
          <w:rFonts w:asciiTheme="majorBidi" w:hAnsiTheme="majorBidi" w:cstheme="majorBidi"/>
          <w:sz w:val="28"/>
          <w:szCs w:val="28"/>
          <w:lang w:val="en-GB"/>
        </w:rPr>
        <w:lastRenderedPageBreak/>
        <w:t xml:space="preserve">methods with the involvement of quantitative financial and qualitative competency measurements. The identified gap in the literature suggests that a thorough study is required to form a validated competency model and at the same time quantify the effect of the model on key financial metrics. This evidence would give MHC leadership practical means of talent management </w:t>
      </w:r>
      <w:proofErr w:type="gramStart"/>
      <w:r w:rsidRPr="00760B79">
        <w:rPr>
          <w:rFonts w:asciiTheme="majorBidi" w:hAnsiTheme="majorBidi" w:cstheme="majorBidi"/>
          <w:sz w:val="28"/>
          <w:szCs w:val="28"/>
          <w:lang w:val="en-GB"/>
        </w:rPr>
        <w:t>and also</w:t>
      </w:r>
      <w:proofErr w:type="gramEnd"/>
      <w:r w:rsidRPr="00760B79">
        <w:rPr>
          <w:rFonts w:asciiTheme="majorBidi" w:hAnsiTheme="majorBidi" w:cstheme="majorBidi"/>
          <w:sz w:val="28"/>
          <w:szCs w:val="28"/>
          <w:lang w:val="en-GB"/>
        </w:rPr>
        <w:t xml:space="preserve"> avail a blueprint of such changes to other Saudi Health Clusters seeking to achieve such changes on a larger scale. </w:t>
      </w:r>
    </w:p>
    <w:p w14:paraId="1D063494" w14:textId="6A1EB00C" w:rsidR="002D5CD0" w:rsidRPr="00760B79" w:rsidRDefault="002D5CD0" w:rsidP="002D5CD0">
      <w:pPr>
        <w:spacing w:line="276" w:lineRule="auto"/>
        <w:jc w:val="right"/>
        <w:rPr>
          <w:rFonts w:asciiTheme="majorBidi" w:hAnsiTheme="majorBidi"/>
          <w:b/>
          <w:bCs/>
          <w:color w:val="000000" w:themeColor="text1"/>
          <w:sz w:val="24"/>
          <w:szCs w:val="24"/>
          <w:lang w:val="en-GB"/>
        </w:rPr>
      </w:pPr>
      <w:r w:rsidRPr="00760B79">
        <w:rPr>
          <w:rFonts w:asciiTheme="majorBidi" w:hAnsiTheme="majorBidi"/>
          <w:b/>
          <w:bCs/>
          <w:color w:val="000000" w:themeColor="text1"/>
          <w:sz w:val="24"/>
          <w:szCs w:val="24"/>
          <w:lang w:val="en-GB"/>
        </w:rPr>
        <w:t>2.7 Conclusion</w:t>
      </w:r>
    </w:p>
    <w:p w14:paraId="05EF8586" w14:textId="77777777" w:rsidR="002D5CD0" w:rsidRPr="00760B79" w:rsidRDefault="002D5CD0" w:rsidP="002D5CD0">
      <w:pPr>
        <w:spacing w:line="276" w:lineRule="auto"/>
        <w:jc w:val="right"/>
        <w:rPr>
          <w:rFonts w:asciiTheme="majorBidi" w:hAnsiTheme="majorBidi" w:cstheme="majorBidi"/>
          <w:sz w:val="28"/>
          <w:szCs w:val="28"/>
          <w:lang w:val="en-GB"/>
        </w:rPr>
      </w:pPr>
      <w:r w:rsidRPr="00760B79">
        <w:rPr>
          <w:rFonts w:asciiTheme="majorBidi" w:hAnsiTheme="majorBidi" w:cstheme="majorBidi"/>
          <w:sz w:val="28"/>
          <w:szCs w:val="28"/>
          <w:lang w:val="en-GB"/>
        </w:rPr>
        <w:t xml:space="preserve">               RCM is established in the literature as an essential strategic requirement of healthcare sustainability and centralization provides effective risk reduction and performance improvement mechanisms. The effectiveness of CRDD is based on core competencies that span the regulatory knowledge, technical skills, accuracy of coding, analytical skills and leadership skills. The context of transformation in Saudi Arabia strengthens the urgency of these findings since the Health Clusters are going through insurance expansion and fiscal autonomy demands. This research </w:t>
      </w:r>
      <w:proofErr w:type="gramStart"/>
      <w:r w:rsidRPr="00760B79">
        <w:rPr>
          <w:rFonts w:asciiTheme="majorBidi" w:hAnsiTheme="majorBidi" w:cstheme="majorBidi"/>
          <w:sz w:val="28"/>
          <w:szCs w:val="28"/>
          <w:lang w:val="en-GB"/>
        </w:rPr>
        <w:t>is capable of providing</w:t>
      </w:r>
      <w:proofErr w:type="gramEnd"/>
      <w:r w:rsidRPr="00760B79">
        <w:rPr>
          <w:rFonts w:asciiTheme="majorBidi" w:hAnsiTheme="majorBidi" w:cstheme="majorBidi"/>
          <w:sz w:val="28"/>
          <w:szCs w:val="28"/>
          <w:lang w:val="en-GB"/>
        </w:rPr>
        <w:t xml:space="preserve"> both practical value to MHC and theoretical value to the field of healthcare management literature by addressing the identified gap in research with the help of the empirical competency mapping and the analysis of the pre-post-performance.</w:t>
      </w:r>
    </w:p>
    <w:p w14:paraId="694ECEF3" w14:textId="50E20FDD" w:rsidR="002D5CD0" w:rsidRPr="002D5CD0" w:rsidRDefault="002D5CD0" w:rsidP="002D5CD0">
      <w:pPr>
        <w:spacing w:line="276" w:lineRule="auto"/>
        <w:jc w:val="right"/>
        <w:rPr>
          <w:rFonts w:asciiTheme="majorBidi" w:hAnsiTheme="majorBidi"/>
          <w:color w:val="000000" w:themeColor="text1"/>
          <w:sz w:val="24"/>
          <w:szCs w:val="24"/>
        </w:rPr>
      </w:pPr>
    </w:p>
    <w:p w14:paraId="5720272A" w14:textId="7BDB7BC6" w:rsidR="002D5CD0" w:rsidRPr="00EA1AFD" w:rsidRDefault="002D5CD0" w:rsidP="002D5CD0">
      <w:pPr>
        <w:spacing w:line="276" w:lineRule="auto"/>
        <w:rPr>
          <w:rFonts w:asciiTheme="majorBidi" w:hAnsiTheme="majorBidi" w:cstheme="majorBidi"/>
          <w:color w:val="000000" w:themeColor="text1"/>
          <w:sz w:val="24"/>
          <w:szCs w:val="24"/>
        </w:rPr>
      </w:pPr>
    </w:p>
    <w:p w14:paraId="5F94411E" w14:textId="2A610086" w:rsidR="0065450D" w:rsidRPr="0065450D" w:rsidRDefault="0065450D" w:rsidP="0065450D">
      <w:pPr>
        <w:spacing w:line="276" w:lineRule="auto"/>
        <w:jc w:val="right"/>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       </w:t>
      </w:r>
    </w:p>
    <w:p w14:paraId="5E38B353" w14:textId="4C8405C5" w:rsidR="00AC30F6" w:rsidRPr="00AC30F6" w:rsidRDefault="009C37CE" w:rsidP="003F729A">
      <w:pPr>
        <w:jc w:val="center"/>
        <w:rPr>
          <w:rFonts w:asciiTheme="majorBidi" w:hAnsiTheme="majorBidi" w:cstheme="majorBidi"/>
          <w:sz w:val="28"/>
          <w:szCs w:val="28"/>
          <w:u w:val="single"/>
        </w:rPr>
      </w:pPr>
      <w:r w:rsidRPr="009737AF">
        <w:rPr>
          <w:rFonts w:asciiTheme="majorBidi" w:hAnsiTheme="majorBidi" w:cstheme="majorBidi"/>
          <w:b/>
          <w:bCs/>
          <w:sz w:val="48"/>
          <w:szCs w:val="48"/>
          <w:u w:val="single"/>
          <w:rtl/>
        </w:rPr>
        <w:t xml:space="preserve"> </w:t>
      </w:r>
    </w:p>
    <w:p w14:paraId="01861090" w14:textId="77777777" w:rsidR="008F1EAE" w:rsidRDefault="008F1EAE" w:rsidP="009125CE">
      <w:pPr>
        <w:rPr>
          <w:rFonts w:asciiTheme="majorBidi" w:hAnsiTheme="majorBidi" w:cstheme="majorBidi"/>
          <w:sz w:val="28"/>
          <w:szCs w:val="28"/>
          <w:u w:val="single"/>
        </w:rPr>
      </w:pPr>
    </w:p>
    <w:sectPr w:rsidR="008F1EAE" w:rsidSect="004748F4">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486E4" w14:textId="77777777" w:rsidR="00760CEE" w:rsidRDefault="00760CEE" w:rsidP="009125CE">
      <w:pPr>
        <w:spacing w:after="0" w:line="240" w:lineRule="auto"/>
      </w:pPr>
      <w:r>
        <w:separator/>
      </w:r>
    </w:p>
  </w:endnote>
  <w:endnote w:type="continuationSeparator" w:id="0">
    <w:p w14:paraId="751F6FE5" w14:textId="77777777" w:rsidR="00760CEE" w:rsidRDefault="00760C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9BED" w14:textId="77777777" w:rsidR="00D52849" w:rsidRDefault="00D528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6568263"/>
      <w:docPartObj>
        <w:docPartGallery w:val="Page Numbers (Bottom of Page)"/>
        <w:docPartUnique/>
      </w:docPartObj>
    </w:sdtPr>
    <w:sdtEndPr>
      <w:rPr>
        <w:noProof/>
      </w:rPr>
    </w:sdtEndPr>
    <w:sdtContent>
      <w:p w14:paraId="59D08801" w14:textId="04B4B86E" w:rsidR="00D52849" w:rsidRDefault="00D528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3E42BD" w14:textId="77777777" w:rsidR="00D52849" w:rsidRDefault="00D528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4EFCE" w14:textId="77777777" w:rsidR="00D52849" w:rsidRDefault="00D52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F2922" w14:textId="77777777" w:rsidR="00760CEE" w:rsidRDefault="00760CEE" w:rsidP="009125CE">
      <w:pPr>
        <w:spacing w:after="0" w:line="240" w:lineRule="auto"/>
      </w:pPr>
      <w:r>
        <w:separator/>
      </w:r>
    </w:p>
  </w:footnote>
  <w:footnote w:type="continuationSeparator" w:id="0">
    <w:p w14:paraId="4B0F6383" w14:textId="77777777" w:rsidR="00760CEE" w:rsidRDefault="00760CE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7B4ED" w14:textId="77777777" w:rsidR="00D52849" w:rsidRDefault="00D528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291B" w14:textId="77777777" w:rsidR="00D52849" w:rsidRDefault="00D528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BD73" w14:textId="77777777" w:rsidR="00D52849" w:rsidRDefault="00D528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A3F"/>
    <w:multiLevelType w:val="multilevel"/>
    <w:tmpl w:val="11F41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27D0F"/>
    <w:multiLevelType w:val="multilevel"/>
    <w:tmpl w:val="23B676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C3627A"/>
    <w:multiLevelType w:val="hybridMultilevel"/>
    <w:tmpl w:val="43209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1514F"/>
    <w:multiLevelType w:val="multilevel"/>
    <w:tmpl w:val="1DB88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032674"/>
    <w:multiLevelType w:val="multilevel"/>
    <w:tmpl w:val="E860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B3B5F"/>
    <w:multiLevelType w:val="multilevel"/>
    <w:tmpl w:val="6E9E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51049"/>
    <w:multiLevelType w:val="hybridMultilevel"/>
    <w:tmpl w:val="F2E4A2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35B36"/>
    <w:multiLevelType w:val="multilevel"/>
    <w:tmpl w:val="1418220E"/>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185296"/>
    <w:multiLevelType w:val="multilevel"/>
    <w:tmpl w:val="F1A8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33067"/>
    <w:multiLevelType w:val="multilevel"/>
    <w:tmpl w:val="2472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67937"/>
    <w:multiLevelType w:val="multilevel"/>
    <w:tmpl w:val="2BD6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5138C3"/>
    <w:multiLevelType w:val="multilevel"/>
    <w:tmpl w:val="97D8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D74BD"/>
    <w:multiLevelType w:val="multilevel"/>
    <w:tmpl w:val="6B92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8F0013"/>
    <w:multiLevelType w:val="multilevel"/>
    <w:tmpl w:val="F1FC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B3C7A"/>
    <w:multiLevelType w:val="hybridMultilevel"/>
    <w:tmpl w:val="E586F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A332C"/>
    <w:multiLevelType w:val="multilevel"/>
    <w:tmpl w:val="9574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551F76"/>
    <w:multiLevelType w:val="multilevel"/>
    <w:tmpl w:val="657A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062EC3"/>
    <w:multiLevelType w:val="multilevel"/>
    <w:tmpl w:val="454C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8A3F00"/>
    <w:multiLevelType w:val="multilevel"/>
    <w:tmpl w:val="6284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549ED"/>
    <w:multiLevelType w:val="multilevel"/>
    <w:tmpl w:val="A6C6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390B31"/>
    <w:multiLevelType w:val="multilevel"/>
    <w:tmpl w:val="1392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8D0E2A"/>
    <w:multiLevelType w:val="hybridMultilevel"/>
    <w:tmpl w:val="DA7A28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D9008EB"/>
    <w:multiLevelType w:val="multilevel"/>
    <w:tmpl w:val="B75C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CA10AE"/>
    <w:multiLevelType w:val="multilevel"/>
    <w:tmpl w:val="09B4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FE7AC7"/>
    <w:multiLevelType w:val="multilevel"/>
    <w:tmpl w:val="0D12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60904"/>
    <w:multiLevelType w:val="multilevel"/>
    <w:tmpl w:val="24C8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4510F"/>
    <w:multiLevelType w:val="multilevel"/>
    <w:tmpl w:val="E7F6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9788C"/>
    <w:multiLevelType w:val="multilevel"/>
    <w:tmpl w:val="DA16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271510"/>
    <w:multiLevelType w:val="multilevel"/>
    <w:tmpl w:val="64DE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7032B"/>
    <w:multiLevelType w:val="multilevel"/>
    <w:tmpl w:val="9188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031DB"/>
    <w:multiLevelType w:val="multilevel"/>
    <w:tmpl w:val="CEE6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0B4704"/>
    <w:multiLevelType w:val="multilevel"/>
    <w:tmpl w:val="FFD0850E"/>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9F45F24"/>
    <w:multiLevelType w:val="multilevel"/>
    <w:tmpl w:val="5BFE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CB2218"/>
    <w:multiLevelType w:val="multilevel"/>
    <w:tmpl w:val="78D0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C27974"/>
    <w:multiLevelType w:val="multilevel"/>
    <w:tmpl w:val="31469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2D7F01"/>
    <w:multiLevelType w:val="multilevel"/>
    <w:tmpl w:val="23B676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90F9F"/>
    <w:multiLevelType w:val="multilevel"/>
    <w:tmpl w:val="04A0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498019">
    <w:abstractNumId w:val="3"/>
  </w:num>
  <w:num w:numId="2" w16cid:durableId="515731237">
    <w:abstractNumId w:val="35"/>
  </w:num>
  <w:num w:numId="3" w16cid:durableId="770323555">
    <w:abstractNumId w:val="14"/>
  </w:num>
  <w:num w:numId="4" w16cid:durableId="1506818842">
    <w:abstractNumId w:val="1"/>
  </w:num>
  <w:num w:numId="5" w16cid:durableId="422534770">
    <w:abstractNumId w:val="31"/>
  </w:num>
  <w:num w:numId="6" w16cid:durableId="1855652800">
    <w:abstractNumId w:val="7"/>
  </w:num>
  <w:num w:numId="7" w16cid:durableId="262150508">
    <w:abstractNumId w:val="6"/>
  </w:num>
  <w:num w:numId="8" w16cid:durableId="248462449">
    <w:abstractNumId w:val="2"/>
  </w:num>
  <w:num w:numId="9" w16cid:durableId="627008080">
    <w:abstractNumId w:val="21"/>
  </w:num>
  <w:num w:numId="10" w16cid:durableId="1794790939">
    <w:abstractNumId w:val="5"/>
  </w:num>
  <w:num w:numId="11" w16cid:durableId="242419041">
    <w:abstractNumId w:val="28"/>
  </w:num>
  <w:num w:numId="12" w16cid:durableId="358361228">
    <w:abstractNumId w:val="25"/>
  </w:num>
  <w:num w:numId="13" w16cid:durableId="735588713">
    <w:abstractNumId w:val="34"/>
  </w:num>
  <w:num w:numId="14" w16cid:durableId="1487359218">
    <w:abstractNumId w:val="18"/>
  </w:num>
  <w:num w:numId="15" w16cid:durableId="666518325">
    <w:abstractNumId w:val="30"/>
  </w:num>
  <w:num w:numId="16" w16cid:durableId="956064424">
    <w:abstractNumId w:val="13"/>
  </w:num>
  <w:num w:numId="17" w16cid:durableId="322663022">
    <w:abstractNumId w:val="10"/>
  </w:num>
  <w:num w:numId="18" w16cid:durableId="913079195">
    <w:abstractNumId w:val="32"/>
  </w:num>
  <w:num w:numId="19" w16cid:durableId="932393473">
    <w:abstractNumId w:val="12"/>
  </w:num>
  <w:num w:numId="20" w16cid:durableId="162548503">
    <w:abstractNumId w:val="0"/>
  </w:num>
  <w:num w:numId="21" w16cid:durableId="1780370379">
    <w:abstractNumId w:val="33"/>
  </w:num>
  <w:num w:numId="22" w16cid:durableId="2081513602">
    <w:abstractNumId w:val="26"/>
  </w:num>
  <w:num w:numId="23" w16cid:durableId="446704935">
    <w:abstractNumId w:val="29"/>
  </w:num>
  <w:num w:numId="24" w16cid:durableId="1772816365">
    <w:abstractNumId w:val="20"/>
  </w:num>
  <w:num w:numId="25" w16cid:durableId="1058240319">
    <w:abstractNumId w:val="24"/>
  </w:num>
  <w:num w:numId="26" w16cid:durableId="170797023">
    <w:abstractNumId w:val="16"/>
  </w:num>
  <w:num w:numId="27" w16cid:durableId="1180198655">
    <w:abstractNumId w:val="8"/>
  </w:num>
  <w:num w:numId="28" w16cid:durableId="67195576">
    <w:abstractNumId w:val="19"/>
  </w:num>
  <w:num w:numId="29" w16cid:durableId="566036969">
    <w:abstractNumId w:val="17"/>
  </w:num>
  <w:num w:numId="30" w16cid:durableId="1557087917">
    <w:abstractNumId w:val="11"/>
  </w:num>
  <w:num w:numId="31" w16cid:durableId="743643276">
    <w:abstractNumId w:val="22"/>
  </w:num>
  <w:num w:numId="32" w16cid:durableId="2056588123">
    <w:abstractNumId w:val="4"/>
  </w:num>
  <w:num w:numId="33" w16cid:durableId="1133445745">
    <w:abstractNumId w:val="9"/>
  </w:num>
  <w:num w:numId="34" w16cid:durableId="1428890161">
    <w:abstractNumId w:val="36"/>
  </w:num>
  <w:num w:numId="35" w16cid:durableId="2014213980">
    <w:abstractNumId w:val="27"/>
  </w:num>
  <w:num w:numId="36" w16cid:durableId="1354921817">
    <w:abstractNumId w:val="23"/>
  </w:num>
  <w:num w:numId="37" w16cid:durableId="19536311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6A5"/>
    <w:rsid w:val="0004571D"/>
    <w:rsid w:val="00050261"/>
    <w:rsid w:val="00067042"/>
    <w:rsid w:val="00074FF9"/>
    <w:rsid w:val="00090F21"/>
    <w:rsid w:val="000C1CB9"/>
    <w:rsid w:val="000C377C"/>
    <w:rsid w:val="000E4E01"/>
    <w:rsid w:val="000F44B4"/>
    <w:rsid w:val="0011104A"/>
    <w:rsid w:val="00122267"/>
    <w:rsid w:val="00130B97"/>
    <w:rsid w:val="00166E2F"/>
    <w:rsid w:val="00170D9B"/>
    <w:rsid w:val="001902DB"/>
    <w:rsid w:val="001C2162"/>
    <w:rsid w:val="001D6845"/>
    <w:rsid w:val="001D7329"/>
    <w:rsid w:val="002175EE"/>
    <w:rsid w:val="00237A94"/>
    <w:rsid w:val="00275CE8"/>
    <w:rsid w:val="002A16F1"/>
    <w:rsid w:val="002A7F3C"/>
    <w:rsid w:val="002D2954"/>
    <w:rsid w:val="002D52B9"/>
    <w:rsid w:val="002D5CD0"/>
    <w:rsid w:val="0031763D"/>
    <w:rsid w:val="00395A0E"/>
    <w:rsid w:val="003D32C7"/>
    <w:rsid w:val="003E7D74"/>
    <w:rsid w:val="003F3604"/>
    <w:rsid w:val="003F729A"/>
    <w:rsid w:val="004163C7"/>
    <w:rsid w:val="00452651"/>
    <w:rsid w:val="004638BA"/>
    <w:rsid w:val="004641DD"/>
    <w:rsid w:val="004654FE"/>
    <w:rsid w:val="004748F4"/>
    <w:rsid w:val="00475C65"/>
    <w:rsid w:val="00492681"/>
    <w:rsid w:val="004A3B23"/>
    <w:rsid w:val="004C3E4C"/>
    <w:rsid w:val="004D5646"/>
    <w:rsid w:val="004D5916"/>
    <w:rsid w:val="004E5374"/>
    <w:rsid w:val="004F0085"/>
    <w:rsid w:val="004F321C"/>
    <w:rsid w:val="00520054"/>
    <w:rsid w:val="00523736"/>
    <w:rsid w:val="00534F5E"/>
    <w:rsid w:val="00535871"/>
    <w:rsid w:val="0055059A"/>
    <w:rsid w:val="005870D0"/>
    <w:rsid w:val="005A7D62"/>
    <w:rsid w:val="005B3ECF"/>
    <w:rsid w:val="005D681D"/>
    <w:rsid w:val="005D7570"/>
    <w:rsid w:val="005F75D0"/>
    <w:rsid w:val="00604E63"/>
    <w:rsid w:val="00621541"/>
    <w:rsid w:val="006350DF"/>
    <w:rsid w:val="00637A74"/>
    <w:rsid w:val="0064369C"/>
    <w:rsid w:val="0065450D"/>
    <w:rsid w:val="00677248"/>
    <w:rsid w:val="006868D8"/>
    <w:rsid w:val="006878B6"/>
    <w:rsid w:val="006948DE"/>
    <w:rsid w:val="00694D9B"/>
    <w:rsid w:val="0069739A"/>
    <w:rsid w:val="006A17A2"/>
    <w:rsid w:val="006F0B99"/>
    <w:rsid w:val="00700FF3"/>
    <w:rsid w:val="007115A5"/>
    <w:rsid w:val="00723F8E"/>
    <w:rsid w:val="00726CAD"/>
    <w:rsid w:val="00734664"/>
    <w:rsid w:val="0073546B"/>
    <w:rsid w:val="00745404"/>
    <w:rsid w:val="00760B79"/>
    <w:rsid w:val="00760CEE"/>
    <w:rsid w:val="007765A1"/>
    <w:rsid w:val="0078049A"/>
    <w:rsid w:val="00790632"/>
    <w:rsid w:val="007B0E54"/>
    <w:rsid w:val="007B1D88"/>
    <w:rsid w:val="007B256F"/>
    <w:rsid w:val="007B7682"/>
    <w:rsid w:val="007D007D"/>
    <w:rsid w:val="007D7278"/>
    <w:rsid w:val="007E3A20"/>
    <w:rsid w:val="007F015C"/>
    <w:rsid w:val="007F0B88"/>
    <w:rsid w:val="007F290C"/>
    <w:rsid w:val="00831208"/>
    <w:rsid w:val="00844D0E"/>
    <w:rsid w:val="00853442"/>
    <w:rsid w:val="0085401F"/>
    <w:rsid w:val="0085660F"/>
    <w:rsid w:val="00877AAC"/>
    <w:rsid w:val="00883F79"/>
    <w:rsid w:val="00886717"/>
    <w:rsid w:val="00890351"/>
    <w:rsid w:val="00896FE4"/>
    <w:rsid w:val="008A47FB"/>
    <w:rsid w:val="008A531F"/>
    <w:rsid w:val="008B04F9"/>
    <w:rsid w:val="008C448C"/>
    <w:rsid w:val="008D7A6E"/>
    <w:rsid w:val="008F1EAE"/>
    <w:rsid w:val="009125CE"/>
    <w:rsid w:val="00920A75"/>
    <w:rsid w:val="00921B2B"/>
    <w:rsid w:val="00926897"/>
    <w:rsid w:val="0093323A"/>
    <w:rsid w:val="00946F5F"/>
    <w:rsid w:val="0095761C"/>
    <w:rsid w:val="00961284"/>
    <w:rsid w:val="009737AF"/>
    <w:rsid w:val="00975ECB"/>
    <w:rsid w:val="00980DE8"/>
    <w:rsid w:val="009B5830"/>
    <w:rsid w:val="009B6888"/>
    <w:rsid w:val="009C0161"/>
    <w:rsid w:val="009C289F"/>
    <w:rsid w:val="009C37CE"/>
    <w:rsid w:val="009D108D"/>
    <w:rsid w:val="009E1436"/>
    <w:rsid w:val="009E5668"/>
    <w:rsid w:val="009F0E92"/>
    <w:rsid w:val="00A35514"/>
    <w:rsid w:val="00A41852"/>
    <w:rsid w:val="00AA3FCC"/>
    <w:rsid w:val="00AA79E9"/>
    <w:rsid w:val="00AB0A70"/>
    <w:rsid w:val="00AC1CAB"/>
    <w:rsid w:val="00AC30F6"/>
    <w:rsid w:val="00B2684D"/>
    <w:rsid w:val="00B558AE"/>
    <w:rsid w:val="00B63B0F"/>
    <w:rsid w:val="00B6793F"/>
    <w:rsid w:val="00B7678A"/>
    <w:rsid w:val="00BA40BD"/>
    <w:rsid w:val="00BC094B"/>
    <w:rsid w:val="00BE3211"/>
    <w:rsid w:val="00C023EC"/>
    <w:rsid w:val="00C07215"/>
    <w:rsid w:val="00C17487"/>
    <w:rsid w:val="00C35972"/>
    <w:rsid w:val="00C43FDD"/>
    <w:rsid w:val="00C4538C"/>
    <w:rsid w:val="00C72744"/>
    <w:rsid w:val="00C90916"/>
    <w:rsid w:val="00CB2A44"/>
    <w:rsid w:val="00D04F62"/>
    <w:rsid w:val="00D07660"/>
    <w:rsid w:val="00D205C6"/>
    <w:rsid w:val="00D22171"/>
    <w:rsid w:val="00D22CAE"/>
    <w:rsid w:val="00D463FA"/>
    <w:rsid w:val="00D52480"/>
    <w:rsid w:val="00D52849"/>
    <w:rsid w:val="00D962D7"/>
    <w:rsid w:val="00DA75B4"/>
    <w:rsid w:val="00DE2E16"/>
    <w:rsid w:val="00DE50D5"/>
    <w:rsid w:val="00DF1FD2"/>
    <w:rsid w:val="00E6418E"/>
    <w:rsid w:val="00E7613F"/>
    <w:rsid w:val="00E80449"/>
    <w:rsid w:val="00E80FD9"/>
    <w:rsid w:val="00EA1AFD"/>
    <w:rsid w:val="00EA3ACE"/>
    <w:rsid w:val="00EC3729"/>
    <w:rsid w:val="00EC47F1"/>
    <w:rsid w:val="00EF1610"/>
    <w:rsid w:val="00F023C9"/>
    <w:rsid w:val="00F04AC9"/>
    <w:rsid w:val="00F06946"/>
    <w:rsid w:val="00F24133"/>
    <w:rsid w:val="00F26C5D"/>
    <w:rsid w:val="00F34F13"/>
    <w:rsid w:val="00F4174E"/>
    <w:rsid w:val="00F515B1"/>
    <w:rsid w:val="00F546CE"/>
    <w:rsid w:val="00F72CF8"/>
    <w:rsid w:val="00F925D0"/>
    <w:rsid w:val="00FE22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4186255-7582-43C2-B2B1-F475652F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8A47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37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F1FD2"/>
    <w:pPr>
      <w:ind w:left="720"/>
      <w:contextualSpacing/>
    </w:pPr>
  </w:style>
  <w:style w:type="character" w:customStyle="1" w:styleId="Heading2Char">
    <w:name w:val="Heading 2 Char"/>
    <w:basedOn w:val="DefaultParagraphFont"/>
    <w:link w:val="Heading2"/>
    <w:uiPriority w:val="9"/>
    <w:semiHidden/>
    <w:rsid w:val="008A47F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F75D0"/>
    <w:pPr>
      <w:bidi w:val="0"/>
      <w:spacing w:after="200" w:line="240" w:lineRule="auto"/>
      <w:jc w:val="both"/>
    </w:pPr>
    <w:rPr>
      <w:rFonts w:ascii="Times New Roman" w:hAnsi="Times New Roman"/>
      <w:i/>
      <w:iCs/>
      <w:color w:val="44546A" w:themeColor="text2"/>
      <w:kern w:val="0"/>
      <w:sz w:val="18"/>
      <w:szCs w:val="18"/>
      <w14:ligatures w14:val="none"/>
    </w:rPr>
  </w:style>
  <w:style w:type="table" w:styleId="GridTable6Colorful">
    <w:name w:val="Grid Table 6 Colorful"/>
    <w:basedOn w:val="TableNormal"/>
    <w:uiPriority w:val="51"/>
    <w:rsid w:val="00F04AC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760B79"/>
    <w:rPr>
      <w:rFonts w:ascii="Times New Roman" w:hAnsi="Times New Roman" w:cs="Times New Roman"/>
      <w:sz w:val="24"/>
      <w:szCs w:val="24"/>
    </w:rPr>
  </w:style>
  <w:style w:type="table" w:styleId="PlainTable2">
    <w:name w:val="Plain Table 2"/>
    <w:basedOn w:val="TableNormal"/>
    <w:uiPriority w:val="42"/>
    <w:rsid w:val="00B558A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074FF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74FF9"/>
    <w:rPr>
      <w:b/>
      <w:bCs/>
    </w:rPr>
  </w:style>
  <w:style w:type="character" w:styleId="Emphasis">
    <w:name w:val="Emphasis"/>
    <w:basedOn w:val="DefaultParagraphFont"/>
    <w:uiPriority w:val="20"/>
    <w:qFormat/>
    <w:rsid w:val="00074FF9"/>
    <w:rPr>
      <w:i/>
      <w:iCs/>
    </w:rPr>
  </w:style>
  <w:style w:type="paragraph" w:styleId="CommentText">
    <w:name w:val="annotation text"/>
    <w:basedOn w:val="Normal"/>
    <w:link w:val="CommentTextChar"/>
    <w:uiPriority w:val="99"/>
    <w:semiHidden/>
    <w:unhideWhenUsed/>
    <w:rsid w:val="003E7D74"/>
    <w:pPr>
      <w:bidi w:val="0"/>
      <w:spacing w:line="240" w:lineRule="auto"/>
    </w:pPr>
    <w:rPr>
      <w:sz w:val="20"/>
      <w:szCs w:val="20"/>
    </w:rPr>
  </w:style>
  <w:style w:type="character" w:customStyle="1" w:styleId="CommentTextChar">
    <w:name w:val="Comment Text Char"/>
    <w:basedOn w:val="DefaultParagraphFont"/>
    <w:link w:val="CommentText"/>
    <w:uiPriority w:val="99"/>
    <w:semiHidden/>
    <w:rsid w:val="003E7D74"/>
    <w:rPr>
      <w:sz w:val="20"/>
      <w:szCs w:val="20"/>
    </w:rPr>
  </w:style>
  <w:style w:type="character" w:styleId="CommentReference">
    <w:name w:val="annotation reference"/>
    <w:basedOn w:val="DefaultParagraphFont"/>
    <w:uiPriority w:val="99"/>
    <w:semiHidden/>
    <w:unhideWhenUsed/>
    <w:rsid w:val="003E7D74"/>
    <w:rPr>
      <w:sz w:val="16"/>
      <w:szCs w:val="16"/>
    </w:rPr>
  </w:style>
  <w:style w:type="character" w:customStyle="1" w:styleId="Heading3Char">
    <w:name w:val="Heading 3 Char"/>
    <w:basedOn w:val="DefaultParagraphFont"/>
    <w:link w:val="Heading3"/>
    <w:uiPriority w:val="9"/>
    <w:semiHidden/>
    <w:rsid w:val="00523736"/>
    <w:rPr>
      <w:rFonts w:asciiTheme="majorHAnsi" w:eastAsiaTheme="majorEastAsia" w:hAnsiTheme="majorHAnsi" w:cstheme="majorBidi"/>
      <w:color w:val="1F3763" w:themeColor="accent1" w:themeShade="7F"/>
      <w:sz w:val="24"/>
      <w:szCs w:val="24"/>
    </w:rPr>
  </w:style>
  <w:style w:type="table" w:styleId="PlainTable1">
    <w:name w:val="Plain Table 1"/>
    <w:basedOn w:val="TableNormal"/>
    <w:uiPriority w:val="41"/>
    <w:rsid w:val="00D52849"/>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3888">
      <w:bodyDiv w:val="1"/>
      <w:marLeft w:val="0"/>
      <w:marRight w:val="0"/>
      <w:marTop w:val="0"/>
      <w:marBottom w:val="0"/>
      <w:divBdr>
        <w:top w:val="none" w:sz="0" w:space="0" w:color="auto"/>
        <w:left w:val="none" w:sz="0" w:space="0" w:color="auto"/>
        <w:bottom w:val="none" w:sz="0" w:space="0" w:color="auto"/>
        <w:right w:val="none" w:sz="0" w:space="0" w:color="auto"/>
      </w:divBdr>
    </w:div>
    <w:div w:id="91782473">
      <w:bodyDiv w:val="1"/>
      <w:marLeft w:val="0"/>
      <w:marRight w:val="0"/>
      <w:marTop w:val="0"/>
      <w:marBottom w:val="0"/>
      <w:divBdr>
        <w:top w:val="none" w:sz="0" w:space="0" w:color="auto"/>
        <w:left w:val="none" w:sz="0" w:space="0" w:color="auto"/>
        <w:bottom w:val="none" w:sz="0" w:space="0" w:color="auto"/>
        <w:right w:val="none" w:sz="0" w:space="0" w:color="auto"/>
      </w:divBdr>
    </w:div>
    <w:div w:id="150758656">
      <w:bodyDiv w:val="1"/>
      <w:marLeft w:val="0"/>
      <w:marRight w:val="0"/>
      <w:marTop w:val="0"/>
      <w:marBottom w:val="0"/>
      <w:divBdr>
        <w:top w:val="none" w:sz="0" w:space="0" w:color="auto"/>
        <w:left w:val="none" w:sz="0" w:space="0" w:color="auto"/>
        <w:bottom w:val="none" w:sz="0" w:space="0" w:color="auto"/>
        <w:right w:val="none" w:sz="0" w:space="0" w:color="auto"/>
      </w:divBdr>
    </w:div>
    <w:div w:id="252058423">
      <w:bodyDiv w:val="1"/>
      <w:marLeft w:val="0"/>
      <w:marRight w:val="0"/>
      <w:marTop w:val="0"/>
      <w:marBottom w:val="0"/>
      <w:divBdr>
        <w:top w:val="none" w:sz="0" w:space="0" w:color="auto"/>
        <w:left w:val="none" w:sz="0" w:space="0" w:color="auto"/>
        <w:bottom w:val="none" w:sz="0" w:space="0" w:color="auto"/>
        <w:right w:val="none" w:sz="0" w:space="0" w:color="auto"/>
      </w:divBdr>
    </w:div>
    <w:div w:id="293559741">
      <w:bodyDiv w:val="1"/>
      <w:marLeft w:val="0"/>
      <w:marRight w:val="0"/>
      <w:marTop w:val="0"/>
      <w:marBottom w:val="0"/>
      <w:divBdr>
        <w:top w:val="none" w:sz="0" w:space="0" w:color="auto"/>
        <w:left w:val="none" w:sz="0" w:space="0" w:color="auto"/>
        <w:bottom w:val="none" w:sz="0" w:space="0" w:color="auto"/>
        <w:right w:val="none" w:sz="0" w:space="0" w:color="auto"/>
      </w:divBdr>
    </w:div>
    <w:div w:id="296953800">
      <w:bodyDiv w:val="1"/>
      <w:marLeft w:val="0"/>
      <w:marRight w:val="0"/>
      <w:marTop w:val="0"/>
      <w:marBottom w:val="0"/>
      <w:divBdr>
        <w:top w:val="none" w:sz="0" w:space="0" w:color="auto"/>
        <w:left w:val="none" w:sz="0" w:space="0" w:color="auto"/>
        <w:bottom w:val="none" w:sz="0" w:space="0" w:color="auto"/>
        <w:right w:val="none" w:sz="0" w:space="0" w:color="auto"/>
      </w:divBdr>
    </w:div>
    <w:div w:id="311909159">
      <w:bodyDiv w:val="1"/>
      <w:marLeft w:val="0"/>
      <w:marRight w:val="0"/>
      <w:marTop w:val="0"/>
      <w:marBottom w:val="0"/>
      <w:divBdr>
        <w:top w:val="none" w:sz="0" w:space="0" w:color="auto"/>
        <w:left w:val="none" w:sz="0" w:space="0" w:color="auto"/>
        <w:bottom w:val="none" w:sz="0" w:space="0" w:color="auto"/>
        <w:right w:val="none" w:sz="0" w:space="0" w:color="auto"/>
      </w:divBdr>
    </w:div>
    <w:div w:id="342516080">
      <w:bodyDiv w:val="1"/>
      <w:marLeft w:val="0"/>
      <w:marRight w:val="0"/>
      <w:marTop w:val="0"/>
      <w:marBottom w:val="0"/>
      <w:divBdr>
        <w:top w:val="none" w:sz="0" w:space="0" w:color="auto"/>
        <w:left w:val="none" w:sz="0" w:space="0" w:color="auto"/>
        <w:bottom w:val="none" w:sz="0" w:space="0" w:color="auto"/>
        <w:right w:val="none" w:sz="0" w:space="0" w:color="auto"/>
      </w:divBdr>
    </w:div>
    <w:div w:id="439187328">
      <w:bodyDiv w:val="1"/>
      <w:marLeft w:val="0"/>
      <w:marRight w:val="0"/>
      <w:marTop w:val="0"/>
      <w:marBottom w:val="0"/>
      <w:divBdr>
        <w:top w:val="none" w:sz="0" w:space="0" w:color="auto"/>
        <w:left w:val="none" w:sz="0" w:space="0" w:color="auto"/>
        <w:bottom w:val="none" w:sz="0" w:space="0" w:color="auto"/>
        <w:right w:val="none" w:sz="0" w:space="0" w:color="auto"/>
      </w:divBdr>
    </w:div>
    <w:div w:id="450780208">
      <w:bodyDiv w:val="1"/>
      <w:marLeft w:val="0"/>
      <w:marRight w:val="0"/>
      <w:marTop w:val="0"/>
      <w:marBottom w:val="0"/>
      <w:divBdr>
        <w:top w:val="none" w:sz="0" w:space="0" w:color="auto"/>
        <w:left w:val="none" w:sz="0" w:space="0" w:color="auto"/>
        <w:bottom w:val="none" w:sz="0" w:space="0" w:color="auto"/>
        <w:right w:val="none" w:sz="0" w:space="0" w:color="auto"/>
      </w:divBdr>
    </w:div>
    <w:div w:id="475880711">
      <w:bodyDiv w:val="1"/>
      <w:marLeft w:val="0"/>
      <w:marRight w:val="0"/>
      <w:marTop w:val="0"/>
      <w:marBottom w:val="0"/>
      <w:divBdr>
        <w:top w:val="none" w:sz="0" w:space="0" w:color="auto"/>
        <w:left w:val="none" w:sz="0" w:space="0" w:color="auto"/>
        <w:bottom w:val="none" w:sz="0" w:space="0" w:color="auto"/>
        <w:right w:val="none" w:sz="0" w:space="0" w:color="auto"/>
      </w:divBdr>
    </w:div>
    <w:div w:id="573051321">
      <w:bodyDiv w:val="1"/>
      <w:marLeft w:val="0"/>
      <w:marRight w:val="0"/>
      <w:marTop w:val="0"/>
      <w:marBottom w:val="0"/>
      <w:divBdr>
        <w:top w:val="none" w:sz="0" w:space="0" w:color="auto"/>
        <w:left w:val="none" w:sz="0" w:space="0" w:color="auto"/>
        <w:bottom w:val="none" w:sz="0" w:space="0" w:color="auto"/>
        <w:right w:val="none" w:sz="0" w:space="0" w:color="auto"/>
      </w:divBdr>
    </w:div>
    <w:div w:id="574625582">
      <w:bodyDiv w:val="1"/>
      <w:marLeft w:val="0"/>
      <w:marRight w:val="0"/>
      <w:marTop w:val="0"/>
      <w:marBottom w:val="0"/>
      <w:divBdr>
        <w:top w:val="none" w:sz="0" w:space="0" w:color="auto"/>
        <w:left w:val="none" w:sz="0" w:space="0" w:color="auto"/>
        <w:bottom w:val="none" w:sz="0" w:space="0" w:color="auto"/>
        <w:right w:val="none" w:sz="0" w:space="0" w:color="auto"/>
      </w:divBdr>
    </w:div>
    <w:div w:id="584726649">
      <w:bodyDiv w:val="1"/>
      <w:marLeft w:val="0"/>
      <w:marRight w:val="0"/>
      <w:marTop w:val="0"/>
      <w:marBottom w:val="0"/>
      <w:divBdr>
        <w:top w:val="none" w:sz="0" w:space="0" w:color="auto"/>
        <w:left w:val="none" w:sz="0" w:space="0" w:color="auto"/>
        <w:bottom w:val="none" w:sz="0" w:space="0" w:color="auto"/>
        <w:right w:val="none" w:sz="0" w:space="0" w:color="auto"/>
      </w:divBdr>
    </w:div>
    <w:div w:id="617948711">
      <w:bodyDiv w:val="1"/>
      <w:marLeft w:val="0"/>
      <w:marRight w:val="0"/>
      <w:marTop w:val="0"/>
      <w:marBottom w:val="0"/>
      <w:divBdr>
        <w:top w:val="none" w:sz="0" w:space="0" w:color="auto"/>
        <w:left w:val="none" w:sz="0" w:space="0" w:color="auto"/>
        <w:bottom w:val="none" w:sz="0" w:space="0" w:color="auto"/>
        <w:right w:val="none" w:sz="0" w:space="0" w:color="auto"/>
      </w:divBdr>
    </w:div>
    <w:div w:id="650330678">
      <w:bodyDiv w:val="1"/>
      <w:marLeft w:val="0"/>
      <w:marRight w:val="0"/>
      <w:marTop w:val="0"/>
      <w:marBottom w:val="0"/>
      <w:divBdr>
        <w:top w:val="none" w:sz="0" w:space="0" w:color="auto"/>
        <w:left w:val="none" w:sz="0" w:space="0" w:color="auto"/>
        <w:bottom w:val="none" w:sz="0" w:space="0" w:color="auto"/>
        <w:right w:val="none" w:sz="0" w:space="0" w:color="auto"/>
      </w:divBdr>
    </w:div>
    <w:div w:id="651719669">
      <w:bodyDiv w:val="1"/>
      <w:marLeft w:val="0"/>
      <w:marRight w:val="0"/>
      <w:marTop w:val="0"/>
      <w:marBottom w:val="0"/>
      <w:divBdr>
        <w:top w:val="none" w:sz="0" w:space="0" w:color="auto"/>
        <w:left w:val="none" w:sz="0" w:space="0" w:color="auto"/>
        <w:bottom w:val="none" w:sz="0" w:space="0" w:color="auto"/>
        <w:right w:val="none" w:sz="0" w:space="0" w:color="auto"/>
      </w:divBdr>
    </w:div>
    <w:div w:id="666204181">
      <w:bodyDiv w:val="1"/>
      <w:marLeft w:val="0"/>
      <w:marRight w:val="0"/>
      <w:marTop w:val="0"/>
      <w:marBottom w:val="0"/>
      <w:divBdr>
        <w:top w:val="none" w:sz="0" w:space="0" w:color="auto"/>
        <w:left w:val="none" w:sz="0" w:space="0" w:color="auto"/>
        <w:bottom w:val="none" w:sz="0" w:space="0" w:color="auto"/>
        <w:right w:val="none" w:sz="0" w:space="0" w:color="auto"/>
      </w:divBdr>
    </w:div>
    <w:div w:id="680668934">
      <w:bodyDiv w:val="1"/>
      <w:marLeft w:val="0"/>
      <w:marRight w:val="0"/>
      <w:marTop w:val="0"/>
      <w:marBottom w:val="0"/>
      <w:divBdr>
        <w:top w:val="none" w:sz="0" w:space="0" w:color="auto"/>
        <w:left w:val="none" w:sz="0" w:space="0" w:color="auto"/>
        <w:bottom w:val="none" w:sz="0" w:space="0" w:color="auto"/>
        <w:right w:val="none" w:sz="0" w:space="0" w:color="auto"/>
      </w:divBdr>
    </w:div>
    <w:div w:id="730033963">
      <w:bodyDiv w:val="1"/>
      <w:marLeft w:val="0"/>
      <w:marRight w:val="0"/>
      <w:marTop w:val="0"/>
      <w:marBottom w:val="0"/>
      <w:divBdr>
        <w:top w:val="none" w:sz="0" w:space="0" w:color="auto"/>
        <w:left w:val="none" w:sz="0" w:space="0" w:color="auto"/>
        <w:bottom w:val="none" w:sz="0" w:space="0" w:color="auto"/>
        <w:right w:val="none" w:sz="0" w:space="0" w:color="auto"/>
      </w:divBdr>
    </w:div>
    <w:div w:id="884828436">
      <w:bodyDiv w:val="1"/>
      <w:marLeft w:val="0"/>
      <w:marRight w:val="0"/>
      <w:marTop w:val="0"/>
      <w:marBottom w:val="0"/>
      <w:divBdr>
        <w:top w:val="none" w:sz="0" w:space="0" w:color="auto"/>
        <w:left w:val="none" w:sz="0" w:space="0" w:color="auto"/>
        <w:bottom w:val="none" w:sz="0" w:space="0" w:color="auto"/>
        <w:right w:val="none" w:sz="0" w:space="0" w:color="auto"/>
      </w:divBdr>
      <w:divsChild>
        <w:div w:id="35128144">
          <w:marLeft w:val="0"/>
          <w:marRight w:val="0"/>
          <w:marTop w:val="0"/>
          <w:marBottom w:val="0"/>
          <w:divBdr>
            <w:top w:val="single" w:sz="6" w:space="9" w:color="6841EA"/>
            <w:left w:val="single" w:sz="6" w:space="0" w:color="6841EA"/>
            <w:bottom w:val="single" w:sz="6" w:space="9" w:color="6841EA"/>
            <w:right w:val="single" w:sz="6" w:space="0" w:color="6841EA"/>
          </w:divBdr>
          <w:divsChild>
            <w:div w:id="1297250449">
              <w:marLeft w:val="0"/>
              <w:marRight w:val="0"/>
              <w:marTop w:val="0"/>
              <w:marBottom w:val="0"/>
              <w:divBdr>
                <w:top w:val="none" w:sz="0" w:space="0" w:color="auto"/>
                <w:left w:val="none" w:sz="0" w:space="0" w:color="auto"/>
                <w:bottom w:val="none" w:sz="0" w:space="0" w:color="auto"/>
                <w:right w:val="none" w:sz="0" w:space="0" w:color="auto"/>
              </w:divBdr>
              <w:divsChild>
                <w:div w:id="141828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995">
          <w:marLeft w:val="0"/>
          <w:marRight w:val="0"/>
          <w:marTop w:val="0"/>
          <w:marBottom w:val="0"/>
          <w:divBdr>
            <w:top w:val="none" w:sz="0" w:space="0" w:color="auto"/>
            <w:left w:val="none" w:sz="0" w:space="0" w:color="auto"/>
            <w:bottom w:val="none" w:sz="0" w:space="0" w:color="auto"/>
            <w:right w:val="none" w:sz="0" w:space="0" w:color="auto"/>
          </w:divBdr>
          <w:divsChild>
            <w:div w:id="503663395">
              <w:marLeft w:val="0"/>
              <w:marRight w:val="0"/>
              <w:marTop w:val="0"/>
              <w:marBottom w:val="0"/>
              <w:divBdr>
                <w:top w:val="none" w:sz="0" w:space="0" w:color="auto"/>
                <w:left w:val="none" w:sz="0" w:space="0" w:color="auto"/>
                <w:bottom w:val="none" w:sz="0" w:space="0" w:color="auto"/>
                <w:right w:val="none" w:sz="0" w:space="0" w:color="auto"/>
              </w:divBdr>
            </w:div>
            <w:div w:id="1732539490">
              <w:marLeft w:val="0"/>
              <w:marRight w:val="0"/>
              <w:marTop w:val="0"/>
              <w:marBottom w:val="0"/>
              <w:divBdr>
                <w:top w:val="none" w:sz="0" w:space="0" w:color="auto"/>
                <w:left w:val="none" w:sz="0" w:space="0" w:color="auto"/>
                <w:bottom w:val="none" w:sz="0" w:space="0" w:color="auto"/>
                <w:right w:val="none" w:sz="0" w:space="0" w:color="auto"/>
              </w:divBdr>
              <w:divsChild>
                <w:div w:id="1177378041">
                  <w:marLeft w:val="0"/>
                  <w:marRight w:val="0"/>
                  <w:marTop w:val="0"/>
                  <w:marBottom w:val="0"/>
                  <w:divBdr>
                    <w:top w:val="none" w:sz="0" w:space="0" w:color="auto"/>
                    <w:left w:val="none" w:sz="0" w:space="0" w:color="auto"/>
                    <w:bottom w:val="none" w:sz="0" w:space="0" w:color="auto"/>
                    <w:right w:val="none" w:sz="0" w:space="0" w:color="auto"/>
                  </w:divBdr>
                  <w:divsChild>
                    <w:div w:id="7830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90707">
          <w:marLeft w:val="0"/>
          <w:marRight w:val="0"/>
          <w:marTop w:val="0"/>
          <w:marBottom w:val="0"/>
          <w:divBdr>
            <w:top w:val="none" w:sz="0" w:space="0" w:color="auto"/>
            <w:left w:val="none" w:sz="0" w:space="0" w:color="auto"/>
            <w:bottom w:val="none" w:sz="0" w:space="0" w:color="auto"/>
            <w:right w:val="none" w:sz="0" w:space="0" w:color="auto"/>
          </w:divBdr>
        </w:div>
      </w:divsChild>
    </w:div>
    <w:div w:id="1012681555">
      <w:bodyDiv w:val="1"/>
      <w:marLeft w:val="0"/>
      <w:marRight w:val="0"/>
      <w:marTop w:val="0"/>
      <w:marBottom w:val="0"/>
      <w:divBdr>
        <w:top w:val="none" w:sz="0" w:space="0" w:color="auto"/>
        <w:left w:val="none" w:sz="0" w:space="0" w:color="auto"/>
        <w:bottom w:val="none" w:sz="0" w:space="0" w:color="auto"/>
        <w:right w:val="none" w:sz="0" w:space="0" w:color="auto"/>
      </w:divBdr>
      <w:divsChild>
        <w:div w:id="754277536">
          <w:marLeft w:val="0"/>
          <w:marRight w:val="0"/>
          <w:marTop w:val="0"/>
          <w:marBottom w:val="0"/>
          <w:divBdr>
            <w:top w:val="single" w:sz="6" w:space="9" w:color="6841EA"/>
            <w:left w:val="single" w:sz="6" w:space="0" w:color="6841EA"/>
            <w:bottom w:val="single" w:sz="6" w:space="9" w:color="6841EA"/>
            <w:right w:val="single" w:sz="6" w:space="0" w:color="6841EA"/>
          </w:divBdr>
          <w:divsChild>
            <w:div w:id="1858544887">
              <w:marLeft w:val="0"/>
              <w:marRight w:val="0"/>
              <w:marTop w:val="0"/>
              <w:marBottom w:val="0"/>
              <w:divBdr>
                <w:top w:val="none" w:sz="0" w:space="0" w:color="auto"/>
                <w:left w:val="none" w:sz="0" w:space="0" w:color="auto"/>
                <w:bottom w:val="none" w:sz="0" w:space="0" w:color="auto"/>
                <w:right w:val="none" w:sz="0" w:space="0" w:color="auto"/>
              </w:divBdr>
              <w:divsChild>
                <w:div w:id="82215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49530">
          <w:marLeft w:val="0"/>
          <w:marRight w:val="0"/>
          <w:marTop w:val="0"/>
          <w:marBottom w:val="0"/>
          <w:divBdr>
            <w:top w:val="none" w:sz="0" w:space="0" w:color="auto"/>
            <w:left w:val="none" w:sz="0" w:space="0" w:color="auto"/>
            <w:bottom w:val="none" w:sz="0" w:space="0" w:color="auto"/>
            <w:right w:val="none" w:sz="0" w:space="0" w:color="auto"/>
          </w:divBdr>
          <w:divsChild>
            <w:div w:id="287664346">
              <w:marLeft w:val="0"/>
              <w:marRight w:val="0"/>
              <w:marTop w:val="0"/>
              <w:marBottom w:val="0"/>
              <w:divBdr>
                <w:top w:val="none" w:sz="0" w:space="0" w:color="auto"/>
                <w:left w:val="none" w:sz="0" w:space="0" w:color="auto"/>
                <w:bottom w:val="none" w:sz="0" w:space="0" w:color="auto"/>
                <w:right w:val="none" w:sz="0" w:space="0" w:color="auto"/>
              </w:divBdr>
            </w:div>
            <w:div w:id="355160582">
              <w:marLeft w:val="0"/>
              <w:marRight w:val="0"/>
              <w:marTop w:val="0"/>
              <w:marBottom w:val="0"/>
              <w:divBdr>
                <w:top w:val="none" w:sz="0" w:space="0" w:color="auto"/>
                <w:left w:val="none" w:sz="0" w:space="0" w:color="auto"/>
                <w:bottom w:val="none" w:sz="0" w:space="0" w:color="auto"/>
                <w:right w:val="none" w:sz="0" w:space="0" w:color="auto"/>
              </w:divBdr>
              <w:divsChild>
                <w:div w:id="2024626913">
                  <w:marLeft w:val="0"/>
                  <w:marRight w:val="0"/>
                  <w:marTop w:val="0"/>
                  <w:marBottom w:val="0"/>
                  <w:divBdr>
                    <w:top w:val="none" w:sz="0" w:space="0" w:color="auto"/>
                    <w:left w:val="none" w:sz="0" w:space="0" w:color="auto"/>
                    <w:bottom w:val="none" w:sz="0" w:space="0" w:color="auto"/>
                    <w:right w:val="none" w:sz="0" w:space="0" w:color="auto"/>
                  </w:divBdr>
                  <w:divsChild>
                    <w:div w:id="58202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45610">
          <w:marLeft w:val="0"/>
          <w:marRight w:val="0"/>
          <w:marTop w:val="0"/>
          <w:marBottom w:val="0"/>
          <w:divBdr>
            <w:top w:val="none" w:sz="0" w:space="0" w:color="auto"/>
            <w:left w:val="none" w:sz="0" w:space="0" w:color="auto"/>
            <w:bottom w:val="none" w:sz="0" w:space="0" w:color="auto"/>
            <w:right w:val="none" w:sz="0" w:space="0" w:color="auto"/>
          </w:divBdr>
        </w:div>
      </w:divsChild>
    </w:div>
    <w:div w:id="1079136489">
      <w:bodyDiv w:val="1"/>
      <w:marLeft w:val="0"/>
      <w:marRight w:val="0"/>
      <w:marTop w:val="0"/>
      <w:marBottom w:val="0"/>
      <w:divBdr>
        <w:top w:val="none" w:sz="0" w:space="0" w:color="auto"/>
        <w:left w:val="none" w:sz="0" w:space="0" w:color="auto"/>
        <w:bottom w:val="none" w:sz="0" w:space="0" w:color="auto"/>
        <w:right w:val="none" w:sz="0" w:space="0" w:color="auto"/>
      </w:divBdr>
    </w:div>
    <w:div w:id="1087267652">
      <w:bodyDiv w:val="1"/>
      <w:marLeft w:val="0"/>
      <w:marRight w:val="0"/>
      <w:marTop w:val="0"/>
      <w:marBottom w:val="0"/>
      <w:divBdr>
        <w:top w:val="none" w:sz="0" w:space="0" w:color="auto"/>
        <w:left w:val="none" w:sz="0" w:space="0" w:color="auto"/>
        <w:bottom w:val="none" w:sz="0" w:space="0" w:color="auto"/>
        <w:right w:val="none" w:sz="0" w:space="0" w:color="auto"/>
      </w:divBdr>
    </w:div>
    <w:div w:id="1091509122">
      <w:bodyDiv w:val="1"/>
      <w:marLeft w:val="0"/>
      <w:marRight w:val="0"/>
      <w:marTop w:val="0"/>
      <w:marBottom w:val="0"/>
      <w:divBdr>
        <w:top w:val="none" w:sz="0" w:space="0" w:color="auto"/>
        <w:left w:val="none" w:sz="0" w:space="0" w:color="auto"/>
        <w:bottom w:val="none" w:sz="0" w:space="0" w:color="auto"/>
        <w:right w:val="none" w:sz="0" w:space="0" w:color="auto"/>
      </w:divBdr>
    </w:div>
    <w:div w:id="1128206841">
      <w:bodyDiv w:val="1"/>
      <w:marLeft w:val="0"/>
      <w:marRight w:val="0"/>
      <w:marTop w:val="0"/>
      <w:marBottom w:val="0"/>
      <w:divBdr>
        <w:top w:val="none" w:sz="0" w:space="0" w:color="auto"/>
        <w:left w:val="none" w:sz="0" w:space="0" w:color="auto"/>
        <w:bottom w:val="none" w:sz="0" w:space="0" w:color="auto"/>
        <w:right w:val="none" w:sz="0" w:space="0" w:color="auto"/>
      </w:divBdr>
    </w:div>
    <w:div w:id="1205288665">
      <w:bodyDiv w:val="1"/>
      <w:marLeft w:val="0"/>
      <w:marRight w:val="0"/>
      <w:marTop w:val="0"/>
      <w:marBottom w:val="0"/>
      <w:divBdr>
        <w:top w:val="none" w:sz="0" w:space="0" w:color="auto"/>
        <w:left w:val="none" w:sz="0" w:space="0" w:color="auto"/>
        <w:bottom w:val="none" w:sz="0" w:space="0" w:color="auto"/>
        <w:right w:val="none" w:sz="0" w:space="0" w:color="auto"/>
      </w:divBdr>
    </w:div>
    <w:div w:id="1298417428">
      <w:bodyDiv w:val="1"/>
      <w:marLeft w:val="0"/>
      <w:marRight w:val="0"/>
      <w:marTop w:val="0"/>
      <w:marBottom w:val="0"/>
      <w:divBdr>
        <w:top w:val="none" w:sz="0" w:space="0" w:color="auto"/>
        <w:left w:val="none" w:sz="0" w:space="0" w:color="auto"/>
        <w:bottom w:val="none" w:sz="0" w:space="0" w:color="auto"/>
        <w:right w:val="none" w:sz="0" w:space="0" w:color="auto"/>
      </w:divBdr>
    </w:div>
    <w:div w:id="1322344355">
      <w:bodyDiv w:val="1"/>
      <w:marLeft w:val="0"/>
      <w:marRight w:val="0"/>
      <w:marTop w:val="0"/>
      <w:marBottom w:val="0"/>
      <w:divBdr>
        <w:top w:val="none" w:sz="0" w:space="0" w:color="auto"/>
        <w:left w:val="none" w:sz="0" w:space="0" w:color="auto"/>
        <w:bottom w:val="none" w:sz="0" w:space="0" w:color="auto"/>
        <w:right w:val="none" w:sz="0" w:space="0" w:color="auto"/>
      </w:divBdr>
    </w:div>
    <w:div w:id="1477840829">
      <w:bodyDiv w:val="1"/>
      <w:marLeft w:val="0"/>
      <w:marRight w:val="0"/>
      <w:marTop w:val="0"/>
      <w:marBottom w:val="0"/>
      <w:divBdr>
        <w:top w:val="none" w:sz="0" w:space="0" w:color="auto"/>
        <w:left w:val="none" w:sz="0" w:space="0" w:color="auto"/>
        <w:bottom w:val="none" w:sz="0" w:space="0" w:color="auto"/>
        <w:right w:val="none" w:sz="0" w:space="0" w:color="auto"/>
      </w:divBdr>
    </w:div>
    <w:div w:id="1667635147">
      <w:bodyDiv w:val="1"/>
      <w:marLeft w:val="0"/>
      <w:marRight w:val="0"/>
      <w:marTop w:val="0"/>
      <w:marBottom w:val="0"/>
      <w:divBdr>
        <w:top w:val="none" w:sz="0" w:space="0" w:color="auto"/>
        <w:left w:val="none" w:sz="0" w:space="0" w:color="auto"/>
        <w:bottom w:val="none" w:sz="0" w:space="0" w:color="auto"/>
        <w:right w:val="none" w:sz="0" w:space="0" w:color="auto"/>
      </w:divBdr>
    </w:div>
    <w:div w:id="1717464019">
      <w:bodyDiv w:val="1"/>
      <w:marLeft w:val="0"/>
      <w:marRight w:val="0"/>
      <w:marTop w:val="0"/>
      <w:marBottom w:val="0"/>
      <w:divBdr>
        <w:top w:val="none" w:sz="0" w:space="0" w:color="auto"/>
        <w:left w:val="none" w:sz="0" w:space="0" w:color="auto"/>
        <w:bottom w:val="none" w:sz="0" w:space="0" w:color="auto"/>
        <w:right w:val="none" w:sz="0" w:space="0" w:color="auto"/>
      </w:divBdr>
    </w:div>
    <w:div w:id="1812482730">
      <w:bodyDiv w:val="1"/>
      <w:marLeft w:val="0"/>
      <w:marRight w:val="0"/>
      <w:marTop w:val="0"/>
      <w:marBottom w:val="0"/>
      <w:divBdr>
        <w:top w:val="none" w:sz="0" w:space="0" w:color="auto"/>
        <w:left w:val="none" w:sz="0" w:space="0" w:color="auto"/>
        <w:bottom w:val="none" w:sz="0" w:space="0" w:color="auto"/>
        <w:right w:val="none" w:sz="0" w:space="0" w:color="auto"/>
      </w:divBdr>
    </w:div>
    <w:div w:id="1835878900">
      <w:bodyDiv w:val="1"/>
      <w:marLeft w:val="0"/>
      <w:marRight w:val="0"/>
      <w:marTop w:val="0"/>
      <w:marBottom w:val="0"/>
      <w:divBdr>
        <w:top w:val="none" w:sz="0" w:space="0" w:color="auto"/>
        <w:left w:val="none" w:sz="0" w:space="0" w:color="auto"/>
        <w:bottom w:val="none" w:sz="0" w:space="0" w:color="auto"/>
        <w:right w:val="none" w:sz="0" w:space="0" w:color="auto"/>
      </w:divBdr>
    </w:div>
    <w:div w:id="1983658634">
      <w:bodyDiv w:val="1"/>
      <w:marLeft w:val="0"/>
      <w:marRight w:val="0"/>
      <w:marTop w:val="0"/>
      <w:marBottom w:val="0"/>
      <w:divBdr>
        <w:top w:val="none" w:sz="0" w:space="0" w:color="auto"/>
        <w:left w:val="none" w:sz="0" w:space="0" w:color="auto"/>
        <w:bottom w:val="none" w:sz="0" w:space="0" w:color="auto"/>
        <w:right w:val="none" w:sz="0" w:space="0" w:color="auto"/>
      </w:divBdr>
    </w:div>
    <w:div w:id="2003847921">
      <w:bodyDiv w:val="1"/>
      <w:marLeft w:val="0"/>
      <w:marRight w:val="0"/>
      <w:marTop w:val="0"/>
      <w:marBottom w:val="0"/>
      <w:divBdr>
        <w:top w:val="none" w:sz="0" w:space="0" w:color="auto"/>
        <w:left w:val="none" w:sz="0" w:space="0" w:color="auto"/>
        <w:bottom w:val="none" w:sz="0" w:space="0" w:color="auto"/>
        <w:right w:val="none" w:sz="0" w:space="0" w:color="auto"/>
      </w:divBdr>
    </w:div>
    <w:div w:id="2135059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5EEEB-87F8-4112-BB2B-657811DE97D4}">
  <ds:schemaRefs>
    <ds:schemaRef ds:uri="http://schemas.openxmlformats.org/officeDocument/2006/bibliography"/>
  </ds:schemaRefs>
</ds:datastoreItem>
</file>

<file path=docMetadata/LabelInfo.xml><?xml version="1.0" encoding="utf-8"?>
<clbl:labelList xmlns:clbl="http://schemas.microsoft.com/office/2020/mipLabelMetadata">
  <clbl:label id="{b7ed6fae-7411-4cd7-8043-5bbd8cae5977}" enabled="1" method="Standard" siteId="{0dfb26b7-5cf4-414a-8ae7-f4f5a5e6ac0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17</Pages>
  <Words>4758</Words>
  <Characters>27125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Mashhoor Alotaibi</cp:lastModifiedBy>
  <cp:revision>2</cp:revision>
  <dcterms:created xsi:type="dcterms:W3CDTF">2026-01-16T18:49:00Z</dcterms:created>
  <dcterms:modified xsi:type="dcterms:W3CDTF">2026-01-16T18:49:00Z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