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5DAEB" w14:textId="77777777" w:rsidR="00FB3AAA" w:rsidRDefault="00FB3AAA" w:rsidP="00FB3AAA">
      <w:pPr>
        <w:spacing w:line="360" w:lineRule="auto"/>
        <w:jc w:val="both"/>
        <w:rPr>
          <w:rFonts w:asciiTheme="majorBidi" w:hAnsiTheme="majorBidi" w:cstheme="majorBidi"/>
        </w:rPr>
      </w:pPr>
    </w:p>
    <w:p w14:paraId="25EB6965" w14:textId="77777777" w:rsidR="00FB3AAA" w:rsidRDefault="00FB3AAA" w:rsidP="00FB3AAA">
      <w:pPr>
        <w:spacing w:line="360" w:lineRule="auto"/>
        <w:jc w:val="both"/>
        <w:rPr>
          <w:rFonts w:asciiTheme="majorBidi" w:hAnsiTheme="majorBidi" w:cstheme="majorBidi"/>
        </w:rPr>
      </w:pPr>
    </w:p>
    <w:p w14:paraId="041F9AD1" w14:textId="77777777" w:rsidR="00FB3AAA" w:rsidRDefault="00FB3AAA" w:rsidP="00FB3AAA">
      <w:pPr>
        <w:spacing w:line="360" w:lineRule="auto"/>
        <w:jc w:val="both"/>
        <w:rPr>
          <w:rFonts w:asciiTheme="majorBidi" w:hAnsiTheme="majorBidi" w:cstheme="majorBidi"/>
        </w:rPr>
      </w:pPr>
    </w:p>
    <w:p w14:paraId="13DD8DE2" w14:textId="77777777" w:rsidR="00FB3AAA" w:rsidRDefault="00FB3AAA" w:rsidP="00FB3AAA">
      <w:pPr>
        <w:spacing w:line="360" w:lineRule="auto"/>
        <w:jc w:val="both"/>
        <w:rPr>
          <w:rFonts w:asciiTheme="majorBidi" w:hAnsiTheme="majorBidi" w:cstheme="majorBidi"/>
          <w:rtl/>
        </w:rPr>
      </w:pPr>
    </w:p>
    <w:p w14:paraId="313C95B5" w14:textId="77777777" w:rsidR="00036EE4" w:rsidRPr="00036EE4" w:rsidRDefault="00036EE4" w:rsidP="00FB3AAA">
      <w:pPr>
        <w:spacing w:line="360" w:lineRule="auto"/>
        <w:jc w:val="both"/>
        <w:rPr>
          <w:rFonts w:asciiTheme="majorBidi" w:hAnsiTheme="majorBidi" w:cstheme="majorBidi"/>
          <w:sz w:val="28"/>
          <w:szCs w:val="28"/>
        </w:rPr>
      </w:pPr>
    </w:p>
    <w:p w14:paraId="425B3908" w14:textId="5DDAF4E6" w:rsidR="00FB3AAA" w:rsidRPr="004B46A8" w:rsidRDefault="00036EE4" w:rsidP="00036EE4">
      <w:pPr>
        <w:spacing w:line="360" w:lineRule="auto"/>
        <w:jc w:val="center"/>
        <w:rPr>
          <w:rFonts w:asciiTheme="majorBidi" w:hAnsiTheme="majorBidi" w:cstheme="majorBidi"/>
          <w:b/>
          <w:bCs/>
          <w:sz w:val="28"/>
          <w:szCs w:val="28"/>
        </w:rPr>
      </w:pPr>
      <w:r w:rsidRPr="004B46A8">
        <w:rPr>
          <w:rFonts w:asciiTheme="majorBidi" w:hAnsiTheme="majorBidi" w:cstheme="majorBidi"/>
          <w:b/>
          <w:bCs/>
          <w:sz w:val="28"/>
          <w:szCs w:val="28"/>
        </w:rPr>
        <w:t>Explainable Artificial Intelligence (XAI) for Improving Trust and Transparency in Healthcare Machine Learning Systems: A Literature Review</w:t>
      </w:r>
    </w:p>
    <w:p w14:paraId="7EC92DAB" w14:textId="77777777" w:rsidR="00FB3AAA" w:rsidRPr="004B46A8" w:rsidRDefault="00FB3AAA" w:rsidP="00036EE4">
      <w:pPr>
        <w:spacing w:line="360" w:lineRule="auto"/>
        <w:jc w:val="center"/>
        <w:rPr>
          <w:rFonts w:asciiTheme="majorBidi" w:hAnsiTheme="majorBidi" w:cstheme="majorBidi"/>
          <w:b/>
          <w:bCs/>
          <w:sz w:val="28"/>
          <w:szCs w:val="28"/>
          <w:rtl/>
        </w:rPr>
      </w:pPr>
    </w:p>
    <w:p w14:paraId="73EF195F" w14:textId="77777777" w:rsidR="00036EE4" w:rsidRPr="004B46A8" w:rsidRDefault="00036EE4" w:rsidP="00036EE4">
      <w:pPr>
        <w:spacing w:line="360" w:lineRule="auto"/>
        <w:jc w:val="center"/>
        <w:rPr>
          <w:rFonts w:asciiTheme="majorBidi" w:hAnsiTheme="majorBidi" w:cstheme="majorBidi"/>
          <w:b/>
          <w:bCs/>
          <w:sz w:val="28"/>
          <w:szCs w:val="28"/>
        </w:rPr>
      </w:pPr>
    </w:p>
    <w:p w14:paraId="57232CF0" w14:textId="77777777" w:rsidR="00FB3AAA" w:rsidRPr="004B46A8" w:rsidRDefault="00FB3AAA" w:rsidP="00036EE4">
      <w:pPr>
        <w:spacing w:line="360" w:lineRule="auto"/>
        <w:jc w:val="center"/>
        <w:rPr>
          <w:rFonts w:asciiTheme="majorBidi" w:hAnsiTheme="majorBidi" w:cstheme="majorBidi"/>
          <w:b/>
          <w:bCs/>
          <w:sz w:val="28"/>
          <w:szCs w:val="28"/>
        </w:rPr>
      </w:pPr>
    </w:p>
    <w:p w14:paraId="6BB50E88" w14:textId="77777777" w:rsidR="00036EE4" w:rsidRPr="004B46A8" w:rsidRDefault="00036EE4" w:rsidP="00036EE4">
      <w:pPr>
        <w:spacing w:line="360" w:lineRule="auto"/>
        <w:jc w:val="center"/>
        <w:rPr>
          <w:rFonts w:asciiTheme="majorBidi" w:hAnsiTheme="majorBidi" w:cstheme="majorBidi"/>
          <w:b/>
          <w:bCs/>
          <w:sz w:val="28"/>
          <w:szCs w:val="28"/>
        </w:rPr>
      </w:pPr>
      <w:r w:rsidRPr="004B46A8">
        <w:rPr>
          <w:rFonts w:asciiTheme="majorBidi" w:hAnsiTheme="majorBidi" w:cstheme="majorBidi"/>
          <w:b/>
          <w:bCs/>
          <w:sz w:val="28"/>
          <w:szCs w:val="28"/>
        </w:rPr>
        <w:t>Student Preparation</w:t>
      </w:r>
    </w:p>
    <w:p w14:paraId="1BFB6328" w14:textId="77777777" w:rsidR="00036EE4" w:rsidRPr="004B46A8" w:rsidRDefault="00036EE4" w:rsidP="00036EE4">
      <w:pPr>
        <w:spacing w:line="360" w:lineRule="auto"/>
        <w:jc w:val="center"/>
        <w:rPr>
          <w:rFonts w:asciiTheme="majorBidi" w:hAnsiTheme="majorBidi" w:cstheme="majorBidi"/>
          <w:b/>
          <w:bCs/>
          <w:sz w:val="28"/>
          <w:szCs w:val="28"/>
          <w:rtl/>
        </w:rPr>
      </w:pPr>
    </w:p>
    <w:p w14:paraId="324729AD" w14:textId="77777777" w:rsidR="00036EE4" w:rsidRPr="004B46A8" w:rsidRDefault="00036EE4" w:rsidP="00036EE4">
      <w:pPr>
        <w:spacing w:line="360" w:lineRule="auto"/>
        <w:jc w:val="center"/>
        <w:rPr>
          <w:rFonts w:asciiTheme="majorBidi" w:hAnsiTheme="majorBidi" w:cstheme="majorBidi"/>
          <w:b/>
          <w:bCs/>
          <w:sz w:val="28"/>
          <w:szCs w:val="28"/>
          <w:rtl/>
        </w:rPr>
      </w:pPr>
    </w:p>
    <w:p w14:paraId="5315F87F" w14:textId="77777777" w:rsidR="00036EE4" w:rsidRPr="004B46A8" w:rsidRDefault="00036EE4" w:rsidP="00036EE4">
      <w:pPr>
        <w:spacing w:line="360" w:lineRule="auto"/>
        <w:jc w:val="center"/>
        <w:rPr>
          <w:rFonts w:asciiTheme="majorBidi" w:hAnsiTheme="majorBidi" w:cstheme="majorBidi"/>
          <w:b/>
          <w:bCs/>
          <w:sz w:val="28"/>
          <w:szCs w:val="28"/>
        </w:rPr>
      </w:pPr>
    </w:p>
    <w:p w14:paraId="1617B0CD" w14:textId="77777777" w:rsidR="00036EE4" w:rsidRPr="004B46A8" w:rsidRDefault="00036EE4" w:rsidP="00036EE4">
      <w:pPr>
        <w:spacing w:line="360" w:lineRule="auto"/>
        <w:jc w:val="center"/>
        <w:rPr>
          <w:rFonts w:asciiTheme="majorBidi" w:hAnsiTheme="majorBidi" w:cstheme="majorBidi"/>
          <w:b/>
          <w:bCs/>
          <w:sz w:val="28"/>
          <w:szCs w:val="28"/>
        </w:rPr>
      </w:pPr>
      <w:r w:rsidRPr="004B46A8">
        <w:rPr>
          <w:rFonts w:asciiTheme="majorBidi" w:hAnsiTheme="majorBidi" w:cstheme="majorBidi"/>
          <w:b/>
          <w:bCs/>
          <w:sz w:val="28"/>
          <w:szCs w:val="28"/>
        </w:rPr>
        <w:t>Under the supervision of</w:t>
      </w:r>
    </w:p>
    <w:p w14:paraId="25E675F3" w14:textId="77777777" w:rsidR="00036EE4" w:rsidRPr="004B46A8" w:rsidRDefault="00036EE4" w:rsidP="00036EE4">
      <w:pPr>
        <w:spacing w:line="360" w:lineRule="auto"/>
        <w:jc w:val="center"/>
        <w:rPr>
          <w:rFonts w:asciiTheme="majorBidi" w:hAnsiTheme="majorBidi" w:cstheme="majorBidi"/>
          <w:b/>
          <w:bCs/>
          <w:sz w:val="28"/>
          <w:szCs w:val="28"/>
          <w:rtl/>
        </w:rPr>
      </w:pPr>
    </w:p>
    <w:p w14:paraId="30A3D98A" w14:textId="77777777" w:rsidR="00036EE4" w:rsidRPr="004B46A8" w:rsidRDefault="00036EE4" w:rsidP="00036EE4">
      <w:pPr>
        <w:spacing w:line="360" w:lineRule="auto"/>
        <w:jc w:val="center"/>
        <w:rPr>
          <w:rFonts w:asciiTheme="majorBidi" w:hAnsiTheme="majorBidi" w:cstheme="majorBidi"/>
          <w:b/>
          <w:bCs/>
          <w:sz w:val="28"/>
          <w:szCs w:val="28"/>
        </w:rPr>
      </w:pPr>
    </w:p>
    <w:p w14:paraId="72F75F8C" w14:textId="1547BE13" w:rsidR="00FB3AAA" w:rsidRPr="004B46A8" w:rsidRDefault="00036EE4" w:rsidP="00036EE4">
      <w:pPr>
        <w:spacing w:line="360" w:lineRule="auto"/>
        <w:jc w:val="center"/>
        <w:rPr>
          <w:rFonts w:asciiTheme="majorBidi" w:hAnsiTheme="majorBidi" w:cstheme="majorBidi"/>
          <w:b/>
          <w:bCs/>
          <w:sz w:val="28"/>
          <w:szCs w:val="28"/>
        </w:rPr>
      </w:pPr>
      <w:r w:rsidRPr="004B46A8">
        <w:rPr>
          <w:rFonts w:asciiTheme="majorBidi" w:hAnsiTheme="majorBidi" w:cstheme="majorBidi"/>
          <w:b/>
          <w:bCs/>
          <w:sz w:val="28"/>
          <w:szCs w:val="28"/>
        </w:rPr>
        <w:t>2026</w:t>
      </w:r>
    </w:p>
    <w:p w14:paraId="442EE9CA" w14:textId="77777777" w:rsidR="00FB3AAA" w:rsidRPr="004B46A8" w:rsidRDefault="00FB3AAA" w:rsidP="00FB3AAA">
      <w:pPr>
        <w:spacing w:line="360" w:lineRule="auto"/>
        <w:jc w:val="both"/>
        <w:rPr>
          <w:rFonts w:asciiTheme="majorBidi" w:hAnsiTheme="majorBidi" w:cstheme="majorBidi"/>
          <w:b/>
          <w:bCs/>
          <w:sz w:val="28"/>
          <w:szCs w:val="28"/>
        </w:rPr>
      </w:pPr>
    </w:p>
    <w:p w14:paraId="61AC7675" w14:textId="77777777" w:rsidR="00FB3AAA" w:rsidRDefault="00FB3AAA" w:rsidP="00FB3AAA">
      <w:pPr>
        <w:spacing w:line="360" w:lineRule="auto"/>
        <w:jc w:val="both"/>
        <w:rPr>
          <w:rFonts w:asciiTheme="majorBidi" w:hAnsiTheme="majorBidi" w:cstheme="majorBidi"/>
        </w:rPr>
      </w:pPr>
    </w:p>
    <w:p w14:paraId="50F9CFFF" w14:textId="1BEAE224" w:rsidR="001F1EAE" w:rsidRPr="001F1EAE" w:rsidRDefault="001F1EAE" w:rsidP="001F1EAE">
      <w:pPr>
        <w:spacing w:line="360" w:lineRule="auto"/>
        <w:jc w:val="both"/>
        <w:rPr>
          <w:rFonts w:asciiTheme="majorBidi" w:hAnsiTheme="majorBidi" w:cstheme="majorBidi"/>
        </w:rPr>
      </w:pPr>
    </w:p>
    <w:p w14:paraId="1AAD5204"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lastRenderedPageBreak/>
        <w:t>1. Problem Statement</w:t>
      </w:r>
    </w:p>
    <w:p w14:paraId="063017E8"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t>1.1 Problem Domain</w:t>
      </w:r>
    </w:p>
    <w:p w14:paraId="7E11D873"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Artificial Intelligence (AI), particularly Machine Learning (ML), has become increasingly important in healthcare by supporting disease diagnosis, medical image analysis, clinical decision support, patient risk prediction, and personalized treatment planning. Recent advances in deep learning have significantly improved the accuracy of healthcare prediction models. However, many of these models function as "black-box" systems, making it difficult for healthcare professionals to understand how predictions or recommendations are generated. Explainable Artificial Intelligence (XAI) has emerged as a research field that aims to make AI systems more transparent, interpretable, and trustworthy while maintaining high predictive performance (Arrieta et al., 2020; Samek et al., 2021).</w:t>
      </w:r>
    </w:p>
    <w:p w14:paraId="0DA9A453" w14:textId="1CF252ED" w:rsidR="001F1EAE" w:rsidRPr="001F1EAE" w:rsidRDefault="001F1EAE" w:rsidP="001F1EAE">
      <w:pPr>
        <w:spacing w:line="360" w:lineRule="auto"/>
        <w:jc w:val="both"/>
        <w:rPr>
          <w:rFonts w:asciiTheme="majorBidi" w:hAnsiTheme="majorBidi" w:cstheme="majorBidi"/>
        </w:rPr>
      </w:pPr>
    </w:p>
    <w:p w14:paraId="4011B109"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t>1.2 Description of the Problem</w:t>
      </w:r>
    </w:p>
    <w:p w14:paraId="01C1788B"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Despite the impressive performance of machine learning models in healthcare, the lack of explainability remains a major barrier to their widespread adoption in clinical practice. Physicians, healthcare administrators, and patients often hesitate to rely on AI-generated recommendations when the reasoning behind predictions cannot be clearly understood or verified. This lack of transparency creates challenges in validating model outputs, detecting biases, ensuring accountability, complying with healthcare regulations, and supporting informed clinical decision-making. Furthermore, different XAI techniques provide varying levels of interpretability, and there is currently no consensus regarding the most appropriate explainability approaches for different healthcare applications (Guidotti et al., 2018; Holzinger et al., 2019).</w:t>
      </w:r>
    </w:p>
    <w:p w14:paraId="763A30E7" w14:textId="17640B64" w:rsidR="001F1EAE" w:rsidRPr="001F1EAE" w:rsidRDefault="001F1EAE" w:rsidP="001F1EAE">
      <w:pPr>
        <w:spacing w:line="360" w:lineRule="auto"/>
        <w:jc w:val="both"/>
        <w:rPr>
          <w:rFonts w:asciiTheme="majorBidi" w:hAnsiTheme="majorBidi" w:cstheme="majorBidi"/>
        </w:rPr>
      </w:pPr>
    </w:p>
    <w:p w14:paraId="317307E8"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t>1.3 Significance of the Problem</w:t>
      </w:r>
    </w:p>
    <w:p w14:paraId="25030EBF"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Trust is a fundamental requirement for integrating AI into healthcare systems. Clinical decisions directly affect patient safety and treatment outcomes, making transparency essential for ensuring ethical and reliable AI deployment. Explainable AI helps clinicians understand the reasoning behind machine learning predictions, improves confidence in AI-assisted decisions, facilitates </w:t>
      </w:r>
      <w:r w:rsidRPr="001F1EAE">
        <w:rPr>
          <w:rFonts w:asciiTheme="majorBidi" w:hAnsiTheme="majorBidi" w:cstheme="majorBidi"/>
        </w:rPr>
        <w:lastRenderedPageBreak/>
        <w:t>regulatory compliance, supports error detection, and enables better communication with patients. Without sufficient explainability, healthcare organizations may face resistance to AI adoption, increased legal risks, and reduced effectiveness of AI-enabled healthcare services (European Commission, 2020; Tjoa &amp; Guan, 2021).</w:t>
      </w:r>
    </w:p>
    <w:p w14:paraId="01598976" w14:textId="7415C521" w:rsidR="001F1EAE" w:rsidRPr="001F1EAE" w:rsidRDefault="001F1EAE" w:rsidP="001F1EAE">
      <w:pPr>
        <w:spacing w:line="360" w:lineRule="auto"/>
        <w:jc w:val="both"/>
        <w:rPr>
          <w:rFonts w:asciiTheme="majorBidi" w:hAnsiTheme="majorBidi" w:cstheme="majorBidi"/>
        </w:rPr>
      </w:pPr>
    </w:p>
    <w:p w14:paraId="62FB1FB3"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t>1.4 Existing Solutions</w:t>
      </w:r>
    </w:p>
    <w:p w14:paraId="56FBF9D5"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Researchers have proposed numerous Explainable AI techniques to improve the transparency of healthcare machine learning systems. Popular model-agnostic approaches include Local Interpretable Model-agnostic Explanations (LIME) and SHapley Additive exPlanations (SHAP), while intrinsic interpretable models, attention mechanisms, saliency maps, rule-based systems, and counterfactual explanations have also been widely investigated. These techniques have been applied successfully in medical imaging, disease diagnosis, cancer prediction, cardiovascular risk assessment, and clinical decision support systems. Although these methods improve model interpretability, challenges remain regarding explanation consistency, computational complexity, scalability, user understanding, and balancing explainability with predictive accuracy (Ribeiro et al., 2016; Lundberg &amp; Lee, 2017; Adadi &amp; Berrada, 2018).</w:t>
      </w:r>
    </w:p>
    <w:p w14:paraId="1BAC4396" w14:textId="02387FF9" w:rsidR="001F1EAE" w:rsidRPr="001F1EAE" w:rsidRDefault="001F1EAE" w:rsidP="001F1EAE">
      <w:pPr>
        <w:spacing w:line="360" w:lineRule="auto"/>
        <w:jc w:val="both"/>
        <w:rPr>
          <w:rFonts w:asciiTheme="majorBidi" w:hAnsiTheme="majorBidi" w:cstheme="majorBidi"/>
        </w:rPr>
      </w:pPr>
    </w:p>
    <w:p w14:paraId="3AA997DA"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t>1.5 Justification for the Research</w:t>
      </w:r>
    </w:p>
    <w:p w14:paraId="2671480B" w14:textId="1DC9F20D"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Although Explainable Artificial Intelligence has become an active research area, the existing literature remains fragmented across different medical domains, machine learning models, and explanation techniques. Many studies focus on developing individual explainability methods without providing comprehensive comparisons of their effectiveness, limitations, and suitability for healthcare applications. Furthermore, limited research systematically evaluates how different XAI approaches influence clinician trust, transparency, fairness, usability, and decision-making. Therefore, a comprehensive literature review is required to synthesize current research findings, compare existing XAI methods, identify unresolved challenges, and highlight future research opportunities for developing trustworthy, transparent, and clinically acceptable healthcare AI systems.</w:t>
      </w:r>
    </w:p>
    <w:p w14:paraId="62E5878A"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lastRenderedPageBreak/>
        <w:t>2. Research Objectives</w:t>
      </w:r>
    </w:p>
    <w:p w14:paraId="1A8DA628"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t>Primary Research Objective</w:t>
      </w:r>
    </w:p>
    <w:p w14:paraId="7FAFAB62" w14:textId="2A4E6C22"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To critically review and synthesize the existing literature on Explainable Artificial Intelligence (XAI) for improving trust and transparency in healthcare machine learning systems by identifying current approaches, challenges, research gaps, and future research directions.</w:t>
      </w:r>
    </w:p>
    <w:p w14:paraId="114ED660" w14:textId="77777777"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t>Specific Research Objectives</w:t>
      </w:r>
    </w:p>
    <w:p w14:paraId="1882D973" w14:textId="77777777" w:rsidR="001F1EAE" w:rsidRPr="001F1EAE" w:rsidRDefault="001F1EAE" w:rsidP="001F1EAE">
      <w:pPr>
        <w:numPr>
          <w:ilvl w:val="0"/>
          <w:numId w:val="16"/>
        </w:numPr>
        <w:spacing w:line="360" w:lineRule="auto"/>
        <w:jc w:val="both"/>
        <w:rPr>
          <w:rFonts w:asciiTheme="majorBidi" w:hAnsiTheme="majorBidi" w:cstheme="majorBidi"/>
        </w:rPr>
      </w:pPr>
      <w:r w:rsidRPr="001F1EAE">
        <w:rPr>
          <w:rFonts w:asciiTheme="majorBidi" w:hAnsiTheme="majorBidi" w:cstheme="majorBidi"/>
        </w:rPr>
        <w:t>To review the fundamental concepts, principles, and importance of Explainable Artificial Intelligence in healthcare machine learning systems.</w:t>
      </w:r>
    </w:p>
    <w:p w14:paraId="6EDCC992" w14:textId="77777777" w:rsidR="001F1EAE" w:rsidRPr="001F1EAE" w:rsidRDefault="001F1EAE" w:rsidP="001F1EAE">
      <w:pPr>
        <w:numPr>
          <w:ilvl w:val="0"/>
          <w:numId w:val="16"/>
        </w:numPr>
        <w:spacing w:line="360" w:lineRule="auto"/>
        <w:jc w:val="both"/>
        <w:rPr>
          <w:rFonts w:asciiTheme="majorBidi" w:hAnsiTheme="majorBidi" w:cstheme="majorBidi"/>
        </w:rPr>
      </w:pPr>
      <w:r w:rsidRPr="001F1EAE">
        <w:rPr>
          <w:rFonts w:asciiTheme="majorBidi" w:hAnsiTheme="majorBidi" w:cstheme="majorBidi"/>
        </w:rPr>
        <w:t>To identify the major challenges affecting trust, transparency, interpretability, and adoption of AI-based healthcare applications.</w:t>
      </w:r>
    </w:p>
    <w:p w14:paraId="272DDA1B" w14:textId="77777777" w:rsidR="001F1EAE" w:rsidRPr="001F1EAE" w:rsidRDefault="001F1EAE" w:rsidP="001F1EAE">
      <w:pPr>
        <w:numPr>
          <w:ilvl w:val="0"/>
          <w:numId w:val="16"/>
        </w:numPr>
        <w:spacing w:line="360" w:lineRule="auto"/>
        <w:jc w:val="both"/>
        <w:rPr>
          <w:rFonts w:asciiTheme="majorBidi" w:hAnsiTheme="majorBidi" w:cstheme="majorBidi"/>
        </w:rPr>
      </w:pPr>
      <w:r w:rsidRPr="001F1EAE">
        <w:rPr>
          <w:rFonts w:asciiTheme="majorBidi" w:hAnsiTheme="majorBidi" w:cstheme="majorBidi"/>
        </w:rPr>
        <w:t>To analyze the existing Explainable AI techniques, frameworks, and methods applied in healthcare machine learning systems.</w:t>
      </w:r>
    </w:p>
    <w:p w14:paraId="2514FF39" w14:textId="77777777" w:rsidR="001F1EAE" w:rsidRPr="001F1EAE" w:rsidRDefault="001F1EAE" w:rsidP="001F1EAE">
      <w:pPr>
        <w:numPr>
          <w:ilvl w:val="0"/>
          <w:numId w:val="16"/>
        </w:numPr>
        <w:spacing w:line="360" w:lineRule="auto"/>
        <w:jc w:val="both"/>
        <w:rPr>
          <w:rFonts w:asciiTheme="majorBidi" w:hAnsiTheme="majorBidi" w:cstheme="majorBidi"/>
        </w:rPr>
      </w:pPr>
      <w:r w:rsidRPr="001F1EAE">
        <w:rPr>
          <w:rFonts w:asciiTheme="majorBidi" w:hAnsiTheme="majorBidi" w:cstheme="majorBidi"/>
        </w:rPr>
        <w:t>To evaluate the strengths, limitations, and performance trade-offs of current XAI approaches with respect to explainability, predictive accuracy, fairness, usability, and clinical applicability.</w:t>
      </w:r>
    </w:p>
    <w:p w14:paraId="318FF723" w14:textId="77777777" w:rsidR="001F1EAE" w:rsidRPr="001F1EAE" w:rsidRDefault="001F1EAE" w:rsidP="001F1EAE">
      <w:pPr>
        <w:numPr>
          <w:ilvl w:val="0"/>
          <w:numId w:val="16"/>
        </w:numPr>
        <w:spacing w:line="360" w:lineRule="auto"/>
        <w:jc w:val="both"/>
        <w:rPr>
          <w:rFonts w:asciiTheme="majorBidi" w:hAnsiTheme="majorBidi" w:cstheme="majorBidi"/>
        </w:rPr>
      </w:pPr>
      <w:r w:rsidRPr="001F1EAE">
        <w:rPr>
          <w:rFonts w:asciiTheme="majorBidi" w:hAnsiTheme="majorBidi" w:cstheme="majorBidi"/>
        </w:rPr>
        <w:t>To identify the current research gaps and unresolved issues that limit the effective implementation of Explainable AI in healthcare environments.</w:t>
      </w:r>
    </w:p>
    <w:p w14:paraId="7B08D3DA" w14:textId="77777777" w:rsidR="001F1EAE" w:rsidRPr="001F1EAE" w:rsidRDefault="001F1EAE" w:rsidP="001F1EAE">
      <w:pPr>
        <w:numPr>
          <w:ilvl w:val="0"/>
          <w:numId w:val="16"/>
        </w:numPr>
        <w:spacing w:line="360" w:lineRule="auto"/>
        <w:jc w:val="both"/>
        <w:rPr>
          <w:rFonts w:asciiTheme="majorBidi" w:hAnsiTheme="majorBidi" w:cstheme="majorBidi"/>
        </w:rPr>
      </w:pPr>
      <w:r w:rsidRPr="001F1EAE">
        <w:rPr>
          <w:rFonts w:asciiTheme="majorBidi" w:hAnsiTheme="majorBidi" w:cstheme="majorBidi"/>
        </w:rPr>
        <w:t>To recommend future research directions for improving trust, transparency, interpretability, and responsible adoption of AI-powered healthcare systems.</w:t>
      </w:r>
    </w:p>
    <w:p w14:paraId="1CB43FBE" w14:textId="1D9724D4" w:rsidR="001F1EAE" w:rsidRDefault="001F1EAE" w:rsidP="001F1EAE">
      <w:pPr>
        <w:spacing w:line="360" w:lineRule="auto"/>
        <w:jc w:val="both"/>
        <w:rPr>
          <w:rFonts w:asciiTheme="majorBidi" w:hAnsiTheme="majorBidi" w:cstheme="majorBidi"/>
          <w:rtl/>
        </w:rPr>
      </w:pPr>
    </w:p>
    <w:p w14:paraId="41CF4A04" w14:textId="77777777" w:rsidR="001F1EAE" w:rsidRDefault="001F1EAE" w:rsidP="001F1EAE">
      <w:pPr>
        <w:spacing w:line="360" w:lineRule="auto"/>
        <w:jc w:val="both"/>
        <w:rPr>
          <w:rFonts w:asciiTheme="majorBidi" w:hAnsiTheme="majorBidi" w:cstheme="majorBidi"/>
          <w:rtl/>
        </w:rPr>
      </w:pPr>
    </w:p>
    <w:p w14:paraId="566D9294" w14:textId="77777777" w:rsidR="001F1EAE" w:rsidRDefault="001F1EAE" w:rsidP="001F1EAE">
      <w:pPr>
        <w:spacing w:line="360" w:lineRule="auto"/>
        <w:jc w:val="both"/>
        <w:rPr>
          <w:rFonts w:asciiTheme="majorBidi" w:hAnsiTheme="majorBidi" w:cstheme="majorBidi"/>
          <w:rtl/>
        </w:rPr>
      </w:pPr>
    </w:p>
    <w:p w14:paraId="577187B9" w14:textId="77777777" w:rsidR="001F1EAE" w:rsidRDefault="001F1EAE" w:rsidP="001F1EAE">
      <w:pPr>
        <w:spacing w:line="360" w:lineRule="auto"/>
        <w:jc w:val="both"/>
        <w:rPr>
          <w:rFonts w:asciiTheme="majorBidi" w:hAnsiTheme="majorBidi" w:cstheme="majorBidi"/>
          <w:rtl/>
        </w:rPr>
      </w:pPr>
    </w:p>
    <w:p w14:paraId="31C4F483" w14:textId="77777777" w:rsidR="001F1EAE" w:rsidRDefault="001F1EAE" w:rsidP="001F1EAE">
      <w:pPr>
        <w:spacing w:line="360" w:lineRule="auto"/>
        <w:jc w:val="both"/>
        <w:rPr>
          <w:rFonts w:asciiTheme="majorBidi" w:hAnsiTheme="majorBidi" w:cstheme="majorBidi"/>
          <w:rtl/>
        </w:rPr>
      </w:pPr>
    </w:p>
    <w:p w14:paraId="50834A2A" w14:textId="77777777" w:rsidR="001F1EAE" w:rsidRPr="001F1EAE" w:rsidRDefault="001F1EAE" w:rsidP="001F1EAE">
      <w:pPr>
        <w:spacing w:line="360" w:lineRule="auto"/>
        <w:jc w:val="both"/>
        <w:rPr>
          <w:rFonts w:asciiTheme="majorBidi" w:hAnsiTheme="majorBidi" w:cstheme="majorBidi"/>
        </w:rPr>
      </w:pPr>
    </w:p>
    <w:p w14:paraId="49FE2514" w14:textId="57C11EC6" w:rsidR="001F1EAE" w:rsidRPr="001F1EAE" w:rsidRDefault="001F1EAE" w:rsidP="001F1EAE">
      <w:pPr>
        <w:spacing w:line="360" w:lineRule="auto"/>
        <w:jc w:val="both"/>
        <w:rPr>
          <w:rFonts w:asciiTheme="majorBidi" w:hAnsiTheme="majorBidi" w:cstheme="majorBidi"/>
          <w:b/>
          <w:bCs/>
        </w:rPr>
      </w:pPr>
      <w:r w:rsidRPr="001F1EAE">
        <w:rPr>
          <w:rFonts w:asciiTheme="majorBidi" w:hAnsiTheme="majorBidi" w:cstheme="majorBidi"/>
          <w:b/>
          <w:bCs/>
        </w:rPr>
        <w:lastRenderedPageBreak/>
        <w:t xml:space="preserve">References </w:t>
      </w:r>
    </w:p>
    <w:p w14:paraId="35E14DED"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Adadi, A., &amp; Berrada, M. (2018). Peeking inside the black-box: A survey on Explainable Artificial Intelligence (XAI). </w:t>
      </w:r>
      <w:r w:rsidRPr="001F1EAE">
        <w:rPr>
          <w:rFonts w:asciiTheme="majorBidi" w:hAnsiTheme="majorBidi" w:cstheme="majorBidi"/>
          <w:i/>
          <w:iCs/>
        </w:rPr>
        <w:t>IEEE Access, 6</w:t>
      </w:r>
      <w:r w:rsidRPr="001F1EAE">
        <w:rPr>
          <w:rFonts w:asciiTheme="majorBidi" w:hAnsiTheme="majorBidi" w:cstheme="majorBidi"/>
        </w:rPr>
        <w:t>, 52138–52160.</w:t>
      </w:r>
    </w:p>
    <w:p w14:paraId="1F7758E3"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Arrieta, A. B., Díaz-Rodríguez, N., Del Ser, J., Bennetot, A., Tabik, S., Barbado, A., García, S., Gil-López, S., Molina, D., Benjamins, R., Chatila, R., &amp; Herrera, F. (2020). Explainable Artificial Intelligence (XAI): Concepts, taxonomies, opportunities and challenges toward responsible AI. </w:t>
      </w:r>
      <w:r w:rsidRPr="001F1EAE">
        <w:rPr>
          <w:rFonts w:asciiTheme="majorBidi" w:hAnsiTheme="majorBidi" w:cstheme="majorBidi"/>
          <w:i/>
          <w:iCs/>
        </w:rPr>
        <w:t>Information Fusion, 58</w:t>
      </w:r>
      <w:r w:rsidRPr="001F1EAE">
        <w:rPr>
          <w:rFonts w:asciiTheme="majorBidi" w:hAnsiTheme="majorBidi" w:cstheme="majorBidi"/>
        </w:rPr>
        <w:t>, 82–115.</w:t>
      </w:r>
    </w:p>
    <w:p w14:paraId="4099C37F"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European Commission. (2020). </w:t>
      </w:r>
      <w:r w:rsidRPr="001F1EAE">
        <w:rPr>
          <w:rFonts w:asciiTheme="majorBidi" w:hAnsiTheme="majorBidi" w:cstheme="majorBidi"/>
          <w:i/>
          <w:iCs/>
        </w:rPr>
        <w:t>White Paper on Artificial Intelligence: A European approach to excellence and trust</w:t>
      </w:r>
      <w:r w:rsidRPr="001F1EAE">
        <w:rPr>
          <w:rFonts w:asciiTheme="majorBidi" w:hAnsiTheme="majorBidi" w:cstheme="majorBidi"/>
        </w:rPr>
        <w:t>. Publications Office of the European Union.</w:t>
      </w:r>
    </w:p>
    <w:p w14:paraId="65EDC077"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Guidotti, R., Monreale, A., Ruggieri, S., Turini, F., Giannotti, F., &amp; Pedreschi, D. (2018). A survey of methods for explaining black box models. </w:t>
      </w:r>
      <w:r w:rsidRPr="001F1EAE">
        <w:rPr>
          <w:rFonts w:asciiTheme="majorBidi" w:hAnsiTheme="majorBidi" w:cstheme="majorBidi"/>
          <w:i/>
          <w:iCs/>
        </w:rPr>
        <w:t>ACM Computing Surveys, 51</w:t>
      </w:r>
      <w:r w:rsidRPr="001F1EAE">
        <w:rPr>
          <w:rFonts w:asciiTheme="majorBidi" w:hAnsiTheme="majorBidi" w:cstheme="majorBidi"/>
        </w:rPr>
        <w:t>(5), 1–42.</w:t>
      </w:r>
    </w:p>
    <w:p w14:paraId="6CFD938F"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Holzinger, A., Langs, G., Denk, H., Zatloukal, K., &amp; Müller, H. (2019). Causability and explainability of artificial intelligence in medicine. </w:t>
      </w:r>
      <w:r w:rsidRPr="001F1EAE">
        <w:rPr>
          <w:rFonts w:asciiTheme="majorBidi" w:hAnsiTheme="majorBidi" w:cstheme="majorBidi"/>
          <w:i/>
          <w:iCs/>
        </w:rPr>
        <w:t>Wiley Interdisciplinary Reviews: Data Mining and Knowledge Discovery, 9</w:t>
      </w:r>
      <w:r w:rsidRPr="001F1EAE">
        <w:rPr>
          <w:rFonts w:asciiTheme="majorBidi" w:hAnsiTheme="majorBidi" w:cstheme="majorBidi"/>
        </w:rPr>
        <w:t>(4), e1312.</w:t>
      </w:r>
    </w:p>
    <w:p w14:paraId="5712B83A"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Lundberg, S. M., &amp; Lee, S. I. (2017). A unified approach to interpreting model predictions. In </w:t>
      </w:r>
      <w:r w:rsidRPr="001F1EAE">
        <w:rPr>
          <w:rFonts w:asciiTheme="majorBidi" w:hAnsiTheme="majorBidi" w:cstheme="majorBidi"/>
          <w:i/>
          <w:iCs/>
        </w:rPr>
        <w:t>Proceedings of the 31st International Conference on Neural Information Processing Systems</w:t>
      </w:r>
      <w:r w:rsidRPr="001F1EAE">
        <w:rPr>
          <w:rFonts w:asciiTheme="majorBidi" w:hAnsiTheme="majorBidi" w:cstheme="majorBidi"/>
        </w:rPr>
        <w:t xml:space="preserve"> (pp. 4768–4777).</w:t>
      </w:r>
    </w:p>
    <w:p w14:paraId="04327CD7"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Ribeiro, M. T., Singh, S., &amp; Guestrin, C. (2016). "Why should I trust you?": Explaining the predictions of any classifier. In </w:t>
      </w:r>
      <w:r w:rsidRPr="001F1EAE">
        <w:rPr>
          <w:rFonts w:asciiTheme="majorBidi" w:hAnsiTheme="majorBidi" w:cstheme="majorBidi"/>
          <w:i/>
          <w:iCs/>
        </w:rPr>
        <w:t>Proceedings of the 22nd ACM SIGKDD International Conference on Knowledge Discovery and Data Mining</w:t>
      </w:r>
      <w:r w:rsidRPr="001F1EAE">
        <w:rPr>
          <w:rFonts w:asciiTheme="majorBidi" w:hAnsiTheme="majorBidi" w:cstheme="majorBidi"/>
        </w:rPr>
        <w:t xml:space="preserve"> (pp. 1135–1144).</w:t>
      </w:r>
    </w:p>
    <w:p w14:paraId="1FEBE992"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Samek, W., Montavon, G., Lapuschkin, S., Anders, C. J., &amp; Müller, K. R. (2021). Explaining deep neural networks and beyond: A review of methods and applications. </w:t>
      </w:r>
      <w:r w:rsidRPr="001F1EAE">
        <w:rPr>
          <w:rFonts w:asciiTheme="majorBidi" w:hAnsiTheme="majorBidi" w:cstheme="majorBidi"/>
          <w:i/>
          <w:iCs/>
        </w:rPr>
        <w:t>Proceedings of the IEEE, 109</w:t>
      </w:r>
      <w:r w:rsidRPr="001F1EAE">
        <w:rPr>
          <w:rFonts w:asciiTheme="majorBidi" w:hAnsiTheme="majorBidi" w:cstheme="majorBidi"/>
        </w:rPr>
        <w:t>(3), 247–278.</w:t>
      </w:r>
    </w:p>
    <w:p w14:paraId="386C58FC" w14:textId="77777777" w:rsidR="001F1EAE" w:rsidRPr="001F1EAE" w:rsidRDefault="001F1EAE" w:rsidP="001F1EAE">
      <w:pPr>
        <w:spacing w:line="360" w:lineRule="auto"/>
        <w:jc w:val="both"/>
        <w:rPr>
          <w:rFonts w:asciiTheme="majorBidi" w:hAnsiTheme="majorBidi" w:cstheme="majorBidi"/>
        </w:rPr>
      </w:pPr>
      <w:r w:rsidRPr="001F1EAE">
        <w:rPr>
          <w:rFonts w:asciiTheme="majorBidi" w:hAnsiTheme="majorBidi" w:cstheme="majorBidi"/>
        </w:rPr>
        <w:t xml:space="preserve">Tjoa, E., &amp; Guan, C. (2021). A survey on Explainable Artificial Intelligence (XAI): Toward medical XAI. </w:t>
      </w:r>
      <w:r w:rsidRPr="001F1EAE">
        <w:rPr>
          <w:rFonts w:asciiTheme="majorBidi" w:hAnsiTheme="majorBidi" w:cstheme="majorBidi"/>
          <w:i/>
          <w:iCs/>
        </w:rPr>
        <w:t>IEEE Transactions on Neural Networks and Learning Systems, 32</w:t>
      </w:r>
      <w:r w:rsidRPr="001F1EAE">
        <w:rPr>
          <w:rFonts w:asciiTheme="majorBidi" w:hAnsiTheme="majorBidi" w:cstheme="majorBidi"/>
        </w:rPr>
        <w:t>(11), 4793–4813.</w:t>
      </w:r>
    </w:p>
    <w:p w14:paraId="43CC6B5A" w14:textId="77777777" w:rsidR="001F1EAE" w:rsidRDefault="001F1EAE" w:rsidP="00FB3AAA">
      <w:pPr>
        <w:spacing w:line="360" w:lineRule="auto"/>
        <w:jc w:val="both"/>
        <w:rPr>
          <w:rFonts w:asciiTheme="majorBidi" w:hAnsiTheme="majorBidi" w:cstheme="majorBidi"/>
        </w:rPr>
      </w:pPr>
    </w:p>
    <w:sectPr w:rsidR="001F1EAE" w:rsidSect="004B46A8">
      <w:footerReference w:type="default" r:id="rId7"/>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4E4BB" w14:textId="77777777" w:rsidR="00224547" w:rsidRDefault="00224547" w:rsidP="004B46A8">
      <w:pPr>
        <w:spacing w:after="0" w:line="240" w:lineRule="auto"/>
      </w:pPr>
      <w:r>
        <w:separator/>
      </w:r>
    </w:p>
  </w:endnote>
  <w:endnote w:type="continuationSeparator" w:id="0">
    <w:p w14:paraId="401B9622" w14:textId="77777777" w:rsidR="00224547" w:rsidRDefault="00224547" w:rsidP="004B4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978493"/>
      <w:docPartObj>
        <w:docPartGallery w:val="Page Numbers (Bottom of Page)"/>
        <w:docPartUnique/>
      </w:docPartObj>
    </w:sdtPr>
    <w:sdtEndPr>
      <w:rPr>
        <w:noProof/>
      </w:rPr>
    </w:sdtEndPr>
    <w:sdtContent>
      <w:p w14:paraId="00868B1A" w14:textId="58CA78C3" w:rsidR="004B46A8" w:rsidRDefault="004B46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EBB8F4" w14:textId="77777777" w:rsidR="004B46A8" w:rsidRDefault="004B4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51543" w14:textId="77777777" w:rsidR="00224547" w:rsidRDefault="00224547" w:rsidP="004B46A8">
      <w:pPr>
        <w:spacing w:after="0" w:line="240" w:lineRule="auto"/>
      </w:pPr>
      <w:r>
        <w:separator/>
      </w:r>
    </w:p>
  </w:footnote>
  <w:footnote w:type="continuationSeparator" w:id="0">
    <w:p w14:paraId="368B6D35" w14:textId="77777777" w:rsidR="00224547" w:rsidRDefault="00224547" w:rsidP="004B4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056F1"/>
    <w:multiLevelType w:val="multilevel"/>
    <w:tmpl w:val="35E4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95D63"/>
    <w:multiLevelType w:val="multilevel"/>
    <w:tmpl w:val="E93C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62E8E"/>
    <w:multiLevelType w:val="multilevel"/>
    <w:tmpl w:val="65DA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24AC9"/>
    <w:multiLevelType w:val="multilevel"/>
    <w:tmpl w:val="6D16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B634B"/>
    <w:multiLevelType w:val="multilevel"/>
    <w:tmpl w:val="FB04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081D57"/>
    <w:multiLevelType w:val="multilevel"/>
    <w:tmpl w:val="94C4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B51128"/>
    <w:multiLevelType w:val="hybridMultilevel"/>
    <w:tmpl w:val="0462627C"/>
    <w:lvl w:ilvl="0" w:tplc="94EED2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F84E6F"/>
    <w:multiLevelType w:val="multilevel"/>
    <w:tmpl w:val="979C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EE4A5F"/>
    <w:multiLevelType w:val="multilevel"/>
    <w:tmpl w:val="DDB4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FF2A3F"/>
    <w:multiLevelType w:val="multilevel"/>
    <w:tmpl w:val="CE5C5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5129F4"/>
    <w:multiLevelType w:val="multilevel"/>
    <w:tmpl w:val="7472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5E6988"/>
    <w:multiLevelType w:val="hybridMultilevel"/>
    <w:tmpl w:val="8F5E9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DC7ECC"/>
    <w:multiLevelType w:val="hybridMultilevel"/>
    <w:tmpl w:val="EE84D75E"/>
    <w:lvl w:ilvl="0" w:tplc="94EED208">
      <w:numFmt w:val="bullet"/>
      <w:lvlText w:val="-"/>
      <w:lvlJc w:val="left"/>
      <w:pPr>
        <w:ind w:left="720" w:hanging="360"/>
      </w:pPr>
      <w:rPr>
        <w:rFonts w:ascii="Times New Roman" w:eastAsiaTheme="minorHAns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431504E"/>
    <w:multiLevelType w:val="multilevel"/>
    <w:tmpl w:val="16E2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BE42EA"/>
    <w:multiLevelType w:val="multilevel"/>
    <w:tmpl w:val="8F0C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0A2953"/>
    <w:multiLevelType w:val="multilevel"/>
    <w:tmpl w:val="1710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008000">
    <w:abstractNumId w:val="14"/>
  </w:num>
  <w:num w:numId="2" w16cid:durableId="1411997102">
    <w:abstractNumId w:val="8"/>
  </w:num>
  <w:num w:numId="3" w16cid:durableId="2058896285">
    <w:abstractNumId w:val="7"/>
  </w:num>
  <w:num w:numId="4" w16cid:durableId="40639221">
    <w:abstractNumId w:val="4"/>
  </w:num>
  <w:num w:numId="5" w16cid:durableId="1248340896">
    <w:abstractNumId w:val="6"/>
  </w:num>
  <w:num w:numId="6" w16cid:durableId="1633092850">
    <w:abstractNumId w:val="13"/>
  </w:num>
  <w:num w:numId="7" w16cid:durableId="661003955">
    <w:abstractNumId w:val="15"/>
  </w:num>
  <w:num w:numId="8" w16cid:durableId="1161581753">
    <w:abstractNumId w:val="10"/>
  </w:num>
  <w:num w:numId="9" w16cid:durableId="1888832440">
    <w:abstractNumId w:val="3"/>
  </w:num>
  <w:num w:numId="10" w16cid:durableId="467284782">
    <w:abstractNumId w:val="2"/>
  </w:num>
  <w:num w:numId="11" w16cid:durableId="1907840292">
    <w:abstractNumId w:val="5"/>
  </w:num>
  <w:num w:numId="12" w16cid:durableId="1609266420">
    <w:abstractNumId w:val="0"/>
  </w:num>
  <w:num w:numId="13" w16cid:durableId="1590625924">
    <w:abstractNumId w:val="1"/>
  </w:num>
  <w:num w:numId="14" w16cid:durableId="249579363">
    <w:abstractNumId w:val="11"/>
  </w:num>
  <w:num w:numId="15" w16cid:durableId="955909386">
    <w:abstractNumId w:val="12"/>
  </w:num>
  <w:num w:numId="16" w16cid:durableId="8253229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E08"/>
    <w:rsid w:val="00036EE4"/>
    <w:rsid w:val="000926BE"/>
    <w:rsid w:val="00110323"/>
    <w:rsid w:val="001407FB"/>
    <w:rsid w:val="00170579"/>
    <w:rsid w:val="00173399"/>
    <w:rsid w:val="001C7353"/>
    <w:rsid w:val="001F1EAE"/>
    <w:rsid w:val="00224547"/>
    <w:rsid w:val="00260F67"/>
    <w:rsid w:val="00347E08"/>
    <w:rsid w:val="00435ABE"/>
    <w:rsid w:val="004766AE"/>
    <w:rsid w:val="004B46A8"/>
    <w:rsid w:val="00583837"/>
    <w:rsid w:val="005938C9"/>
    <w:rsid w:val="006658B2"/>
    <w:rsid w:val="00666126"/>
    <w:rsid w:val="00683C54"/>
    <w:rsid w:val="0076437C"/>
    <w:rsid w:val="007D1979"/>
    <w:rsid w:val="007F3379"/>
    <w:rsid w:val="00872B53"/>
    <w:rsid w:val="008C5B47"/>
    <w:rsid w:val="008D1595"/>
    <w:rsid w:val="00A06DAD"/>
    <w:rsid w:val="00A72DE2"/>
    <w:rsid w:val="00AE3DA0"/>
    <w:rsid w:val="00C85074"/>
    <w:rsid w:val="00CA3B8F"/>
    <w:rsid w:val="00CB0907"/>
    <w:rsid w:val="00E41613"/>
    <w:rsid w:val="00F8009F"/>
    <w:rsid w:val="00FB3A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998BD"/>
  <w15:chartTrackingRefBased/>
  <w15:docId w15:val="{28A2E30F-AD33-44F8-92B2-3BF71A580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E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E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E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E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E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E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E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E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E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347E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E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E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E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E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E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E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E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E08"/>
    <w:rPr>
      <w:rFonts w:eastAsiaTheme="majorEastAsia" w:cstheme="majorBidi"/>
      <w:color w:val="272727" w:themeColor="text1" w:themeTint="D8"/>
    </w:rPr>
  </w:style>
  <w:style w:type="paragraph" w:styleId="Title">
    <w:name w:val="Title"/>
    <w:basedOn w:val="Normal"/>
    <w:next w:val="Normal"/>
    <w:link w:val="TitleChar"/>
    <w:uiPriority w:val="10"/>
    <w:qFormat/>
    <w:rsid w:val="00347E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E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E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E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E08"/>
    <w:pPr>
      <w:spacing w:before="160"/>
      <w:jc w:val="center"/>
    </w:pPr>
    <w:rPr>
      <w:i/>
      <w:iCs/>
      <w:color w:val="404040" w:themeColor="text1" w:themeTint="BF"/>
    </w:rPr>
  </w:style>
  <w:style w:type="character" w:customStyle="1" w:styleId="QuoteChar">
    <w:name w:val="Quote Char"/>
    <w:basedOn w:val="DefaultParagraphFont"/>
    <w:link w:val="Quote"/>
    <w:uiPriority w:val="29"/>
    <w:rsid w:val="00347E08"/>
    <w:rPr>
      <w:i/>
      <w:iCs/>
      <w:color w:val="404040" w:themeColor="text1" w:themeTint="BF"/>
    </w:rPr>
  </w:style>
  <w:style w:type="paragraph" w:styleId="ListParagraph">
    <w:name w:val="List Paragraph"/>
    <w:basedOn w:val="Normal"/>
    <w:uiPriority w:val="34"/>
    <w:qFormat/>
    <w:rsid w:val="00347E08"/>
    <w:pPr>
      <w:ind w:left="720"/>
      <w:contextualSpacing/>
    </w:pPr>
  </w:style>
  <w:style w:type="character" w:styleId="IntenseEmphasis">
    <w:name w:val="Intense Emphasis"/>
    <w:basedOn w:val="DefaultParagraphFont"/>
    <w:uiPriority w:val="21"/>
    <w:qFormat/>
    <w:rsid w:val="00347E08"/>
    <w:rPr>
      <w:i/>
      <w:iCs/>
      <w:color w:val="0F4761" w:themeColor="accent1" w:themeShade="BF"/>
    </w:rPr>
  </w:style>
  <w:style w:type="paragraph" w:styleId="IntenseQuote">
    <w:name w:val="Intense Quote"/>
    <w:basedOn w:val="Normal"/>
    <w:next w:val="Normal"/>
    <w:link w:val="IntenseQuoteChar"/>
    <w:uiPriority w:val="30"/>
    <w:qFormat/>
    <w:rsid w:val="00347E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E08"/>
    <w:rPr>
      <w:i/>
      <w:iCs/>
      <w:color w:val="0F4761" w:themeColor="accent1" w:themeShade="BF"/>
    </w:rPr>
  </w:style>
  <w:style w:type="character" w:styleId="IntenseReference">
    <w:name w:val="Intense Reference"/>
    <w:basedOn w:val="DefaultParagraphFont"/>
    <w:uiPriority w:val="32"/>
    <w:qFormat/>
    <w:rsid w:val="00347E08"/>
    <w:rPr>
      <w:b/>
      <w:bCs/>
      <w:smallCaps/>
      <w:color w:val="0F4761" w:themeColor="accent1" w:themeShade="BF"/>
      <w:spacing w:val="5"/>
    </w:rPr>
  </w:style>
  <w:style w:type="character" w:styleId="Hyperlink">
    <w:name w:val="Hyperlink"/>
    <w:basedOn w:val="DefaultParagraphFont"/>
    <w:uiPriority w:val="99"/>
    <w:unhideWhenUsed/>
    <w:rsid w:val="00FB3AAA"/>
    <w:rPr>
      <w:color w:val="467886" w:themeColor="hyperlink"/>
      <w:u w:val="single"/>
    </w:rPr>
  </w:style>
  <w:style w:type="character" w:styleId="UnresolvedMention">
    <w:name w:val="Unresolved Mention"/>
    <w:basedOn w:val="DefaultParagraphFont"/>
    <w:uiPriority w:val="99"/>
    <w:semiHidden/>
    <w:unhideWhenUsed/>
    <w:rsid w:val="00FB3AAA"/>
    <w:rPr>
      <w:color w:val="605E5C"/>
      <w:shd w:val="clear" w:color="auto" w:fill="E1DFDD"/>
    </w:rPr>
  </w:style>
  <w:style w:type="table" w:styleId="TableGrid">
    <w:name w:val="Table Grid"/>
    <w:basedOn w:val="TableNormal"/>
    <w:uiPriority w:val="39"/>
    <w:rsid w:val="00FB3A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B3AA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B4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6A8"/>
  </w:style>
  <w:style w:type="paragraph" w:styleId="Footer">
    <w:name w:val="footer"/>
    <w:basedOn w:val="Normal"/>
    <w:link w:val="FooterChar"/>
    <w:uiPriority w:val="99"/>
    <w:unhideWhenUsed/>
    <w:rsid w:val="004B4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1132</Words>
  <Characters>6458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6</cp:revision>
  <dcterms:created xsi:type="dcterms:W3CDTF">2026-07-04T03:02:00Z</dcterms:created>
  <dcterms:modified xsi:type="dcterms:W3CDTF">2026-07-11T15:50:00Z</dcterms:modified>
</cp:coreProperties>
</file>